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440101-2024-22746</w:t>
      </w:r>
    </w:p>
    <w:p>
      <w:pPr>
        <w:pStyle w:val="null3"/>
        <w:jc w:val="center"/>
        <w:outlineLvl w:val="3"/>
      </w:pPr>
      <w:r>
        <w:rPr>
          <w:sz w:val="24"/>
          <w:b/>
        </w:rPr>
        <w:t>采购项目编号：</w:t>
      </w:r>
      <w:r>
        <w:rPr>
          <w:sz w:val="24"/>
          <w:b/>
        </w:rPr>
        <w:t>GDYD241060</w:t>
      </w:r>
    </w:p>
    <w:p>
      <w:pPr>
        <w:pStyle w:val="null3"/>
        <w:jc w:val="center"/>
        <w:outlineLvl w:val="3"/>
      </w:pPr>
      <w:r>
        <w:rPr>
          <w:sz w:val="24"/>
          <w:b/>
        </w:rPr>
        <w:t>项目名称：</w:t>
      </w:r>
      <w:r>
        <w:rPr>
          <w:sz w:val="24"/>
          <w:b/>
        </w:rPr>
        <w:t>体育场馆精细化预报预警服务</w:t>
      </w:r>
    </w:p>
    <w:p>
      <w:pPr>
        <w:pStyle w:val="null3"/>
        <w:jc w:val="center"/>
        <w:outlineLvl w:val="3"/>
      </w:pPr>
      <w:r>
        <w:rPr>
          <w:sz w:val="24"/>
          <w:b/>
        </w:rPr>
        <w:t>采购人：</w:t>
      </w:r>
      <w:r>
        <w:rPr>
          <w:sz w:val="24"/>
          <w:b/>
        </w:rPr>
        <w:t>广州市气象台</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广东远东招标代理有限公司</w:t>
      </w:r>
      <w:r>
        <w:rPr/>
        <w:t>受</w:t>
      </w:r>
      <w:r>
        <w:rPr/>
        <w:t>广州市气象台</w:t>
      </w:r>
      <w:r>
        <w:rPr/>
        <w:t>的委托，采用</w:t>
      </w:r>
      <w:r>
        <w:rPr/>
        <w:t>公开招标</w:t>
      </w:r>
      <w:r>
        <w:rPr/>
        <w:t>方式组织采购</w:t>
      </w:r>
      <w:r>
        <w:rPr/>
        <w:t>体育场馆精细化预报预警服务</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体育场馆精细化预报预警服务</w:t>
      </w:r>
    </w:p>
    <w:p>
      <w:pPr>
        <w:pStyle w:val="null3"/>
        <w:ind w:firstLine="480"/>
      </w:pPr>
      <w:r>
        <w:rPr/>
        <w:t>采购计划编号：</w:t>
      </w:r>
      <w:r>
        <w:rPr/>
        <w:t>440101-2024-22746</w:t>
      </w:r>
    </w:p>
    <w:p>
      <w:pPr>
        <w:pStyle w:val="null3"/>
        <w:ind w:firstLine="480"/>
      </w:pPr>
      <w:r>
        <w:rPr/>
        <w:t>采购项目编号：</w:t>
      </w:r>
      <w:r>
        <w:rPr/>
        <w:t>GDYD241060</w:t>
      </w:r>
    </w:p>
    <w:p>
      <w:pPr>
        <w:pStyle w:val="null3"/>
        <w:ind w:firstLine="480"/>
      </w:pPr>
      <w:r>
        <w:rPr/>
        <w:t>采购方式：</w:t>
      </w:r>
      <w:r>
        <w:rPr/>
        <w:t>公开招标</w:t>
      </w:r>
    </w:p>
    <w:p>
      <w:pPr>
        <w:pStyle w:val="null3"/>
        <w:ind w:firstLine="480"/>
      </w:pPr>
      <w:r>
        <w:rPr/>
        <w:t>预算金额：</w:t>
      </w:r>
      <w:r>
        <w:rPr/>
        <w:t>3,380,000.00</w:t>
      </w:r>
      <w:r>
        <w:rPr/>
        <w:t>元</w:t>
      </w:r>
    </w:p>
    <w:p>
      <w:pPr>
        <w:pStyle w:val="null3"/>
        <w:outlineLvl w:val="3"/>
      </w:pPr>
      <w:r>
        <w:rPr>
          <w:sz w:val="24"/>
          <w:b/>
        </w:rPr>
        <w:t>2.项目内容及需求情况（采购项目技术规格、参数及要求）</w:t>
      </w:r>
    </w:p>
    <w:p>
      <w:pPr>
        <w:pStyle w:val="null3"/>
      </w:pPr>
      <w:r>
        <w:rPr/>
        <w:t>采购包1(体育场馆精细化预报预警服务):</w:t>
      </w:r>
    </w:p>
    <w:p>
      <w:pPr>
        <w:pStyle w:val="null3"/>
      </w:pPr>
      <w:r>
        <w:rPr/>
        <w:t>采购包预算金额：3,380,000.00元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气象服务</w:t>
            </w:r>
          </w:p>
        </w:tc>
        <w:tc>
          <w:tcPr>
            <w:tcW w:type="dxa" w:w="2136"/>
          </w:tcPr>
          <w:p>
            <w:pPr>
              <w:pStyle w:val="null3"/>
            </w:pPr>
            <w:r>
              <w:rPr/>
              <w:t>体育场馆精细化预报预警服务</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合同分包：允许合同分包</w:t>
      </w:r>
    </w:p>
    <w:p>
      <w:pPr>
        <w:pStyle w:val="null3"/>
      </w:pPr>
      <w:r>
        <w:rPr/>
        <w:t>合同履行期限：本项目内容2025年6月30日前完成研发、调试、试运行与业务运行。</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2）有依法缴纳税收和社会保障资金的良好记录：具有依法缴纳税收和社会保障资金的良好记录。（提供承诺函）</w:t>
      </w:r>
    </w:p>
    <w:p>
      <w:pPr>
        <w:pStyle w:val="null3"/>
      </w:pPr>
      <w:r>
        <w:rPr/>
        <w:t>3）具有良好的商业信誉和健全的财务会计制度：供应商必须具有良好的商业信誉和健全的财务会计制度。（提供承诺函）</w:t>
      </w:r>
    </w:p>
    <w:p>
      <w:pPr>
        <w:pStyle w:val="null3"/>
      </w:pPr>
      <w:r>
        <w:rPr/>
        <w:t>4）履行合同所必需的设备和专业技术能力：按投标（响应）文件格式填报设备及专业技术能力情况。（提供承诺函）</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采购包1（体育场馆精细化预报预警服务）：</w:t>
      </w:r>
      <w:r>
        <w:rPr/>
        <w:t>无，本项目不属于专门面向中小企业采购的项目。按照本办法规定预留采购份额无法确保充分供应、充分竞争，或者存在可能影响政府采购目标实现的情形。</w:t>
      </w:r>
    </w:p>
    <w:p>
      <w:pPr>
        <w:pStyle w:val="null3"/>
        <w:outlineLvl w:val="3"/>
      </w:pPr>
      <w:r>
        <w:rPr>
          <w:sz w:val="24"/>
          <w:b/>
        </w:rPr>
        <w:t>3.本项目特定的资格要求：</w:t>
      </w:r>
    </w:p>
    <w:p>
      <w:pPr>
        <w:pStyle w:val="null3"/>
      </w:pPr>
      <w:r>
        <w:rPr/>
        <w:t>采购包1（体育场馆精细化预报预警服务）：</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广州市气象台</w:t>
      </w:r>
    </w:p>
    <w:p>
      <w:pPr>
        <w:pStyle w:val="null3"/>
        <w:ind w:firstLine="480"/>
      </w:pPr>
      <w:r>
        <w:rPr/>
        <w:t xml:space="preserve"> 地址：</w:t>
      </w:r>
      <w:r>
        <w:rPr/>
        <w:t>广州市番禺区南大路植村工业一路68号</w:t>
      </w:r>
    </w:p>
    <w:p>
      <w:pPr>
        <w:pStyle w:val="null3"/>
        <w:ind w:firstLine="480"/>
      </w:pPr>
      <w:r>
        <w:rPr/>
        <w:t xml:space="preserve"> 联系方式：</w:t>
      </w:r>
      <w:r>
        <w:rPr/>
        <w:t>020-66619574</w:t>
      </w:r>
    </w:p>
    <w:p>
      <w:pPr>
        <w:pStyle w:val="null3"/>
        <w:outlineLvl w:val="3"/>
      </w:pPr>
      <w:r>
        <w:rPr>
          <w:sz w:val="24"/>
          <w:b/>
        </w:rPr>
        <w:t xml:space="preserve"> 2.采购代理机构信息</w:t>
      </w:r>
    </w:p>
    <w:p>
      <w:pPr>
        <w:pStyle w:val="null3"/>
        <w:ind w:firstLine="480"/>
      </w:pPr>
      <w:r>
        <w:rPr/>
        <w:t xml:space="preserve"> 名称：</w:t>
      </w:r>
      <w:r>
        <w:rPr/>
        <w:t>广东远东招标代理有限公司</w:t>
      </w:r>
    </w:p>
    <w:p>
      <w:pPr>
        <w:pStyle w:val="null3"/>
        <w:ind w:firstLine="480"/>
      </w:pPr>
      <w:r>
        <w:rPr/>
        <w:t xml:space="preserve"> 地址：</w:t>
      </w:r>
      <w:r>
        <w:rPr/>
        <w:t>广州市越秀区越秀北路222号越良大厦6楼</w:t>
      </w:r>
    </w:p>
    <w:p>
      <w:pPr>
        <w:pStyle w:val="null3"/>
        <w:ind w:firstLine="480"/>
      </w:pPr>
      <w:r>
        <w:rPr/>
        <w:t xml:space="preserve"> 联系方式：</w:t>
      </w:r>
      <w:r>
        <w:rPr/>
        <w:t>020-83642820-826、823</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020-83642820-826、823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tbl>
      <w:tblPr>
        <w:tblW w:w="0" w:type="auto"/>
        <w:tblBorders>
          <w:top w:val="none" w:color="000000" w:sz="4"/>
          <w:left w:val="none" w:color="000000" w:sz="4"/>
          <w:bottom w:val="none" w:color="000000" w:sz="4"/>
          <w:right w:val="none" w:color="000000" w:sz="4"/>
          <w:insideH w:val="none"/>
          <w:insideV w:val="none"/>
        </w:tblBorders>
      </w:tblPr>
      <w:tblGrid>
        <w:gridCol w:w="2287"/>
        <w:gridCol w:w="545"/>
        <w:gridCol w:w="3533"/>
        <w:gridCol w:w="1941"/>
      </w:tblGrid>
      <w:tr>
        <w:tc>
          <w:tcPr>
            <w:tcW w:type="dxa" w:w="2287"/>
            <w:tcBorders>
              <w:top w:val="single" w:color="000000" w:sz="4"/>
              <w:left w:val="singl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采购内容</w:t>
            </w:r>
          </w:p>
        </w:tc>
        <w:tc>
          <w:tcPr>
            <w:tcW w:type="dxa" w:w="545"/>
            <w:tcBorders>
              <w:top w:val="single" w:color="000000" w:sz="4"/>
              <w:left w:val="non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数量</w:t>
            </w:r>
          </w:p>
        </w:tc>
        <w:tc>
          <w:tcPr>
            <w:tcW w:type="dxa" w:w="3533"/>
            <w:tcBorders>
              <w:top w:val="single" w:color="000000" w:sz="4"/>
              <w:left w:val="non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完成期</w:t>
            </w:r>
          </w:p>
        </w:tc>
        <w:tc>
          <w:tcPr>
            <w:tcW w:type="dxa" w:w="1941"/>
            <w:tcBorders>
              <w:top w:val="single" w:color="000000" w:sz="4"/>
              <w:left w:val="non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最高限价</w:t>
            </w:r>
          </w:p>
        </w:tc>
      </w:tr>
      <w:tr>
        <w:tc>
          <w:tcPr>
            <w:tcW w:type="dxa" w:w="22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体育场馆精细化预报预警服务</w:t>
            </w:r>
          </w:p>
        </w:tc>
        <w:tc>
          <w:tcPr>
            <w:tcW w:type="dxa" w:w="5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一</w:t>
            </w:r>
            <w:r>
              <w:rPr>
                <w:sz w:val="21"/>
              </w:rPr>
              <w:t>项</w:t>
            </w:r>
          </w:p>
        </w:tc>
        <w:tc>
          <w:tcPr>
            <w:tcW w:type="dxa" w:w="35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本项目内容</w:t>
            </w:r>
            <w:r>
              <w:rPr>
                <w:sz w:val="21"/>
              </w:rPr>
              <w:t>2025年6月30日前完成研发、调试、试运行与业务运行。</w:t>
            </w:r>
          </w:p>
        </w:tc>
        <w:tc>
          <w:tcPr>
            <w:tcW w:type="dxa" w:w="194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left="-45" w:right="-75"/>
              <w:jc w:val="center"/>
            </w:pPr>
            <w:r>
              <w:rPr>
                <w:sz w:val="21"/>
              </w:rPr>
              <w:t>人民币</w:t>
            </w:r>
          </w:p>
          <w:p>
            <w:pPr>
              <w:pStyle w:val="null3"/>
              <w:ind w:left="-45" w:right="-75"/>
              <w:jc w:val="center"/>
            </w:pPr>
            <w:r>
              <w:rPr>
                <w:sz w:val="21"/>
              </w:rPr>
              <w:t>3380000</w:t>
            </w:r>
            <w:r>
              <w:rPr>
                <w:sz w:val="21"/>
              </w:rPr>
              <w:t>元</w:t>
            </w:r>
          </w:p>
        </w:tc>
      </w:tr>
    </w:tbl>
    <w:p>
      <w:pPr>
        <w:pStyle w:val="null3"/>
      </w:pPr>
      <w:r>
        <w:rPr/>
        <w:t xml:space="preserve"> </w:t>
      </w:r>
    </w:p>
    <w:p>
      <w:pPr>
        <w:pStyle w:val="null3"/>
      </w:pPr>
      <w:r>
        <w:rPr/>
        <w:t>二、有关说明：</w:t>
      </w:r>
      <w:r>
        <w:br/>
      </w:r>
      <w:r>
        <w:rPr/>
        <w:t xml:space="preserve"> 1.投标人须对本项目的采购标的进行整体投标，任何只对本项目采购标的其中一部分内容、数量进行的投标都被视为无效投标。</w:t>
      </w:r>
      <w:r>
        <w:br/>
      </w:r>
      <w:r>
        <w:rPr/>
        <w:t xml:space="preserve"> 2.采购需求中标注“★”号条款为实质性条款，必须逐条进行响应，有任何一条负偏离的，将导致无效投标。</w:t>
      </w:r>
      <w:r>
        <w:br/>
      </w:r>
      <w:r>
        <w:rPr/>
        <w:t xml:space="preserve"> 3.本项目允许合同分包。</w:t>
      </w:r>
      <w:r>
        <w:br/>
      </w:r>
      <w:r>
        <w:rPr/>
        <w:t xml:space="preserve"> 4.本项目所属行业为“软件和信息技术服务业”。</w:t>
      </w:r>
      <w:r>
        <w:br/>
      </w:r>
      <w:r>
        <w:rPr/>
        <w:t xml:space="preserve"> 5.本次招投标所产生一切费用由中标人承担。</w:t>
      </w:r>
    </w:p>
    <w:p>
      <w:pPr>
        <w:pStyle w:val="null3"/>
      </w:pPr>
      <w:r>
        <w:rPr/>
        <w:t>三、项目基本情况</w:t>
      </w:r>
      <w:r>
        <w:br/>
      </w:r>
      <w:r>
        <w:rPr/>
        <w:t xml:space="preserve">       建设专业化的体育赛事气象服务保障平台，为第十五届全运会提供精细化气象保障服务。针对体育赛事过程和服务场景，智能生成定制式、个性化、面向影响和风险的气象服务信息。实现不同赛事服务场景灵活配置，各类服务产品智能分发、展示、共享。建设内容包括多源气象观测数据融合分析、高影响天气客观定量短临预报预警、场馆气象影响模型及预报预警分析、场馆气象精细化产品制作、空气质量及气象条件预报等。</w:t>
      </w:r>
    </w:p>
    <w:p>
      <w:pPr>
        <w:pStyle w:val="null3"/>
      </w:pPr>
      <w:r>
        <w:rPr/>
        <w:t>采购包1（体育场馆精细化预报预警服务）</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本项目内容2025年6月30日前完成研发、调试、试运行与业务运行。</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1期：支付比例70%,合同签订后，中标人向采购人提供合同总额70%的等额正式发票，采购人收到发票后5个工作日内按照国库集中支付相关规定办理支付手续，支付合同总额的70%给中标人；</w:t>
            </w:r>
          </w:p>
          <w:p>
            <w:pPr>
              <w:pStyle w:val="null3"/>
            </w:pPr>
            <w:r>
              <w:rPr/>
              <w:t>2期：支付比例30%,项目完成验收后，项目中标人提供合同总额30%的等额正式发票，采购人收到发票后5个工作日内按照国库集中支付相关规定办理支付手续，支付合同总额的30%给中标人。 中标人凭以下有效文件与采购人结算： （1）合同； （2）中标人开具的正式发票； （3）验收证明。 因采购人使用的是财政资金，采购人在前款规定的付款时间为向政府采购支付部门提出办理财政支付申请手续的时间（不含政府财政支付部门审核的时间），在规定时间内提出支付申请手续后即视为采购人已经按期支付。最终付款方式以合同为准。</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1期：完成项目建设全部内容，提供技术文档、项目开发代码（如有）和系统操作说明。</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其他，1.中标人应具有完成本项目的能力，能为采购人提供技术成熟、质量可靠的服务。 2.提供技术培训1次，采用现场集体培训形式。培训内容包括系统的使用、维护、故障处理。 3.中标人为本项目投入一名项目负责人，应具有同类项目相关研究经验，并具有一定的专业技术能力；中标人为本项目投入一定数量的技术人员，且技术人员具有气象类、软件工程类等专业技术能力。</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基本要求</w:t>
            </w:r>
          </w:p>
        </w:tc>
        <w:tc>
          <w:tcPr>
            <w:tcW w:type="dxa" w:w="2076"/>
          </w:tcPr>
          <w:p>
            <w:pPr>
              <w:pStyle w:val="null3"/>
              <w:jc w:val="left"/>
            </w:pPr>
            <w:r>
              <w:rPr/>
              <w:t>1.中标人具有气象业务系统开发经验； 2.中标人能够通过广东省气象数据中心的数据接口取得项目所需的气象观测、气象预报等数据； 3.采购人负责提供平台运行所需的软硬件环境。为方便采购人的后期维护和管理，中标人所完成的技术成果，必须能在采购人提供的软硬件环境上运行。</w:t>
            </w:r>
          </w:p>
        </w:tc>
      </w:tr>
      <w:tr>
        <w:tc>
          <w:tcPr>
            <w:tcW w:type="dxa" w:w="2076"/>
          </w:tcPr>
          <w:p/>
        </w:tc>
        <w:tc>
          <w:tcPr>
            <w:tcW w:type="dxa" w:w="2076"/>
          </w:tcPr>
          <w:p>
            <w:pPr>
              <w:pStyle w:val="null3"/>
              <w:jc w:val="center"/>
            </w:pPr>
            <w:r>
              <w:rPr/>
              <w:t>2</w:t>
            </w:r>
          </w:p>
        </w:tc>
        <w:tc>
          <w:tcPr>
            <w:tcW w:type="dxa" w:w="2076"/>
          </w:tcPr>
          <w:p>
            <w:pPr>
              <w:pStyle w:val="null3"/>
              <w:jc w:val="left"/>
            </w:pPr>
            <w:r>
              <w:rPr/>
              <w:t>报价要求</w:t>
            </w:r>
          </w:p>
        </w:tc>
        <w:tc>
          <w:tcPr>
            <w:tcW w:type="dxa" w:w="2076"/>
          </w:tcPr>
          <w:p>
            <w:pPr>
              <w:pStyle w:val="null3"/>
              <w:jc w:val="left"/>
            </w:pPr>
            <w:r>
              <w:rPr/>
              <w:t>1.本项目为一个整体，投标人必须对所有内容进行投标，只对其中部分内容进行投标作无效投标处理； 2.投标报价应为人民币含税全包价，包括使用的设备、材料、人力成本、技术服务、验收、培训、质保期服务、售后服务、各项税费及其它相关费用等合同实施及履约过程中可预见和不可预见的一切费用； 3.采购人将不予支付除投标文件及承包合同约定的由投标人承担的风险因素之外的任何补偿。</w:t>
            </w:r>
          </w:p>
        </w:tc>
      </w:tr>
      <w:tr>
        <w:tc>
          <w:tcPr>
            <w:tcW w:type="dxa" w:w="2076"/>
          </w:tcPr>
          <w:p/>
        </w:tc>
        <w:tc>
          <w:tcPr>
            <w:tcW w:type="dxa" w:w="2076"/>
          </w:tcPr>
          <w:p>
            <w:pPr>
              <w:pStyle w:val="null3"/>
              <w:jc w:val="center"/>
            </w:pPr>
            <w:r>
              <w:rPr/>
              <w:t>3</w:t>
            </w:r>
          </w:p>
        </w:tc>
        <w:tc>
          <w:tcPr>
            <w:tcW w:type="dxa" w:w="2076"/>
          </w:tcPr>
          <w:p>
            <w:pPr>
              <w:pStyle w:val="null3"/>
              <w:jc w:val="left"/>
            </w:pPr>
            <w:r>
              <w:rPr/>
              <w:t>知识产权声明</w:t>
            </w:r>
          </w:p>
        </w:tc>
        <w:tc>
          <w:tcPr>
            <w:tcW w:type="dxa" w:w="2076"/>
          </w:tcPr>
          <w:p>
            <w:pPr>
              <w:pStyle w:val="null3"/>
              <w:jc w:val="left"/>
            </w:pPr>
            <w:r>
              <w:rPr/>
              <w:t>中标人必须遵守相应的国家法律法规和规章制度，项目建设及业务应用过程中涉及的一切知识产权纠纷由中标人承担。项目完成后，中标人应及时向采购人提供项目开发代码（如有）。</w:t>
            </w:r>
          </w:p>
        </w:tc>
      </w:tr>
      <w:tr>
        <w:tc>
          <w:tcPr>
            <w:tcW w:type="dxa" w:w="2076"/>
          </w:tcPr>
          <w:p/>
        </w:tc>
        <w:tc>
          <w:tcPr>
            <w:tcW w:type="dxa" w:w="2076"/>
          </w:tcPr>
          <w:p>
            <w:pPr>
              <w:pStyle w:val="null3"/>
              <w:jc w:val="center"/>
            </w:pPr>
            <w:r>
              <w:rPr/>
              <w:t>4</w:t>
            </w:r>
          </w:p>
        </w:tc>
        <w:tc>
          <w:tcPr>
            <w:tcW w:type="dxa" w:w="2076"/>
          </w:tcPr>
          <w:p>
            <w:pPr>
              <w:pStyle w:val="null3"/>
              <w:jc w:val="left"/>
            </w:pPr>
            <w:r>
              <w:rPr/>
              <w:t>质保期及售后服务要求</w:t>
            </w:r>
          </w:p>
        </w:tc>
        <w:tc>
          <w:tcPr>
            <w:tcW w:type="dxa" w:w="2076"/>
          </w:tcPr>
          <w:p>
            <w:pPr>
              <w:pStyle w:val="null3"/>
              <w:jc w:val="left"/>
            </w:pPr>
            <w:r>
              <w:rPr/>
              <w:t>项目完成验收后提供三年的免费质保服务（质保内容包括系统维护、数据获取、计算、中间处理、产品生成制作等）。在质保期内，中标人需提供2名工程师驻场运维，在12小时内完成系统故障修复，并提供24小时的电话、线上支持。</w:t>
            </w:r>
          </w:p>
        </w:tc>
      </w:tr>
      <w:tr>
        <w:tc>
          <w:tcPr>
            <w:tcW w:type="dxa" w:w="2076"/>
          </w:tcPr>
          <w:p/>
        </w:tc>
        <w:tc>
          <w:tcPr>
            <w:tcW w:type="dxa" w:w="2076"/>
          </w:tcPr>
          <w:p>
            <w:pPr>
              <w:pStyle w:val="null3"/>
              <w:jc w:val="center"/>
            </w:pPr>
            <w:r>
              <w:rPr/>
              <w:t>5</w:t>
            </w:r>
          </w:p>
        </w:tc>
        <w:tc>
          <w:tcPr>
            <w:tcW w:type="dxa" w:w="2076"/>
          </w:tcPr>
          <w:p>
            <w:pPr>
              <w:pStyle w:val="null3"/>
              <w:jc w:val="left"/>
            </w:pPr>
            <w:r>
              <w:rPr/>
              <w:t>保密责任</w:t>
            </w:r>
          </w:p>
        </w:tc>
        <w:tc>
          <w:tcPr>
            <w:tcW w:type="dxa" w:w="2076"/>
          </w:tcPr>
          <w:p>
            <w:pPr>
              <w:pStyle w:val="null3"/>
              <w:jc w:val="left"/>
            </w:pPr>
            <w:r>
              <w:rPr/>
              <w:t>采购人和供应商双方恪守技术及商业保密资料的保密责任，不得以任何方式私自向第三方透露对方的业务数据、业务事务及相关技术资料以及一切保密文档，任何一方违反本条款将按中华人民共和国有关法律处罚。</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气象服务</w:t>
            </w:r>
          </w:p>
        </w:tc>
        <w:tc>
          <w:tcPr>
            <w:tcW w:type="dxa" w:w="933"/>
          </w:tcPr>
          <w:p>
            <w:pPr>
              <w:pStyle w:val="null3"/>
              <w:jc w:val="left"/>
            </w:pPr>
            <w:r>
              <w:rPr/>
              <w:t>体育场馆精细化预报预警服务</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3,380,000.00</w:t>
            </w:r>
          </w:p>
        </w:tc>
        <w:tc>
          <w:tcPr>
            <w:tcW w:type="dxa" w:w="933"/>
          </w:tcPr>
          <w:p>
            <w:pPr>
              <w:pStyle w:val="null3"/>
              <w:jc w:val="right"/>
            </w:pPr>
            <w:r>
              <w:rPr/>
              <w:t>3,380,000.00</w:t>
            </w:r>
          </w:p>
        </w:tc>
        <w:tc>
          <w:tcPr>
            <w:tcW w:type="dxa" w:w="840"/>
          </w:tcPr>
          <w:p>
            <w:pPr>
              <w:pStyle w:val="null3"/>
            </w:pPr>
            <w:r>
              <w:rPr/>
              <w:t>软件和信息技术服务业</w:t>
            </w:r>
          </w:p>
        </w:tc>
        <w:tc>
          <w:tcPr>
            <w:tcW w:type="dxa" w:w="933"/>
          </w:tcPr>
          <w:p>
            <w:pPr>
              <w:pStyle w:val="null3"/>
            </w:pPr>
            <w:r>
              <w:rPr/>
              <w:t>详见附表一</w:t>
            </w:r>
          </w:p>
        </w:tc>
      </w:tr>
    </w:tbl>
    <w:p>
      <w:pPr>
        <w:pStyle w:val="null3"/>
      </w:pPr>
      <w:r>
        <w:rPr>
          <w:b/>
        </w:rPr>
        <w:t>附表</w:t>
      </w:r>
      <w:r>
        <w:rPr>
          <w:b/>
        </w:rPr>
        <w:t>一</w:t>
      </w:r>
      <w:r>
        <w:rPr>
          <w:b/>
        </w:rPr>
        <w:t>：</w:t>
      </w:r>
      <w:r>
        <w:rPr>
          <w:b/>
        </w:rPr>
        <w:t>体育场馆精细化预报预警服务</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b/>
              </w:rPr>
              <w:t xml:space="preserve">   （一）多源气象观测数据融合分析</w:t>
            </w:r>
            <w:r>
              <w:br/>
            </w:r>
            <w:r>
              <w:rPr/>
              <w:t xml:space="preserve">       依托广东省气象局气象大数据云平台及广州市数据资源共享平台中建设的广州赛区数据资源中心，从海量资料中提取对体育赛事产生高影响的自动站实况、雷达产品、格点预报、卫星云图、闪电定位、台风路径等气象监测产品及外部门数据，根据不同产品的数据结构，构建赛事气象智能融合分析的数据采集、处理和存储模块。</w:t>
            </w:r>
            <w:r>
              <w:br/>
            </w:r>
            <w:r>
              <w:rPr/>
              <w:t xml:space="preserve">       气象数据处理功能包括：</w:t>
            </w:r>
            <w:r>
              <w:br/>
            </w:r>
            <w:r>
              <w:rPr/>
              <w:t xml:space="preserve">      （1）气象自动站监测数据采集：从天擎系统数据服务接口中读取广东和周边省份的国家站、区域自动站的降水、气温、风力风向、相对湿度、能见度等实时监测数据，解码后保存到数据库中。</w:t>
            </w:r>
            <w:r>
              <w:br/>
            </w:r>
            <w:r>
              <w:rPr/>
              <w:t xml:space="preserve">      （2）格点实况产品处理：从天擎系统数据服务接口中读取网格化后的降水、气温、风力风向等网格化实况数据，解码后保存到数据库中。</w:t>
            </w:r>
            <w:r>
              <w:br/>
            </w:r>
            <w:r>
              <w:rPr/>
              <w:t xml:space="preserve">      （3）雷达产品处理：从天擎系统数据服务接口中读取华南、广东范围的雷达反射率、组合反射率、回波外推等产品数据，解码后保存到数据库中。</w:t>
            </w:r>
            <w:r>
              <w:br/>
            </w:r>
            <w:r>
              <w:rPr/>
              <w:t xml:space="preserve">      （4）卫星产品处理：从天擎系统数据服务接口中读取风云卫星的红外和可见光等产品数据，解码后保存到数据库中。</w:t>
            </w:r>
            <w:r>
              <w:br/>
            </w:r>
            <w:r>
              <w:rPr/>
              <w:t xml:space="preserve">      （5）闪电定位数据处理：从天擎系统数据服务接口中读取华南、EN和粤港澳等闪电定位数据，解码后保存到数据库中。</w:t>
            </w:r>
            <w:r>
              <w:br/>
            </w:r>
            <w:r>
              <w:rPr/>
              <w:t xml:space="preserve">      （6）QPE和QPF产品处理：从天擎系统数据服务接口中读取逐小时和逐6分钟的QPE和QPF产品数据，解码后保存到数据库中。</w:t>
            </w:r>
            <w:r>
              <w:br/>
            </w:r>
            <w:r>
              <w:rPr/>
              <w:t xml:space="preserve">      （7）数值预报产品处理：从天擎系统数据服务接口中读取EC、CMA-GD、CMA-TRAMS、CMA-GFS、NCEP、GIFT等模式的降水、气温、U向风、V向风、2m相对湿度、能见度等预报产品数据，解码后保存到数据库中。</w:t>
            </w:r>
            <w:r>
              <w:br/>
            </w:r>
            <w:r>
              <w:rPr/>
              <w:t xml:space="preserve">      （8）台风实况和预报路径处理：从天擎系统数据服务接口中读取台风的实况和预报路径数据，解码后保存到数据库中。</w:t>
            </w:r>
            <w:r>
              <w:br/>
            </w:r>
            <w:r>
              <w:rPr/>
              <w:t xml:space="preserve">      （9）比赛场馆定点预报计算：根据比赛场馆的位置，从EC、CMA-GD、CMA-TRAMS、CMA-GFS、NCEP、GIFT等格点预报中插值出比赛场馆未来3-7天的降水、气温、风力风向、相对湿度、能见度等预报结果，保存到数据库中。</w:t>
            </w:r>
            <w:r>
              <w:br/>
            </w:r>
            <w:r>
              <w:rPr/>
              <w:t xml:space="preserve">    </w:t>
            </w:r>
            <w:r>
              <w:rPr>
                <w:b/>
              </w:rPr>
              <w:t xml:space="preserve">  （二）十五运会高影响天气客观定量短临预报预警</w:t>
            </w:r>
            <w:r>
              <w:br/>
            </w:r>
            <w:r>
              <w:rPr/>
              <w:t xml:space="preserve">        建立十五运会边界层风场、分钟级降水、能见度等高影响天气客观定量短临预报预警服务。利用新一代人工智能和大数据技术，进一步提升预报精准度。</w:t>
            </w:r>
            <w:r>
              <w:br/>
            </w:r>
            <w:r>
              <w:rPr/>
              <w:t xml:space="preserve">      （1）融合多源观测及数值模式的人工智能短临预警。利用基于广州及周边多源气象观测实况、实况融合网格产品以及中尺度模式预报产品，构建基于物理引导与数据驱动的临近预报模型，包含迁移学习技术、守恒定律约束算子、中尺度演变网络、受控生成机制；借助于多模态及融合技术，构建分钟级临近雷达回波、降水、温度以及阵风短临预报，实现提供0-3小时，逐10分钟、逐1公里分辨率的预报。</w:t>
            </w:r>
            <w:r>
              <w:br/>
            </w:r>
            <w:r>
              <w:rPr/>
              <w:t xml:space="preserve">      （2）关键保障点的精细化气象要素预报。针对关键赛场和保障点，应用气象站点观测，面向复杂气候地理环境条件，制定过程关键表征指标，并结合复杂气候地理条件下的模式预报输出优化，构建机器学习特征工程。采用XGboost、RandomForest、Catboost、Light Gradient Boost等多类型机器学习技术，构建非线性关系模型，提取海量数据中不同尺度可预报信息，结合能够承载海量数据处理的业务工程化方案，实现提供关键点位的气温、风速、风向、相对湿度等要素24小时内逐1小时，240小时内逐3小时预报。</w:t>
            </w:r>
            <w:r>
              <w:br/>
            </w:r>
            <w:r>
              <w:rPr/>
              <w:t xml:space="preserve">      </w:t>
            </w:r>
            <w:r>
              <w:rPr>
                <w:b/>
              </w:rPr>
              <w:t>（三）场馆气象影响模型及预报预警分析</w:t>
            </w:r>
            <w:r>
              <w:br/>
            </w:r>
            <w:r>
              <w:rPr/>
              <w:t xml:space="preserve">      对由广州赛区承办的体育赛事高敏感和高影响气象要素进行分析，开展“一馆一策”相关服务策略的研究，评估气象要素对体育赛事的影响，建立精细化体育赛事影响模型。</w:t>
            </w:r>
            <w:r>
              <w:br/>
            </w:r>
            <w:r>
              <w:rPr/>
              <w:t xml:space="preserve">      （1）开展不同赛事的熔断及调整机制研究，针对不同气象要素对比赛的影响程度，形成影响阈值表。</w:t>
            </w:r>
            <w:r>
              <w:br/>
            </w:r>
            <w:r>
              <w:rPr/>
              <w:t xml:space="preserve">      田径高影响天气模型：研究影响田径比赛项目的降雨、风速、气温、雷电、能见度等要素的阈值。</w:t>
            </w:r>
            <w:r>
              <w:br/>
            </w:r>
            <w:r>
              <w:rPr/>
              <w:t xml:space="preserve">      皮划艇高影响天气模型：研究影响皮划艇比赛项目的降水、平均风速、阵风、气温、雷电和能见度等要素的阈值。</w:t>
            </w:r>
            <w:r>
              <w:br/>
            </w:r>
            <w:r>
              <w:rPr/>
              <w:t xml:space="preserve">      足球高影响天气模型：研究影响足球比赛项目的降水、气温、雷电和能见度等要素的阈值。</w:t>
            </w:r>
            <w:r>
              <w:br/>
            </w:r>
            <w:r>
              <w:rPr/>
              <w:t xml:space="preserve">      攀岩高影响天气模型：研究影响攀岩比赛项目的降水、风速、雷电和能见度等要素的阈值。</w:t>
            </w:r>
            <w:r>
              <w:br/>
            </w:r>
            <w:r>
              <w:rPr/>
              <w:t xml:space="preserve">      现代五项高影响天气模型：研究影响现代五项比赛项目的降水、雷电、能见度、气温等要素的阈值。</w:t>
            </w:r>
            <w:r>
              <w:br/>
            </w:r>
            <w:r>
              <w:rPr/>
              <w:t xml:space="preserve">      赛艇高影响天气模型：研究影响赛艇比赛项目的降水、平均风速、阵风、气温、雷电、能见度等要素的阈值。</w:t>
            </w:r>
            <w:r>
              <w:br/>
            </w:r>
            <w:r>
              <w:rPr/>
              <w:t xml:space="preserve">      射击（飞碟）高影响天气模型：研究影响飞碟比赛项目的降水、雷电、能见度等要素的阈值。</w:t>
            </w:r>
            <w:r>
              <w:br/>
            </w:r>
            <w:r>
              <w:rPr/>
              <w:t xml:space="preserve">      其他高影响天气模型：根据全运会的比赛项目，研究影响比赛项目的气温、降水、风向风速、相对湿度、人体舒适度、能见度、水温、暑热压力指数等要素的阈值。</w:t>
            </w:r>
            <w:r>
              <w:br/>
            </w:r>
            <w:r>
              <w:rPr/>
              <w:t xml:space="preserve">      （2）针对十五运会及残特奥会期间不同场馆、不同类型的竞技项目，根据场馆特征及体育赛事的特点，找出关键影响气象要素及阈值，统计户外场馆近3年风场等高影响气象要素的特征，形成风险矩阵。</w:t>
            </w:r>
            <w:r>
              <w:br/>
            </w:r>
            <w:r>
              <w:rPr/>
              <w:t xml:space="preserve">      广东省奥林匹克中心影响模型：研究广东省奥林匹克中心降水、气温、风场、雷电、能见度特征。</w:t>
            </w:r>
            <w:r>
              <w:br/>
            </w:r>
            <w:r>
              <w:rPr/>
              <w:t xml:space="preserve">      广东国际划船中心影响模型：研究广东国际划船中心降水、风场、气温、雷电、能见度特征。</w:t>
            </w:r>
            <w:r>
              <w:br/>
            </w:r>
            <w:r>
              <w:rPr/>
              <w:t xml:space="preserve">      广东激流回旋赛场影响模型：研究广东激流回旋赛场降水、风场、气温、雷电、能见度特征。</w:t>
            </w:r>
            <w:r>
              <w:br/>
            </w:r>
            <w:r>
              <w:rPr/>
              <w:t xml:space="preserve">      广州飞碟训练中心影响模型：研究广州飞碟训练中心降水、雷电、能见度特征。</w:t>
            </w:r>
            <w:r>
              <w:br/>
            </w:r>
            <w:r>
              <w:rPr/>
              <w:t xml:space="preserve">      广州大学城体育中心影响模型：研究广州大学城体育中心体育场降水、气温、雷电、能见度特征，广州大学城体育中心极限运动中心降水、风场、雷电、能见度特征。</w:t>
            </w:r>
            <w:r>
              <w:br/>
            </w:r>
            <w:r>
              <w:rPr/>
              <w:t xml:space="preserve">      广东省黄村体育训练中心影响模型：研究广东省黄村体育训练中心降水、气温、雷电和能见度特征。</w:t>
            </w:r>
            <w:r>
              <w:br/>
            </w:r>
            <w:r>
              <w:rPr/>
              <w:t xml:space="preserve">      广州越秀山体育场影响模型：研究广州越秀山体育场降水、气温、雷电和能见度特征。</w:t>
            </w:r>
            <w:r>
              <w:br/>
            </w:r>
            <w:r>
              <w:rPr/>
              <w:t xml:space="preserve">      其他赛事场馆影响模型：根据全运会的比赛项目所在场馆具体情况，研究影响比赛项目的气温、降水、风场、相对湿度、能见度等要素特征。</w:t>
            </w:r>
            <w:r>
              <w:br/>
            </w:r>
            <w:r>
              <w:rPr/>
              <w:t xml:space="preserve">      （3）基于百米级分辨率的CMA-GD 区域数值预报模式进行风场等要素的检验评估，通过实况风险矩阵与模式释用结果，形成分场馆、分项目、分影响等级的预报预警产品，支撑“一馆一策”的精细化、针对性服务。</w:t>
            </w:r>
            <w:r>
              <w:br/>
            </w:r>
            <w:r>
              <w:rPr/>
              <w:t xml:space="preserve">    </w:t>
            </w:r>
            <w:r>
              <w:rPr>
                <w:b/>
              </w:rPr>
              <w:t xml:space="preserve">  （四）场馆气象精细化产品制作及服务</w:t>
            </w:r>
            <w:r>
              <w:br/>
            </w:r>
            <w:r>
              <w:rPr/>
              <w:t xml:space="preserve">       将气象数据、影响预报、风险预警等转换成有针对性的、个性化地对不同场馆的体育赛事气象服务保障的服务产品，根据服务产品的需求设置精细化活动预报模块、决策服务模块。</w:t>
            </w:r>
            <w:r>
              <w:br/>
            </w:r>
            <w:r>
              <w:rPr/>
              <w:t xml:space="preserve">      （1）产品制作部分：主界面包括导航区域和主题内容区域，导航区域按功能分为“赛事信息”和“任务流程”。其中“赛事信息”包括赛事总览和单日赛事情况。“任务流程”按任务的开始时间，分为已完成、未完成，并把任务分发失败的流程归类为“异常”。</w:t>
            </w:r>
            <w:r>
              <w:br/>
            </w:r>
            <w:r>
              <w:rPr/>
              <w:t xml:space="preserve">      （2）赛事信息显示：具有“赛事总览”和“当日赛事”等显示功能，“赛事总览”可总体查看全运会期间每天的赛事情况，“当日赛事”可总体查看当天各承办地赛事情况。“赛事总览”和“当日赛事”栏目都基于赛事的时间点和场馆位置，给出高影响天气提醒。</w:t>
            </w:r>
            <w:r>
              <w:br/>
            </w:r>
            <w:r>
              <w:rPr/>
              <w:t xml:space="preserve">      （3）任务流程自动更新：基于配置岗位在后台配置产生，每天00点之后，根据模板配置和任务触发时间，自动生成当天的任务流程，并为每个流程准备好工作模板。</w:t>
            </w:r>
            <w:r>
              <w:br/>
            </w:r>
            <w:r>
              <w:rPr/>
              <w:t xml:space="preserve">      （4）生成服务产品：确认文档内容无误后，通过点击按钮保存，后台基于分发模板生成分发产品。</w:t>
            </w:r>
            <w:r>
              <w:br/>
            </w:r>
            <w:r>
              <w:rPr/>
              <w:t xml:space="preserve">      （5）信息综合展现：显示地图、比赛场馆位置、赛事高影响天气分析结果、比赛场馆天气实况、定点定量预报、气象快报专报、气象预警提醒信息等赛事预报预警信息，以及自动站实况、雷达产品、实况网格产品、卫星云图、台风路径等常用气象产品显示，同时接入比赛现场视频和AI气象数字播报员视频，为全运会组委会、运动员和现场服务人员等提供比赛的气象决策视图。</w:t>
            </w:r>
            <w:r>
              <w:br/>
            </w:r>
            <w:r>
              <w:rPr/>
              <w:t xml:space="preserve">      （6）赛事高影响天气预报预警显示</w:t>
            </w:r>
            <w:r>
              <w:br/>
            </w:r>
            <w:r>
              <w:rPr/>
              <w:t xml:space="preserve">       在页面上将全运会赛事高影响天气预报预警结果进行可视化，显示场馆的定点定量预报和集合预报，以及预报员发布的气象预警信号、重要天气消息提醒、快报和专报等。</w:t>
            </w:r>
            <w:r>
              <w:br/>
            </w:r>
            <w:r>
              <w:rPr/>
              <w:t xml:space="preserve">      （7）常用气象产品显示</w:t>
            </w:r>
            <w:r>
              <w:br/>
            </w:r>
            <w:r>
              <w:rPr/>
              <w:t xml:space="preserve">       在页面上实现气象自动站实况监测、雷达产品、格点实况、卫星云图、雷电监测产品、台风路径、QPE和QPF等气象产品的可视化，以及流场动画显示和三维雷达产品显示等功能。</w:t>
            </w:r>
            <w:r>
              <w:br/>
            </w:r>
            <w:r>
              <w:rPr/>
              <w:t xml:space="preserve">  </w:t>
            </w:r>
            <w:r>
              <w:rPr>
                <w:b/>
              </w:rPr>
              <w:t xml:space="preserve">    （五）十五运会空气质量及气象条件预报</w:t>
            </w:r>
            <w:r>
              <w:br/>
            </w:r>
            <w:r>
              <w:rPr/>
              <w:t xml:space="preserve">       开展大气污染气象成因及大气垂直结构特征分析、污染气象条件研判等关键技术研发.</w:t>
            </w:r>
            <w:r>
              <w:br/>
            </w:r>
            <w:r>
              <w:rPr/>
              <w:t xml:space="preserve">      （1）研究分析污染易发的气象条件，建立污染气象条件预报关键指标，提供赛事期间大气污染气象条件预报服务。</w:t>
            </w:r>
            <w:r>
              <w:br/>
            </w:r>
            <w:r>
              <w:rPr/>
              <w:t xml:space="preserve">      （2）建立国控站“一站一策”污染分布风速风向玫瑰图，为精细化污染减排提供决策参考。</w:t>
            </w:r>
            <w:r>
              <w:br/>
            </w:r>
            <w:r>
              <w:rPr/>
              <w:t xml:space="preserve">      （3）基于机器学习算法等建立广州国控点空气质量预报模型。</w:t>
            </w:r>
            <w:r>
              <w:br/>
            </w:r>
            <w:r>
              <w:rPr/>
              <w:t xml:space="preserve">      （4）提供基于国控站点的空气质量预报产品,提高赛事期间空气质量和气象条件精细化预报水平和服务保障能力。</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广州市气象台</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r>
              <w:rPr/>
              <w:t>采购机构代理服务收费标准：参照国家计委文件“计价格[2002]1980号文”、“发改办价格[2003]857号文”和“发改价格[2011]534号文”的规定标准执行。</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3"/>
      </w:pPr>
      <w:r>
        <w:rPr>
          <w:sz w:val="24"/>
          <w:b/>
        </w:rPr>
        <w:t>11.关于分支机构投标</w:t>
      </w:r>
    </w:p>
    <w:p>
      <w:pPr>
        <w:pStyle w:val="null3"/>
        <w:ind w:firstLine="480"/>
      </w:pPr>
      <w:r>
        <w:rP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本项目不收取投标保证金</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pPr>
      <w:r>
        <w:rPr/>
        <w:t>3.3项目废标处理：</w:t>
      </w:r>
    </w:p>
    <w:p>
      <w:pPr>
        <w:pStyle w:val="null3"/>
        <w:ind w:firstLine="480"/>
      </w:pPr>
      <w:r>
        <w:rPr/>
        <w:t>根据《中华人民共和国政府采购法》第三十六条及招标文件的约定，本项目或分包下列情况出现将作废标处理：</w:t>
      </w:r>
    </w:p>
    <w:p>
      <w:pPr>
        <w:pStyle w:val="null3"/>
        <w:ind w:firstLine="480"/>
      </w:pPr>
      <w:r>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Style w:val="null3"/>
        <w:ind w:firstLine="480"/>
      </w:pPr>
      <w:r>
        <w:rPr/>
        <w:t>（2）出现影响采购公正的违法、违规行为的。</w:t>
      </w:r>
    </w:p>
    <w:p>
      <w:pPr>
        <w:pStyle w:val="null3"/>
        <w:ind w:firstLine="480"/>
      </w:pPr>
      <w:r>
        <w:rPr/>
        <w:t>（3）投标人的报价均超过了采购预算，采购人不能支付的。</w:t>
      </w:r>
    </w:p>
    <w:p>
      <w:pPr>
        <w:pStyle w:val="null3"/>
        <w:ind w:firstLine="480"/>
      </w:pPr>
      <w:r>
        <w:rPr/>
        <w:t>（4）因重大变故，采购任务取消的。</w:t>
      </w:r>
    </w:p>
    <w:p>
      <w:pPr>
        <w:pStyle w:val="null3"/>
        <w:ind w:firstLine="480"/>
      </w:pPr>
      <w:r>
        <w:rPr/>
        <w:t>对废标的采购项目，评标委员会应出具采购文件是否存在不合理条款的论证意见。</w:t>
      </w:r>
    </w:p>
    <w:p>
      <w:pPr>
        <w:pStyle w:val="null3"/>
        <w:ind w:firstLine="480"/>
      </w:pPr>
      <w:r>
        <w:rPr/>
        <w:t>3.4终止公告：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020-83642820-826、823</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广州市越秀区越秀北路222号越良大厦6楼</w:t>
      </w:r>
    </w:p>
    <w:p>
      <w:pPr>
        <w:pStyle w:val="null3"/>
        <w:ind w:firstLine="480"/>
      </w:pPr>
      <w:r>
        <w:rPr/>
        <w:t>邮编：</w:t>
      </w:r>
      <w:r>
        <w:rPr/>
        <w:t>510050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政府采购监督管理机构名称：广州市财政局政府采购监管处</w:t>
      </w:r>
    </w:p>
    <w:p>
      <w:pPr>
        <w:pStyle w:val="null3"/>
      </w:pPr>
      <w:r>
        <w:rPr/>
        <w:t>地 址：广州市天河区华利路61号1506室</w:t>
      </w:r>
    </w:p>
    <w:p>
      <w:pPr>
        <w:pStyle w:val="null3"/>
      </w:pPr>
      <w:r>
        <w:rPr/>
        <w:t>电 话：020-38923575</w:t>
      </w:r>
    </w:p>
    <w:p>
      <w:pPr>
        <w:pStyle w:val="null3"/>
      </w:pPr>
      <w:r>
        <w:rPr/>
        <w:t>邮 编：510030</w:t>
      </w:r>
    </w:p>
    <w:p>
      <w:pPr>
        <w:pStyle w:val="null3"/>
      </w:pPr>
      <w:r>
        <w:rPr/>
        <w:t>传 真： /</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体育场馆精细化预报预警服务)：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广东远东招标代理有限公司</w:t>
      </w:r>
      <w:r>
        <w:rPr/>
        <w:t>统一对外发布。</w:t>
      </w:r>
    </w:p>
    <w:p>
      <w:pPr>
        <w:pStyle w:val="null3"/>
        <w:ind w:firstLine="480"/>
      </w:pPr>
      <w:r>
        <w:rPr/>
        <w:t>（2）对</w:t>
      </w:r>
      <w:r>
        <w:rPr/>
        <w:t>广东远东招标代理有限公司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采购包1（体育场馆精细化预报预警服务）：</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本项目服务全部为小型或微型企业承接</w:t>
            </w:r>
          </w:p>
        </w:tc>
        <w:tc>
          <w:tcPr>
            <w:tcW w:type="dxa" w:w="1246"/>
          </w:tcPr>
          <w:p>
            <w:pPr>
              <w:pStyle w:val="null3"/>
            </w:pPr>
            <w:r>
              <w:rPr/>
              <w:t>10%</w:t>
            </w:r>
          </w:p>
        </w:tc>
        <w:tc>
          <w:tcPr>
            <w:tcW w:type="dxa" w:w="2160"/>
          </w:tcPr>
          <w:p>
            <w:pPr>
              <w:pStyle w:val="null3"/>
              <w:jc w:val="left"/>
            </w:pPr>
            <w:r>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采购包1（体育场馆精细化预报预警服务）：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具有依法缴纳税收和社会保障资金的良好记录。（提供承诺函）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按投标（响应）文件格式填报设备及专业技术能力情况。（提供承诺函）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资格要求</w:t>
            </w:r>
          </w:p>
        </w:tc>
        <w:tc>
          <w:tcPr>
            <w:tcW w:type="dxa" w:w="4238"/>
          </w:tcPr>
          <w:p>
            <w:pPr>
              <w:pStyle w:val="null3"/>
            </w:pPr>
            <w:r>
              <w:rPr/>
              <w:t>无，本项目不属于专门面向中小企业采购的项目。按照本办法规定预留采购份额无法确保充分供应、充分竞争，或者存在可能影响政府采购目标实现的情形。</w:t>
            </w:r>
          </w:p>
        </w:tc>
      </w:tr>
    </w:tbl>
    <w:p>
      <w:pPr>
        <w:pStyle w:val="null3"/>
        <w:ind w:firstLine="480"/>
      </w:pPr>
      <w:r>
        <w:rPr/>
        <w:t>表二符合性审查表：</w:t>
      </w:r>
    </w:p>
    <w:p>
      <w:pPr>
        <w:pStyle w:val="null3"/>
      </w:pPr>
      <w:r>
        <w:rPr/>
        <w:t>采购包1（体育场馆精细化预报预警服务）：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投标报价不超过本项目采购预算</w:t>
            </w:r>
          </w:p>
        </w:tc>
        <w:tc>
          <w:tcPr>
            <w:tcW w:type="dxa" w:w="4238"/>
          </w:tcPr>
          <w:p>
            <w:pPr>
              <w:pStyle w:val="null3"/>
            </w:pPr>
            <w:r>
              <w:rPr/>
              <w:t>投标报价不超过本项目采购预算</w:t>
            </w:r>
          </w:p>
        </w:tc>
      </w:tr>
      <w:tr>
        <w:tc>
          <w:tcPr>
            <w:tcW w:type="dxa" w:w="890"/>
          </w:tcPr>
          <w:p>
            <w:pPr>
              <w:pStyle w:val="null3"/>
            </w:pPr>
            <w:r>
              <w:rPr/>
              <w:t>2</w:t>
            </w:r>
          </w:p>
        </w:tc>
        <w:tc>
          <w:tcPr>
            <w:tcW w:type="dxa" w:w="3178"/>
          </w:tcPr>
          <w:p>
            <w:pPr>
              <w:pStyle w:val="null3"/>
            </w:pPr>
            <w:r>
              <w:rPr/>
              <w:t>法人授权委托证明。(投标人代表为法定代表人的除外)</w:t>
            </w:r>
          </w:p>
        </w:tc>
        <w:tc>
          <w:tcPr>
            <w:tcW w:type="dxa" w:w="4238"/>
          </w:tcPr>
          <w:p>
            <w:pPr>
              <w:pStyle w:val="null3"/>
            </w:pPr>
            <w:r>
              <w:rPr/>
              <w:t>法人授权委托证明。(投标人代表为法定代表人的除外)</w:t>
            </w:r>
          </w:p>
        </w:tc>
      </w:tr>
      <w:tr>
        <w:tc>
          <w:tcPr>
            <w:tcW w:type="dxa" w:w="890"/>
          </w:tcPr>
          <w:p>
            <w:pPr>
              <w:pStyle w:val="null3"/>
            </w:pPr>
            <w:r>
              <w:rPr/>
              <w:t>3</w:t>
            </w:r>
          </w:p>
        </w:tc>
        <w:tc>
          <w:tcPr>
            <w:tcW w:type="dxa" w:w="3178"/>
          </w:tcPr>
          <w:p>
            <w:pPr>
              <w:pStyle w:val="null3"/>
            </w:pPr>
            <w:r>
              <w:rPr/>
              <w:t>投标函已提交并符合招标文件要求的，且投标有效期不少于招标文件中载明的投标有效期</w:t>
            </w:r>
          </w:p>
        </w:tc>
        <w:tc>
          <w:tcPr>
            <w:tcW w:type="dxa" w:w="4238"/>
          </w:tcPr>
          <w:p>
            <w:pPr>
              <w:pStyle w:val="null3"/>
            </w:pPr>
            <w:r>
              <w:rPr/>
              <w:t>投标函已提交并符合招标文件要求的，且投标有效期不少于招标文件中载明的投标有效期</w:t>
            </w:r>
          </w:p>
        </w:tc>
      </w:tr>
      <w:tr>
        <w:tc>
          <w:tcPr>
            <w:tcW w:type="dxa" w:w="890"/>
          </w:tcPr>
          <w:p>
            <w:pPr>
              <w:pStyle w:val="null3"/>
            </w:pPr>
            <w:r>
              <w:rPr/>
              <w:t>4</w:t>
            </w:r>
          </w:p>
        </w:tc>
        <w:tc>
          <w:tcPr>
            <w:tcW w:type="dxa" w:w="3178"/>
          </w:tcPr>
          <w:p>
            <w:pPr>
              <w:pStyle w:val="null3"/>
            </w:pPr>
            <w:r>
              <w:rPr/>
              <w:t>投标文件的签署、盖章符合招标文件要求</w:t>
            </w:r>
          </w:p>
        </w:tc>
        <w:tc>
          <w:tcPr>
            <w:tcW w:type="dxa" w:w="4238"/>
          </w:tcPr>
          <w:p>
            <w:pPr>
              <w:pStyle w:val="null3"/>
            </w:pPr>
            <w:r>
              <w:rPr/>
              <w:t>投标文件的签署、盖章符合招标文件要求</w:t>
            </w:r>
          </w:p>
        </w:tc>
      </w:tr>
      <w:tr>
        <w:tc>
          <w:tcPr>
            <w:tcW w:type="dxa" w:w="890"/>
          </w:tcPr>
          <w:p>
            <w:pPr>
              <w:pStyle w:val="null3"/>
            </w:pPr>
            <w:r>
              <w:rPr/>
              <w:t>5</w:t>
            </w:r>
          </w:p>
        </w:tc>
        <w:tc>
          <w:tcPr>
            <w:tcW w:type="dxa" w:w="3178"/>
          </w:tcPr>
          <w:p>
            <w:pPr>
              <w:pStyle w:val="null3"/>
            </w:pPr>
            <w:r>
              <w:rPr/>
              <w:t>采购需求当中的★条款满足要求</w:t>
            </w:r>
          </w:p>
        </w:tc>
        <w:tc>
          <w:tcPr>
            <w:tcW w:type="dxa" w:w="4238"/>
          </w:tcPr>
          <w:p>
            <w:pPr>
              <w:pStyle w:val="null3"/>
            </w:pPr>
            <w:r>
              <w:rPr/>
              <w:t>采购需求当中的★条款满足要求</w:t>
            </w:r>
          </w:p>
        </w:tc>
      </w:tr>
      <w:tr>
        <w:tc>
          <w:tcPr>
            <w:tcW w:type="dxa" w:w="890"/>
          </w:tcPr>
          <w:p>
            <w:pPr>
              <w:pStyle w:val="null3"/>
            </w:pPr>
            <w:r>
              <w:rPr/>
              <w:t>6</w:t>
            </w:r>
          </w:p>
        </w:tc>
        <w:tc>
          <w:tcPr>
            <w:tcW w:type="dxa" w:w="3178"/>
          </w:tcPr>
          <w:p>
            <w:pPr>
              <w:pStyle w:val="null3"/>
            </w:pPr>
            <w:r>
              <w:rPr/>
              <w:t>投标文件未出现选择性报价或有附加条件报价的情形</w:t>
            </w:r>
          </w:p>
        </w:tc>
        <w:tc>
          <w:tcPr>
            <w:tcW w:type="dxa" w:w="4238"/>
          </w:tcPr>
          <w:p>
            <w:pPr>
              <w:pStyle w:val="null3"/>
            </w:pPr>
            <w:r>
              <w:rPr/>
              <w:t>投标文件未出现选择性报价或有附加条件报价的情形</w:t>
            </w:r>
          </w:p>
        </w:tc>
      </w:tr>
      <w:tr>
        <w:tc>
          <w:tcPr>
            <w:tcW w:type="dxa" w:w="890"/>
          </w:tcPr>
          <w:p>
            <w:pPr>
              <w:pStyle w:val="null3"/>
            </w:pPr>
            <w:r>
              <w:rPr/>
              <w:t>7</w:t>
            </w:r>
          </w:p>
        </w:tc>
        <w:tc>
          <w:tcPr>
            <w:tcW w:type="dxa" w:w="3178"/>
          </w:tcPr>
          <w:p>
            <w:pPr>
              <w:pStyle w:val="null3"/>
            </w:pPr>
            <w:r>
              <w:rPr/>
              <w:t>投标文件没有招标文件中规定的其它无效投标条款的</w:t>
            </w:r>
          </w:p>
        </w:tc>
        <w:tc>
          <w:tcPr>
            <w:tcW w:type="dxa" w:w="4238"/>
          </w:tcPr>
          <w:p>
            <w:pPr>
              <w:pStyle w:val="null3"/>
            </w:pPr>
            <w:r>
              <w:rPr/>
              <w:t>投标文件没有招标文件中规定的其它无效投标条款的</w:t>
            </w:r>
          </w:p>
        </w:tc>
      </w:tr>
      <w:tr>
        <w:tc>
          <w:tcPr>
            <w:tcW w:type="dxa" w:w="890"/>
          </w:tcPr>
          <w:p>
            <w:pPr>
              <w:pStyle w:val="null3"/>
            </w:pPr>
            <w:r>
              <w:rPr/>
              <w:t>8</w:t>
            </w:r>
          </w:p>
        </w:tc>
        <w:tc>
          <w:tcPr>
            <w:tcW w:type="dxa" w:w="3178"/>
          </w:tcPr>
          <w:p>
            <w:pPr>
              <w:pStyle w:val="null3"/>
            </w:pPr>
            <w:r>
              <w:rPr/>
              <w:t>按有关法律、法规、规章不属于投标无效的</w:t>
            </w:r>
          </w:p>
        </w:tc>
        <w:tc>
          <w:tcPr>
            <w:tcW w:type="dxa" w:w="4238"/>
          </w:tcPr>
          <w:p>
            <w:pPr>
              <w:pStyle w:val="null3"/>
            </w:pPr>
            <w:r>
              <w:rPr/>
              <w:t>按有关法律、法规、规章不属于投标无效的</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采购包1(体育场馆精细化预报预警服务):</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商务部分30.0分</w:t>
            </w:r>
          </w:p>
          <w:p>
            <w:pPr>
              <w:pStyle w:val="null3"/>
            </w:pPr>
            <w:r>
              <w:rPr/>
              <w:t>技术部分50.0分</w:t>
            </w:r>
          </w:p>
          <w:p>
            <w:pPr>
              <w:pStyle w:val="null3"/>
            </w:pPr>
            <w:r>
              <w:rPr/>
              <w:t>综合信用分5.0分</w:t>
            </w:r>
          </w:p>
          <w:p>
            <w:pPr>
              <w:pStyle w:val="null3"/>
            </w:pPr>
            <w:r>
              <w:rPr/>
              <w:t>报价得分15.0分</w:t>
            </w:r>
          </w:p>
        </w:tc>
      </w:tr>
      <w:tr>
        <w:tc>
          <w:tcPr>
            <w:tcW w:type="dxa" w:w="922"/>
            <w:gridSpan w:val="2"/>
            <w:vMerge w:val="restart"/>
          </w:tcPr>
          <w:p>
            <w:pPr>
              <w:pStyle w:val="null3"/>
              <w:jc w:val="center"/>
            </w:pPr>
            <w:r>
              <w:rPr/>
              <w:t>技术部分</w:t>
            </w:r>
          </w:p>
        </w:tc>
        <w:tc>
          <w:tcPr>
            <w:tcW w:type="dxa" w:w="2307"/>
          </w:tcPr>
          <w:p>
            <w:pPr>
              <w:pStyle w:val="null3"/>
              <w:jc w:val="left"/>
            </w:pPr>
            <w:r>
              <w:rPr/>
              <w:t>整体技术架构和方案 (8.0分)</w:t>
            </w:r>
            <w:r>
              <w:rPr/>
              <w:t>，（等次分值选择：</w:t>
            </w:r>
            <w:r>
              <w:rPr/>
              <w:t>0.0;</w:t>
            </w:r>
            <w:r>
              <w:rPr/>
              <w:t>4.0;</w:t>
            </w:r>
            <w:r>
              <w:rPr/>
              <w:t>6.0;</w:t>
            </w:r>
            <w:r>
              <w:rPr/>
              <w:t>8.0;</w:t>
            </w:r>
            <w:r>
              <w:rPr/>
              <w:t>）</w:t>
            </w:r>
          </w:p>
        </w:tc>
        <w:tc>
          <w:tcPr>
            <w:tcW w:type="dxa" w:w="5076"/>
          </w:tcPr>
          <w:p>
            <w:pPr>
              <w:pStyle w:val="null3"/>
              <w:jc w:val="left"/>
            </w:pPr>
            <w:r>
              <w:rPr/>
              <w:t>根据用户需求的要求，对投标人提供的整体技术架构方案进行评审： 1.所提供的方案包含了5个方面，内容全面、合理、可行性好，得8分； 2.所提供的方案包含了4个方面，内容较全面、合理、可行性较好，得6分； 3.所提供的方案包含了2-3个方面，内容、合理性差、可行性一般，得4分。 4.无法提供方案，得0分。</w:t>
            </w:r>
          </w:p>
        </w:tc>
      </w:tr>
      <w:tr>
        <w:tc>
          <w:tcPr>
            <w:tcW w:type="dxa" w:w="922"/>
            <w:gridSpan w:val="2"/>
            <w:vMerge/>
          </w:tcPr>
          <w:p/>
        </w:tc>
        <w:tc>
          <w:tcPr>
            <w:tcW w:type="dxa" w:w="2307"/>
          </w:tcPr>
          <w:p>
            <w:pPr>
              <w:pStyle w:val="null3"/>
              <w:jc w:val="left"/>
            </w:pPr>
            <w:r>
              <w:rPr/>
              <w:t>多源气象观测数据融合分析方案 (10.0分)</w:t>
            </w:r>
            <w:r>
              <w:rPr/>
              <w:t>，（等次分值选择：</w:t>
            </w:r>
            <w:r>
              <w:rPr/>
              <w:t>0.0;</w:t>
            </w:r>
            <w:r>
              <w:rPr/>
              <w:t>3.0;</w:t>
            </w:r>
            <w:r>
              <w:rPr/>
              <w:t>6.0;</w:t>
            </w:r>
            <w:r>
              <w:rPr/>
              <w:t>8.0;</w:t>
            </w:r>
            <w:r>
              <w:rPr/>
              <w:t>10.0;</w:t>
            </w:r>
            <w:r>
              <w:rPr/>
              <w:t>）</w:t>
            </w:r>
          </w:p>
        </w:tc>
        <w:tc>
          <w:tcPr>
            <w:tcW w:type="dxa" w:w="5076"/>
          </w:tcPr>
          <w:p>
            <w:pPr>
              <w:pStyle w:val="null3"/>
              <w:jc w:val="left"/>
            </w:pPr>
            <w:r>
              <w:rPr/>
              <w:t>根据用户需求的要求，对投标人提供的赛事气象智能融合分析的数据采集、处理和存储需求响应方案进行评审： 1.提供的方案针对性强，包含了建设需求中的9个功能模块（点），且内容详实、科学合理，得10分； 2.提供的方案针对性较强，包含了建设需求中的9个功能模块（点），内容较详实、科学合理，得8分； 3.提供的方案包含了建设需求中的9个功能模块，但内容简单，对需求响应不够充分，得6分； 4.建设需求中的功能模块（点）存在缺漏等情况，得3分； 5.无法提供技术方法的，得0分。</w:t>
            </w:r>
          </w:p>
        </w:tc>
      </w:tr>
      <w:tr>
        <w:tc>
          <w:tcPr>
            <w:tcW w:type="dxa" w:w="922"/>
            <w:gridSpan w:val="2"/>
            <w:vMerge/>
          </w:tcPr>
          <w:p/>
        </w:tc>
        <w:tc>
          <w:tcPr>
            <w:tcW w:type="dxa" w:w="2307"/>
          </w:tcPr>
          <w:p>
            <w:pPr>
              <w:pStyle w:val="null3"/>
              <w:jc w:val="left"/>
            </w:pPr>
            <w:r>
              <w:rPr/>
              <w:t>十五运会高影响天气客观定量短临预报预警 (8.0分)</w:t>
            </w:r>
            <w:r>
              <w:rPr/>
              <w:t>，（等次分值选择：</w:t>
            </w:r>
            <w:r>
              <w:rPr/>
              <w:t>0.0;</w:t>
            </w:r>
            <w:r>
              <w:rPr/>
              <w:t>2.0;</w:t>
            </w:r>
            <w:r>
              <w:rPr/>
              <w:t>4.0;</w:t>
            </w:r>
            <w:r>
              <w:rPr/>
              <w:t>6.0;</w:t>
            </w:r>
            <w:r>
              <w:rPr/>
              <w:t>8.0;</w:t>
            </w:r>
            <w:r>
              <w:rPr/>
              <w:t>）</w:t>
            </w:r>
          </w:p>
        </w:tc>
        <w:tc>
          <w:tcPr>
            <w:tcW w:type="dxa" w:w="5076"/>
          </w:tcPr>
          <w:p>
            <w:pPr>
              <w:pStyle w:val="null3"/>
              <w:jc w:val="left"/>
            </w:pPr>
            <w:r>
              <w:rPr/>
              <w:t>根据用户需求的要求，对投标人提供的十五运会高影响天气客观定量短临预报预警需求的响应方案进行评审： 1.方案包含了2个主要功能模块，内容详细、科学合理，技术思路亮点多，针对性强，得8分； 2.方案包含了2个主要功能模块，内容较详细、较科学合理，技术思路有部分亮点，有一定针对性，得6分； 3.方案包含了2个主要功能模块，但内容不够详细，科学合理性一般，技术思路亮点较少，有一定缺漏，得4分； 4.方案有缺漏，科学合理性差，没有针对性，得2分； 5.无法提供技术方法的，得0分。</w:t>
            </w:r>
          </w:p>
        </w:tc>
      </w:tr>
      <w:tr>
        <w:tc>
          <w:tcPr>
            <w:tcW w:type="dxa" w:w="922"/>
            <w:gridSpan w:val="2"/>
            <w:vMerge/>
          </w:tcPr>
          <w:p/>
        </w:tc>
        <w:tc>
          <w:tcPr>
            <w:tcW w:type="dxa" w:w="2307"/>
          </w:tcPr>
          <w:p>
            <w:pPr>
              <w:pStyle w:val="null3"/>
              <w:jc w:val="left"/>
            </w:pPr>
            <w:r>
              <w:rPr/>
              <w:t>场馆气象影响模型及预报预警分析方案 (8.0分)</w:t>
            </w:r>
            <w:r>
              <w:rPr/>
              <w:t>，（等次分值选择：</w:t>
            </w:r>
            <w:r>
              <w:rPr/>
              <w:t>0.0;</w:t>
            </w:r>
            <w:r>
              <w:rPr/>
              <w:t>2.0;</w:t>
            </w:r>
            <w:r>
              <w:rPr/>
              <w:t>4.0;</w:t>
            </w:r>
            <w:r>
              <w:rPr/>
              <w:t>6.0;</w:t>
            </w:r>
            <w:r>
              <w:rPr/>
              <w:t>8.0;</w:t>
            </w:r>
            <w:r>
              <w:rPr/>
              <w:t>）</w:t>
            </w:r>
          </w:p>
        </w:tc>
        <w:tc>
          <w:tcPr>
            <w:tcW w:type="dxa" w:w="5076"/>
          </w:tcPr>
          <w:p>
            <w:pPr>
              <w:pStyle w:val="null3"/>
              <w:jc w:val="left"/>
            </w:pPr>
            <w:r>
              <w:rPr/>
              <w:t>根据用户需求的要求，对投标人提供的决场馆气象影响模型及预报预警分析需求的响应方案进行评审： 1.方案包含了3个主要功能模块，内容详细、科学合理，技术思路亮点多，针对性强，得8分； 2.方案包含了3个主要功能模块，内容较详细、较科学合理，技术思路有部分亮点，有一定针对性，得6分； 3.方案包含了3个主要功能模块，但内容不够详细，科学合理性一般，技术思路亮点较少，有一定缺漏，得4分； 4.方案有缺漏，科学合理性差，没有针对性，得2分； 5.无法提供技术方法的，得0分。</w:t>
            </w:r>
          </w:p>
        </w:tc>
      </w:tr>
      <w:tr>
        <w:tc>
          <w:tcPr>
            <w:tcW w:type="dxa" w:w="922"/>
            <w:gridSpan w:val="2"/>
            <w:vMerge/>
          </w:tcPr>
          <w:p/>
        </w:tc>
        <w:tc>
          <w:tcPr>
            <w:tcW w:type="dxa" w:w="2307"/>
          </w:tcPr>
          <w:p>
            <w:pPr>
              <w:pStyle w:val="null3"/>
              <w:jc w:val="left"/>
            </w:pPr>
            <w:r>
              <w:rPr/>
              <w:t>场馆气象精细化产品制作及服务方案 (8.0分)</w:t>
            </w:r>
            <w:r>
              <w:rPr/>
              <w:t>，（等次分值选择：</w:t>
            </w:r>
            <w:r>
              <w:rPr/>
              <w:t>0.0;</w:t>
            </w:r>
            <w:r>
              <w:rPr/>
              <w:t>2.0;</w:t>
            </w:r>
            <w:r>
              <w:rPr/>
              <w:t>4.0;</w:t>
            </w:r>
            <w:r>
              <w:rPr/>
              <w:t>6.0;</w:t>
            </w:r>
            <w:r>
              <w:rPr/>
              <w:t>8.0;</w:t>
            </w:r>
            <w:r>
              <w:rPr/>
              <w:t>）</w:t>
            </w:r>
          </w:p>
        </w:tc>
        <w:tc>
          <w:tcPr>
            <w:tcW w:type="dxa" w:w="5076"/>
          </w:tcPr>
          <w:p>
            <w:pPr>
              <w:pStyle w:val="null3"/>
              <w:jc w:val="left"/>
            </w:pPr>
            <w:r>
              <w:rPr/>
              <w:t>根据用户需求的要求，对投标人提供的场馆气象精细化产品制作及服务需求的响应方案进行评审： 1.方案包含了7个主要功能模块，内容详细、科学合理，技术思路亮点多，针对性强，得8分； 2.方案包含了7个主要功能模块，内容较详细、较科学合理，技术思路有部分亮点，有一定针对性，得6分； 3.方案包含了7个主要功能模块，但内容不够详细，科学合理性一般，技术思路亮点较少，有一定缺漏，得4分； 4.方案有缺漏，科学合理性差，没有针对性，得2分； 5.无法提供技术方法的，得0分。</w:t>
            </w:r>
          </w:p>
        </w:tc>
      </w:tr>
      <w:tr>
        <w:tc>
          <w:tcPr>
            <w:tcW w:type="dxa" w:w="922"/>
            <w:gridSpan w:val="2"/>
            <w:vMerge/>
          </w:tcPr>
          <w:p/>
        </w:tc>
        <w:tc>
          <w:tcPr>
            <w:tcW w:type="dxa" w:w="2307"/>
          </w:tcPr>
          <w:p>
            <w:pPr>
              <w:pStyle w:val="null3"/>
              <w:jc w:val="left"/>
            </w:pPr>
            <w:r>
              <w:rPr/>
              <w:t>十五运会空气质量及气象条件预报方案 (8.0分)</w:t>
            </w:r>
            <w:r>
              <w:rPr/>
              <w:t>，（等次分值选择：</w:t>
            </w:r>
            <w:r>
              <w:rPr/>
              <w:t>0.0;</w:t>
            </w:r>
            <w:r>
              <w:rPr/>
              <w:t>2.0;</w:t>
            </w:r>
            <w:r>
              <w:rPr/>
              <w:t>4.0;</w:t>
            </w:r>
            <w:r>
              <w:rPr/>
              <w:t>6.0;</w:t>
            </w:r>
            <w:r>
              <w:rPr/>
              <w:t>8.0;</w:t>
            </w:r>
            <w:r>
              <w:rPr/>
              <w:t>）</w:t>
            </w:r>
          </w:p>
        </w:tc>
        <w:tc>
          <w:tcPr>
            <w:tcW w:type="dxa" w:w="5076"/>
          </w:tcPr>
          <w:p>
            <w:pPr>
              <w:pStyle w:val="null3"/>
              <w:jc w:val="left"/>
            </w:pPr>
            <w:r>
              <w:rPr/>
              <w:t>根据用户需求的要求，对投标人提供的十五运会空气质量及气象条件预报需求响应方案进行评审： 1.方案包含了4个主要工作任务，内容详细、科学合理，技术思路亮点多，针对性强，得8分； 2.方案包含了4个主要工作任务，内容较详细、较科学合理，技术思路有部分亮点，有一定针对性，得6分； 3.方案包含了4个主要工作任务，但内容不够详细，科学合理性一般，技术思路亮点较少，有一定缺漏，得4分； 4.方案有缺漏，科学合理性差，没有针对性，得2分； 5.无法提供技术方法的，得0分。</w:t>
            </w:r>
          </w:p>
        </w:tc>
      </w:tr>
      <w:tr>
        <w:tc>
          <w:tcPr>
            <w:tcW w:type="dxa" w:w="922"/>
            <w:gridSpan w:val="2"/>
            <w:vMerge w:val="restart"/>
          </w:tcPr>
          <w:p>
            <w:pPr>
              <w:pStyle w:val="null3"/>
              <w:jc w:val="center"/>
            </w:pPr>
            <w:r>
              <w:rPr/>
              <w:t>商务部分</w:t>
            </w:r>
          </w:p>
        </w:tc>
        <w:tc>
          <w:tcPr>
            <w:tcW w:type="dxa" w:w="2307"/>
          </w:tcPr>
          <w:p>
            <w:pPr>
              <w:pStyle w:val="null3"/>
              <w:jc w:val="left"/>
            </w:pPr>
            <w:r>
              <w:rPr/>
              <w:t>相关经验与业绩 (6.0分)</w:t>
            </w:r>
          </w:p>
        </w:tc>
        <w:tc>
          <w:tcPr>
            <w:tcW w:type="dxa" w:w="5076"/>
          </w:tcPr>
          <w:p>
            <w:pPr>
              <w:pStyle w:val="null3"/>
              <w:jc w:val="left"/>
            </w:pPr>
            <w:r>
              <w:rPr/>
              <w:t>1.对应本项目的建设内容，投标人2019年以来承担过类似的科研项目或建设项目，每个项目的得2分，最高得6分；未提供得0分。 【注：须提供项目合同（应包括签订合同双方的单位名称、合同项目名称与含签订合同双方的落款盖章，合同关键内容，签订日期的关键页）复印件】</w:t>
            </w:r>
          </w:p>
        </w:tc>
      </w:tr>
      <w:tr>
        <w:tc>
          <w:tcPr>
            <w:tcW w:type="dxa" w:w="922"/>
            <w:gridSpan w:val="2"/>
            <w:vMerge/>
          </w:tcPr>
          <w:p/>
        </w:tc>
        <w:tc>
          <w:tcPr>
            <w:tcW w:type="dxa" w:w="2307"/>
          </w:tcPr>
          <w:p>
            <w:pPr>
              <w:pStyle w:val="null3"/>
              <w:jc w:val="left"/>
            </w:pPr>
            <w:r>
              <w:rPr/>
              <w:t>投标人知识产权 (6.0分)</w:t>
            </w:r>
          </w:p>
        </w:tc>
        <w:tc>
          <w:tcPr>
            <w:tcW w:type="dxa" w:w="5076"/>
          </w:tcPr>
          <w:p>
            <w:pPr>
              <w:pStyle w:val="null3"/>
              <w:jc w:val="left"/>
            </w:pPr>
            <w:r>
              <w:rPr/>
              <w:t>投标人获得的具有气象类相关计算机软件著作权证书： 1.每个软件著作权或知识产权证书得1分，最高6分； 2.没有提供任何证书的得0分； 【注：须提供上述证明材料复印件（加盖投标人公章），否则不得分。】</w:t>
            </w:r>
          </w:p>
        </w:tc>
      </w:tr>
      <w:tr>
        <w:tc>
          <w:tcPr>
            <w:tcW w:type="dxa" w:w="922"/>
            <w:gridSpan w:val="2"/>
            <w:vMerge/>
          </w:tcPr>
          <w:p/>
        </w:tc>
        <w:tc>
          <w:tcPr>
            <w:tcW w:type="dxa" w:w="2307"/>
          </w:tcPr>
          <w:p>
            <w:pPr>
              <w:pStyle w:val="null3"/>
              <w:jc w:val="left"/>
            </w:pPr>
            <w:r>
              <w:rPr/>
              <w:t>项目负责人 (8.0分)</w:t>
            </w:r>
          </w:p>
        </w:tc>
        <w:tc>
          <w:tcPr>
            <w:tcW w:type="dxa" w:w="5076"/>
          </w:tcPr>
          <w:p>
            <w:pPr>
              <w:pStyle w:val="null3"/>
              <w:jc w:val="left"/>
            </w:pPr>
            <w:r>
              <w:rPr/>
              <w:t>承担本项目的负责人要求具备一定的气象预报、决策服务的经验和能力，因此，项目负责人的经验资质要求如下： 1.学位学历：负责人具有博士学位得3分；具有硕士学位得2分；学士学位得1分；其他得0分。 2.资历职称：项目负责人具有气象、软件等类别正高级职称，得5分；具有气象、软件等类别副高级职称得3分；具有气象、软件等类别工程师级职称得1分；其他不得分。 【注：提供职称证书、学位证书扫描件。提供由社保机构或税务部门出具的半年内任意一个月为本项目服务的团队人员的《投保单》或《社会保险参保人员证明》或《单位代缴个人所得税税单》作为评价证明资料。没有提供证明材料，不得分。】</w:t>
            </w:r>
          </w:p>
        </w:tc>
      </w:tr>
      <w:tr>
        <w:tc>
          <w:tcPr>
            <w:tcW w:type="dxa" w:w="922"/>
            <w:gridSpan w:val="2"/>
            <w:vMerge/>
          </w:tcPr>
          <w:p/>
        </w:tc>
        <w:tc>
          <w:tcPr>
            <w:tcW w:type="dxa" w:w="2307"/>
          </w:tcPr>
          <w:p>
            <w:pPr>
              <w:pStyle w:val="null3"/>
              <w:jc w:val="left"/>
            </w:pPr>
            <w:r>
              <w:rPr/>
              <w:t>项目团队人员中（除项目负责人） (10.0分)</w:t>
            </w:r>
          </w:p>
        </w:tc>
        <w:tc>
          <w:tcPr>
            <w:tcW w:type="dxa" w:w="5076"/>
          </w:tcPr>
          <w:p>
            <w:pPr>
              <w:pStyle w:val="null3"/>
              <w:jc w:val="left"/>
            </w:pPr>
            <w:r>
              <w:rPr/>
              <w:t>项目建设需要工作人员具备一定的天气气候知识或者软件工程开发等能力。本项目投入的技术团队人员中： 团队人员有气象类、软件工程类正高级工程师人员参加，每投入一人得1.5分；团队人员有气象类、软件工程类高级职称人员参加，每投入一人得1分；团队人员有气象类、软件工程类工程师职称人员参加，每投入一人得0.5分。 【注：不含本项目负责人，同一人不可重复得分，需提供相关人员的职称证书或执业资格证书复印件加盖投标人公章。上述人员须提供由社保机构或税务部门出具的，近半年内其中一个月在响应供应商单位购买的《投保单》或《社会保险参保人员证明》或《单位代缴个人所得税税单》作证明材料。复印件加盖公章。】</w:t>
            </w:r>
          </w:p>
        </w:tc>
      </w:tr>
      <w:tr>
        <w:tc>
          <w:tcPr>
            <w:tcW w:type="dxa" w:w="922"/>
            <w:gridSpan w:val="2"/>
          </w:tcPr>
          <w:p>
            <w:pPr>
              <w:pStyle w:val="null3"/>
              <w:jc w:val="center"/>
            </w:pPr>
            <w:r>
              <w:rPr/>
              <w:t>投标报价</w:t>
            </w:r>
          </w:p>
        </w:tc>
        <w:tc>
          <w:tcPr>
            <w:tcW w:type="dxa" w:w="2307"/>
          </w:tcPr>
          <w:p>
            <w:pPr>
              <w:pStyle w:val="null3"/>
              <w:jc w:val="left"/>
            </w:pPr>
            <w:r>
              <w:rPr/>
              <w:t>投标报价得分 (15.0分)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广东省政府采购</w:t>
      </w:r>
    </w:p>
    <w:p>
      <w:pPr>
        <w:pStyle w:val="null3"/>
        <w:spacing w:before="150" w:after="150"/>
        <w:ind w:left="0" w:right="0"/>
        <w:jc w:val="both"/>
      </w:pPr>
      <w:r>
        <w:rPr>
          <w:sz w:val="27"/>
          <w:color w:val="222222"/>
        </w:rPr>
        <w:t xml:space="preserve"> </w:t>
      </w:r>
    </w:p>
    <w:p>
      <w:pPr>
        <w:pStyle w:val="null3"/>
        <w:spacing w:before="0" w:after="0"/>
        <w:ind w:left="0" w:right="0"/>
        <w:jc w:val="center"/>
      </w:pPr>
      <w:r>
        <w:rPr>
          <w:b/>
        </w:rPr>
        <w:t>合　同　书</w:t>
      </w:r>
    </w:p>
    <w:p>
      <w:pPr>
        <w:pStyle w:val="null3"/>
        <w:spacing w:before="0" w:after="0"/>
        <w:ind w:left="0" w:right="0"/>
        <w:jc w:val="center"/>
      </w:pPr>
      <w:r>
        <w:br/>
      </w:r>
      <w:r>
        <w:br/>
      </w:r>
      <w:r>
        <w:br/>
      </w:r>
      <w:r>
        <w:br/>
      </w:r>
      <w:r>
        <w:br/>
      </w:r>
      <w:r>
        <w:br/>
      </w:r>
      <w:r>
        <w:br/>
      </w:r>
      <w:r>
        <w:br/>
      </w:r>
      <w:r>
        <w:rPr>
          <w:sz w:val="27"/>
          <w:color w:val="222222"/>
        </w:rPr>
        <w:t xml:space="preserve"> </w:t>
      </w:r>
    </w:p>
    <w:p>
      <w:pPr>
        <w:pStyle w:val="null3"/>
        <w:jc w:val="left"/>
      </w:pPr>
      <w:r>
        <w:rPr>
          <w:sz w:val="24"/>
          <w:b/>
        </w:rPr>
        <w:t>（本合同样本仅供形式上的参考，合同的具体内容由采购人和中标人协商确定。）</w:t>
      </w:r>
    </w:p>
    <w:p>
      <w:pPr>
        <w:pStyle w:val="null3"/>
        <w:jc w:val="center"/>
      </w:pPr>
      <w:r>
        <w:rPr/>
        <w:t xml:space="preserve"> </w:t>
      </w:r>
    </w:p>
    <w:p>
      <w:pPr>
        <w:pStyle w:val="null3"/>
        <w:jc w:val="center"/>
      </w:pPr>
      <w:r>
        <w:rPr/>
        <w:t xml:space="preserve"> </w:t>
      </w:r>
    </w:p>
    <w:p>
      <w:pPr>
        <w:pStyle w:val="null3"/>
        <w:ind w:firstLine="632"/>
        <w:jc w:val="both"/>
      </w:pPr>
      <w:r>
        <w:rPr>
          <w:sz w:val="21"/>
          <w:b/>
        </w:rPr>
        <w:t>项目名称：</w:t>
      </w:r>
    </w:p>
    <w:p>
      <w:pPr>
        <w:pStyle w:val="null3"/>
        <w:ind w:firstLine="632"/>
        <w:jc w:val="both"/>
      </w:pPr>
      <w:r>
        <w:rPr>
          <w:sz w:val="21"/>
          <w:b/>
        </w:rPr>
        <w:t>项目编号：</w:t>
      </w:r>
    </w:p>
    <w:p>
      <w:pPr>
        <w:pStyle w:val="null3"/>
        <w:ind w:firstLine="632"/>
        <w:jc w:val="both"/>
      </w:pPr>
      <w:r>
        <w:rPr>
          <w:sz w:val="21"/>
          <w:b/>
        </w:rPr>
        <w:t>签订日期：</w:t>
      </w:r>
      <w:r>
        <w:rPr>
          <w:sz w:val="21"/>
          <w:b/>
        </w:rPr>
        <w:t xml:space="preserve">   </w:t>
      </w:r>
      <w:r>
        <w:rPr>
          <w:sz w:val="21"/>
          <w:b/>
        </w:rPr>
        <w:t>年</w:t>
      </w:r>
      <w:r>
        <w:rPr>
          <w:sz w:val="21"/>
          <w:b/>
        </w:rPr>
        <w:t xml:space="preserve">   </w:t>
      </w:r>
      <w:r>
        <w:rPr>
          <w:sz w:val="21"/>
          <w:b/>
        </w:rPr>
        <w:t>月</w:t>
      </w:r>
      <w:r>
        <w:rPr>
          <w:sz w:val="21"/>
          <w:b/>
        </w:rPr>
        <w:t xml:space="preserve">  </w:t>
      </w:r>
      <w:r>
        <w:rPr>
          <w:sz w:val="21"/>
          <w:b/>
        </w:rPr>
        <w:t>日</w:t>
      </w:r>
    </w:p>
    <w:p>
      <w:pPr>
        <w:pStyle w:val="null3"/>
        <w:jc w:val="both"/>
        <w:outlineLvl w:val="0"/>
      </w:pPr>
      <w:r>
        <w:rPr>
          <w:sz w:val="32"/>
          <w:b/>
        </w:rPr>
        <w:t>合同</w:t>
      </w:r>
    </w:p>
    <w:p>
      <w:pPr>
        <w:pStyle w:val="null3"/>
        <w:jc w:val="both"/>
      </w:pPr>
      <w:r>
        <w:rPr>
          <w:sz w:val="21"/>
        </w:rPr>
        <w:t>根据</w:t>
      </w:r>
      <w:r>
        <w:rPr>
          <w:sz w:val="21"/>
          <w:u w:val="single"/>
        </w:rPr>
        <w:t xml:space="preserve">              </w:t>
      </w:r>
      <w:r>
        <w:rPr>
          <w:sz w:val="21"/>
          <w:u w:val="single"/>
        </w:rPr>
        <w:t>项目</w:t>
      </w:r>
      <w:r>
        <w:rPr>
          <w:sz w:val="21"/>
        </w:rPr>
        <w:t>的采购结果，按照《中华人民共和国政府采购法》、《</w:t>
      </w:r>
      <w:r>
        <w:rPr>
          <w:sz w:val="21"/>
        </w:rPr>
        <w:t>中华人民共和国民法典</w:t>
      </w:r>
      <w:r>
        <w:rPr>
          <w:sz w:val="21"/>
        </w:rPr>
        <w:t>》的规定，经双方协商，本着平等互利和诚实信用的原则，一致同意签订本合同如下。</w:t>
      </w:r>
    </w:p>
    <w:p>
      <w:pPr>
        <w:pStyle w:val="null3"/>
        <w:jc w:val="both"/>
      </w:pPr>
      <w:r>
        <w:rPr>
          <w:sz w:val="21"/>
          <w:b/>
        </w:rPr>
        <w:t>一、合同金额</w:t>
      </w:r>
    </w:p>
    <w:p>
      <w:pPr>
        <w:pStyle w:val="null3"/>
        <w:ind w:firstLine="422"/>
        <w:jc w:val="both"/>
      </w:pPr>
      <w:r>
        <w:rPr>
          <w:sz w:val="21"/>
          <w:b/>
        </w:rPr>
        <w:t>合同金额为（大写）：</w:t>
      </w:r>
      <w:r>
        <w:rPr>
          <w:sz w:val="21"/>
          <w:b/>
        </w:rPr>
        <w:t>_________________元（￥_______________元）人民币。</w:t>
      </w:r>
    </w:p>
    <w:p>
      <w:pPr>
        <w:pStyle w:val="null3"/>
        <w:jc w:val="both"/>
      </w:pPr>
      <w:r>
        <w:rPr>
          <w:sz w:val="21"/>
          <w:b/>
        </w:rPr>
        <w:t>二、服务范围</w:t>
      </w:r>
    </w:p>
    <w:p>
      <w:pPr>
        <w:pStyle w:val="null3"/>
        <w:jc w:val="both"/>
      </w:pPr>
      <w:r>
        <w:rPr>
          <w:sz w:val="21"/>
        </w:rPr>
        <w:t>　　甲方聘请乙方提供以下服务：</w:t>
      </w:r>
    </w:p>
    <w:p>
      <w:pPr>
        <w:pStyle w:val="null3"/>
        <w:jc w:val="both"/>
      </w:pPr>
      <w:r>
        <w:rPr>
          <w:sz w:val="21"/>
        </w:rPr>
        <w:t>1．本合同项下的服务指</w:t>
      </w:r>
      <w:r>
        <w:rPr>
          <w:sz w:val="21"/>
          <w:u w:val="single"/>
        </w:rPr>
        <w:t xml:space="preserve">                            </w:t>
      </w:r>
      <w:r>
        <w:rPr>
          <w:sz w:val="21"/>
        </w:rPr>
        <w:t>。</w:t>
      </w:r>
    </w:p>
    <w:p>
      <w:pPr>
        <w:pStyle w:val="null3"/>
        <w:jc w:val="both"/>
      </w:pPr>
      <w:r>
        <w:rPr>
          <w:sz w:val="21"/>
        </w:rPr>
        <w:t>2．......</w:t>
      </w:r>
    </w:p>
    <w:p>
      <w:pPr>
        <w:pStyle w:val="null3"/>
        <w:jc w:val="both"/>
      </w:pPr>
      <w:r>
        <w:rPr>
          <w:sz w:val="21"/>
        </w:rPr>
        <w:t>3．......</w:t>
      </w:r>
    </w:p>
    <w:p>
      <w:pPr>
        <w:pStyle w:val="null3"/>
        <w:jc w:val="both"/>
      </w:pPr>
      <w:r>
        <w:rPr>
          <w:sz w:val="21"/>
          <w:b/>
        </w:rPr>
        <w:t>三、甲方乙方的权利和义务</w:t>
      </w:r>
    </w:p>
    <w:p>
      <w:pPr>
        <w:pStyle w:val="null3"/>
        <w:jc w:val="both"/>
      </w:pPr>
      <w:r>
        <w:rPr>
          <w:sz w:val="21"/>
        </w:rPr>
        <w:t>　　（一）甲方的权利和义务</w:t>
      </w:r>
    </w:p>
    <w:p>
      <w:pPr>
        <w:pStyle w:val="null3"/>
        <w:jc w:val="both"/>
      </w:pPr>
      <w:r>
        <w:rPr>
          <w:sz w:val="21"/>
        </w:rPr>
        <w:t>　　（二）乙方的权利和义务</w:t>
      </w:r>
    </w:p>
    <w:p>
      <w:pPr>
        <w:pStyle w:val="null3"/>
        <w:jc w:val="both"/>
      </w:pPr>
      <w:r>
        <w:rPr>
          <w:sz w:val="21"/>
          <w:b/>
        </w:rPr>
        <w:t>四、服务期间（项目完成期限）</w:t>
      </w:r>
    </w:p>
    <w:p>
      <w:pPr>
        <w:pStyle w:val="null3"/>
        <w:ind w:firstLine="435"/>
        <w:jc w:val="both"/>
      </w:pPr>
      <w:r>
        <w:rPr>
          <w:sz w:val="21"/>
        </w:rPr>
        <w:t>委托服务期间自</w:t>
      </w:r>
      <w:r>
        <w:rPr>
          <w:sz w:val="21"/>
        </w:rPr>
        <w:t>______年______月至______年______月止。</w:t>
      </w:r>
    </w:p>
    <w:p>
      <w:pPr>
        <w:pStyle w:val="null3"/>
        <w:jc w:val="both"/>
      </w:pPr>
      <w:r>
        <w:rPr>
          <w:sz w:val="21"/>
          <w:b/>
        </w:rPr>
        <w:t>五、付款方式</w:t>
      </w:r>
      <w:r>
        <w:rPr>
          <w:sz w:val="21"/>
          <w:b/>
        </w:rPr>
        <w:t>：</w:t>
      </w:r>
      <w:r>
        <w:rPr>
          <w:sz w:val="21"/>
          <w:b/>
        </w:rPr>
        <w:t>详见采购需求</w:t>
      </w:r>
    </w:p>
    <w:p>
      <w:pPr>
        <w:pStyle w:val="null3"/>
        <w:jc w:val="both"/>
      </w:pPr>
      <w:r>
        <w:rPr>
          <w:sz w:val="21"/>
          <w:b/>
        </w:rPr>
        <w:t>六、知识产权产权归属</w:t>
      </w:r>
      <w:r>
        <w:rPr>
          <w:sz w:val="21"/>
          <w:b/>
        </w:rPr>
        <w:t>......</w:t>
      </w:r>
    </w:p>
    <w:p>
      <w:pPr>
        <w:pStyle w:val="null3"/>
        <w:jc w:val="both"/>
      </w:pPr>
      <w:r>
        <w:rPr>
          <w:sz w:val="21"/>
          <w:b/>
        </w:rPr>
        <w:t>七、违约责任与赔偿损失</w:t>
      </w:r>
    </w:p>
    <w:p>
      <w:pPr>
        <w:pStyle w:val="null3"/>
        <w:jc w:val="both"/>
      </w:pPr>
      <w:r>
        <w:rPr>
          <w:sz w:val="21"/>
        </w:rPr>
        <w:t>1)乙方提供的服务不符合采购文件、报价文件或本合同规定的，甲方有权拒收，并且乙方须向</w:t>
      </w:r>
      <w:r>
        <w:rPr>
          <w:sz w:val="21"/>
        </w:rPr>
        <w:t>甲方</w:t>
      </w:r>
      <w:r>
        <w:rPr>
          <w:sz w:val="21"/>
        </w:rPr>
        <w:t>支付本合同总价</w:t>
      </w:r>
      <w:r>
        <w:rPr>
          <w:sz w:val="21"/>
        </w:rPr>
        <w:t>5%的违约金。</w:t>
      </w:r>
    </w:p>
    <w:p>
      <w:pPr>
        <w:pStyle w:val="null3"/>
        <w:jc w:val="both"/>
      </w:pPr>
      <w:r>
        <w:rPr>
          <w:sz w:val="21"/>
        </w:rPr>
        <w:t>2)乙方未能按本合同规定的交货时间提供服务，从逾期之日起每日按本合同总价3</w:t>
      </w:r>
      <w:r>
        <w:rPr>
          <w:sz w:val="21"/>
        </w:rPr>
        <w:t>‰</w:t>
      </w:r>
      <w:r>
        <w:rPr>
          <w:sz w:val="21"/>
        </w:rPr>
        <w:t>的数额向甲方支付违约金；逾期半个月以上的，甲方有权终止合同，由此造成的甲方经济损失由乙方承担。</w:t>
      </w:r>
    </w:p>
    <w:p>
      <w:pPr>
        <w:pStyle w:val="null3"/>
        <w:jc w:val="both"/>
      </w:pPr>
      <w:r>
        <w:rPr>
          <w:sz w:val="21"/>
        </w:rPr>
        <w:t>3)甲方无正当理由拒收接受服务，到期拒付服务款项的，甲方向乙方偿付本合同总的5%的违约金。</w:t>
      </w:r>
      <w:r>
        <w:rPr>
          <w:sz w:val="21"/>
        </w:rPr>
        <w:t>甲方</w:t>
      </w:r>
      <w:r>
        <w:rPr>
          <w:sz w:val="21"/>
        </w:rPr>
        <w:t>逾期付款，则每日按本合同总价的</w:t>
      </w:r>
      <w:r>
        <w:rPr>
          <w:sz w:val="21"/>
        </w:rPr>
        <w:t>3</w:t>
      </w:r>
      <w:r>
        <w:rPr>
          <w:sz w:val="21"/>
        </w:rPr>
        <w:t>‰</w:t>
      </w:r>
      <w:r>
        <w:rPr>
          <w:sz w:val="21"/>
        </w:rPr>
        <w:t>向乙方偿付违约金。</w:t>
      </w:r>
    </w:p>
    <w:p>
      <w:pPr>
        <w:pStyle w:val="null3"/>
        <w:jc w:val="both"/>
      </w:pPr>
      <w:r>
        <w:rPr>
          <w:sz w:val="21"/>
        </w:rPr>
        <w:t>4)其它违约责任按《中华人民共和国民法典》处理。</w:t>
      </w:r>
    </w:p>
    <w:p>
      <w:pPr>
        <w:pStyle w:val="null3"/>
        <w:jc w:val="both"/>
      </w:pPr>
      <w:r>
        <w:rPr>
          <w:sz w:val="21"/>
          <w:b/>
        </w:rPr>
        <w:t>八、争端的解决</w:t>
      </w:r>
    </w:p>
    <w:p>
      <w:pPr>
        <w:pStyle w:val="null3"/>
        <w:jc w:val="both"/>
      </w:pPr>
      <w:r>
        <w:rPr>
          <w:sz w:val="21"/>
        </w:rPr>
        <w:t>1)合同执行过程中发生的任何争议，如双方不能通过友好协商解决，按相关法律法规处理。</w:t>
      </w:r>
    </w:p>
    <w:p>
      <w:pPr>
        <w:pStyle w:val="null3"/>
        <w:jc w:val="both"/>
      </w:pPr>
      <w:r>
        <w:rPr>
          <w:sz w:val="21"/>
          <w:b/>
        </w:rPr>
        <w:t>九、不可抗力：</w:t>
      </w:r>
      <w:r>
        <w:rPr>
          <w:sz w:val="21"/>
        </w:rPr>
        <w:t>任何一方由于不可抗力原因不能履行合同时，应在不可抗力事件结束后</w:t>
      </w:r>
      <w:r>
        <w:rPr>
          <w:sz w:val="21"/>
        </w:rPr>
        <w:t>1日内向对方通报，以减轻可能给对方造成的损失，在取得有关机构的不可抗力证明或双方谅解确认后，允许延期履行或修订合同，并根据情况可部分或全部免于承担违约责任。</w:t>
      </w:r>
    </w:p>
    <w:p>
      <w:pPr>
        <w:pStyle w:val="null3"/>
        <w:jc w:val="both"/>
      </w:pPr>
      <w:r>
        <w:rPr>
          <w:sz w:val="21"/>
          <w:b/>
        </w:rPr>
        <w:t>十、税费：</w:t>
      </w:r>
      <w:r>
        <w:rPr>
          <w:sz w:val="21"/>
        </w:rPr>
        <w:t>在中国境内、外发生的与本合同执行有关的一切税费均由乙方负担。</w:t>
      </w:r>
    </w:p>
    <w:p>
      <w:pPr>
        <w:pStyle w:val="null3"/>
        <w:jc w:val="both"/>
      </w:pPr>
      <w:r>
        <w:rPr>
          <w:sz w:val="21"/>
          <w:b/>
        </w:rPr>
        <w:t>十一、其它</w:t>
      </w:r>
    </w:p>
    <w:p>
      <w:pPr>
        <w:pStyle w:val="null3"/>
        <w:jc w:val="both"/>
      </w:pPr>
      <w:r>
        <w:rPr>
          <w:sz w:val="21"/>
        </w:rPr>
        <w:t>1)本合同所有附件、采购文件、投标文件、中标</w:t>
      </w:r>
      <w:r>
        <w:rPr>
          <w:sz w:val="21"/>
        </w:rPr>
        <w:t>通知书</w:t>
      </w:r>
      <w:r>
        <w:rPr>
          <w:sz w:val="21"/>
        </w:rPr>
        <w:t>均为合同的有效组成部分，与本合同具有同等法律效力。</w:t>
      </w:r>
    </w:p>
    <w:p>
      <w:pPr>
        <w:pStyle w:val="null3"/>
        <w:jc w:val="both"/>
      </w:pPr>
      <w:r>
        <w:rPr>
          <w:sz w:val="21"/>
        </w:rPr>
        <w:t>2)在执行本合同的过程中，所有经双方签署确认的文件（包括会议纪要、补充协议、往来信函）即成为本合同的有效组成部分。</w:t>
      </w:r>
    </w:p>
    <w:p>
      <w:pPr>
        <w:pStyle w:val="null3"/>
        <w:jc w:val="both"/>
      </w:pPr>
      <w:r>
        <w:rPr>
          <w:sz w:val="21"/>
        </w:rPr>
        <w:t>3)如一方地址、电话、传真号码有变更，应在变更当日内书面通知对方，否则，应承担相应责任。</w:t>
      </w:r>
    </w:p>
    <w:p>
      <w:pPr>
        <w:pStyle w:val="null3"/>
        <w:jc w:val="both"/>
      </w:pPr>
      <w:r>
        <w:rPr>
          <w:sz w:val="21"/>
        </w:rPr>
        <w:t>4)除甲方事先书面同意外，乙方不得部分或全部转让其应履行的合同项下的义务。</w:t>
      </w:r>
    </w:p>
    <w:p>
      <w:pPr>
        <w:pStyle w:val="null3"/>
        <w:jc w:val="both"/>
      </w:pPr>
      <w:r>
        <w:rPr>
          <w:sz w:val="21"/>
          <w:b/>
        </w:rPr>
        <w:t>十二、合同生效：</w:t>
      </w:r>
    </w:p>
    <w:p>
      <w:pPr>
        <w:pStyle w:val="null3"/>
        <w:jc w:val="both"/>
      </w:pPr>
      <w:r>
        <w:rPr>
          <w:sz w:val="21"/>
        </w:rPr>
        <w:t>1）本合同在甲乙双方法人代表或其授权代表签字盖章后生效。</w:t>
      </w:r>
    </w:p>
    <w:p>
      <w:pPr>
        <w:pStyle w:val="null3"/>
        <w:jc w:val="both"/>
      </w:pPr>
      <w:r>
        <w:rPr>
          <w:sz w:val="21"/>
        </w:rPr>
        <w:t>2）合同一式</w:t>
      </w:r>
      <w:r>
        <w:rPr>
          <w:sz w:val="21"/>
          <w:u w:val="single"/>
        </w:rPr>
        <w:t xml:space="preserve">    </w:t>
      </w:r>
      <w:r>
        <w:rPr>
          <w:sz w:val="21"/>
        </w:rPr>
        <w:t>份。</w:t>
      </w:r>
    </w:p>
    <w:p>
      <w:pPr>
        <w:pStyle w:val="null3"/>
        <w:jc w:val="both"/>
      </w:pPr>
      <w:r>
        <w:rPr>
          <w:sz w:val="21"/>
          <w:b/>
        </w:rPr>
        <w:t>甲方（盖章）：</w:t>
      </w:r>
      <w:r>
        <w:rPr>
          <w:sz w:val="21"/>
          <w:b/>
        </w:rPr>
        <w:t xml:space="preserve">                  </w:t>
      </w:r>
      <w:r>
        <w:rPr>
          <w:sz w:val="21"/>
          <w:b/>
        </w:rPr>
        <w:t>乙方（盖章）：</w:t>
      </w:r>
    </w:p>
    <w:p>
      <w:pPr>
        <w:pStyle w:val="null3"/>
        <w:jc w:val="both"/>
      </w:pPr>
      <w:r>
        <w:rPr>
          <w:sz w:val="21"/>
          <w:b/>
        </w:rPr>
        <w:t>代表：</w:t>
      </w:r>
      <w:r>
        <w:rPr>
          <w:sz w:val="21"/>
          <w:b/>
        </w:rPr>
        <w:t xml:space="preserve">                               </w:t>
      </w:r>
      <w:r>
        <w:rPr>
          <w:sz w:val="21"/>
          <w:b/>
        </w:rPr>
        <w:t>代表：</w:t>
      </w:r>
    </w:p>
    <w:p>
      <w:pPr>
        <w:pStyle w:val="null3"/>
        <w:jc w:val="both"/>
      </w:pPr>
      <w:r>
        <w:rPr>
          <w:sz w:val="21"/>
        </w:rPr>
        <w:t>签定地点：</w:t>
      </w:r>
    </w:p>
    <w:p>
      <w:pPr>
        <w:pStyle w:val="null3"/>
        <w:jc w:val="both"/>
      </w:pPr>
      <w:r>
        <w:rPr>
          <w:sz w:val="21"/>
        </w:rPr>
        <w:t>签定日期：</w:t>
      </w:r>
      <w:r>
        <w:rPr>
          <w:sz w:val="21"/>
        </w:rPr>
        <w:t>年 月</w:t>
      </w:r>
      <w:r>
        <w:rPr>
          <w:sz w:val="21"/>
        </w:rPr>
        <w:t>日</w:t>
      </w:r>
      <w:r>
        <w:rPr>
          <w:sz w:val="21"/>
        </w:rPr>
        <w:t xml:space="preserve">             </w:t>
      </w:r>
      <w:r>
        <w:rPr>
          <w:sz w:val="21"/>
        </w:rPr>
        <w:t>签定日期：</w:t>
      </w:r>
      <w:r>
        <w:rPr>
          <w:sz w:val="21"/>
        </w:rPr>
        <w:t>年 月</w:t>
      </w:r>
      <w:r>
        <w:rPr>
          <w:sz w:val="21"/>
        </w:rPr>
        <w:t>日</w:t>
      </w:r>
      <w:r>
        <w:rPr>
          <w:sz w:val="21"/>
        </w:rPr>
        <w:t xml:space="preserve">  </w:t>
      </w:r>
    </w:p>
    <w:p>
      <w:pPr>
        <w:pStyle w:val="null3"/>
        <w:jc w:val="both"/>
      </w:pPr>
      <w:r>
        <w:rPr>
          <w:sz w:val="21"/>
        </w:rPr>
        <w:t xml:space="preserve">                                           </w:t>
      </w:r>
      <w:r>
        <w:rPr>
          <w:sz w:val="21"/>
        </w:rPr>
        <w:t>开户名称：</w:t>
      </w:r>
    </w:p>
    <w:p>
      <w:pPr>
        <w:pStyle w:val="null3"/>
        <w:jc w:val="both"/>
      </w:pPr>
      <w:r>
        <w:rPr>
          <w:sz w:val="21"/>
        </w:rPr>
        <w:t xml:space="preserve">                     </w:t>
      </w:r>
      <w:r>
        <w:rPr>
          <w:sz w:val="21"/>
        </w:rPr>
        <w:t xml:space="preserve">                      </w:t>
      </w:r>
      <w:r>
        <w:rPr>
          <w:sz w:val="21"/>
        </w:rPr>
        <w:t>银行账号</w:t>
      </w:r>
      <w:r>
        <w:rPr>
          <w:sz w:val="21"/>
        </w:rPr>
        <w:t>：</w:t>
      </w:r>
    </w:p>
    <w:p>
      <w:pPr>
        <w:pStyle w:val="null3"/>
        <w:jc w:val="both"/>
      </w:pPr>
      <w:r>
        <w:rPr>
          <w:sz w:val="21"/>
        </w:rPr>
        <w:t xml:space="preserve">                                           </w:t>
      </w:r>
      <w:r>
        <w:rPr>
          <w:sz w:val="21"/>
        </w:rPr>
        <w:t>开户行：</w:t>
      </w:r>
    </w:p>
    <w:p>
      <w:pPr>
        <w:pStyle w:val="null3"/>
        <w:jc w:val="both"/>
      </w:pPr>
      <w:r>
        <w:rPr>
          <w:sz w:val="21"/>
        </w:rPr>
        <w:t xml:space="preserve"> </w:t>
      </w:r>
    </w:p>
    <w:p>
      <w:pPr>
        <w:pStyle w:val="null3"/>
        <w:jc w:val="both"/>
      </w:pPr>
      <w:r>
        <w:rPr/>
        <w:t xml:space="preserve"> </w:t>
      </w:r>
    </w:p>
    <w:p>
      <w:pPr>
        <w:pStyle w:val="null3"/>
        <w:jc w:val="both"/>
      </w:pPr>
      <w:r>
        <w:rPr/>
        <w:t xml:space="preserve"> </w:t>
      </w:r>
    </w:p>
    <w:p>
      <w:pPr>
        <w:pStyle w:val="null3"/>
        <w:jc w:val="both"/>
      </w:pPr>
      <w:r>
        <w:rPr>
          <w:sz w:val="21"/>
        </w:rPr>
        <w:t>合同附件：保密与网络安全协议</w:t>
      </w:r>
    </w:p>
    <w:p>
      <w:pPr>
        <w:pStyle w:val="null3"/>
        <w:jc w:val="center"/>
      </w:pPr>
      <w:r>
        <w:rPr>
          <w:sz w:val="21"/>
        </w:rPr>
        <w:t>保密与网络安全协议</w:t>
      </w:r>
    </w:p>
    <w:p>
      <w:pPr>
        <w:pStyle w:val="null3"/>
        <w:jc w:val="both"/>
      </w:pPr>
      <w:r>
        <w:rPr>
          <w:sz w:val="21"/>
        </w:rPr>
        <w:t>甲方：</w:t>
      </w:r>
    </w:p>
    <w:p>
      <w:pPr>
        <w:pStyle w:val="null3"/>
        <w:jc w:val="both"/>
      </w:pPr>
      <w:r>
        <w:rPr>
          <w:sz w:val="21"/>
        </w:rPr>
        <w:t>乙方：</w:t>
      </w:r>
    </w:p>
    <w:p>
      <w:pPr>
        <w:pStyle w:val="null3"/>
        <w:jc w:val="both"/>
      </w:pPr>
      <w:r>
        <w:rPr>
          <w:sz w:val="21"/>
        </w:rPr>
        <w:t>鉴于：</w:t>
      </w:r>
    </w:p>
    <w:p>
      <w:pPr>
        <w:pStyle w:val="null3"/>
        <w:jc w:val="both"/>
      </w:pPr>
      <w:r>
        <w:rPr>
          <w:sz w:val="21"/>
        </w:rPr>
        <w:t>1.甲方是乙方提供服务的实际需求方；甲方接受乙方正在进行的</w:t>
      </w:r>
      <w:r>
        <w:rPr>
          <w:sz w:val="21"/>
          <w:u w:val="single"/>
        </w:rPr>
        <w:t xml:space="preserve">        </w:t>
      </w:r>
      <w:r>
        <w:rPr>
          <w:sz w:val="21"/>
        </w:rPr>
        <w:t>的服务。（以下简称</w:t>
      </w:r>
      <w:r>
        <w:rPr>
          <w:sz w:val="21"/>
        </w:rPr>
        <w:t>“</w:t>
      </w:r>
      <w:r>
        <w:rPr>
          <w:sz w:val="21"/>
        </w:rPr>
        <w:t>项目</w:t>
      </w:r>
      <w:r>
        <w:rPr>
          <w:sz w:val="21"/>
        </w:rPr>
        <w:t>”</w:t>
      </w:r>
      <w:r>
        <w:rPr>
          <w:sz w:val="21"/>
        </w:rPr>
        <w:t>）；</w:t>
      </w:r>
    </w:p>
    <w:p>
      <w:pPr>
        <w:pStyle w:val="null3"/>
        <w:jc w:val="both"/>
      </w:pPr>
      <w:r>
        <w:rPr>
          <w:sz w:val="21"/>
        </w:rPr>
        <w:t>2.乙方为该项目提供</w:t>
      </w:r>
      <w:r>
        <w:rPr>
          <w:sz w:val="21"/>
          <w:u w:val="single"/>
        </w:rPr>
        <w:t xml:space="preserve">                </w:t>
      </w:r>
      <w:r>
        <w:rPr>
          <w:sz w:val="21"/>
        </w:rPr>
        <w:t>等服务（以下简称</w:t>
      </w:r>
      <w:r>
        <w:rPr>
          <w:sz w:val="21"/>
        </w:rPr>
        <w:t>“</w:t>
      </w:r>
      <w:r>
        <w:rPr>
          <w:sz w:val="21"/>
        </w:rPr>
        <w:t>合作</w:t>
      </w:r>
      <w:r>
        <w:rPr>
          <w:sz w:val="21"/>
        </w:rPr>
        <w:t>”</w:t>
      </w:r>
      <w:r>
        <w:rPr>
          <w:sz w:val="21"/>
        </w:rPr>
        <w:t>）；</w:t>
      </w:r>
    </w:p>
    <w:p>
      <w:pPr>
        <w:pStyle w:val="null3"/>
        <w:jc w:val="both"/>
      </w:pPr>
      <w:r>
        <w:rPr>
          <w:sz w:val="21"/>
        </w:rPr>
        <w:t>3.甲乙双方就该项目合作过程中，乙方为甲方提供服务，甲方在工作过程中向乙方提供有关保密信息，且该保密信息属甲方合法所有，乙方及乙方人员承诺付保密义务；</w:t>
      </w:r>
    </w:p>
    <w:p>
      <w:pPr>
        <w:pStyle w:val="null3"/>
        <w:jc w:val="both"/>
      </w:pPr>
      <w:r>
        <w:rPr>
          <w:sz w:val="21"/>
        </w:rPr>
        <w:t>4.乙方确保在此项目中获取的甲方相关信息（包括但不限于业务系统数据信息、单位及个人隐私信息、相关程序源代码等）仅用于与合作有关的用途和目的。未经甲方书面同意，乙方不得存储、使用、传播、公开此次合作所获取的甲方相关信息。经双方协商，达成本协议。</w:t>
      </w:r>
    </w:p>
    <w:p>
      <w:pPr>
        <w:pStyle w:val="null3"/>
        <w:jc w:val="both"/>
      </w:pPr>
      <w:r>
        <w:rPr>
          <w:sz w:val="21"/>
        </w:rPr>
        <w:t>4.1.本协议所指保密信息是指：</w:t>
      </w:r>
    </w:p>
    <w:p>
      <w:pPr>
        <w:pStyle w:val="null3"/>
        <w:jc w:val="both"/>
      </w:pPr>
      <w:r>
        <w:rPr>
          <w:sz w:val="21"/>
        </w:rPr>
        <w:t>4.1.1.在合作过程中，乙方接触到的相关内容，与合作有关或因合作产生的任何商业、技术、运营数据或其他性质的资料，包括但不限于数据信息及相关程序源代码，</w:t>
      </w:r>
    </w:p>
    <w:p>
      <w:pPr>
        <w:pStyle w:val="null3"/>
        <w:jc w:val="both"/>
      </w:pPr>
      <w:r>
        <w:rPr>
          <w:sz w:val="21"/>
        </w:rPr>
        <w:t>4.1.2.无论以何种形式或载于何种载体，无论在披露时是否以口头、图像或以书面等方式表明其具有保密性。</w:t>
      </w:r>
    </w:p>
    <w:p>
      <w:pPr>
        <w:pStyle w:val="null3"/>
        <w:jc w:val="both"/>
      </w:pPr>
      <w:r>
        <w:rPr>
          <w:sz w:val="21"/>
        </w:rPr>
        <w:t>4.2.上述保密信息可以以数据、文字及记载上述内容的资料、光盘、软件、图书等有形媒介体现，也可通过口头等视听形式传递。</w:t>
      </w:r>
    </w:p>
    <w:p>
      <w:pPr>
        <w:pStyle w:val="null3"/>
        <w:jc w:val="both"/>
      </w:pPr>
      <w:r>
        <w:rPr>
          <w:sz w:val="21"/>
        </w:rPr>
        <w:t>5.甲乙双方履行合同期间，需要遵守但不限于如下保密要求；</w:t>
      </w:r>
    </w:p>
    <w:p>
      <w:pPr>
        <w:pStyle w:val="null3"/>
        <w:jc w:val="both"/>
      </w:pPr>
      <w:r>
        <w:rPr>
          <w:sz w:val="21"/>
        </w:rPr>
        <w:t>5.1.乙方及乙方工作人员不得将接触到的相关内容（包括但不限于甲方业务系统数据信息、单位及个人隐私信息、相关程序源代码等）泄露给他人，不得翻阅与工作无关的文件和资料，不得从事其它与协议无关的工作。</w:t>
      </w:r>
    </w:p>
    <w:p>
      <w:pPr>
        <w:pStyle w:val="null3"/>
        <w:jc w:val="both"/>
      </w:pPr>
      <w:r>
        <w:rPr>
          <w:sz w:val="21"/>
        </w:rPr>
        <w:t>5.2.乙方及乙方工作人员不得擅自记录、复制、拍摄、摘抄、收藏在工作中涉及的秘密和敏感信息，包括系统数据、第三方代码、接口等，不得将工作中涉及的相关项目技术方案及实施规划透露给他人。</w:t>
      </w:r>
    </w:p>
    <w:p>
      <w:pPr>
        <w:pStyle w:val="null3"/>
        <w:jc w:val="both"/>
      </w:pPr>
      <w:r>
        <w:rPr>
          <w:sz w:val="21"/>
        </w:rPr>
        <w:t>5.3.乙方及乙方工作人员不得将在工作中获得的相关信息透露给他人，严禁私自下载、拷贝计算机内数据信息，不得擅自携带记载工作内容的硬盘、U盘和打印资料外出，严禁将系统的程序、口令、密钥等泄露给他人。</w:t>
      </w:r>
    </w:p>
    <w:p>
      <w:pPr>
        <w:pStyle w:val="null3"/>
        <w:jc w:val="both"/>
      </w:pPr>
      <w:r>
        <w:rPr>
          <w:sz w:val="21"/>
        </w:rPr>
        <w:t>5.4.乙方对其参与本项目的员工定期组织保密制度培训，并与其工作人员签订与本协议相同内容的保密协议，确保有关人员遵守本协议。乙方应将参与本项目员工的有关资料（如：身份证复印件、职称证明、项目经验等）给甲方，如需更换员工需事先征得甲方同意并提交相应的资料。</w:t>
      </w:r>
    </w:p>
    <w:p>
      <w:pPr>
        <w:pStyle w:val="null3"/>
        <w:jc w:val="both"/>
      </w:pPr>
      <w:r>
        <w:rPr>
          <w:sz w:val="21"/>
        </w:rPr>
        <w:t>6.上述限制条款不适用于以下情况：</w:t>
      </w:r>
    </w:p>
    <w:p>
      <w:pPr>
        <w:pStyle w:val="null3"/>
        <w:jc w:val="both"/>
      </w:pPr>
      <w:r>
        <w:rPr>
          <w:sz w:val="21"/>
        </w:rPr>
        <w:t>6.1.在签署本协议之时或之前，保密信息已以合法方式属接受方所有；</w:t>
      </w:r>
    </w:p>
    <w:p>
      <w:pPr>
        <w:pStyle w:val="null3"/>
        <w:jc w:val="both"/>
      </w:pPr>
      <w:r>
        <w:rPr>
          <w:sz w:val="21"/>
        </w:rPr>
        <w:t>6.2.保密信息在通知给接受方时，已经公开或能从公开领域获得；</w:t>
      </w:r>
    </w:p>
    <w:p>
      <w:pPr>
        <w:pStyle w:val="null3"/>
        <w:jc w:val="both"/>
      </w:pPr>
      <w:r>
        <w:rPr>
          <w:sz w:val="21"/>
        </w:rPr>
        <w:t>6.3.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pStyle w:val="null3"/>
        <w:jc w:val="both"/>
      </w:pPr>
      <w:r>
        <w:rPr>
          <w:sz w:val="21"/>
        </w:rPr>
        <w:t>6.4.双方均不保证保密信息的精确性与合理性。</w:t>
      </w:r>
    </w:p>
    <w:p>
      <w:pPr>
        <w:pStyle w:val="null3"/>
        <w:jc w:val="both"/>
      </w:pPr>
      <w:r>
        <w:rPr>
          <w:sz w:val="21"/>
        </w:rPr>
        <w:t>6.5.保密信息披露方提供的保密信息，如涉及侵犯第三方知识产权的情况，接受方不对此侵权行为负责，且免于由此产生的索赔。</w:t>
      </w:r>
    </w:p>
    <w:p>
      <w:pPr>
        <w:pStyle w:val="null3"/>
        <w:jc w:val="both"/>
      </w:pPr>
      <w:r>
        <w:rPr>
          <w:sz w:val="21"/>
        </w:rPr>
        <w:t>7.甲乙双方履行合同期间，需要遵守但不限于如下网络安全要求；</w:t>
      </w:r>
    </w:p>
    <w:p>
      <w:pPr>
        <w:pStyle w:val="null3"/>
        <w:jc w:val="both"/>
      </w:pPr>
      <w:r>
        <w:rPr>
          <w:sz w:val="21"/>
        </w:rPr>
        <w:t>7.1.乙方须对甲方涉及到网络安全的工作提供积极的配合与协助，使甲方的工作能够顺利地进行。</w:t>
      </w:r>
    </w:p>
    <w:p>
      <w:pPr>
        <w:pStyle w:val="null3"/>
        <w:jc w:val="both"/>
      </w:pPr>
      <w:r>
        <w:rPr>
          <w:sz w:val="21"/>
        </w:rPr>
        <w:t>7.2.乙方有义务保障相关信息系统安全稳定运行。</w:t>
      </w:r>
    </w:p>
    <w:p>
      <w:pPr>
        <w:pStyle w:val="null3"/>
        <w:jc w:val="both"/>
      </w:pPr>
      <w:r>
        <w:rPr>
          <w:sz w:val="21"/>
        </w:rPr>
        <w:t>7.3.甲方有权要求乙方提供项目相关的技术资料。</w:t>
      </w:r>
    </w:p>
    <w:p>
      <w:pPr>
        <w:pStyle w:val="null3"/>
        <w:jc w:val="both"/>
      </w:pPr>
      <w:r>
        <w:rPr>
          <w:sz w:val="21"/>
        </w:rPr>
        <w:t>7.4.乙方应向甲方提供与网络安全服务、系统运行管理所需的系统资料，如因乙方原因导致项目应急措施延迟或停顿，造成不良影响的，由乙方承担责任。</w:t>
      </w:r>
    </w:p>
    <w:p>
      <w:pPr>
        <w:pStyle w:val="null3"/>
        <w:jc w:val="both"/>
      </w:pPr>
      <w:r>
        <w:rPr>
          <w:sz w:val="21"/>
        </w:rPr>
        <w:t>7.5.乙方应在启动服务前认真填写乙方资料，向甲方通报其信息系统结构、功能和用途、执行本合同的联系人、信息安全负责人和所有管理甲方网络、设备和服务的人员名单和联系方式，并在上述信息发生变化时及时书面通知甲方。因乙方上述人员（包括已经离开乙方的原雇员）的行为而产生的后果均由乙方承担。</w:t>
      </w:r>
    </w:p>
    <w:p>
      <w:pPr>
        <w:pStyle w:val="null3"/>
        <w:jc w:val="both"/>
      </w:pPr>
      <w:r>
        <w:rPr>
          <w:sz w:val="21"/>
        </w:rPr>
        <w:t>7.6.乙方保证向甲方所提供的信息是真实、准确、完整的，没有任何引人误解的陈述，并且具有承担本协议中相关权利义务的能力和资格。</w:t>
      </w:r>
    </w:p>
    <w:p>
      <w:pPr>
        <w:pStyle w:val="null3"/>
        <w:jc w:val="both"/>
      </w:pPr>
      <w:r>
        <w:rPr>
          <w:sz w:val="21"/>
        </w:rPr>
        <w:t>7.7.乙方必须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乙方对其违反上述规定而引起的任何政治责任、法律责任和给甲方造成的经济损失承担全部责任。乙方违反本条款的，甲方有权终止合作，且要求退回全部已支付款项。</w:t>
      </w:r>
    </w:p>
    <w:p>
      <w:pPr>
        <w:pStyle w:val="null3"/>
        <w:jc w:val="both"/>
      </w:pPr>
      <w:r>
        <w:rPr>
          <w:sz w:val="21"/>
        </w:rPr>
        <w:t>7.8.乙方须遵守甲方的安全管理规定，服务器应安装防病毒软件，定期更新补丁，设置复杂的管理员密码，进行必要的系统安全加固。</w:t>
      </w:r>
    </w:p>
    <w:p>
      <w:pPr>
        <w:pStyle w:val="null3"/>
        <w:jc w:val="both"/>
      </w:pPr>
      <w:r>
        <w:rPr>
          <w:sz w:val="21"/>
        </w:rPr>
        <w:t>7.9.乙方如果在服务器上安装软件，所需要的软件版权/许可/使用权由乙方自行解决，乙方应当遵守知识产权保护的相关法律制度。</w:t>
      </w:r>
    </w:p>
    <w:p>
      <w:pPr>
        <w:pStyle w:val="null3"/>
        <w:jc w:val="both"/>
      </w:pPr>
      <w:r>
        <w:rPr>
          <w:sz w:val="21"/>
        </w:rPr>
        <w:t>7.10.乙方不得进行危害网络安全的行为。乙方违反本条款的，甲方有权终止合作，且要求退回全部已支付款项。</w:t>
      </w:r>
    </w:p>
    <w:p>
      <w:pPr>
        <w:pStyle w:val="null3"/>
        <w:jc w:val="both"/>
      </w:pPr>
      <w:r>
        <w:rPr>
          <w:sz w:val="21"/>
        </w:rPr>
        <w:t>7.11.如果甲方利用本协议进行经营活动需要获得国家有关部门的认可或批准的，甲方应获得该有关的认可或批准；如果甲方利用乙方服务开办多个网站的，须保证所有网站均获得国家有关部门的认可或批准。但乙方没有义务审查甲方是否具有前述认可或批准，出现问题也由甲方自行解决或者承担相关责任，与乙方无关。甲方违反本条款的，乙方有权终止合作，且不退还任何已交付款项。</w:t>
      </w:r>
    </w:p>
    <w:p>
      <w:pPr>
        <w:pStyle w:val="null3"/>
        <w:jc w:val="both"/>
      </w:pPr>
      <w:r>
        <w:rPr>
          <w:sz w:val="21"/>
        </w:rPr>
        <w:t>7.12.甲方对存放在服务器上的数据、以及管理服务器的口令、密码的完整性和保密性负责。因甲方维护不当或保密不当致使上述数据、口令、密码等丢失或泄漏所引起的一切损失和后果均由甲方承担。</w:t>
      </w:r>
    </w:p>
    <w:p>
      <w:pPr>
        <w:pStyle w:val="null3"/>
        <w:jc w:val="both"/>
      </w:pPr>
      <w:r>
        <w:rPr>
          <w:sz w:val="21"/>
        </w:rPr>
        <w:t>7.13.系统上线运行前，应由乙方和甲方指定的信息安全测评机构一起进行安全检查测评，通过检查测评后才可上线正式运行。</w:t>
      </w:r>
    </w:p>
    <w:p>
      <w:pPr>
        <w:pStyle w:val="null3"/>
        <w:jc w:val="both"/>
      </w:pPr>
      <w:r>
        <w:rPr>
          <w:sz w:val="21"/>
        </w:rPr>
        <w:t>7.14.发生重大信息安全事件时，乙方有义务协助甲方进行安全事件的处理。如因乙方的不配合而导致出现的任何责任和损失，均由乙方承担。</w:t>
      </w:r>
    </w:p>
    <w:p>
      <w:pPr>
        <w:pStyle w:val="null3"/>
        <w:jc w:val="both"/>
      </w:pPr>
      <w:r>
        <w:rPr>
          <w:sz w:val="21"/>
        </w:rPr>
        <w:t>7.15.乙方负责自己开发和部署的应用系统的安全，对应用系统的操作、更新、配置的安全和可靠性负责，并承担自身数据安全、客户端安全等的相关责任。</w:t>
      </w:r>
    </w:p>
    <w:p>
      <w:pPr>
        <w:pStyle w:val="null3"/>
        <w:jc w:val="both"/>
      </w:pPr>
      <w:r>
        <w:rPr>
          <w:sz w:val="21"/>
        </w:rPr>
        <w:t>7.16.乙方有义务制定相关系统应急预案，并将应急预案纳入甲方的事件响应计划中。</w:t>
      </w:r>
    </w:p>
    <w:p>
      <w:pPr>
        <w:pStyle w:val="null3"/>
        <w:jc w:val="both"/>
      </w:pPr>
      <w:r>
        <w:rPr>
          <w:sz w:val="21"/>
        </w:rPr>
        <w:t>7.17.安全管理责任由甲方负责，甲方应加强安全管理，持续监督方式乙方严格履行安全责任和义务。</w:t>
      </w:r>
    </w:p>
    <w:p>
      <w:pPr>
        <w:pStyle w:val="null3"/>
        <w:jc w:val="both"/>
      </w:pPr>
      <w:r>
        <w:rPr>
          <w:sz w:val="21"/>
        </w:rPr>
        <w:t>7.18.甲方提供给乙方的数据、设备等资源，以及业务系统运行过程中收集、产生、存储的数据和文档等资源属甲方所有。未经甲方授权，乙方不得访问、修改、披露、利用、转让、销毁甲方数据。</w:t>
      </w:r>
    </w:p>
    <w:p>
      <w:pPr>
        <w:pStyle w:val="null3"/>
        <w:jc w:val="both"/>
      </w:pPr>
      <w:r>
        <w:rPr>
          <w:sz w:val="21"/>
        </w:rPr>
        <w:t>7.19.甲方有义务监督乙方严格遵守网络安全政策规定、信息安全等级保护要求、技术标准，落实安全管理和防护措施等工作。</w:t>
      </w:r>
    </w:p>
    <w:p>
      <w:pPr>
        <w:pStyle w:val="null3"/>
        <w:jc w:val="both"/>
      </w:pPr>
      <w:r>
        <w:rPr>
          <w:sz w:val="21"/>
        </w:rPr>
        <w:t>7.20.甲方需同意并书面授权乙方进入甲方机房或系统的运维人员，如乙方变更被授权人的，须及时书面通知甲方，否则甲方根据原授权同意有关人员进入机房或系统而产生的不利后果，由乙方承担。甲方同意，如因情况紧急，甲方授权人员可以要求乙方人员进入机房或系统对其进行操作。乙方人员在甲方（含甲方授权人员）授权之下进行的操作对甲方系统所产生任何影响的，乙方不承担任何责任。</w:t>
      </w:r>
    </w:p>
    <w:p>
      <w:pPr>
        <w:pStyle w:val="null3"/>
        <w:jc w:val="both"/>
      </w:pPr>
      <w:r>
        <w:rPr>
          <w:sz w:val="21"/>
        </w:rPr>
        <w:t>7.21.甲方有义务加强对乙方进行信息安全教育和监管；如需乙方工程师在甲方授权下正确执行或操作甲方系统的安全功能、措施和机制，甲方有责任提供相关的培训。</w:t>
      </w:r>
    </w:p>
    <w:p>
      <w:pPr>
        <w:pStyle w:val="null3"/>
        <w:jc w:val="both"/>
      </w:pPr>
      <w:r>
        <w:rPr>
          <w:sz w:val="21"/>
        </w:rPr>
        <w:t>7.22.乙方需协助甲方通过涉及本合同系统的信息安全等级保护测评及整改，乙方为整改系统所产生费用全部已经包含在本合同中，甲方不需要额外支付。</w:t>
      </w:r>
    </w:p>
    <w:p>
      <w:pPr>
        <w:pStyle w:val="null3"/>
        <w:jc w:val="both"/>
      </w:pPr>
      <w:r>
        <w:rPr>
          <w:sz w:val="21"/>
        </w:rPr>
        <w:t>8.违约责任：</w:t>
      </w:r>
    </w:p>
    <w:p>
      <w:pPr>
        <w:pStyle w:val="null3"/>
        <w:jc w:val="both"/>
      </w:pPr>
      <w:r>
        <w:rPr>
          <w:sz w:val="21"/>
        </w:rPr>
        <w:t>乙方对在履行本协议过程中所接触的工作秘密（包括但不限于协议履行过程中涉及的数据、源代码、技术文档、商业秘密、任何技术性资料、以及甲方为完成本协议提供的任何其他信息资料并且在提供时未说明是公开信息的）承担保密义务。未经甲方书面许可，乙方（包括但不限于乙方员工、代理人、顾问等）不得将从甲方获取的一切资料和信息拿到本协议范围之外使用，否则全部收益归甲方所有，乙方支付已签订资源合同</w:t>
      </w:r>
      <w:r>
        <w:rPr>
          <w:sz w:val="21"/>
        </w:rPr>
        <w:t>30%作为违约金，并另行赔偿甲方因此遭受的全部损失。</w:t>
      </w:r>
    </w:p>
    <w:p>
      <w:pPr>
        <w:pStyle w:val="null3"/>
        <w:jc w:val="both"/>
      </w:pPr>
      <w:r>
        <w:rPr>
          <w:sz w:val="21"/>
        </w:rPr>
        <w:t>9.免责条款：</w:t>
      </w:r>
    </w:p>
    <w:p>
      <w:pPr>
        <w:pStyle w:val="null3"/>
        <w:jc w:val="both"/>
      </w:pPr>
      <w:r>
        <w:rPr>
          <w:sz w:val="21"/>
        </w:rPr>
        <w:t>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pStyle w:val="null3"/>
        <w:jc w:val="both"/>
      </w:pPr>
      <w:r>
        <w:rPr>
          <w:sz w:val="21"/>
        </w:rPr>
        <w:t>10.本协议有效期自主合同</w:t>
      </w:r>
      <w:r>
        <w:rPr>
          <w:sz w:val="21"/>
          <w:u w:val="single"/>
        </w:rPr>
        <w:t xml:space="preserve">           </w:t>
      </w:r>
      <w:r>
        <w:rPr>
          <w:sz w:val="21"/>
        </w:rPr>
        <w:t>签订之日起，至服务期限届满后三年截止。</w:t>
      </w:r>
    </w:p>
    <w:p>
      <w:pPr>
        <w:pStyle w:val="null3"/>
        <w:jc w:val="both"/>
      </w:pPr>
      <w:r>
        <w:rPr>
          <w:sz w:val="21"/>
        </w:rPr>
        <w:t>无论本合同是否切实得到履行或因任何原因变更、解除、终止、失效等，本条款均始终有效。</w:t>
      </w:r>
    </w:p>
    <w:p>
      <w:pPr>
        <w:pStyle w:val="null3"/>
        <w:jc w:val="both"/>
      </w:pPr>
      <w:r>
        <w:rPr>
          <w:sz w:val="21"/>
        </w:rPr>
        <w:t>11.争议的解决：</w:t>
      </w:r>
    </w:p>
    <w:p>
      <w:pPr>
        <w:pStyle w:val="null3"/>
        <w:jc w:val="both"/>
      </w:pPr>
      <w:r>
        <w:rPr>
          <w:sz w:val="21"/>
        </w:rPr>
        <w:t>本协议受中华人民共和国（以下简称</w:t>
      </w:r>
      <w:r>
        <w:rPr>
          <w:sz w:val="21"/>
        </w:rPr>
        <w:t>“</w:t>
      </w:r>
      <w:r>
        <w:rPr>
          <w:sz w:val="21"/>
        </w:rPr>
        <w:t>中国</w:t>
      </w:r>
      <w:r>
        <w:rPr>
          <w:sz w:val="21"/>
        </w:rPr>
        <w:t>”</w:t>
      </w:r>
      <w:r>
        <w:rPr>
          <w:sz w:val="21"/>
        </w:rPr>
        <w:t>）的法律管辖并按照中国的法律进行解释。如双方无法协商解决，应提交甲方所在地人民法院诉讼解决。</w:t>
      </w:r>
    </w:p>
    <w:p>
      <w:pPr>
        <w:pStyle w:val="null3"/>
        <w:jc w:val="both"/>
      </w:pPr>
      <w:r>
        <w:rPr>
          <w:sz w:val="21"/>
        </w:rPr>
        <w:t>11.1.经双方书面确认，任何一方不得变更或修改本协议，国家另有规定的除外。</w:t>
      </w:r>
    </w:p>
    <w:p>
      <w:pPr>
        <w:pStyle w:val="null3"/>
        <w:jc w:val="both"/>
      </w:pPr>
      <w:r>
        <w:rPr>
          <w:sz w:val="21"/>
        </w:rPr>
        <w:t>11.2.本协议未尽事宜，双方可签订补充协议。补充协议为本协议不可分割的一部分，与本协议具有同等法律效力。</w:t>
      </w:r>
    </w:p>
    <w:p>
      <w:pPr>
        <w:pStyle w:val="null3"/>
        <w:jc w:val="both"/>
      </w:pPr>
      <w:r>
        <w:rPr>
          <w:sz w:val="21"/>
        </w:rPr>
        <w:t>12.本协议一式肆份，甲乙双方各贰份，均具有同等法律效力。</w:t>
      </w:r>
    </w:p>
    <w:p>
      <w:pPr>
        <w:pStyle w:val="null3"/>
        <w:jc w:val="both"/>
      </w:pPr>
      <w:r>
        <w:rPr>
          <w:sz w:val="21"/>
        </w:rPr>
        <w:t>13.本协议自双方签字盖章之日起生效。</w:t>
      </w:r>
    </w:p>
    <w:p>
      <w:pPr>
        <w:pStyle w:val="null3"/>
        <w:jc w:val="both"/>
      </w:pPr>
      <w:r>
        <w:rPr>
          <w:sz w:val="21"/>
        </w:rPr>
        <w:t>甲方（盖章）：</w:t>
      </w:r>
      <w:r>
        <w:rPr>
          <w:sz w:val="21"/>
          <w:u w:val="single"/>
        </w:rPr>
        <w:t xml:space="preserve">               </w:t>
      </w:r>
      <w:r>
        <w:rPr>
          <w:sz w:val="21"/>
        </w:rPr>
        <w:t xml:space="preserve">         </w:t>
      </w:r>
      <w:r>
        <w:rPr>
          <w:sz w:val="21"/>
        </w:rPr>
        <w:t>乙方（盖章）：</w:t>
      </w:r>
      <w:r>
        <w:rPr>
          <w:sz w:val="21"/>
          <w:u w:val="single"/>
        </w:rPr>
        <w:t xml:space="preserve">                    </w:t>
      </w:r>
      <w:r>
        <w:rPr>
          <w:sz w:val="21"/>
        </w:rPr>
        <w:t xml:space="preserve">         </w:t>
      </w:r>
    </w:p>
    <w:p>
      <w:pPr>
        <w:pStyle w:val="null3"/>
        <w:jc w:val="both"/>
      </w:pPr>
      <w:r>
        <w:rPr>
          <w:sz w:val="21"/>
        </w:rPr>
        <w:t>法定代表人：</w:t>
      </w:r>
      <w:r>
        <w:rPr>
          <w:sz w:val="21"/>
          <w:u w:val="single"/>
        </w:rPr>
        <w:t xml:space="preserve">          </w:t>
      </w:r>
      <w:r>
        <w:rPr>
          <w:sz w:val="21"/>
        </w:rPr>
        <w:t xml:space="preserve">                 </w:t>
      </w:r>
      <w:r>
        <w:rPr>
          <w:sz w:val="21"/>
        </w:rPr>
        <w:t>法定代表人：</w:t>
      </w:r>
      <w:r>
        <w:rPr>
          <w:sz w:val="21"/>
          <w:u w:val="single"/>
        </w:rPr>
        <w:t xml:space="preserve">                        </w:t>
      </w:r>
      <w:r>
        <w:rPr>
          <w:sz w:val="21"/>
        </w:rPr>
        <w:t xml:space="preserve">          </w:t>
      </w:r>
    </w:p>
    <w:p>
      <w:pPr>
        <w:pStyle w:val="null3"/>
        <w:jc w:val="both"/>
      </w:pPr>
      <w:r>
        <w:rPr>
          <w:sz w:val="21"/>
        </w:rPr>
        <w:t>日期：</w:t>
      </w:r>
      <w:r>
        <w:rPr>
          <w:sz w:val="21"/>
          <w:u w:val="single"/>
        </w:rPr>
        <w:t xml:space="preserve">                           </w:t>
      </w:r>
      <w:r>
        <w:rPr>
          <w:sz w:val="21"/>
        </w:rPr>
        <w:t xml:space="preserve">          </w:t>
      </w:r>
      <w:r>
        <w:rPr>
          <w:sz w:val="21"/>
        </w:rPr>
        <w:t>日期：</w:t>
      </w:r>
      <w:r>
        <w:rPr>
          <w:sz w:val="21"/>
          <w:u w:val="single"/>
        </w:rPr>
        <w:t xml:space="preserve">                          </w:t>
      </w:r>
    </w:p>
    <w:p>
      <w:pPr>
        <w:pStyle w:val="null3"/>
        <w:jc w:val="both"/>
      </w:pPr>
      <w:r>
        <w:rPr>
          <w:sz w:val="21"/>
        </w:rPr>
        <w:t>签订日期：</w:t>
      </w:r>
      <w:r>
        <w:rPr>
          <w:sz w:val="21"/>
        </w:rPr>
        <w:t xml:space="preserve">      </w:t>
      </w:r>
      <w:r>
        <w:rPr>
          <w:sz w:val="21"/>
        </w:rPr>
        <w:t>年</w:t>
      </w:r>
      <w:r>
        <w:rPr>
          <w:sz w:val="21"/>
        </w:rPr>
        <w:t xml:space="preserve">  </w:t>
      </w:r>
      <w:r>
        <w:rPr>
          <w:sz w:val="21"/>
        </w:rPr>
        <w:t>月日</w:t>
      </w:r>
      <w:r>
        <w:rPr>
          <w:sz w:val="21"/>
        </w:rPr>
        <w:t xml:space="preserve">            </w:t>
      </w:r>
      <w:r>
        <w:rPr>
          <w:sz w:val="21"/>
        </w:rPr>
        <w:t>签订日期：</w:t>
      </w: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jc w:val="center"/>
      </w:pPr>
      <w:r>
        <w:rPr/>
        <w:t xml:space="preserve"> </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440101-2024-22746</w:t>
      </w:r>
    </w:p>
    <w:p>
      <w:pPr>
        <w:pStyle w:val="null3"/>
        <w:jc w:val="center"/>
        <w:outlineLvl w:val="3"/>
      </w:pPr>
      <w:r>
        <w:rPr>
          <w:sz w:val="24"/>
          <w:b/>
        </w:rPr>
        <w:t>采购项目编号：</w:t>
      </w:r>
      <w:r>
        <w:rPr>
          <w:sz w:val="24"/>
          <w:b/>
        </w:rPr>
        <w:t>GDYD241060</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十三、联合体共同投标协议书</w:t>
      </w:r>
    </w:p>
    <w:p>
      <w:pPr>
        <w:pStyle w:val="null3"/>
        <w:ind w:firstLine="480"/>
      </w:pPr>
      <w:r>
        <w:rPr/>
        <w:t>十四、投标人业绩情况表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广东远东招标代理有限公司</w:t>
      </w:r>
    </w:p>
    <w:p>
      <w:pPr>
        <w:pStyle w:val="null3"/>
        <w:ind w:firstLine="480"/>
      </w:pPr>
      <w:r>
        <w:rPr/>
        <w:t xml:space="preserve"> 你方组织的</w:t>
      </w:r>
      <w:r>
        <w:rPr>
          <w:u w:val="single"/>
        </w:rPr>
        <w:t>“</w:t>
      </w:r>
      <w:r>
        <w:rPr>
          <w:u w:val="single"/>
        </w:rPr>
        <w:t>体育场馆精细化预报预警服务</w:t>
      </w:r>
      <w:r>
        <w:rPr>
          <w:u w:val="single"/>
        </w:rPr>
        <w:t>”</w:t>
      </w:r>
      <w:r>
        <w:rPr/>
        <w:t>项目的招标[采购项目编号为：</w:t>
      </w:r>
      <w:r>
        <w:rPr>
          <w:u w:val="single"/>
        </w:rPr>
        <w:t>GDYD241060</w:t>
      </w:r>
      <w:r>
        <w:rPr/>
        <w:t>]，我方愿参与投标。</w:t>
      </w:r>
    </w:p>
    <w:p>
      <w:pPr>
        <w:pStyle w:val="null3"/>
        <w:ind w:firstLine="480"/>
      </w:pPr>
      <w:r>
        <w:rPr/>
        <w:t>我方确认收到贵方提供的</w:t>
      </w:r>
      <w:r>
        <w:rPr>
          <w:u w:val="single"/>
        </w:rPr>
        <w:t>“</w:t>
      </w:r>
      <w:r>
        <w:rPr>
          <w:u w:val="single"/>
        </w:rPr>
        <w:t>体育场馆精细化预报预警服务</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（三）我方愿意向贵方提供任何与本项报价有关的数据、情况和技术资料。若贵方需要，我方愿意提供我方作出的一切承诺的证明材料。</w:t>
      </w:r>
    </w:p>
    <w:p>
      <w:pPr>
        <w:pStyle w:val="null3"/>
        <w:ind w:firstLine="480"/>
      </w:pPr>
      <w:r>
        <w:rPr/>
        <w:t xml:space="preserve"> （四）我方理解贵方不一定接受最低投标价或任何贵方可能收到的投标。</w:t>
      </w:r>
    </w:p>
    <w:p>
      <w:pPr>
        <w:pStyle w:val="null3"/>
        <w:ind w:firstLine="480"/>
      </w:pPr>
      <w:r>
        <w:rPr/>
        <w:t xml:space="preserve"> （五）我方如果中标，将保证履行招标文件及其澄清、修改文件（如果有）中的全部责任和义务，按质、按量、按期完成《采购需求》及《合同书》中的全部任务。</w:t>
      </w:r>
    </w:p>
    <w:p>
      <w:pPr>
        <w:pStyle w:val="null3"/>
        <w:ind w:firstLine="480"/>
      </w:pPr>
      <w:r>
        <w:rPr/>
        <w:t xml:space="preserve"> （六）我方作为法律、财务和运作上独立于采购人、采购代理机构的投标人，在此保证所提交的所有文件和全部说明是真实的和正确的。</w:t>
      </w:r>
    </w:p>
    <w:p>
      <w:pPr>
        <w:pStyle w:val="null3"/>
        <w:ind w:firstLine="480"/>
      </w:pPr>
      <w:r>
        <w:rPr/>
        <w:t xml:space="preserve"> （七）我方投标报价已包含应向知识产权所有权人支付的所有相关税费，并保证采购人在中国使用我方提供的货物或服务时，如有第三方提出侵犯其知识产权主张的，责任由我方承担。</w:t>
      </w:r>
    </w:p>
    <w:p>
      <w:pPr>
        <w:pStyle w:val="null3"/>
        <w:ind w:firstLine="480"/>
      </w:pPr>
      <w:r>
        <w:rPr/>
        <w:t xml:space="preserve"> （八）我方接受采购人委托向贵方支付代理服务费，项目总报价已包含代理服务费，如果被确定为中标供应商，承诺向贵方足额支付。（若采购人支付代理服务费，则此条不适用）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（九）我方与其他投标人不存在法定代表人或单位负责人为同一人或者存在直接控股、管理关系。</w:t>
      </w:r>
    </w:p>
    <w:p>
      <w:pPr>
        <w:pStyle w:val="null3"/>
        <w:ind w:firstLine="480"/>
      </w:pPr>
      <w:r>
        <w:rPr/>
        <w:t xml:space="preserve"> （十）我方承诺未为本项目提供整体设计、规范编制或者项目管理、监理、检测等服务。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 xml:space="preserve"> （十三）我方具备《中华人民共和国政府采购法》第二十二条规定的条件，承诺如下：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（十四）我方对在本函及投标文件中所作的所有承诺承担法律责任。</w:t>
      </w:r>
    </w:p>
    <w:p>
      <w:pPr>
        <w:pStyle w:val="null3"/>
        <w:ind w:firstLine="480"/>
      </w:pPr>
      <w:r>
        <w:rPr/>
        <w:t xml:space="preserve"> （十五）所有与本招标有关的函件请发往下列地址：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体育场馆精细化预报预警服务</w:t>
      </w:r>
      <w:r>
        <w:rPr/>
        <w:t>”项目采购[采购项目编号为</w:t>
      </w:r>
      <w:r>
        <w:rPr/>
        <w:t>GDYD241060</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广州市气象台</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ind w:firstLine="480"/>
      </w:pPr>
      <w:r>
        <w:rPr>
          <w:b/>
        </w:rPr>
        <w:t>温馨提示：</w:t>
      </w:r>
    </w:p>
    <w:p>
      <w:pPr>
        <w:pStyle w:val="null3"/>
        <w:ind w:firstLine="480"/>
      </w:pPr>
      <w:r>
        <w:rP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pPr>
      <w:r>
        <w:rPr/>
        <w:t xml:space="preserve">  </w:t>
      </w:r>
    </w:p>
    <w:p>
      <w:pPr>
        <w:pStyle w:val="null3"/>
        <w:ind w:firstLine="480"/>
      </w:pPr>
      <w:r>
        <w:rPr/>
        <w:t>中小企业声明函（所响应产品制造商为中小企业时提交本函，所属行业应符合采购文件中明确的本项目所属行业）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格式十九：</w:t>
      </w:r>
    </w:p>
    <w:p>
      <w:pPr>
        <w:pStyle w:val="null3"/>
        <w:jc w:val="center"/>
        <w:outlineLvl w:val="3"/>
      </w:pPr>
      <w:r>
        <w:rPr>
          <w:sz w:val="24"/>
          <w:b/>
        </w:rPr>
        <w:t>采购代理服务费支付承诺书</w:t>
      </w:r>
    </w:p>
    <w:p>
      <w:pPr>
        <w:pStyle w:val="null3"/>
        <w:ind w:firstLine="480"/>
      </w:pPr>
      <w:r>
        <w:rPr/>
        <w:t>致：</w:t>
      </w:r>
      <w:r>
        <w:rPr/>
        <w:t>广东远东招标代理有限公司</w:t>
      </w:r>
    </w:p>
    <w:p>
      <w:pPr>
        <w:pStyle w:val="null3"/>
        <w:ind w:firstLine="480"/>
      </w:pPr>
      <w:r>
        <w:rPr/>
        <w:t xml:space="preserve"> 如果我方在贵采购代理机构组织的</w:t>
      </w:r>
      <w:r>
        <w:rPr/>
        <w:t>体育场馆精细化预报预警服务</w:t>
      </w:r>
      <w:r>
        <w:rPr/>
        <w:t>招标中获中标（采购项目编号：</w:t>
      </w:r>
      <w:r>
        <w:rPr/>
        <w:t>GDYD241060</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广东远东招标代理有限公司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