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eastAsiaTheme="minorEastAsia"/>
          <w:color w:val="auto"/>
          <w:sz w:val="28"/>
          <w:highlight w:val="none"/>
        </w:rPr>
      </w:pPr>
    </w:p>
    <w:p>
      <w:pPr>
        <w:spacing w:line="288" w:lineRule="auto"/>
        <w:jc w:val="center"/>
        <w:rPr>
          <w:rFonts w:hint="default" w:ascii="Times New Roman" w:hAnsi="Times New Roman" w:cs="Times New Roman" w:eastAsiaTheme="minorEastAsia"/>
          <w:color w:val="auto"/>
          <w:sz w:val="48"/>
          <w:szCs w:val="48"/>
          <w:highlight w:val="none"/>
          <w:lang w:eastAsia="zh-CN"/>
        </w:rPr>
      </w:pPr>
    </w:p>
    <w:p>
      <w:pPr>
        <w:spacing w:line="288" w:lineRule="auto"/>
        <w:jc w:val="center"/>
        <w:rPr>
          <w:rFonts w:hint="default" w:ascii="Times New Roman" w:hAnsi="Times New Roman" w:cs="Times New Roman" w:eastAsiaTheme="minorEastAsia"/>
          <w:color w:val="auto"/>
          <w:sz w:val="48"/>
          <w:szCs w:val="48"/>
          <w:highlight w:val="none"/>
          <w:lang w:eastAsia="zh-CN"/>
        </w:rPr>
      </w:pPr>
      <w:r>
        <w:rPr>
          <w:rFonts w:hint="eastAsia" w:cs="Times New Roman" w:eastAsiaTheme="minorEastAsia"/>
          <w:color w:val="auto"/>
          <w:sz w:val="48"/>
          <w:szCs w:val="48"/>
          <w:highlight w:val="none"/>
          <w:lang w:eastAsia="zh-CN"/>
        </w:rPr>
        <w:t>佛山市消防救援支队购买团体意外伤害保险项目</w:t>
      </w:r>
    </w:p>
    <w:p>
      <w:pPr>
        <w:pStyle w:val="17"/>
        <w:rPr>
          <w:rFonts w:hint="default" w:ascii="Times New Roman" w:hAnsi="Times New Roman" w:cs="Times New Roman" w:eastAsiaTheme="minorEastAsia"/>
          <w:color w:val="auto"/>
          <w:sz w:val="48"/>
          <w:szCs w:val="48"/>
          <w:highlight w:val="none"/>
          <w:lang w:eastAsia="zh-CN"/>
        </w:rPr>
      </w:pPr>
    </w:p>
    <w:p>
      <w:pPr>
        <w:rPr>
          <w:rFonts w:hint="default" w:ascii="Times New Roman" w:hAnsi="Times New Roman" w:cs="Times New Roman" w:eastAsiaTheme="minorEastAsia"/>
          <w:color w:val="auto"/>
          <w:sz w:val="48"/>
          <w:szCs w:val="48"/>
          <w:highlight w:val="none"/>
          <w:lang w:eastAsia="zh-CN"/>
        </w:rPr>
      </w:pPr>
    </w:p>
    <w:p>
      <w:pPr>
        <w:pStyle w:val="17"/>
        <w:rPr>
          <w:rFonts w:hint="default" w:ascii="Times New Roman" w:hAnsi="Times New Roman" w:cs="Times New Roman" w:eastAsiaTheme="minorEastAsia"/>
          <w:color w:val="auto"/>
          <w:highlight w:val="none"/>
          <w:lang w:eastAsia="zh-CN"/>
        </w:rPr>
      </w:pPr>
    </w:p>
    <w:p>
      <w:pPr>
        <w:pStyle w:val="17"/>
        <w:rPr>
          <w:rFonts w:hint="default" w:ascii="Times New Roman" w:hAnsi="Times New Roman" w:cs="Times New Roman" w:eastAsiaTheme="minorEastAsia"/>
          <w:color w:val="auto"/>
          <w:highlight w:val="none"/>
          <w:lang w:eastAsia="zh-CN"/>
        </w:rPr>
      </w:pPr>
    </w:p>
    <w:p>
      <w:pPr>
        <w:rPr>
          <w:rFonts w:hint="default" w:ascii="Times New Roman" w:hAnsi="Times New Roman" w:cs="Times New Roman" w:eastAsiaTheme="minorEastAsia"/>
          <w:color w:val="auto"/>
          <w:highlight w:val="none"/>
          <w:lang w:eastAsia="zh-CN"/>
        </w:rPr>
      </w:pPr>
    </w:p>
    <w:p>
      <w:pPr>
        <w:spacing w:line="1600" w:lineRule="atLeast"/>
        <w:jc w:val="center"/>
        <w:rPr>
          <w:rFonts w:hint="default" w:ascii="Times New Roman" w:hAnsi="Times New Roman" w:cs="Times New Roman" w:eastAsiaTheme="minorEastAsia"/>
          <w:color w:val="auto"/>
          <w:sz w:val="48"/>
          <w:szCs w:val="48"/>
          <w:highlight w:val="none"/>
        </w:rPr>
      </w:pPr>
      <w:r>
        <w:rPr>
          <w:rFonts w:hint="default" w:ascii="Times New Roman" w:hAnsi="Times New Roman" w:cs="Times New Roman" w:eastAsiaTheme="minorEastAsia"/>
          <w:color w:val="auto"/>
          <w:sz w:val="48"/>
          <w:szCs w:val="48"/>
          <w:highlight w:val="none"/>
        </w:rPr>
        <w:t>竞争性磋商文件</w:t>
      </w:r>
    </w:p>
    <w:p>
      <w:pPr>
        <w:spacing w:line="500" w:lineRule="exact"/>
        <w:rPr>
          <w:rFonts w:hint="default" w:ascii="Times New Roman" w:hAnsi="Times New Roman" w:cs="Times New Roman" w:eastAsiaTheme="minorEastAsia"/>
          <w:bCs/>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5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1" w:type="dxa"/>
            <w:tcBorders>
              <w:top w:val="nil"/>
              <w:left w:val="nil"/>
              <w:bottom w:val="nil"/>
              <w:right w:val="nil"/>
            </w:tcBorders>
            <w:noWrap w:val="0"/>
            <w:vAlign w:val="top"/>
          </w:tcPr>
          <w:p>
            <w:pPr>
              <w:spacing w:line="500" w:lineRule="exact"/>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 xml:space="preserve">项目编号： </w:t>
            </w:r>
          </w:p>
        </w:tc>
        <w:tc>
          <w:tcPr>
            <w:tcW w:w="5548" w:type="dxa"/>
            <w:tcBorders>
              <w:top w:val="nil"/>
              <w:left w:val="nil"/>
              <w:bottom w:val="nil"/>
              <w:right w:val="nil"/>
            </w:tcBorders>
            <w:noWrap w:val="0"/>
            <w:vAlign w:val="top"/>
          </w:tcPr>
          <w:p>
            <w:pPr>
              <w:spacing w:line="500" w:lineRule="exact"/>
              <w:rPr>
                <w:rFonts w:hint="default" w:ascii="Times New Roman" w:hAnsi="Times New Roman" w:cs="Times New Roman" w:eastAsiaTheme="minorEastAsia"/>
                <w:b/>
                <w:bCs/>
                <w:color w:val="auto"/>
                <w:sz w:val="24"/>
                <w:highlight w:val="none"/>
                <w:lang w:eastAsia="zh-CN"/>
              </w:rPr>
            </w:pPr>
            <w:r>
              <w:rPr>
                <w:rFonts w:hint="eastAsia" w:cs="Times New Roman" w:eastAsiaTheme="minorEastAsia"/>
                <w:b/>
                <w:bCs/>
                <w:color w:val="auto"/>
                <w:sz w:val="24"/>
                <w:highlight w:val="none"/>
                <w:lang w:eastAsia="zh-CN"/>
              </w:rPr>
              <w:t>2023XFCG-09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31" w:type="dxa"/>
            <w:tcBorders>
              <w:top w:val="nil"/>
              <w:left w:val="nil"/>
              <w:bottom w:val="nil"/>
              <w:right w:val="nil"/>
            </w:tcBorders>
            <w:noWrap w:val="0"/>
            <w:vAlign w:val="top"/>
          </w:tcPr>
          <w:p>
            <w:pPr>
              <w:spacing w:before="157" w:beforeLines="50" w:line="500" w:lineRule="exact"/>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 xml:space="preserve">项目名称： </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p>
        </w:tc>
        <w:tc>
          <w:tcPr>
            <w:tcW w:w="5548" w:type="dxa"/>
            <w:tcBorders>
              <w:top w:val="nil"/>
              <w:left w:val="nil"/>
              <w:bottom w:val="nil"/>
              <w:right w:val="nil"/>
            </w:tcBorders>
            <w:noWrap w:val="0"/>
            <w:vAlign w:val="top"/>
          </w:tcPr>
          <w:p>
            <w:pPr>
              <w:spacing w:before="157" w:beforeLines="50" w:line="500" w:lineRule="exact"/>
              <w:rPr>
                <w:rFonts w:hint="default" w:ascii="Times New Roman" w:hAnsi="Times New Roman" w:cs="Times New Roman" w:eastAsiaTheme="minorEastAsia"/>
                <w:b/>
                <w:bCs/>
                <w:color w:val="auto"/>
                <w:sz w:val="24"/>
                <w:highlight w:val="none"/>
                <w:lang w:eastAsia="zh-CN"/>
              </w:rPr>
            </w:pPr>
            <w:r>
              <w:rPr>
                <w:rFonts w:hint="eastAsia" w:cs="Times New Roman" w:eastAsiaTheme="minorEastAsia"/>
                <w:b/>
                <w:bCs/>
                <w:color w:val="auto"/>
                <w:sz w:val="24"/>
                <w:highlight w:val="none"/>
                <w:lang w:eastAsia="zh-CN"/>
              </w:rPr>
              <w:t>佛山市消防救援支队购买团体意外伤害保险项目</w:t>
            </w:r>
          </w:p>
        </w:tc>
      </w:tr>
    </w:tbl>
    <w:p>
      <w:pPr>
        <w:spacing w:line="360" w:lineRule="auto"/>
        <w:rPr>
          <w:rFonts w:hint="default" w:ascii="Times New Roman" w:hAnsi="Times New Roman" w:cs="Times New Roman" w:eastAsiaTheme="minorEastAsia"/>
          <w:b/>
          <w:color w:val="auto"/>
          <w:sz w:val="28"/>
          <w:highlight w:val="none"/>
        </w:rPr>
      </w:pPr>
    </w:p>
    <w:p>
      <w:pPr>
        <w:spacing w:line="360" w:lineRule="auto"/>
        <w:jc w:val="center"/>
        <w:rPr>
          <w:rFonts w:hint="default" w:ascii="Times New Roman" w:hAnsi="Times New Roman" w:cs="Times New Roman" w:eastAsiaTheme="minorEastAsia"/>
          <w:b/>
          <w:color w:val="auto"/>
          <w:sz w:val="28"/>
          <w:highlight w:val="none"/>
        </w:rPr>
      </w:pPr>
    </w:p>
    <w:p>
      <w:pPr>
        <w:pStyle w:val="31"/>
        <w:ind w:left="1470" w:right="1470"/>
        <w:rPr>
          <w:rFonts w:hint="default" w:ascii="Times New Roman" w:hAnsi="Times New Roman" w:cs="Times New Roman" w:eastAsiaTheme="minorEastAsia"/>
          <w:b/>
          <w:color w:val="auto"/>
          <w:sz w:val="28"/>
          <w:highlight w:val="none"/>
        </w:rPr>
      </w:pPr>
    </w:p>
    <w:p>
      <w:pPr>
        <w:pStyle w:val="31"/>
        <w:ind w:left="1470" w:right="1470"/>
        <w:rPr>
          <w:rFonts w:hint="default" w:ascii="Times New Roman" w:hAnsi="Times New Roman" w:cs="Times New Roman" w:eastAsiaTheme="minorEastAsia"/>
          <w:b/>
          <w:color w:val="auto"/>
          <w:sz w:val="28"/>
          <w:highlight w:val="none"/>
        </w:rPr>
      </w:pPr>
    </w:p>
    <w:p>
      <w:pPr>
        <w:pStyle w:val="31"/>
        <w:ind w:left="1470" w:right="1470"/>
        <w:rPr>
          <w:rFonts w:hint="default" w:ascii="Times New Roman" w:hAnsi="Times New Roman" w:cs="Times New Roman" w:eastAsiaTheme="minorEastAsia"/>
          <w:b/>
          <w:color w:val="auto"/>
          <w:sz w:val="28"/>
          <w:highlight w:val="none"/>
        </w:rPr>
      </w:pPr>
    </w:p>
    <w:p>
      <w:pPr>
        <w:pStyle w:val="31"/>
        <w:ind w:left="1470" w:right="1470"/>
        <w:rPr>
          <w:rFonts w:hint="default" w:ascii="Times New Roman" w:hAnsi="Times New Roman" w:cs="Times New Roman" w:eastAsiaTheme="minorEastAsia"/>
          <w:b/>
          <w:color w:val="auto"/>
          <w:sz w:val="28"/>
          <w:highlight w:val="none"/>
        </w:rPr>
      </w:pPr>
    </w:p>
    <w:p>
      <w:pPr>
        <w:pStyle w:val="31"/>
        <w:ind w:left="1470" w:right="1470"/>
        <w:rPr>
          <w:rFonts w:hint="default" w:ascii="Times New Roman" w:hAnsi="Times New Roman" w:cs="Times New Roman" w:eastAsiaTheme="minorEastAsia"/>
          <w:b/>
          <w:color w:val="auto"/>
          <w:sz w:val="28"/>
          <w:highlight w:val="none"/>
        </w:rPr>
      </w:pPr>
    </w:p>
    <w:p>
      <w:pPr>
        <w:pStyle w:val="31"/>
        <w:ind w:left="0" w:leftChars="0" w:right="1470"/>
        <w:rPr>
          <w:rFonts w:hint="default" w:ascii="Times New Roman" w:hAnsi="Times New Roman" w:cs="Times New Roman" w:eastAsiaTheme="minorEastAsia"/>
          <w:b/>
          <w:color w:val="auto"/>
          <w:sz w:val="28"/>
          <w:highlight w:val="none"/>
        </w:rPr>
      </w:pPr>
    </w:p>
    <w:p>
      <w:pPr>
        <w:spacing w:line="360" w:lineRule="auto"/>
        <w:jc w:val="center"/>
        <w:rPr>
          <w:rFonts w:hint="default" w:ascii="Times New Roman" w:hAnsi="Times New Roman" w:cs="Times New Roman" w:eastAsiaTheme="minorEastAsia"/>
          <w:b/>
          <w:bCs/>
          <w:color w:val="auto"/>
          <w:sz w:val="28"/>
          <w:highlight w:val="none"/>
          <w:lang w:eastAsia="zh-CN"/>
        </w:rPr>
      </w:pPr>
      <w:r>
        <w:rPr>
          <w:rFonts w:hint="default" w:ascii="Times New Roman" w:hAnsi="Times New Roman" w:cs="Times New Roman" w:eastAsiaTheme="minorEastAsia"/>
          <w:b/>
          <w:bCs/>
          <w:color w:val="auto"/>
          <w:sz w:val="28"/>
          <w:highlight w:val="none"/>
          <w:lang w:eastAsia="zh-CN"/>
        </w:rPr>
        <w:t>采购人：佛山市消防救援支队</w:t>
      </w:r>
    </w:p>
    <w:p>
      <w:pPr>
        <w:spacing w:line="360" w:lineRule="auto"/>
        <w:jc w:val="center"/>
        <w:rPr>
          <w:rFonts w:hint="default" w:ascii="Times New Roman" w:hAnsi="Times New Roman" w:cs="Times New Roman" w:eastAsiaTheme="minorEastAsia"/>
          <w:b/>
          <w:bCs/>
          <w:color w:val="auto"/>
          <w:sz w:val="28"/>
          <w:szCs w:val="28"/>
          <w:highlight w:val="none"/>
          <w:lang w:eastAsia="zh-CN"/>
        </w:rPr>
      </w:pPr>
      <w:r>
        <w:rPr>
          <w:rFonts w:hint="default" w:ascii="Times New Roman" w:hAnsi="Times New Roman" w:cs="Times New Roman" w:eastAsiaTheme="minorEastAsia"/>
          <w:b/>
          <w:bCs/>
          <w:color w:val="auto"/>
          <w:sz w:val="28"/>
          <w:szCs w:val="28"/>
          <w:highlight w:val="none"/>
          <w:lang w:eastAsia="zh-CN"/>
        </w:rPr>
        <w:t>采购代理机构：广东远东招标代理有限公司</w:t>
      </w:r>
    </w:p>
    <w:p>
      <w:pPr>
        <w:spacing w:line="360" w:lineRule="auto"/>
        <w:jc w:val="center"/>
        <w:rPr>
          <w:rFonts w:hint="default" w:ascii="Times New Roman" w:hAnsi="Times New Roman" w:cs="Times New Roman" w:eastAsiaTheme="minorEastAsia"/>
          <w:b/>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588" w:header="567" w:footer="737" w:gutter="0"/>
          <w:cols w:space="720" w:num="1"/>
          <w:titlePg/>
          <w:docGrid w:linePitch="312" w:charSpace="0"/>
        </w:sectPr>
      </w:pPr>
      <w:r>
        <w:rPr>
          <w:rFonts w:hint="default" w:ascii="Times New Roman" w:hAnsi="Times New Roman" w:cs="Times New Roman" w:eastAsiaTheme="minorEastAsia"/>
          <w:b/>
          <w:bCs/>
          <w:color w:val="auto"/>
          <w:sz w:val="28"/>
          <w:szCs w:val="28"/>
          <w:highlight w:val="none"/>
        </w:rPr>
        <w:t>发布日期：202</w:t>
      </w:r>
      <w:r>
        <w:rPr>
          <w:rFonts w:hint="default" w:ascii="Times New Roman" w:hAnsi="Times New Roman" w:cs="Times New Roman" w:eastAsiaTheme="minorEastAsia"/>
          <w:b/>
          <w:bCs/>
          <w:color w:val="auto"/>
          <w:sz w:val="28"/>
          <w:szCs w:val="28"/>
          <w:highlight w:val="none"/>
          <w:lang w:val="en-US" w:eastAsia="zh-CN"/>
        </w:rPr>
        <w:t>3</w:t>
      </w:r>
      <w:r>
        <w:rPr>
          <w:rFonts w:hint="default" w:ascii="Times New Roman" w:hAnsi="Times New Roman" w:cs="Times New Roman" w:eastAsiaTheme="minorEastAsia"/>
          <w:b/>
          <w:bCs/>
          <w:color w:val="auto"/>
          <w:sz w:val="28"/>
          <w:szCs w:val="28"/>
          <w:highlight w:val="none"/>
        </w:rPr>
        <w:t>年</w:t>
      </w:r>
      <w:r>
        <w:rPr>
          <w:rFonts w:hint="eastAsia" w:cs="Times New Roman" w:eastAsiaTheme="minorEastAsia"/>
          <w:b/>
          <w:bCs/>
          <w:color w:val="auto"/>
          <w:sz w:val="28"/>
          <w:szCs w:val="28"/>
          <w:highlight w:val="none"/>
          <w:lang w:eastAsia="zh-CN"/>
        </w:rPr>
        <w:t>十二</w:t>
      </w:r>
      <w:r>
        <w:rPr>
          <w:rFonts w:hint="default" w:ascii="Times New Roman" w:hAnsi="Times New Roman" w:cs="Times New Roman" w:eastAsiaTheme="minorEastAsia"/>
          <w:b/>
          <w:bCs/>
          <w:color w:val="auto"/>
          <w:sz w:val="28"/>
          <w:szCs w:val="28"/>
          <w:highlight w:val="none"/>
        </w:rPr>
        <w:t>月</w:t>
      </w:r>
      <w:bookmarkStart w:id="0" w:name="_Toc136662904"/>
      <w:bookmarkStart w:id="1" w:name="_Toc159385039"/>
      <w:bookmarkStart w:id="2" w:name="_Toc136682880"/>
    </w:p>
    <w:bookmarkEnd w:id="0"/>
    <w:bookmarkEnd w:id="1"/>
    <w:bookmarkEnd w:id="2"/>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bCs/>
          <w:color w:val="auto"/>
          <w:sz w:val="36"/>
          <w:highlight w:val="none"/>
        </w:rPr>
      </w:pPr>
      <w:bookmarkStart w:id="3" w:name="_Toc49329246"/>
      <w:bookmarkStart w:id="4" w:name="_Toc113157415"/>
      <w:r>
        <w:rPr>
          <w:rFonts w:hint="default" w:ascii="Times New Roman" w:hAnsi="Times New Roman" w:cs="Times New Roman" w:eastAsiaTheme="minorEastAsia"/>
          <w:b/>
          <w:bCs/>
          <w:color w:val="auto"/>
          <w:sz w:val="36"/>
          <w:highlight w:val="none"/>
        </w:rPr>
        <w:t>目 录</w:t>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TOC \o "1-3" \h \u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color w:val="auto"/>
          <w:szCs w:val="24"/>
          <w:highlight w:val="none"/>
        </w:rPr>
        <w:instrText xml:space="preserve"> HYPERLINK \l _Toc20100 </w:instrText>
      </w:r>
      <w:r>
        <w:rPr>
          <w:rFonts w:hint="default" w:ascii="Times New Roman" w:hAnsi="Times New Roman" w:cs="Times New Roman" w:eastAsiaTheme="minorEastAsia"/>
          <w:color w:val="auto"/>
          <w:szCs w:val="24"/>
          <w:highlight w:val="none"/>
        </w:rPr>
        <w:fldChar w:fldCharType="separate"/>
      </w:r>
      <w:r>
        <w:rPr>
          <w:rFonts w:hint="default" w:ascii="Times New Roman" w:hAnsi="Times New Roman" w:cs="Times New Roman" w:eastAsiaTheme="minorEastAsia"/>
          <w:bCs/>
          <w:color w:val="auto"/>
          <w:highlight w:val="none"/>
        </w:rPr>
        <w:t xml:space="preserve">第一部分   </w:t>
      </w:r>
      <w:r>
        <w:rPr>
          <w:rFonts w:hint="default" w:ascii="Times New Roman" w:hAnsi="Times New Roman" w:cs="Times New Roman" w:eastAsiaTheme="minorEastAsia"/>
          <w:bCs/>
          <w:color w:val="auto"/>
          <w:highlight w:val="none"/>
          <w:lang w:eastAsia="zh-CN"/>
        </w:rPr>
        <w:t>投标</w:t>
      </w:r>
      <w:r>
        <w:rPr>
          <w:rFonts w:hint="default" w:ascii="Times New Roman" w:hAnsi="Times New Roman" w:cs="Times New Roman" w:eastAsiaTheme="minorEastAsia"/>
          <w:bCs/>
          <w:color w:val="auto"/>
          <w:highlight w:val="none"/>
        </w:rPr>
        <w:t>邀请函</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_Toc20100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szCs w:val="24"/>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_Toc25824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第二部分   采购项目内容</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_Toc25824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8</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_Toc13986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i w:val="0"/>
          <w:color w:val="auto"/>
          <w:highlight w:val="none"/>
        </w:rPr>
        <w:t xml:space="preserve">一、 </w:t>
      </w:r>
      <w:r>
        <w:rPr>
          <w:rFonts w:hint="default" w:ascii="Times New Roman" w:hAnsi="Times New Roman" w:cs="Times New Roman" w:eastAsiaTheme="minorEastAsia"/>
          <w:color w:val="auto"/>
          <w:highlight w:val="none"/>
        </w:rPr>
        <w:t>采购项目技术要求</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_Toc13986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_Toc15752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i w:val="0"/>
          <w:color w:val="auto"/>
          <w:highlight w:val="none"/>
        </w:rPr>
        <w:t xml:space="preserve">二、 </w:t>
      </w:r>
      <w:r>
        <w:rPr>
          <w:rFonts w:hint="default" w:ascii="Times New Roman" w:hAnsi="Times New Roman" w:cs="Times New Roman" w:eastAsiaTheme="minorEastAsia"/>
          <w:color w:val="auto"/>
          <w:highlight w:val="none"/>
        </w:rPr>
        <w:t>采购项目商务要求</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_Toc15752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_Toc10048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第三部分   供应商须知</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_Toc10048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_Toc909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一、 概念释义</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_Toc909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17</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_Toc25913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二、 采购文件说明</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_Toc25913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_Toc21419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三、 响应文件说明</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_Toc21419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20</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_Toc10345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四、 磋商小组的组成及评审程序</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_Toc10345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22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_Toc31394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五、 评审方法及标准</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_Toc31394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22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_Toc25039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第四部分   合同书范本</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_Toc25039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34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_Toc2681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第五部分   响应文件格式</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_Toc2681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_Toc18006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48"/>
          <w:highlight w:val="none"/>
        </w:rPr>
        <w:t>响应文件目录</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_Toc18006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_Toc16804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第一章  资格性文件</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_Toc16804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_Toc4542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48"/>
          <w:highlight w:val="none"/>
        </w:rPr>
        <w:t>资格性文件清单</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_Toc4542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45</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_Toc28958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一、 响应承诺函</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_Toc28958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46</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_Toc11842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1.2 法定代表人/负责人</w:t>
      </w:r>
      <w:r>
        <w:rPr>
          <w:rFonts w:hint="default" w:ascii="Times New Roman" w:hAnsi="Times New Roman" w:cs="Times New Roman" w:eastAsiaTheme="minorEastAsia"/>
          <w:color w:val="auto"/>
          <w:szCs w:val="36"/>
          <w:highlight w:val="none"/>
          <w:lang w:eastAsia="zh-CN"/>
        </w:rPr>
        <w:t>证明</w:t>
      </w:r>
      <w:r>
        <w:rPr>
          <w:rFonts w:hint="default" w:ascii="Times New Roman" w:hAnsi="Times New Roman" w:cs="Times New Roman" w:eastAsiaTheme="minorEastAsia"/>
          <w:color w:val="auto"/>
          <w:szCs w:val="36"/>
          <w:highlight w:val="none"/>
        </w:rPr>
        <w:t>书</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_Toc11842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47</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_Toc13036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1.3 法</w:t>
      </w:r>
      <w:r>
        <w:rPr>
          <w:rFonts w:hint="default" w:ascii="Times New Roman" w:hAnsi="Times New Roman" w:cs="Times New Roman" w:eastAsiaTheme="minorEastAsia"/>
          <w:color w:val="auto"/>
          <w:szCs w:val="36"/>
          <w:highlight w:val="none"/>
          <w:lang w:val="en-US" w:eastAsia="zh-CN"/>
        </w:rPr>
        <w:t>定代表人</w:t>
      </w:r>
      <w:r>
        <w:rPr>
          <w:rFonts w:hint="default" w:ascii="Times New Roman" w:hAnsi="Times New Roman" w:cs="Times New Roman" w:eastAsiaTheme="minorEastAsia"/>
          <w:color w:val="auto"/>
          <w:szCs w:val="36"/>
          <w:highlight w:val="none"/>
          <w:lang w:val="en-US"/>
        </w:rPr>
        <w:t>（负责人）授权书</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_Toc13036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48</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_Toc22046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w:t>
      </w:r>
      <w:r>
        <w:rPr>
          <w:rFonts w:hint="default" w:ascii="Times New Roman" w:hAnsi="Times New Roman" w:cs="Times New Roman" w:eastAsiaTheme="minorEastAsia"/>
          <w:color w:val="auto"/>
          <w:szCs w:val="36"/>
          <w:highlight w:val="none"/>
          <w:lang w:val="en-US" w:eastAsia="zh-CN"/>
        </w:rPr>
        <w:t>4</w:t>
      </w:r>
      <w:r>
        <w:rPr>
          <w:rFonts w:hint="default" w:ascii="Times New Roman" w:hAnsi="Times New Roman" w:cs="Times New Roman" w:eastAsiaTheme="minorEastAsia"/>
          <w:color w:val="auto"/>
          <w:szCs w:val="36"/>
          <w:highlight w:val="none"/>
          <w:lang w:val="en-US"/>
        </w:rPr>
        <w:t xml:space="preserve"> 守法经营声明书</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_Toc22046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_Toc24426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w:t>
      </w:r>
      <w:r>
        <w:rPr>
          <w:rFonts w:hint="default" w:ascii="Times New Roman" w:hAnsi="Times New Roman" w:cs="Times New Roman" w:eastAsiaTheme="minorEastAsia"/>
          <w:color w:val="auto"/>
          <w:szCs w:val="36"/>
          <w:highlight w:val="none"/>
          <w:lang w:val="en-US" w:eastAsia="zh-CN"/>
        </w:rPr>
        <w:t>5</w:t>
      </w:r>
      <w:r>
        <w:rPr>
          <w:rFonts w:hint="default" w:ascii="Times New Roman" w:hAnsi="Times New Roman" w:cs="Times New Roman" w:eastAsiaTheme="minorEastAsia"/>
          <w:color w:val="auto"/>
          <w:szCs w:val="36"/>
          <w:highlight w:val="none"/>
          <w:lang w:val="en-US"/>
        </w:rPr>
        <w:t xml:space="preserve"> 其他证明材料</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_Toc24426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50</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_Toc6029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第二章  评审内容索引</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_Toc6029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_Toc11522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2.1 评审内容索引表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_Toc11522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_Toc17720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第三章  商务部分</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_Toc17720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_Toc31818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3.1 商务条款响应表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_Toc31818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55</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_Toc31651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3.2 综合概况</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_Toc31651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56</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_Toc13487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 xml:space="preserve">3.4 </w:t>
      </w:r>
      <w:r>
        <w:rPr>
          <w:rFonts w:hint="default" w:ascii="Times New Roman" w:hAnsi="Times New Roman" w:cs="Times New Roman" w:eastAsiaTheme="minorEastAsia"/>
          <w:color w:val="auto"/>
          <w:szCs w:val="36"/>
          <w:highlight w:val="none"/>
        </w:rPr>
        <w:t>报价汇总表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_Toc13487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58</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_Toc7183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第四章  技术部分</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_Toc7183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_Toc20510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4.1 技术条款响应表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_Toc20510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60</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_Toc21633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4.2 技术方案总体内容</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_Toc21633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61</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_Toc17684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第五章  其他文件</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_Toc17684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bCs/>
          <w:color w:val="auto"/>
          <w:sz w:val="36"/>
          <w:highlight w:val="none"/>
        </w:rPr>
      </w:pPr>
      <w:r>
        <w:rPr>
          <w:rFonts w:hint="default" w:ascii="Times New Roman" w:hAnsi="Times New Roman" w:cs="Times New Roman" w:eastAsiaTheme="minorEastAsia"/>
          <w:bCs/>
          <w:color w:val="auto"/>
          <w:szCs w:val="24"/>
          <w:highlight w:val="none"/>
        </w:rPr>
        <w:fldChar w:fldCharType="end"/>
      </w:r>
    </w:p>
    <w:bookmarkEnd w:id="3"/>
    <w:bookmarkEnd w:id="4"/>
    <w:p>
      <w:pPr>
        <w:pStyle w:val="3"/>
        <w:pageBreakBefore/>
        <w:spacing w:line="360" w:lineRule="auto"/>
        <w:ind w:left="0" w:firstLine="0"/>
        <w:rPr>
          <w:rFonts w:hint="default" w:ascii="Times New Roman" w:hAnsi="Times New Roman" w:cs="Times New Roman" w:eastAsiaTheme="minorEastAsia"/>
          <w:color w:val="auto"/>
          <w:highlight w:val="none"/>
        </w:rPr>
        <w:sectPr>
          <w:headerReference r:id="rId9" w:type="default"/>
          <w:footerReference r:id="rId10" w:type="default"/>
          <w:pgSz w:w="11906" w:h="16838"/>
          <w:pgMar w:top="1440" w:right="1080" w:bottom="1440" w:left="1080" w:header="567" w:footer="737" w:gutter="0"/>
          <w:pgNumType w:fmt="decimal" w:start="2"/>
          <w:cols w:space="720" w:num="1"/>
          <w:docGrid w:linePitch="312" w:charSpace="0"/>
        </w:sectPr>
      </w:pPr>
      <w:bookmarkStart w:id="5" w:name="_Toc259803655"/>
      <w:bookmarkStart w:id="6" w:name="_Toc18658"/>
      <w:bookmarkStart w:id="7" w:name="_Toc25854"/>
      <w:bookmarkStart w:id="8" w:name="_Toc14922"/>
      <w:bookmarkStart w:id="9" w:name="_Toc373767185"/>
      <w:bookmarkStart w:id="10" w:name="_Toc28558"/>
      <w:bookmarkStart w:id="11" w:name="_Toc20100"/>
      <w:bookmarkStart w:id="12" w:name="_Toc310519872"/>
      <w:bookmarkStart w:id="13" w:name="_Toc20214"/>
      <w:bookmarkStart w:id="14" w:name="_Toc419106549"/>
      <w:bookmarkStart w:id="15" w:name="_Toc325031928"/>
      <w:bookmarkStart w:id="16" w:name="_Toc21717"/>
      <w:bookmarkStart w:id="17" w:name="_Toc17441"/>
      <w:bookmarkStart w:id="18" w:name="_Toc49329247"/>
      <w:bookmarkStart w:id="19" w:name="_Toc78604588"/>
      <w:bookmarkStart w:id="20" w:name="_Toc419106550"/>
      <w:bookmarkStart w:id="21" w:name="_Toc525311882"/>
      <w:bookmarkStart w:id="22" w:name="_Toc325031929"/>
      <w:bookmarkStart w:id="23" w:name="_Toc259803656"/>
      <w:bookmarkStart w:id="24" w:name="_Toc25825"/>
      <w:bookmarkStart w:id="25" w:name="_Toc310519873"/>
      <w:bookmarkStart w:id="26" w:name="_Toc7959"/>
      <w:bookmarkStart w:id="27" w:name="_Toc373767186"/>
      <w:bookmarkStart w:id="28" w:name="_Toc15852"/>
      <w:bookmarkStart w:id="29" w:name="_Toc17683"/>
      <w:bookmarkStart w:id="30" w:name="_Toc22533"/>
      <w:bookmarkStart w:id="31" w:name="_Toc113157416"/>
      <w:r>
        <w:rPr>
          <w:rFonts w:hint="default" w:ascii="Times New Roman" w:hAnsi="Times New Roman" w:cs="Times New Roman" w:eastAsiaTheme="minorEastAsia"/>
          <w:b w:val="0"/>
          <w:bCs/>
          <w:color w:val="auto"/>
          <w:highlight w:val="none"/>
        </w:rPr>
        <w:t xml:space="preserve">第一部分   </w:t>
      </w:r>
      <w:r>
        <w:rPr>
          <w:rFonts w:hint="default" w:ascii="Times New Roman" w:hAnsi="Times New Roman" w:cs="Times New Roman" w:eastAsiaTheme="minorEastAsia"/>
          <w:b w:val="0"/>
          <w:bCs/>
          <w:color w:val="auto"/>
          <w:highlight w:val="none"/>
          <w:lang w:eastAsia="zh-CN"/>
        </w:rPr>
        <w:t>投标</w:t>
      </w:r>
      <w:r>
        <w:rPr>
          <w:rFonts w:hint="default" w:ascii="Times New Roman" w:hAnsi="Times New Roman" w:cs="Times New Roman" w:eastAsiaTheme="minorEastAsia"/>
          <w:b w:val="0"/>
          <w:bCs/>
          <w:color w:val="auto"/>
          <w:highlight w:val="none"/>
        </w:rPr>
        <w:t>邀请函</w:t>
      </w:r>
      <w:bookmarkEnd w:id="5"/>
      <w:bookmarkEnd w:id="6"/>
      <w:bookmarkEnd w:id="7"/>
      <w:bookmarkEnd w:id="8"/>
      <w:bookmarkEnd w:id="9"/>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eastAsiaTheme="minorEastAsia"/>
          <w:b/>
          <w:color w:val="auto"/>
          <w:sz w:val="36"/>
          <w:szCs w:val="36"/>
          <w:highlight w:val="none"/>
        </w:rPr>
      </w:pPr>
      <w:bookmarkStart w:id="32" w:name="_Toc7201"/>
      <w:r>
        <w:rPr>
          <w:rFonts w:hint="default" w:ascii="Times New Roman" w:hAnsi="Times New Roman" w:cs="Times New Roman" w:eastAsiaTheme="minorEastAsia"/>
          <w:b/>
          <w:color w:val="auto"/>
          <w:sz w:val="36"/>
          <w:szCs w:val="36"/>
          <w:highlight w:val="none"/>
          <w:lang w:eastAsia="zh-CN"/>
        </w:rPr>
        <w:t>投标</w:t>
      </w:r>
      <w:r>
        <w:rPr>
          <w:rFonts w:hint="default" w:ascii="Times New Roman" w:hAnsi="Times New Roman" w:cs="Times New Roman" w:eastAsiaTheme="minorEastAsia"/>
          <w:b/>
          <w:color w:val="auto"/>
          <w:sz w:val="36"/>
          <w:szCs w:val="36"/>
          <w:highlight w:val="none"/>
        </w:rPr>
        <w:t>邀请函</w:t>
      </w:r>
      <w:bookmarkEnd w:id="32"/>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Times New Roman" w:hAnsi="Times New Roman" w:eastAsia="新宋体" w:cs="Times New Roman"/>
          <w:sz w:val="24"/>
          <w:szCs w:val="24"/>
        </w:rPr>
      </w:pPr>
      <w:r>
        <w:rPr>
          <w:rFonts w:hint="eastAsia" w:cs="Times New Roman" w:eastAsiaTheme="minorEastAsia"/>
          <w:color w:val="auto"/>
          <w:sz w:val="24"/>
          <w:highlight w:val="none"/>
          <w:u w:val="single"/>
          <w:lang w:eastAsia="zh-CN"/>
        </w:rPr>
        <w:t>佛山市消防救援支队购买团体意外伤害保险项目</w:t>
      </w:r>
      <w:r>
        <w:rPr>
          <w:rFonts w:hint="default" w:ascii="Times New Roman" w:hAnsi="Times New Roman" w:cs="Times New Roman" w:eastAsiaTheme="minorEastAsia"/>
          <w:color w:val="auto"/>
          <w:sz w:val="24"/>
          <w:highlight w:val="none"/>
          <w:lang w:eastAsia="zh-CN"/>
        </w:rPr>
        <w:t>采购</w:t>
      </w:r>
      <w:r>
        <w:rPr>
          <w:rFonts w:hint="default" w:ascii="Times New Roman" w:hAnsi="Times New Roman" w:cs="Times New Roman" w:eastAsiaTheme="minorEastAsia"/>
          <w:color w:val="auto"/>
          <w:sz w:val="24"/>
          <w:highlight w:val="none"/>
        </w:rPr>
        <w:t>项目的潜在</w:t>
      </w:r>
      <w:r>
        <w:rPr>
          <w:rFonts w:hint="default" w:ascii="Times New Roman" w:hAnsi="Times New Roman" w:cs="Times New Roman" w:eastAsiaTheme="minorEastAsia"/>
          <w:color w:val="auto"/>
          <w:sz w:val="24"/>
          <w:highlight w:val="none"/>
          <w:lang w:eastAsia="zh-CN"/>
        </w:rPr>
        <w:t>供应商</w:t>
      </w:r>
      <w:r>
        <w:rPr>
          <w:rFonts w:hint="default" w:ascii="Times New Roman" w:hAnsi="Times New Roman" w:cs="Times New Roman" w:eastAsiaTheme="minorEastAsia"/>
          <w:color w:val="auto"/>
          <w:sz w:val="24"/>
          <w:highlight w:val="none"/>
        </w:rPr>
        <w:t>应</w:t>
      </w:r>
      <w:r>
        <w:rPr>
          <w:rFonts w:hint="default" w:ascii="Times New Roman" w:hAnsi="Times New Roman" w:cs="Times New Roman" w:eastAsiaTheme="minorEastAsia"/>
          <w:color w:val="auto"/>
          <w:sz w:val="24"/>
          <w:szCs w:val="24"/>
          <w:highlight w:val="none"/>
          <w:lang w:eastAsia="zh-CN"/>
        </w:rPr>
        <w:t>在</w:t>
      </w:r>
      <w:r>
        <w:rPr>
          <w:rFonts w:hint="default" w:ascii="Times New Roman" w:hAnsi="Times New Roman" w:cs="Times New Roman"/>
          <w:color w:val="000000"/>
          <w:sz w:val="24"/>
          <w:szCs w:val="24"/>
          <w:u w:val="single"/>
        </w:rPr>
        <w:t>远东电子交易平台(http://www.gdydzb.com/)</w:t>
      </w:r>
      <w:r>
        <w:rPr>
          <w:rFonts w:hint="default" w:ascii="Times New Roman" w:hAnsi="Times New Roman" w:cs="Times New Roman" w:eastAsiaTheme="minorEastAsia"/>
          <w:color w:val="auto"/>
          <w:sz w:val="24"/>
          <w:szCs w:val="24"/>
          <w:highlight w:val="none"/>
        </w:rPr>
        <w:t>获取采购文件</w:t>
      </w:r>
      <w:r>
        <w:rPr>
          <w:rFonts w:hint="default" w:ascii="Times New Roman" w:hAnsi="Times New Roman" w:cs="Times New Roman" w:eastAsiaTheme="minorEastAsia"/>
          <w:color w:val="auto"/>
          <w:sz w:val="24"/>
          <w:highlight w:val="none"/>
        </w:rPr>
        <w:t>，并于</w:t>
      </w:r>
      <w:r>
        <w:rPr>
          <w:rFonts w:hint="default" w:ascii="Times New Roman" w:hAnsi="Times New Roman" w:cs="Times New Roman" w:eastAsiaTheme="minorEastAsia"/>
          <w:color w:val="auto"/>
          <w:sz w:val="24"/>
          <w:highlight w:val="none"/>
          <w:lang w:eastAsia="zh-CN"/>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eastAsia"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rPr>
        <w:t>月</w:t>
      </w:r>
      <w:r>
        <w:rPr>
          <w:rFonts w:hint="eastAsia" w:cs="Times New Roman" w:eastAsiaTheme="minorEastAsia"/>
          <w:color w:val="auto"/>
          <w:sz w:val="24"/>
          <w:highlight w:val="none"/>
          <w:lang w:val="en-US" w:eastAsia="zh-CN"/>
        </w:rPr>
        <w:t>12</w:t>
      </w:r>
      <w:r>
        <w:rPr>
          <w:rFonts w:hint="default" w:ascii="Times New Roman" w:hAnsi="Times New Roman" w:cs="Times New Roman" w:eastAsiaTheme="minorEastAsia"/>
          <w:color w:val="auto"/>
          <w:sz w:val="24"/>
          <w:highlight w:val="none"/>
        </w:rPr>
        <w:t>日</w:t>
      </w:r>
      <w:r>
        <w:rPr>
          <w:rFonts w:hint="default" w:ascii="Times New Roman" w:hAnsi="Times New Roman" w:cs="Times New Roman" w:eastAsiaTheme="minorEastAsia"/>
          <w:color w:val="auto"/>
          <w:sz w:val="24"/>
          <w:highlight w:val="none"/>
          <w:lang w:val="en-US" w:eastAsia="zh-CN"/>
        </w:rPr>
        <w:t>9</w:t>
      </w:r>
      <w:r>
        <w:rPr>
          <w:rFonts w:hint="default" w:ascii="Times New Roman" w:hAnsi="Times New Roman" w:cs="Times New Roman" w:eastAsiaTheme="minorEastAsia"/>
          <w:color w:val="auto"/>
          <w:sz w:val="24"/>
          <w:highlight w:val="none"/>
        </w:rPr>
        <w:t>点</w:t>
      </w:r>
      <w:r>
        <w:rPr>
          <w:rFonts w:hint="default" w:ascii="Times New Roman" w:hAnsi="Times New Roman" w:cs="Times New Roman" w:eastAsiaTheme="minorEastAsia"/>
          <w:color w:val="auto"/>
          <w:sz w:val="24"/>
          <w:highlight w:val="none"/>
          <w:lang w:val="en-US" w:eastAsia="zh-CN"/>
        </w:rPr>
        <w:t>30</w:t>
      </w:r>
      <w:r>
        <w:rPr>
          <w:rFonts w:hint="default" w:ascii="Times New Roman" w:hAnsi="Times New Roman" w:cs="Times New Roman" w:eastAsiaTheme="minorEastAsia"/>
          <w:color w:val="auto"/>
          <w:sz w:val="24"/>
          <w:highlight w:val="none"/>
        </w:rPr>
        <w:t>分（北京时间）前提交</w:t>
      </w:r>
      <w:r>
        <w:rPr>
          <w:rFonts w:hint="default" w:ascii="Times New Roman" w:hAnsi="Times New Roman" w:cs="Times New Roman" w:eastAsiaTheme="minorEastAsia"/>
          <w:color w:val="auto"/>
          <w:sz w:val="24"/>
          <w:highlight w:val="none"/>
          <w:lang w:eastAsia="zh-CN"/>
        </w:rPr>
        <w:t>响应文件</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b/>
          <w:color w:val="auto"/>
          <w:sz w:val="24"/>
          <w:highlight w:val="none"/>
        </w:rPr>
        <w:t>一、项目基本情况</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color w:val="auto"/>
          <w:sz w:val="24"/>
          <w:highlight w:val="none"/>
        </w:rPr>
        <w:t>项目编号：</w:t>
      </w:r>
      <w:r>
        <w:rPr>
          <w:rFonts w:hint="eastAsia" w:cs="Times New Roman" w:eastAsiaTheme="minorEastAsia"/>
          <w:color w:val="auto"/>
          <w:sz w:val="24"/>
          <w:highlight w:val="none"/>
          <w:lang w:eastAsia="zh-CN"/>
        </w:rPr>
        <w:t>2023XFCG-09</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项目名称：</w:t>
      </w:r>
      <w:r>
        <w:rPr>
          <w:rFonts w:hint="eastAsia" w:cs="Times New Roman" w:eastAsiaTheme="minorEastAsia"/>
          <w:color w:val="auto"/>
          <w:sz w:val="24"/>
          <w:highlight w:val="none"/>
          <w:lang w:eastAsia="zh-CN"/>
        </w:rPr>
        <w:t>佛山市消防救援支队购买团体意外伤害保险项目</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采购方式：</w:t>
      </w:r>
      <w:r>
        <w:rPr>
          <w:rFonts w:hint="default" w:ascii="Times New Roman" w:hAnsi="Times New Roman" w:cs="Times New Roman" w:eastAsiaTheme="minorEastAsia"/>
          <w:color w:val="auto"/>
          <w:sz w:val="24"/>
          <w:highlight w:val="none"/>
          <w:lang w:eastAsia="zh-CN"/>
        </w:rPr>
        <w:t>竞争性磋商</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预算金额：￥</w:t>
      </w:r>
      <w:r>
        <w:rPr>
          <w:rFonts w:hint="eastAsia" w:cs="Times New Roman" w:eastAsiaTheme="minorEastAsia"/>
          <w:color w:val="auto"/>
          <w:sz w:val="24"/>
          <w:szCs w:val="24"/>
          <w:highlight w:val="none"/>
          <w:lang w:val="en-US" w:eastAsia="zh-CN"/>
        </w:rPr>
        <w:t>240</w:t>
      </w:r>
      <w:r>
        <w:rPr>
          <w:rFonts w:hint="eastAsia"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val="en-US" w:eastAsia="zh-CN"/>
        </w:rPr>
        <w:t>0</w:t>
      </w:r>
      <w:r>
        <w:rPr>
          <w:rFonts w:hint="eastAsia" w:cs="Times New Roman" w:eastAsiaTheme="minorEastAsia"/>
          <w:color w:val="auto"/>
          <w:sz w:val="24"/>
          <w:szCs w:val="24"/>
          <w:highlight w:val="none"/>
          <w:lang w:eastAsia="zh-CN"/>
        </w:rPr>
        <w:t>00.00</w:t>
      </w:r>
      <w:r>
        <w:rPr>
          <w:rFonts w:hint="default" w:ascii="Times New Roman" w:hAnsi="Times New Roman" w:cs="Times New Roman" w:eastAsiaTheme="minorEastAsia"/>
          <w:color w:val="auto"/>
          <w:sz w:val="24"/>
          <w:highlight w:val="none"/>
        </w:rPr>
        <w:t>元</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最高限价（如有）：￥</w:t>
      </w:r>
      <w:r>
        <w:rPr>
          <w:rFonts w:hint="eastAsia" w:cs="Times New Roman" w:eastAsiaTheme="minorEastAsia"/>
          <w:color w:val="auto"/>
          <w:sz w:val="24"/>
          <w:szCs w:val="24"/>
          <w:highlight w:val="none"/>
          <w:lang w:val="en-US" w:eastAsia="zh-CN"/>
        </w:rPr>
        <w:t>240</w:t>
      </w:r>
      <w:r>
        <w:rPr>
          <w:rFonts w:hint="eastAsia"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val="en-US" w:eastAsia="zh-CN"/>
        </w:rPr>
        <w:t>0</w:t>
      </w:r>
      <w:r>
        <w:rPr>
          <w:rFonts w:hint="eastAsia" w:cs="Times New Roman" w:eastAsiaTheme="minorEastAsia"/>
          <w:color w:val="auto"/>
          <w:sz w:val="24"/>
          <w:szCs w:val="24"/>
          <w:highlight w:val="none"/>
          <w:lang w:eastAsia="zh-CN"/>
        </w:rPr>
        <w:t>00.00</w:t>
      </w:r>
      <w:r>
        <w:rPr>
          <w:rFonts w:hint="default" w:ascii="Times New Roman" w:hAnsi="Times New Roman" w:cs="Times New Roman" w:eastAsiaTheme="minorEastAsia"/>
          <w:color w:val="auto"/>
          <w:sz w:val="24"/>
          <w:highlight w:val="none"/>
        </w:rPr>
        <w:t>元</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采购需求：</w:t>
      </w:r>
      <w:r>
        <w:rPr>
          <w:rFonts w:hint="default" w:ascii="Times New Roman" w:hAnsi="Times New Roman" w:cs="Times New Roman" w:eastAsiaTheme="minorEastAsia"/>
          <w:color w:val="auto"/>
          <w:sz w:val="24"/>
          <w:highlight w:val="none"/>
        </w:rPr>
        <w:cr/>
      </w:r>
      <w:r>
        <w:rPr>
          <w:rFonts w:hint="default" w:ascii="Times New Roman" w:hAnsi="Times New Roman" w:eastAsia="新宋体" w:cs="Times New Roman"/>
          <w:i w:val="0"/>
          <w:iCs w:val="0"/>
          <w:caps w:val="0"/>
          <w:color w:val="222222"/>
          <w:spacing w:val="0"/>
          <w:sz w:val="24"/>
          <w:szCs w:val="24"/>
          <w:shd w:val="clear" w:color="auto" w:fill="FFFFFF"/>
        </w:rPr>
        <w:t>合同包1(</w:t>
      </w:r>
      <w:r>
        <w:rPr>
          <w:rFonts w:hint="eastAsia" w:cs="Times New Roman" w:eastAsiaTheme="minorEastAsia"/>
          <w:color w:val="auto"/>
          <w:sz w:val="24"/>
          <w:highlight w:val="none"/>
          <w:lang w:eastAsia="zh-CN"/>
        </w:rPr>
        <w:t>佛山市消防救援支队购买团体意外伤害保险项目</w:t>
      </w:r>
      <w:r>
        <w:rPr>
          <w:rFonts w:hint="default" w:ascii="Times New Roman" w:hAnsi="Times New Roman" w:eastAsia="新宋体" w:cs="Times New Roman"/>
          <w:i w:val="0"/>
          <w:iCs w:val="0"/>
          <w:caps w:val="0"/>
          <w:color w:val="222222"/>
          <w:spacing w:val="0"/>
          <w:sz w:val="24"/>
          <w:szCs w:val="24"/>
          <w:shd w:val="clear" w:color="auto" w:fill="FFFFFF"/>
        </w:rPr>
        <w:t>):</w:t>
      </w:r>
    </w:p>
    <w:tbl>
      <w:tblPr>
        <w:tblStyle w:val="22"/>
        <w:tblW w:w="96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41"/>
        <w:gridCol w:w="1332"/>
        <w:gridCol w:w="2888"/>
        <w:gridCol w:w="1181"/>
        <w:gridCol w:w="1688"/>
        <w:gridCol w:w="17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2" w:hRule="atLeast"/>
          <w:tblHeader/>
          <w:jc w:val="center"/>
        </w:trPr>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品目号</w:t>
            </w:r>
          </w:p>
        </w:tc>
        <w:tc>
          <w:tcPr>
            <w:tcW w:w="13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品目名称</w:t>
            </w:r>
          </w:p>
        </w:tc>
        <w:tc>
          <w:tcPr>
            <w:tcW w:w="28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采购标的</w:t>
            </w:r>
          </w:p>
        </w:tc>
        <w:tc>
          <w:tcPr>
            <w:tcW w:w="11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kern w:val="0"/>
                <w:sz w:val="24"/>
                <w:szCs w:val="24"/>
                <w:lang w:val="en-US" w:eastAsia="zh-CN" w:bidi="ar"/>
              </w:rPr>
            </w:pPr>
            <w:r>
              <w:rPr>
                <w:rFonts w:hint="default" w:ascii="Times New Roman" w:hAnsi="Times New Roman" w:eastAsia="新宋体" w:cs="Times New Roman"/>
                <w:b/>
                <w:bCs/>
                <w:i w:val="0"/>
                <w:iCs w:val="0"/>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（单位）</w:t>
            </w:r>
          </w:p>
        </w:tc>
        <w:tc>
          <w:tcPr>
            <w:tcW w:w="16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技术规格、参数及要求</w:t>
            </w:r>
          </w:p>
        </w:tc>
        <w:tc>
          <w:tcPr>
            <w:tcW w:w="17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jc w:val="center"/>
        </w:trPr>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sz w:val="24"/>
                <w:szCs w:val="24"/>
              </w:rPr>
            </w:pPr>
            <w:r>
              <w:rPr>
                <w:rFonts w:hint="default" w:ascii="Times New Roman" w:hAnsi="Times New Roman" w:eastAsia="新宋体" w:cs="Times New Roman"/>
                <w:kern w:val="0"/>
                <w:sz w:val="24"/>
                <w:szCs w:val="24"/>
                <w:lang w:val="en-US" w:eastAsia="zh-CN" w:bidi="ar"/>
              </w:rPr>
              <w:t>1-1</w:t>
            </w:r>
          </w:p>
        </w:tc>
        <w:tc>
          <w:tcPr>
            <w:tcW w:w="13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新宋体" w:cs="Times New Roman"/>
                <w:sz w:val="24"/>
                <w:szCs w:val="24"/>
                <w:lang w:val="en-US" w:eastAsia="zh-CN"/>
              </w:rPr>
            </w:pPr>
            <w:r>
              <w:rPr>
                <w:rFonts w:hint="default" w:ascii="Times New Roman" w:hAnsi="Times New Roman" w:eastAsia="新宋体" w:cs="Times New Roman"/>
                <w:sz w:val="24"/>
                <w:szCs w:val="24"/>
                <w:lang w:val="en-US" w:eastAsia="zh-CN"/>
              </w:rPr>
              <w:t>其他专业技术服务</w:t>
            </w:r>
          </w:p>
        </w:tc>
        <w:tc>
          <w:tcPr>
            <w:tcW w:w="28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新宋体" w:cs="Times New Roman"/>
                <w:sz w:val="24"/>
                <w:szCs w:val="24"/>
              </w:rPr>
            </w:pPr>
            <w:r>
              <w:rPr>
                <w:rFonts w:hint="eastAsia" w:cs="Times New Roman" w:eastAsiaTheme="minorEastAsia"/>
                <w:color w:val="auto"/>
                <w:sz w:val="24"/>
                <w:highlight w:val="none"/>
                <w:lang w:eastAsia="zh-CN"/>
              </w:rPr>
              <w:t>佛山市消防救援支队购买团体意外伤害保险项目</w:t>
            </w:r>
          </w:p>
        </w:tc>
        <w:tc>
          <w:tcPr>
            <w:tcW w:w="11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sz w:val="24"/>
                <w:szCs w:val="24"/>
              </w:rPr>
            </w:pPr>
            <w:r>
              <w:rPr>
                <w:rFonts w:hint="default" w:ascii="Times New Roman" w:hAnsi="Times New Roman" w:eastAsia="新宋体" w:cs="Times New Roman"/>
                <w:kern w:val="0"/>
                <w:sz w:val="24"/>
                <w:szCs w:val="24"/>
                <w:lang w:val="en-US" w:eastAsia="zh-CN" w:bidi="ar"/>
              </w:rPr>
              <w:t>1(项)</w:t>
            </w:r>
          </w:p>
        </w:tc>
        <w:tc>
          <w:tcPr>
            <w:tcW w:w="16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sz w:val="24"/>
                <w:szCs w:val="24"/>
              </w:rPr>
            </w:pPr>
            <w:r>
              <w:rPr>
                <w:rFonts w:hint="default" w:ascii="Times New Roman" w:hAnsi="Times New Roman" w:eastAsia="新宋体" w:cs="Times New Roman"/>
                <w:kern w:val="0"/>
                <w:sz w:val="24"/>
                <w:szCs w:val="24"/>
                <w:lang w:val="en-US" w:eastAsia="zh-CN" w:bidi="ar"/>
              </w:rPr>
              <w:t>详见采购文件</w:t>
            </w:r>
          </w:p>
        </w:tc>
        <w:tc>
          <w:tcPr>
            <w:tcW w:w="17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default" w:ascii="Times New Roman" w:hAnsi="Times New Roman" w:eastAsia="新宋体" w:cs="Times New Roman"/>
                <w:sz w:val="24"/>
                <w:szCs w:val="24"/>
              </w:rPr>
            </w:pPr>
            <w:r>
              <w:rPr>
                <w:rFonts w:hint="eastAsia" w:cs="Times New Roman" w:eastAsiaTheme="minorEastAsia"/>
                <w:color w:val="auto"/>
                <w:sz w:val="24"/>
                <w:szCs w:val="24"/>
                <w:highlight w:val="none"/>
                <w:lang w:val="en-US" w:eastAsia="zh-CN"/>
              </w:rPr>
              <w:t>240</w:t>
            </w:r>
            <w:r>
              <w:rPr>
                <w:rFonts w:hint="eastAsia"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val="en-US" w:eastAsia="zh-CN"/>
              </w:rPr>
              <w:t>0</w:t>
            </w:r>
            <w:r>
              <w:rPr>
                <w:rFonts w:hint="eastAsia" w:cs="Times New Roman" w:eastAsiaTheme="minorEastAsia"/>
                <w:color w:val="auto"/>
                <w:sz w:val="24"/>
                <w:szCs w:val="24"/>
                <w:highlight w:val="none"/>
                <w:lang w:eastAsia="zh-CN"/>
              </w:rPr>
              <w:t>00.00</w:t>
            </w:r>
          </w:p>
        </w:tc>
      </w:tr>
    </w:tbl>
    <w:p>
      <w:pPr>
        <w:keepNext w:val="0"/>
        <w:keepLines w:val="0"/>
        <w:pageBreakBefore w:val="0"/>
        <w:widowControl w:val="0"/>
        <w:kinsoku/>
        <w:wordWrap/>
        <w:overflowPunct/>
        <w:topLinePunct w:val="0"/>
        <w:autoSpaceDE/>
        <w:autoSpaceDN/>
        <w:bidi w:val="0"/>
        <w:adjustRightInd/>
        <w:snapToGrid/>
        <w:spacing w:line="336" w:lineRule="auto"/>
        <w:ind w:firstLine="540" w:firstLineChars="225"/>
        <w:jc w:val="left"/>
        <w:textAlignment w:val="auto"/>
        <w:rPr>
          <w:rFonts w:hint="default" w:ascii="Times New Roman" w:hAnsi="Times New Roman" w:eastAsia="新宋体" w:cs="Times New Roman"/>
          <w:color w:val="auto"/>
          <w:sz w:val="24"/>
          <w:highlight w:val="none"/>
          <w:lang w:eastAsia="zh-CN"/>
        </w:rPr>
      </w:pPr>
      <w:r>
        <w:rPr>
          <w:rFonts w:hint="default" w:ascii="Times New Roman" w:hAnsi="Times New Roman" w:eastAsia="新宋体" w:cs="Times New Roman"/>
          <w:i w:val="0"/>
          <w:iCs w:val="0"/>
          <w:caps w:val="0"/>
          <w:color w:val="222222"/>
          <w:spacing w:val="0"/>
          <w:sz w:val="24"/>
          <w:szCs w:val="24"/>
          <w:shd w:val="clear" w:color="auto" w:fill="FFFFFF"/>
        </w:rPr>
        <w:t>合同履行期限：采购人与成交供应商的投保合同为一年，保险期自投保人与成交供应商签订协议之日起一年。</w:t>
      </w:r>
    </w:p>
    <w:p>
      <w:pPr>
        <w:keepNext w:val="0"/>
        <w:keepLines w:val="0"/>
        <w:pageBreakBefore w:val="0"/>
        <w:widowControl w:val="0"/>
        <w:kinsoku/>
        <w:wordWrap/>
        <w:overflowPunct/>
        <w:topLinePunct w:val="0"/>
        <w:autoSpaceDE w:val="0"/>
        <w:autoSpaceDN w:val="0"/>
        <w:bidi w:val="0"/>
        <w:adjustRightInd/>
        <w:snapToGrid w:val="0"/>
        <w:spacing w:line="336" w:lineRule="auto"/>
        <w:ind w:firstLine="480" w:firstLineChars="200"/>
        <w:textAlignment w:val="auto"/>
        <w:rPr>
          <w:rFonts w:hint="default" w:ascii="Times New Roman" w:hAnsi="Times New Roman" w:cs="Times New Roman" w:eastAsiaTheme="minorEastAsia"/>
          <w:color w:val="auto"/>
          <w:sz w:val="24"/>
          <w:highlight w:val="none"/>
          <w:lang w:eastAsia="zh-CN"/>
        </w:rPr>
      </w:pPr>
      <w:r>
        <w:rPr>
          <w:rFonts w:hint="default" w:ascii="Times New Roman" w:hAnsi="Times New Roman" w:eastAsia="新宋体" w:cs="Times New Roman"/>
          <w:i w:val="0"/>
          <w:iCs w:val="0"/>
          <w:caps w:val="0"/>
          <w:color w:val="222222"/>
          <w:spacing w:val="0"/>
          <w:sz w:val="24"/>
          <w:szCs w:val="24"/>
          <w:shd w:val="clear" w:color="auto" w:fill="FFFFFF"/>
        </w:rPr>
        <w:t>本</w:t>
      </w:r>
      <w:r>
        <w:rPr>
          <w:rFonts w:hint="default" w:ascii="Times New Roman" w:hAnsi="Times New Roman" w:eastAsia="新宋体" w:cs="Times New Roman"/>
          <w:i w:val="0"/>
          <w:iCs w:val="0"/>
          <w:caps w:val="0"/>
          <w:color w:val="222222"/>
          <w:spacing w:val="0"/>
          <w:sz w:val="24"/>
          <w:szCs w:val="24"/>
          <w:shd w:val="clear" w:color="auto" w:fill="FFFFFF"/>
          <w:lang w:eastAsia="zh-CN"/>
        </w:rPr>
        <w:t>项目</w:t>
      </w:r>
      <w:r>
        <w:rPr>
          <w:rFonts w:hint="default" w:ascii="Times New Roman" w:hAnsi="Times New Roman" w:eastAsia="新宋体" w:cs="Times New Roman"/>
          <w:i w:val="0"/>
          <w:iCs w:val="0"/>
          <w:caps w:val="0"/>
          <w:color w:val="222222"/>
          <w:spacing w:val="0"/>
          <w:sz w:val="24"/>
          <w:szCs w:val="24"/>
          <w:shd w:val="clear" w:color="auto" w:fill="FFFFFF"/>
        </w:rPr>
        <w:t>不接受联合体投标</w:t>
      </w:r>
      <w:r>
        <w:rPr>
          <w:rFonts w:hint="default" w:ascii="Times New Roman" w:hAnsi="Times New Roman" w:cs="Times New Roman" w:eastAsiaTheme="minorEastAsia"/>
          <w:bCs/>
          <w:color w:val="auto"/>
          <w:sz w:val="24"/>
          <w:szCs w:val="24"/>
          <w:highlight w:val="none"/>
          <w:lang w:val="en-US" w:eastAsia="zh-CN"/>
        </w:rPr>
        <w:t>。</w:t>
      </w:r>
      <w:r>
        <w:rPr>
          <w:rFonts w:hint="default" w:ascii="Times New Roman" w:hAnsi="Times New Roman" w:cs="Times New Roman" w:eastAsiaTheme="minorEastAsia"/>
          <w:color w:val="auto"/>
          <w:sz w:val="24"/>
          <w:highlight w:val="none"/>
          <w:lang w:val="zh-CN"/>
        </w:rPr>
        <w:cr/>
      </w:r>
      <w:r>
        <w:rPr>
          <w:rFonts w:hint="default" w:ascii="Times New Roman" w:hAnsi="Times New Roman" w:cs="Times New Roman" w:eastAsiaTheme="minorEastAsia"/>
          <w:b/>
          <w:color w:val="auto"/>
          <w:sz w:val="24"/>
          <w:highlight w:val="none"/>
        </w:rPr>
        <w:t>二、申请人的资格要求</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b/>
          <w:bCs/>
          <w:color w:val="auto"/>
          <w:sz w:val="24"/>
          <w:highlight w:val="none"/>
        </w:rPr>
        <w:t>1.</w:t>
      </w:r>
      <w:r>
        <w:rPr>
          <w:rFonts w:hint="eastAsia" w:ascii="Times New Roman" w:hAnsi="Times New Roman" w:cs="Times New Roman" w:eastAsiaTheme="minorEastAsia"/>
          <w:b/>
          <w:bCs/>
          <w:color w:val="auto"/>
          <w:sz w:val="24"/>
          <w:highlight w:val="none"/>
          <w:lang w:eastAsia="zh-CN"/>
        </w:rPr>
        <w:t>供应商</w:t>
      </w:r>
      <w:r>
        <w:rPr>
          <w:rFonts w:hint="default" w:ascii="Times New Roman" w:hAnsi="Times New Roman" w:cs="Times New Roman" w:eastAsiaTheme="minorEastAsia"/>
          <w:b/>
          <w:bCs/>
          <w:color w:val="auto"/>
          <w:sz w:val="24"/>
          <w:highlight w:val="none"/>
        </w:rPr>
        <w:t>应具备《中华人民共和国政府采购法》第二十二条规定的条件，提供下列材料</w:t>
      </w:r>
      <w:r>
        <w:rPr>
          <w:rFonts w:hint="default" w:ascii="Times New Roman" w:hAnsi="Times New Roman" w:cs="Times New Roman" w:eastAsiaTheme="minorEastAsia"/>
          <w:b/>
          <w:bCs/>
          <w:color w:val="auto"/>
          <w:sz w:val="24"/>
          <w:highlight w:val="none"/>
          <w:lang w:eastAsia="zh-CN"/>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kern w:val="2"/>
          <w:sz w:val="24"/>
          <w:szCs w:val="22"/>
          <w:lang w:val="en-US" w:eastAsia="zh-CN" w:bidi="ar-SA"/>
        </w:rPr>
        <w:t>1）</w:t>
      </w:r>
      <w:r>
        <w:rPr>
          <w:rFonts w:hint="default" w:ascii="Times New Roman" w:hAnsi="Times New Roman" w:cs="Times New Roman"/>
          <w:bCs/>
          <w:color w:val="000000"/>
          <w:sz w:val="24"/>
          <w:szCs w:val="24"/>
        </w:rPr>
        <w:t>具有独立承担民事责任的能力</w:t>
      </w:r>
      <w:r>
        <w:rPr>
          <w:rFonts w:hint="default" w:ascii="Times New Roman" w:hAnsi="Times New Roman" w:cs="Times New Roman"/>
          <w:bCs/>
          <w:color w:val="000000"/>
          <w:sz w:val="24"/>
          <w:szCs w:val="24"/>
          <w:lang w:eastAsia="zh-CN"/>
        </w:rPr>
        <w:t>：</w:t>
      </w:r>
      <w:r>
        <w:rPr>
          <w:rFonts w:hint="default" w:ascii="Times New Roman" w:hAnsi="Times New Roman" w:cs="Times New Roman"/>
          <w:bCs/>
          <w:color w:val="000000"/>
          <w:sz w:val="24"/>
          <w:szCs w:val="24"/>
        </w:rPr>
        <w:t>在中华人民共和国境内注册的法人或其他组织或自然人，投标（响应）时提交有效的营业执照（或事业法人登记证或身份证等相关证明）副本复印件</w:t>
      </w:r>
      <w:r>
        <w:rPr>
          <w:rFonts w:hint="default" w:ascii="Times New Roman" w:hAnsi="Times New Roman" w:cs="Times New Roman" w:eastAsiaTheme="minorEastAsia"/>
          <w:color w:val="auto"/>
          <w:sz w:val="24"/>
          <w:highlight w:val="none"/>
        </w:rPr>
        <w:t>；分支机构投标的，须提供总公司和分公司营业执照副本复印件，总公司出具给分支机构的授权书</w:t>
      </w:r>
      <w:r>
        <w:rPr>
          <w:rFonts w:hint="eastAsia" w:cs="Times New Roman" w:eastAsiaTheme="minorEastAsia"/>
          <w:color w:val="auto"/>
          <w:sz w:val="24"/>
          <w:highlight w:val="none"/>
          <w:lang w:eastAsia="zh-CN"/>
        </w:rPr>
        <w:t>，</w:t>
      </w:r>
      <w:r>
        <w:rPr>
          <w:rFonts w:hint="eastAsia" w:ascii="宋体" w:hAnsi="宋体" w:cs="宋体"/>
          <w:bCs/>
          <w:color w:val="auto"/>
          <w:sz w:val="24"/>
          <w:szCs w:val="24"/>
          <w:highlight w:val="none"/>
        </w:rPr>
        <w:t>每家总公司只允许授权一家分支机构参与本项目投标，总公司与其分支机构不得同时参与本项目投标；如有多家分支机构持同一家总公司开具的授权书参与本项目投标，上述分支机构均作无效投标处理）</w:t>
      </w:r>
      <w:r>
        <w:rPr>
          <w:rFonts w:hint="default" w:ascii="Times New Roman" w:hAnsi="Times New Roman" w:cs="Times New Roman" w:eastAsiaTheme="minorEastAsia"/>
          <w:color w:val="auto"/>
          <w:sz w:val="24"/>
          <w:highlight w:val="none"/>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eastAsia"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kern w:val="2"/>
          <w:sz w:val="24"/>
          <w:szCs w:val="22"/>
          <w:lang w:val="en-US" w:eastAsia="zh-CN" w:bidi="ar-SA"/>
        </w:rPr>
        <w:t>2）</w:t>
      </w:r>
      <w:r>
        <w:rPr>
          <w:rFonts w:hint="default" w:ascii="Times New Roman" w:hAnsi="Times New Roman" w:cs="Times New Roman" w:eastAsiaTheme="minorEastAsia"/>
          <w:color w:val="auto"/>
          <w:sz w:val="24"/>
          <w:highlight w:val="none"/>
        </w:rPr>
        <w:t>有依法缴纳税收和社会保障资金的良好记录：提供下列材料之一即可：（1）提供投标截止日前6个月内任意1个月依法缴纳税收和社会保障资金的相关材料。如依法免税或不需要缴纳社会保障资金的，提供相应证明材料。（2）提供《政府采购供应商资格信用承诺函》</w:t>
      </w:r>
      <w:r>
        <w:rPr>
          <w:rFonts w:hint="eastAsia" w:cs="Times New Roman" w:eastAsiaTheme="minorEastAsia"/>
          <w:color w:val="auto"/>
          <w:sz w:val="24"/>
          <w:highlight w:val="none"/>
          <w:lang w:eastAsia="zh-CN"/>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kern w:val="2"/>
          <w:sz w:val="24"/>
          <w:szCs w:val="22"/>
          <w:lang w:val="en-US" w:eastAsia="zh-CN" w:bidi="ar-SA"/>
        </w:rPr>
        <w:t>3）</w:t>
      </w:r>
      <w:r>
        <w:rPr>
          <w:rFonts w:hint="default" w:ascii="Times New Roman" w:hAnsi="Times New Roman" w:cs="Times New Roman" w:eastAsiaTheme="minorEastAsia"/>
          <w:color w:val="auto"/>
          <w:sz w:val="24"/>
          <w:highlight w:val="none"/>
        </w:rPr>
        <w:t>具有良好的商业信誉和健全的财务会计制度</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提供以下三种证明材料之一：1、按要求填写《政府采购供应商资格信用承诺函》；2、提供经第三方审计的2022年度财务状况报告；3、提供投标截止日前6个月内基本开户银行出具的资信证明，并同时提交开户（基本户）许可证扫描件，开户（基本户）许可证已取消的，应提供能体现基本开户银行的“基本存款账户编号”的相关证明）</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4）履行合同所必需的设备和专业技术能力：提供履行合同所必须的设备和专业技术能力的声明；</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5）参加采购活动前3年内，在经营活动中没有重大违法记录：提供以下两种证明材料之一：1、按要求填写《政府采购供应商资格信用承诺函》；2、参照投标（报价）函相关承诺格式内容。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6）法律、行政法规规定的其他条件（提供守法经营声明书）。</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b/>
          <w:sz w:val="24"/>
        </w:rPr>
      </w:pPr>
      <w:r>
        <w:rPr>
          <w:rFonts w:hint="default" w:ascii="Times New Roman" w:hAnsi="Times New Roman" w:cs="Times New Roman"/>
          <w:b/>
          <w:sz w:val="24"/>
        </w:rPr>
        <w:t>2.落实政府采购政策需满足的资格要求：</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b w:val="0"/>
          <w:bCs/>
          <w:sz w:val="24"/>
          <w:lang w:eastAsia="zh-CN"/>
        </w:rPr>
      </w:pPr>
      <w:r>
        <w:rPr>
          <w:rFonts w:hint="default" w:ascii="Times New Roman" w:hAnsi="Times New Roman" w:cs="Times New Roman"/>
          <w:b w:val="0"/>
          <w:bCs/>
          <w:sz w:val="24"/>
          <w:lang w:eastAsia="zh-CN"/>
        </w:rPr>
        <w:t>采购包1（</w:t>
      </w:r>
      <w:r>
        <w:rPr>
          <w:rFonts w:hint="eastAsia" w:cs="Times New Roman" w:eastAsiaTheme="minorEastAsia"/>
          <w:color w:val="auto"/>
          <w:sz w:val="24"/>
          <w:highlight w:val="none"/>
          <w:lang w:eastAsia="zh-CN"/>
        </w:rPr>
        <w:t>佛山市消防救援支队购买团体意外伤害保险项目</w:t>
      </w:r>
      <w:r>
        <w:rPr>
          <w:rFonts w:hint="default" w:ascii="Times New Roman" w:hAnsi="Times New Roman" w:cs="Times New Roman"/>
          <w:b w:val="0"/>
          <w:bCs/>
          <w:sz w:val="24"/>
          <w:lang w:eastAsia="zh-CN"/>
        </w:rPr>
        <w:t>）：</w:t>
      </w:r>
      <w:r>
        <w:rPr>
          <w:rFonts w:hint="eastAsia" w:ascii="Times New Roman" w:hAnsi="Times New Roman" w:cs="Times New Roman" w:eastAsiaTheme="minorEastAsia"/>
          <w:b/>
          <w:bCs/>
          <w:color w:val="auto"/>
          <w:sz w:val="24"/>
          <w:highlight w:val="none"/>
        </w:rPr>
        <w:t>本项目不属于专门面向中小企业采购的项目。本项目采购标的对应的中小企业划分标准所属行业为：其他未列明行业。</w:t>
      </w:r>
      <w:r>
        <w:rPr>
          <w:rFonts w:hint="eastAsia" w:ascii="Times New Roman" w:hAnsi="Times New Roman" w:cs="Times New Roman" w:eastAsiaTheme="minorEastAsia"/>
          <w:color w:val="auto"/>
          <w:sz w:val="24"/>
          <w:highlight w:val="none"/>
        </w:rPr>
        <w:t>监狱企业、残疾人福利单位视同小型、微型企业。 注：中小企业以投标人填写的《中小企业声明函》（见投标文件参考格式）为判定标准，残疾人福利性单位以投标人填写的《残疾人福利性单位声明函》（见投标文件参考格式）为判定标准，监狱企业须投标人提供由省级以上监狱管理局、戒毒管理局（含新疆生产建设兵团）出具的属于监狱企业的证明文件，否则不予认定。</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b/>
          <w:sz w:val="24"/>
        </w:rPr>
        <w:t>3.本项目特定的资格要求</w:t>
      </w:r>
      <w:r>
        <w:rPr>
          <w:rFonts w:hint="default" w:ascii="Times New Roman" w:hAnsi="Times New Roman" w:cs="Times New Roman" w:eastAsiaTheme="minorEastAsia"/>
          <w:color w:val="auto"/>
          <w:sz w:val="24"/>
          <w:highlight w:val="none"/>
        </w:rPr>
        <w:t>：</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采购包1（</w:t>
      </w:r>
      <w:r>
        <w:rPr>
          <w:rFonts w:hint="eastAsia" w:cs="Times New Roman" w:eastAsiaTheme="minorEastAsia"/>
          <w:color w:val="auto"/>
          <w:sz w:val="24"/>
          <w:highlight w:val="none"/>
          <w:lang w:eastAsia="zh-CN"/>
        </w:rPr>
        <w:t>佛山市消防救援支队购买团体意外伤害保险项目</w:t>
      </w:r>
      <w:r>
        <w:rPr>
          <w:rFonts w:hint="default" w:ascii="Times New Roman" w:hAnsi="Times New Roman" w:cs="Times New Roman" w:eastAsiaTheme="minorEastAsia"/>
          <w:color w:val="auto"/>
          <w:sz w:val="24"/>
          <w:highlight w:val="none"/>
        </w:rPr>
        <w:t>）：</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提供守法经营声明书。</w:t>
      </w:r>
    </w:p>
    <w:p>
      <w:pPr>
        <w:pStyle w:val="32"/>
        <w:adjustRightInd w:val="0"/>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本项目不接受联合体投标。</w:t>
      </w:r>
    </w:p>
    <w:p>
      <w:pPr>
        <w:pStyle w:val="32"/>
        <w:adjustRightInd w:val="0"/>
        <w:snapToGrid w:val="0"/>
        <w:spacing w:afterLines="0" w:line="336" w:lineRule="auto"/>
        <w:rPr>
          <w:rFonts w:hint="default" w:ascii="Times New Roman" w:hAnsi="Times New Roman" w:eastAsia="宋体" w:cs="Times New Roman"/>
          <w:color w:val="auto"/>
          <w:sz w:val="24"/>
          <w:szCs w:val="24"/>
          <w:highlight w:val="none"/>
          <w:u w:val="single"/>
          <w:lang w:eastAsia="zh-CN"/>
        </w:rPr>
      </w:pPr>
      <w:r>
        <w:rPr>
          <w:rFonts w:hint="eastAsia" w:cs="Times New Roman" w:eastAsiaTheme="minorEastAsia"/>
          <w:color w:val="auto"/>
          <w:sz w:val="24"/>
          <w:highlight w:val="none"/>
          <w:lang w:val="en-US" w:eastAsia="zh-CN"/>
        </w:rPr>
        <w:t>4</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b/>
          <w:bCs/>
          <w:color w:val="auto"/>
          <w:sz w:val="24"/>
          <w:highlight w:val="none"/>
          <w:lang w:eastAsia="zh-CN"/>
        </w:rPr>
        <w:t>供应商须是</w:t>
      </w:r>
      <w:r>
        <w:rPr>
          <w:rFonts w:hint="eastAsia" w:cs="Times New Roman" w:eastAsiaTheme="minorEastAsia"/>
          <w:b/>
          <w:bCs/>
          <w:color w:val="auto"/>
          <w:sz w:val="24"/>
          <w:highlight w:val="none"/>
          <w:lang w:val="en-US" w:eastAsia="zh-CN"/>
        </w:rPr>
        <w:t>经国家保险监督管理机构批准在中华人民共和国境内设立和营业的，并依法被核定许可经营责任保险和意外伤害保险业务的保险机构。提供有效期内的《经营保险业务许可证》并加盖投标人公章。供应商可以是保险总公司或者保险分支机构（分支机构须获得总部授权）。</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lang w:eastAsia="zh-CN"/>
        </w:rPr>
        <w:t>三、</w:t>
      </w:r>
      <w:r>
        <w:rPr>
          <w:rFonts w:hint="default" w:ascii="Times New Roman" w:hAnsi="Times New Roman" w:cs="Times New Roman" w:eastAsiaTheme="minorEastAsia"/>
          <w:b/>
          <w:color w:val="auto"/>
          <w:sz w:val="24"/>
          <w:highlight w:val="none"/>
        </w:rPr>
        <w:t>获取采购文件</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b/>
          <w:bCs/>
          <w:color w:val="auto"/>
          <w:sz w:val="24"/>
          <w:highlight w:val="none"/>
        </w:rPr>
        <w:t>时间</w:t>
      </w:r>
      <w:r>
        <w:rPr>
          <w:rFonts w:hint="default" w:ascii="Times New Roman" w:hAnsi="Times New Roman" w:cs="Times New Roman" w:eastAsiaTheme="minorEastAsia"/>
          <w:color w:val="auto"/>
          <w:sz w:val="24"/>
          <w:highlight w:val="none"/>
        </w:rPr>
        <w:t>：</w:t>
      </w:r>
      <w:r>
        <w:rPr>
          <w:rFonts w:hint="default" w:ascii="Times New Roman" w:hAnsi="Times New Roman" w:eastAsia="新宋体" w:cs="Times New Roman"/>
          <w:i w:val="0"/>
          <w:iCs w:val="0"/>
          <w:caps w:val="0"/>
          <w:color w:val="222222"/>
          <w:spacing w:val="0"/>
          <w:sz w:val="24"/>
          <w:szCs w:val="24"/>
          <w:shd w:val="clear" w:color="auto" w:fill="FFFFFF"/>
        </w:rPr>
        <w:t>202</w:t>
      </w:r>
      <w:r>
        <w:rPr>
          <w:rFonts w:hint="eastAsia" w:eastAsia="新宋体" w:cs="Times New Roman"/>
          <w:i w:val="0"/>
          <w:iCs w:val="0"/>
          <w:caps w:val="0"/>
          <w:color w:val="222222"/>
          <w:spacing w:val="0"/>
          <w:sz w:val="24"/>
          <w:szCs w:val="24"/>
          <w:shd w:val="clear" w:color="auto" w:fill="FFFFFF"/>
          <w:lang w:val="en-US" w:eastAsia="zh-CN"/>
        </w:rPr>
        <w:t>4</w:t>
      </w:r>
      <w:r>
        <w:rPr>
          <w:rFonts w:hint="default" w:ascii="Times New Roman" w:hAnsi="Times New Roman" w:eastAsia="新宋体" w:cs="Times New Roman"/>
          <w:i w:val="0"/>
          <w:iCs w:val="0"/>
          <w:caps w:val="0"/>
          <w:color w:val="222222"/>
          <w:spacing w:val="0"/>
          <w:sz w:val="24"/>
          <w:szCs w:val="24"/>
          <w:shd w:val="clear" w:color="auto" w:fill="FFFFFF"/>
        </w:rPr>
        <w:t>年</w:t>
      </w:r>
      <w:r>
        <w:rPr>
          <w:rFonts w:hint="eastAsia" w:eastAsia="新宋体" w:cs="Times New Roman"/>
          <w:i w:val="0"/>
          <w:iCs w:val="0"/>
          <w:caps w:val="0"/>
          <w:color w:val="222222"/>
          <w:spacing w:val="0"/>
          <w:sz w:val="24"/>
          <w:szCs w:val="24"/>
          <w:shd w:val="clear" w:color="auto" w:fill="FFFFFF"/>
          <w:lang w:val="en-US" w:eastAsia="zh-CN"/>
        </w:rPr>
        <w:t>1</w:t>
      </w:r>
      <w:r>
        <w:rPr>
          <w:rFonts w:hint="default" w:ascii="Times New Roman" w:hAnsi="Times New Roman" w:eastAsia="新宋体" w:cs="Times New Roman"/>
          <w:i w:val="0"/>
          <w:iCs w:val="0"/>
          <w:caps w:val="0"/>
          <w:color w:val="222222"/>
          <w:spacing w:val="0"/>
          <w:sz w:val="24"/>
          <w:szCs w:val="24"/>
          <w:shd w:val="clear" w:color="auto" w:fill="FFFFFF"/>
        </w:rPr>
        <w:t>月</w:t>
      </w:r>
      <w:r>
        <w:rPr>
          <w:rFonts w:hint="eastAsia" w:eastAsia="新宋体" w:cs="Times New Roman"/>
          <w:i w:val="0"/>
          <w:iCs w:val="0"/>
          <w:caps w:val="0"/>
          <w:color w:val="222222"/>
          <w:spacing w:val="0"/>
          <w:sz w:val="24"/>
          <w:szCs w:val="24"/>
          <w:shd w:val="clear" w:color="auto" w:fill="FFFFFF"/>
          <w:lang w:val="en-US" w:eastAsia="zh-CN"/>
        </w:rPr>
        <w:t>2</w:t>
      </w:r>
      <w:r>
        <w:rPr>
          <w:rFonts w:hint="default" w:ascii="Times New Roman" w:hAnsi="Times New Roman" w:eastAsia="新宋体" w:cs="Times New Roman"/>
          <w:i w:val="0"/>
          <w:iCs w:val="0"/>
          <w:caps w:val="0"/>
          <w:color w:val="222222"/>
          <w:spacing w:val="0"/>
          <w:sz w:val="24"/>
          <w:szCs w:val="24"/>
          <w:shd w:val="clear" w:color="auto" w:fill="FFFFFF"/>
        </w:rPr>
        <w:t>日至202</w:t>
      </w:r>
      <w:r>
        <w:rPr>
          <w:rFonts w:hint="eastAsia" w:eastAsia="新宋体" w:cs="Times New Roman"/>
          <w:i w:val="0"/>
          <w:iCs w:val="0"/>
          <w:caps w:val="0"/>
          <w:color w:val="222222"/>
          <w:spacing w:val="0"/>
          <w:sz w:val="24"/>
          <w:szCs w:val="24"/>
          <w:shd w:val="clear" w:color="auto" w:fill="FFFFFF"/>
          <w:lang w:val="en-US" w:eastAsia="zh-CN"/>
        </w:rPr>
        <w:t>4</w:t>
      </w:r>
      <w:r>
        <w:rPr>
          <w:rFonts w:hint="default" w:ascii="Times New Roman" w:hAnsi="Times New Roman" w:eastAsia="新宋体" w:cs="Times New Roman"/>
          <w:i w:val="0"/>
          <w:iCs w:val="0"/>
          <w:caps w:val="0"/>
          <w:color w:val="222222"/>
          <w:spacing w:val="0"/>
          <w:sz w:val="24"/>
          <w:szCs w:val="24"/>
          <w:shd w:val="clear" w:color="auto" w:fill="FFFFFF"/>
        </w:rPr>
        <w:t>年</w:t>
      </w:r>
      <w:r>
        <w:rPr>
          <w:rFonts w:hint="eastAsia" w:eastAsia="新宋体" w:cs="Times New Roman"/>
          <w:i w:val="0"/>
          <w:iCs w:val="0"/>
          <w:caps w:val="0"/>
          <w:color w:val="222222"/>
          <w:spacing w:val="0"/>
          <w:sz w:val="24"/>
          <w:szCs w:val="24"/>
          <w:shd w:val="clear" w:color="auto" w:fill="FFFFFF"/>
          <w:lang w:val="en-US" w:eastAsia="zh-CN"/>
        </w:rPr>
        <w:t>1</w:t>
      </w:r>
      <w:r>
        <w:rPr>
          <w:rFonts w:hint="default" w:ascii="Times New Roman" w:hAnsi="Times New Roman" w:eastAsia="新宋体" w:cs="Times New Roman"/>
          <w:i w:val="0"/>
          <w:iCs w:val="0"/>
          <w:caps w:val="0"/>
          <w:color w:val="222222"/>
          <w:spacing w:val="0"/>
          <w:sz w:val="24"/>
          <w:szCs w:val="24"/>
          <w:shd w:val="clear" w:color="auto" w:fill="FFFFFF"/>
        </w:rPr>
        <w:t>月</w:t>
      </w:r>
      <w:r>
        <w:rPr>
          <w:rFonts w:hint="eastAsia" w:eastAsia="新宋体" w:cs="Times New Roman"/>
          <w:i w:val="0"/>
          <w:iCs w:val="0"/>
          <w:caps w:val="0"/>
          <w:color w:val="222222"/>
          <w:spacing w:val="0"/>
          <w:sz w:val="24"/>
          <w:szCs w:val="24"/>
          <w:shd w:val="clear" w:color="auto" w:fill="FFFFFF"/>
          <w:lang w:val="en-US" w:eastAsia="zh-CN"/>
        </w:rPr>
        <w:t>8</w:t>
      </w:r>
      <w:r>
        <w:rPr>
          <w:rFonts w:hint="default" w:ascii="Times New Roman" w:hAnsi="Times New Roman" w:eastAsia="新宋体" w:cs="Times New Roman"/>
          <w:i w:val="0"/>
          <w:iCs w:val="0"/>
          <w:caps w:val="0"/>
          <w:color w:val="222222"/>
          <w:spacing w:val="0"/>
          <w:sz w:val="24"/>
          <w:szCs w:val="24"/>
          <w:shd w:val="clear" w:color="auto" w:fill="FFFFFF"/>
        </w:rPr>
        <w:t>日，每天上午08:30:00至12:00:00，下午12:00:00至17:30:00（北京时间,法定节假日除外）</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szCs w:val="24"/>
          <w:highlight w:val="none"/>
        </w:rPr>
        <w:t>地点：</w:t>
      </w:r>
      <w:r>
        <w:rPr>
          <w:rFonts w:hint="default" w:ascii="Times New Roman" w:hAnsi="Times New Roman" w:cs="Times New Roman"/>
          <w:bCs/>
          <w:color w:val="000000"/>
          <w:sz w:val="24"/>
          <w:szCs w:val="24"/>
        </w:rPr>
        <w:t>远东电子交易平台(http://www.gdydzb.com/)</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color w:val="auto"/>
          <w:sz w:val="24"/>
          <w:szCs w:val="24"/>
          <w:highlight w:val="none"/>
          <w:u w:val="single"/>
          <w:lang w:val="en-US" w:eastAsia="zh-CN"/>
        </w:rPr>
      </w:pPr>
      <w:r>
        <w:rPr>
          <w:rFonts w:hint="default" w:ascii="Times New Roman" w:hAnsi="Times New Roman" w:cs="Times New Roman" w:eastAsiaTheme="minorEastAsia"/>
          <w:color w:val="auto"/>
          <w:sz w:val="24"/>
          <w:szCs w:val="24"/>
          <w:highlight w:val="none"/>
        </w:rPr>
        <w:t>方式：</w:t>
      </w:r>
      <w:r>
        <w:rPr>
          <w:rFonts w:hint="default" w:ascii="Times New Roman" w:hAnsi="Times New Roman" w:cs="Times New Roman" w:eastAsiaTheme="minorEastAsia"/>
          <w:color w:val="000000"/>
          <w:sz w:val="24"/>
          <w:highlight w:val="none"/>
          <w:lang w:eastAsia="zh-CN"/>
        </w:rPr>
        <w:t>在线</w:t>
      </w:r>
      <w:r>
        <w:rPr>
          <w:rFonts w:hint="default" w:ascii="Times New Roman" w:hAnsi="Times New Roman" w:cs="Times New Roman"/>
          <w:color w:val="000000"/>
          <w:sz w:val="24"/>
          <w:highlight w:val="none"/>
        </w:rPr>
        <w:t>获取</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i w:val="0"/>
          <w:caps w:val="0"/>
          <w:color w:val="auto"/>
          <w:spacing w:val="0"/>
          <w:sz w:val="24"/>
          <w:szCs w:val="24"/>
          <w:highlight w:val="none"/>
          <w:shd w:val="clear" w:color="auto" w:fill="FFFFFF"/>
        </w:rPr>
      </w:pPr>
      <w:r>
        <w:rPr>
          <w:rFonts w:hint="eastAsia" w:cs="Times New Roman" w:eastAsiaTheme="minorEastAsia"/>
          <w:color w:val="auto"/>
          <w:sz w:val="24"/>
          <w:szCs w:val="24"/>
          <w:highlight w:val="none"/>
          <w:lang w:eastAsia="zh-CN"/>
        </w:rPr>
        <w:t>售价</w:t>
      </w:r>
      <w:r>
        <w:rPr>
          <w:rFonts w:hint="default" w:ascii="Times New Roman" w:hAnsi="Times New Roman" w:cs="Times New Roman" w:eastAsiaTheme="minorEastAsia"/>
          <w:color w:val="auto"/>
          <w:sz w:val="24"/>
          <w:szCs w:val="24"/>
          <w:highlight w:val="none"/>
        </w:rPr>
        <w:t>：</w:t>
      </w:r>
      <w:r>
        <w:rPr>
          <w:rFonts w:hint="eastAsia" w:cs="Times New Roman" w:eastAsiaTheme="minorEastAsia"/>
          <w:color w:val="auto"/>
          <w:sz w:val="24"/>
          <w:szCs w:val="24"/>
          <w:highlight w:val="none"/>
          <w:lang w:val="en-US" w:eastAsia="zh-CN"/>
        </w:rPr>
        <w:t>0元</w:t>
      </w:r>
      <w:r>
        <w:rPr>
          <w:rFonts w:hint="default" w:ascii="Times New Roman" w:hAnsi="Times New Roman" w:cs="Times New Roman"/>
          <w:color w:val="000000"/>
          <w:sz w:val="24"/>
          <w:highlight w:val="none"/>
          <w:lang w:val="en-US" w:eastAsia="zh-CN"/>
        </w:rPr>
        <w:t>。</w:t>
      </w:r>
    </w:p>
    <w:p>
      <w:pPr>
        <w:pStyle w:val="32"/>
        <w:adjustRightInd w:val="0"/>
        <w:snapToGrid w:val="0"/>
        <w:spacing w:afterLines="0" w:line="336" w:lineRule="auto"/>
        <w:rPr>
          <w:rFonts w:hint="default" w:ascii="Times New Roman" w:hAnsi="Times New Roman" w:cs="Times New Roman"/>
          <w:bCs/>
          <w:color w:val="000000"/>
          <w:sz w:val="24"/>
          <w:szCs w:val="24"/>
        </w:rPr>
      </w:pPr>
      <w:r>
        <w:rPr>
          <w:rFonts w:hint="default" w:ascii="Times New Roman" w:hAnsi="Times New Roman" w:cs="Times New Roman" w:eastAsiaTheme="minorEastAsia"/>
          <w:b/>
          <w:color w:val="auto"/>
          <w:sz w:val="24"/>
          <w:highlight w:val="none"/>
        </w:rPr>
        <w:t>四、响应文件提交</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bCs/>
          <w:color w:val="000000"/>
          <w:sz w:val="24"/>
          <w:szCs w:val="24"/>
        </w:rPr>
        <w:t>开始时间：</w:t>
      </w:r>
      <w:r>
        <w:rPr>
          <w:rFonts w:hint="default" w:ascii="Times New Roman" w:hAnsi="Times New Roman" w:eastAsia="新宋体" w:cs="Times New Roman"/>
          <w:i w:val="0"/>
          <w:iCs w:val="0"/>
          <w:caps w:val="0"/>
          <w:color w:val="222222"/>
          <w:spacing w:val="0"/>
          <w:sz w:val="24"/>
          <w:szCs w:val="24"/>
          <w:shd w:val="clear" w:color="auto" w:fill="FFFFFF"/>
        </w:rPr>
        <w:t>202</w:t>
      </w:r>
      <w:r>
        <w:rPr>
          <w:rFonts w:hint="eastAsia" w:eastAsia="新宋体" w:cs="Times New Roman"/>
          <w:i w:val="0"/>
          <w:iCs w:val="0"/>
          <w:caps w:val="0"/>
          <w:color w:val="222222"/>
          <w:spacing w:val="0"/>
          <w:sz w:val="24"/>
          <w:szCs w:val="24"/>
          <w:shd w:val="clear" w:color="auto" w:fill="FFFFFF"/>
          <w:lang w:val="en-US" w:eastAsia="zh-CN"/>
        </w:rPr>
        <w:t>4</w:t>
      </w:r>
      <w:r>
        <w:rPr>
          <w:rFonts w:hint="default" w:ascii="Times New Roman" w:hAnsi="Times New Roman" w:eastAsia="新宋体" w:cs="Times New Roman"/>
          <w:i w:val="0"/>
          <w:iCs w:val="0"/>
          <w:caps w:val="0"/>
          <w:color w:val="222222"/>
          <w:spacing w:val="0"/>
          <w:sz w:val="24"/>
          <w:szCs w:val="24"/>
          <w:shd w:val="clear" w:color="auto" w:fill="FFFFFF"/>
        </w:rPr>
        <w:t>年</w:t>
      </w:r>
      <w:r>
        <w:rPr>
          <w:rFonts w:hint="eastAsia" w:eastAsia="新宋体" w:cs="Times New Roman"/>
          <w:i w:val="0"/>
          <w:iCs w:val="0"/>
          <w:caps w:val="0"/>
          <w:color w:val="222222"/>
          <w:spacing w:val="0"/>
          <w:sz w:val="24"/>
          <w:szCs w:val="24"/>
          <w:shd w:val="clear" w:color="auto" w:fill="FFFFFF"/>
          <w:lang w:val="en-US" w:eastAsia="zh-CN"/>
        </w:rPr>
        <w:t>1</w:t>
      </w:r>
      <w:r>
        <w:rPr>
          <w:rFonts w:hint="default" w:ascii="Times New Roman" w:hAnsi="Times New Roman" w:eastAsia="新宋体" w:cs="Times New Roman"/>
          <w:i w:val="0"/>
          <w:iCs w:val="0"/>
          <w:caps w:val="0"/>
          <w:color w:val="222222"/>
          <w:spacing w:val="0"/>
          <w:sz w:val="24"/>
          <w:szCs w:val="24"/>
          <w:shd w:val="clear" w:color="auto" w:fill="FFFFFF"/>
        </w:rPr>
        <w:t>月</w:t>
      </w:r>
      <w:r>
        <w:rPr>
          <w:rFonts w:hint="eastAsia" w:eastAsia="新宋体" w:cs="Times New Roman"/>
          <w:i w:val="0"/>
          <w:iCs w:val="0"/>
          <w:caps w:val="0"/>
          <w:color w:val="222222"/>
          <w:spacing w:val="0"/>
          <w:sz w:val="24"/>
          <w:szCs w:val="24"/>
          <w:shd w:val="clear" w:color="auto" w:fill="FFFFFF"/>
          <w:lang w:val="en-US" w:eastAsia="zh-CN"/>
        </w:rPr>
        <w:t>12</w:t>
      </w:r>
      <w:r>
        <w:rPr>
          <w:rFonts w:hint="default" w:ascii="Times New Roman" w:hAnsi="Times New Roman" w:eastAsia="新宋体" w:cs="Times New Roman"/>
          <w:i w:val="0"/>
          <w:iCs w:val="0"/>
          <w:caps w:val="0"/>
          <w:color w:val="222222"/>
          <w:spacing w:val="0"/>
          <w:sz w:val="24"/>
          <w:szCs w:val="24"/>
          <w:shd w:val="clear" w:color="auto" w:fill="FFFFFF"/>
        </w:rPr>
        <w:t>日</w:t>
      </w:r>
      <w:r>
        <w:rPr>
          <w:rFonts w:hint="default" w:ascii="Times New Roman" w:hAnsi="Times New Roman" w:cs="Times New Roman"/>
          <w:bCs/>
          <w:color w:val="000000"/>
          <w:sz w:val="24"/>
          <w:szCs w:val="24"/>
        </w:rPr>
        <w:t>09</w:t>
      </w:r>
      <w:r>
        <w:rPr>
          <w:rFonts w:hint="default" w:ascii="Times New Roman" w:hAnsi="Times New Roman" w:cs="Times New Roman"/>
          <w:color w:val="000000"/>
          <w:sz w:val="24"/>
          <w:szCs w:val="24"/>
        </w:rPr>
        <w:t>点</w:t>
      </w:r>
      <w:r>
        <w:rPr>
          <w:rFonts w:hint="default" w:ascii="Times New Roman" w:hAnsi="Times New Roman" w:cs="Times New Roman"/>
          <w:bCs/>
          <w:color w:val="000000"/>
          <w:sz w:val="24"/>
          <w:szCs w:val="24"/>
        </w:rPr>
        <w:t>00分（北京时间)</w:t>
      </w:r>
    </w:p>
    <w:p>
      <w:pPr>
        <w:pStyle w:val="32"/>
        <w:adjustRightInd w:val="0"/>
        <w:snapToGrid w:val="0"/>
        <w:spacing w:afterLines="0" w:line="336"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bCs/>
          <w:color w:val="000000"/>
          <w:sz w:val="24"/>
          <w:szCs w:val="24"/>
        </w:rPr>
        <w:t>截止时间：</w:t>
      </w:r>
      <w:r>
        <w:rPr>
          <w:rFonts w:hint="default" w:ascii="Times New Roman" w:hAnsi="Times New Roman" w:eastAsia="新宋体" w:cs="Times New Roman"/>
          <w:i w:val="0"/>
          <w:iCs w:val="0"/>
          <w:caps w:val="0"/>
          <w:color w:val="222222"/>
          <w:spacing w:val="0"/>
          <w:sz w:val="24"/>
          <w:szCs w:val="24"/>
          <w:shd w:val="clear" w:color="auto" w:fill="FFFFFF"/>
        </w:rPr>
        <w:t>202</w:t>
      </w:r>
      <w:r>
        <w:rPr>
          <w:rFonts w:hint="eastAsia" w:eastAsia="新宋体" w:cs="Times New Roman"/>
          <w:i w:val="0"/>
          <w:iCs w:val="0"/>
          <w:caps w:val="0"/>
          <w:color w:val="222222"/>
          <w:spacing w:val="0"/>
          <w:sz w:val="24"/>
          <w:szCs w:val="24"/>
          <w:shd w:val="clear" w:color="auto" w:fill="FFFFFF"/>
          <w:lang w:val="en-US" w:eastAsia="zh-CN"/>
        </w:rPr>
        <w:t>4</w:t>
      </w:r>
      <w:r>
        <w:rPr>
          <w:rFonts w:hint="default" w:ascii="Times New Roman" w:hAnsi="Times New Roman" w:eastAsia="新宋体" w:cs="Times New Roman"/>
          <w:i w:val="0"/>
          <w:iCs w:val="0"/>
          <w:caps w:val="0"/>
          <w:color w:val="222222"/>
          <w:spacing w:val="0"/>
          <w:sz w:val="24"/>
          <w:szCs w:val="24"/>
          <w:shd w:val="clear" w:color="auto" w:fill="FFFFFF"/>
        </w:rPr>
        <w:t>年</w:t>
      </w:r>
      <w:r>
        <w:rPr>
          <w:rFonts w:hint="eastAsia" w:eastAsia="新宋体" w:cs="Times New Roman"/>
          <w:i w:val="0"/>
          <w:iCs w:val="0"/>
          <w:caps w:val="0"/>
          <w:color w:val="222222"/>
          <w:spacing w:val="0"/>
          <w:sz w:val="24"/>
          <w:szCs w:val="24"/>
          <w:shd w:val="clear" w:color="auto" w:fill="FFFFFF"/>
          <w:lang w:val="en-US" w:eastAsia="zh-CN"/>
        </w:rPr>
        <w:t>1</w:t>
      </w:r>
      <w:r>
        <w:rPr>
          <w:rFonts w:hint="default" w:ascii="Times New Roman" w:hAnsi="Times New Roman" w:eastAsia="新宋体" w:cs="Times New Roman"/>
          <w:i w:val="0"/>
          <w:iCs w:val="0"/>
          <w:caps w:val="0"/>
          <w:color w:val="222222"/>
          <w:spacing w:val="0"/>
          <w:sz w:val="24"/>
          <w:szCs w:val="24"/>
          <w:shd w:val="clear" w:color="auto" w:fill="FFFFFF"/>
        </w:rPr>
        <w:t>月</w:t>
      </w:r>
      <w:r>
        <w:rPr>
          <w:rFonts w:hint="eastAsia" w:eastAsia="新宋体" w:cs="Times New Roman"/>
          <w:i w:val="0"/>
          <w:iCs w:val="0"/>
          <w:caps w:val="0"/>
          <w:color w:val="222222"/>
          <w:spacing w:val="0"/>
          <w:sz w:val="24"/>
          <w:szCs w:val="24"/>
          <w:shd w:val="clear" w:color="auto" w:fill="FFFFFF"/>
          <w:lang w:val="en-US" w:eastAsia="zh-CN"/>
        </w:rPr>
        <w:t>12</w:t>
      </w:r>
      <w:r>
        <w:rPr>
          <w:rFonts w:hint="default" w:ascii="Times New Roman" w:hAnsi="Times New Roman" w:eastAsia="新宋体" w:cs="Times New Roman"/>
          <w:i w:val="0"/>
          <w:iCs w:val="0"/>
          <w:caps w:val="0"/>
          <w:color w:val="222222"/>
          <w:spacing w:val="0"/>
          <w:sz w:val="24"/>
          <w:szCs w:val="24"/>
          <w:shd w:val="clear" w:color="auto" w:fill="FFFFFF"/>
        </w:rPr>
        <w:t>日</w:t>
      </w:r>
      <w:r>
        <w:rPr>
          <w:rFonts w:hint="default" w:ascii="Times New Roman" w:hAnsi="Times New Roman" w:cs="Times New Roman"/>
          <w:bCs/>
          <w:color w:val="000000"/>
          <w:sz w:val="24"/>
          <w:szCs w:val="24"/>
        </w:rPr>
        <w:t>09</w:t>
      </w:r>
      <w:r>
        <w:rPr>
          <w:rFonts w:hint="default" w:ascii="Times New Roman" w:hAnsi="Times New Roman" w:cs="Times New Roman"/>
          <w:color w:val="000000"/>
          <w:sz w:val="24"/>
          <w:szCs w:val="24"/>
        </w:rPr>
        <w:t>点</w:t>
      </w:r>
      <w:r>
        <w:rPr>
          <w:rFonts w:hint="default" w:ascii="Times New Roman" w:hAnsi="Times New Roman" w:cs="Times New Roman"/>
          <w:bCs/>
          <w:color w:val="000000"/>
          <w:sz w:val="24"/>
          <w:szCs w:val="24"/>
        </w:rPr>
        <w:t>30分（北京时间）</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color w:val="auto"/>
          <w:sz w:val="24"/>
          <w:highlight w:val="none"/>
        </w:rPr>
        <w:t>地点</w:t>
      </w: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000000"/>
          <w:sz w:val="24"/>
        </w:rPr>
        <w:t>佛山市禅城区季华五路10号金融广场17层A区之一（广东远东招标代理有限公司佛山分公司开标室）</w:t>
      </w:r>
      <w:r>
        <w:rPr>
          <w:rFonts w:hint="default" w:ascii="Times New Roman" w:hAnsi="Times New Roman" w:cs="Times New Roman"/>
          <w:bCs/>
          <w:color w:val="000000"/>
          <w:sz w:val="24"/>
          <w:szCs w:val="24"/>
        </w:rPr>
        <w:t>。</w:t>
      </w:r>
    </w:p>
    <w:p>
      <w:pPr>
        <w:adjustRightInd w:val="0"/>
        <w:snapToGrid w:val="0"/>
        <w:spacing w:after="0" w:afterLines="0" w:line="336" w:lineRule="auto"/>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五、</w:t>
      </w:r>
      <w:r>
        <w:rPr>
          <w:rFonts w:hint="default" w:ascii="Times New Roman" w:hAnsi="Times New Roman" w:cs="Times New Roman" w:eastAsiaTheme="minorEastAsia"/>
          <w:b/>
          <w:color w:val="auto"/>
          <w:sz w:val="24"/>
          <w:highlight w:val="none"/>
          <w:lang w:eastAsia="zh-CN"/>
        </w:rPr>
        <w:t>开标</w:t>
      </w:r>
    </w:p>
    <w:p>
      <w:pPr>
        <w:adjustRightInd w:val="0"/>
        <w:snapToGrid w:val="0"/>
        <w:spacing w:after="0" w:afterLines="0" w:line="336"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时间：20</w:t>
      </w:r>
      <w:r>
        <w:rPr>
          <w:rFonts w:hint="default" w:ascii="Times New Roman" w:hAnsi="Times New Roman" w:cs="Times New Roman" w:eastAsiaTheme="minorEastAsia"/>
          <w:color w:val="auto"/>
          <w:sz w:val="24"/>
          <w:highlight w:val="none"/>
          <w:lang w:val="en-US" w:eastAsia="zh-CN"/>
        </w:rPr>
        <w:t>2</w:t>
      </w:r>
      <w:r>
        <w:rPr>
          <w:rFonts w:hint="eastAsia"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eastAsia"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rPr>
        <w:t>月</w:t>
      </w:r>
      <w:r>
        <w:rPr>
          <w:rFonts w:hint="eastAsia" w:cs="Times New Roman" w:eastAsiaTheme="minorEastAsia"/>
          <w:color w:val="auto"/>
          <w:sz w:val="24"/>
          <w:highlight w:val="none"/>
          <w:lang w:val="en-US" w:eastAsia="zh-CN"/>
        </w:rPr>
        <w:t>12</w:t>
      </w:r>
      <w:r>
        <w:rPr>
          <w:rFonts w:hint="default" w:ascii="Times New Roman" w:hAnsi="Times New Roman" w:cs="Times New Roman" w:eastAsiaTheme="minorEastAsia"/>
          <w:color w:val="auto"/>
          <w:sz w:val="24"/>
          <w:highlight w:val="none"/>
        </w:rPr>
        <w:t>日</w:t>
      </w:r>
      <w:r>
        <w:rPr>
          <w:rFonts w:hint="default" w:ascii="Times New Roman" w:hAnsi="Times New Roman" w:cs="Times New Roman" w:eastAsiaTheme="minorEastAsia"/>
          <w:color w:val="auto"/>
          <w:sz w:val="24"/>
          <w:highlight w:val="none"/>
          <w:lang w:val="en-US" w:eastAsia="zh-CN"/>
        </w:rPr>
        <w:t>9</w:t>
      </w:r>
      <w:r>
        <w:rPr>
          <w:rFonts w:hint="default" w:ascii="Times New Roman" w:hAnsi="Times New Roman" w:cs="Times New Roman" w:eastAsiaTheme="minorEastAsia"/>
          <w:color w:val="auto"/>
          <w:sz w:val="24"/>
          <w:highlight w:val="none"/>
        </w:rPr>
        <w:t>点</w:t>
      </w:r>
      <w:r>
        <w:rPr>
          <w:rFonts w:hint="default" w:ascii="Times New Roman" w:hAnsi="Times New Roman" w:cs="Times New Roman" w:eastAsiaTheme="minorEastAsia"/>
          <w:color w:val="auto"/>
          <w:sz w:val="24"/>
          <w:highlight w:val="none"/>
          <w:lang w:val="en-US" w:eastAsia="zh-CN"/>
        </w:rPr>
        <w:t>30</w:t>
      </w:r>
      <w:r>
        <w:rPr>
          <w:rFonts w:hint="default" w:ascii="Times New Roman" w:hAnsi="Times New Roman" w:cs="Times New Roman" w:eastAsiaTheme="minorEastAsia"/>
          <w:color w:val="auto"/>
          <w:sz w:val="24"/>
          <w:highlight w:val="none"/>
        </w:rPr>
        <w:t>分（北京时间）</w:t>
      </w:r>
    </w:p>
    <w:p>
      <w:pPr>
        <w:pStyle w:val="10"/>
        <w:pageBreakBefore w:val="0"/>
        <w:widowControl w:val="0"/>
        <w:kinsoku/>
        <w:wordWrap/>
        <w:overflowPunct/>
        <w:topLinePunct w:val="0"/>
        <w:autoSpaceDE/>
        <w:autoSpaceDN/>
        <w:bidi w:val="0"/>
        <w:adjustRightInd w:val="0"/>
        <w:snapToGrid w:val="0"/>
        <w:spacing w:afterLines="0" w:line="336" w:lineRule="auto"/>
        <w:jc w:val="both"/>
        <w:textAlignment w:val="auto"/>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rPr>
        <w:t>地点：</w:t>
      </w:r>
      <w:r>
        <w:rPr>
          <w:rFonts w:hint="default" w:ascii="Times New Roman" w:hAnsi="Times New Roman" w:cs="Times New Roman"/>
          <w:color w:val="000000"/>
          <w:sz w:val="24"/>
        </w:rPr>
        <w:t>佛山市禅城区季华五路10号金融广场17层A区之一（广东远东招标代理有限公司佛山分公司开标室）</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highlight w:val="none"/>
          <w:lang w:eastAsia="zh-CN"/>
        </w:rPr>
        <w:t>六</w:t>
      </w:r>
      <w:r>
        <w:rPr>
          <w:rFonts w:hint="default" w:ascii="Times New Roman" w:hAnsi="Times New Roman" w:cs="Times New Roman" w:eastAsiaTheme="minorEastAsia"/>
          <w:b/>
          <w:color w:val="auto"/>
          <w:sz w:val="24"/>
          <w:highlight w:val="none"/>
        </w:rPr>
        <w:t>、公告期限</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color w:val="auto"/>
          <w:kern w:val="0"/>
          <w:sz w:val="24"/>
          <w:szCs w:val="24"/>
          <w:highlight w:val="none"/>
        </w:rPr>
        <w:t>自本公告发布之日起</w:t>
      </w:r>
      <w:r>
        <w:rPr>
          <w:rFonts w:hint="default"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个工作日。</w:t>
      </w:r>
    </w:p>
    <w:p>
      <w:pPr>
        <w:pageBreakBefore w:val="0"/>
        <w:widowControl w:val="0"/>
        <w:kinsoku/>
        <w:wordWrap/>
        <w:overflowPunct/>
        <w:topLinePunct w:val="0"/>
        <w:autoSpaceDE/>
        <w:autoSpaceDN/>
        <w:bidi w:val="0"/>
        <w:adjustRightInd w:val="0"/>
        <w:snapToGrid w:val="0"/>
        <w:spacing w:afterLines="0" w:line="336" w:lineRule="auto"/>
        <w:ind w:left="0" w:hanging="482" w:hangingChars="200"/>
        <w:textAlignment w:val="auto"/>
        <w:rPr>
          <w:rFonts w:hint="default" w:ascii="Times New Roman" w:hAnsi="Times New Roman" w:cs="Times New Roman" w:eastAsiaTheme="minorEastAsia"/>
          <w:b/>
          <w:color w:val="auto"/>
          <w:sz w:val="24"/>
          <w:highlight w:val="none"/>
          <w:lang w:eastAsia="zh-CN"/>
        </w:rPr>
      </w:pPr>
      <w:r>
        <w:rPr>
          <w:rFonts w:hint="default" w:ascii="Times New Roman" w:hAnsi="Times New Roman" w:cs="Times New Roman" w:eastAsiaTheme="minorEastAsia"/>
          <w:b/>
          <w:color w:val="auto"/>
          <w:sz w:val="24"/>
          <w:highlight w:val="none"/>
          <w:lang w:eastAsia="zh-CN"/>
        </w:rPr>
        <w:t>七、其他补充事宜</w:t>
      </w:r>
    </w:p>
    <w:p>
      <w:pPr>
        <w:keepNext w:val="0"/>
        <w:keepLines w:val="0"/>
        <w:pageBreakBefore w:val="0"/>
        <w:widowControl w:val="0"/>
        <w:kinsoku/>
        <w:wordWrap/>
        <w:overflowPunct/>
        <w:topLinePunct w:val="0"/>
        <w:autoSpaceDE/>
        <w:autoSpaceDN/>
        <w:bidi w:val="0"/>
        <w:adjustRightInd w:val="0"/>
        <w:snapToGrid w:val="0"/>
        <w:spacing w:afterLines="0" w:line="336"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符合资格的潜在供应商应当在采购文件获取时间内按代理机构规定方式获取采购文件，流程如下：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本项目采购文件只在远东电子交易平台在线上发售，供应商在购买采购文件之前，登录远东电子交易平台(http://www.gdydzb.com/)进行网上注册（已注册请忽略，直接登录进行报名与购标操作），具体流程操作见网站“下载专区 ——投标人操作手册”，网上注册相应准备资料如下：加盖公章的有效营业执照副本扫描件、法人姓名与身份证号码。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符合资格的供应商在网上注册成功后方可报名与购买采购文件，购买方式：网上购买，标书款支付方式为网上支付。主要操作过程如下：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1）注册：远东电子交易平台(http://www.gdydzb.com/)完成注册（详细可查看下载专区的《投标人操作手册》）；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2）选择项目：登录后，在“所有项目”中，搜索到需要参与的项目，点击"投标"；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3）报名参与：选择“报名登记”，选择相应的标段登记资料（请根据供应商资格提交相应的资料扫描件，如有多个请全部压缩成一个文件再上传），提交后请等待审核：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本项目需提交资料（均须加盖供应商公章）要求为：a.有效的营业执照副本或社会团体法人证书或事业单位法人证书等复印件；b.法定代表人证明书及授权文件；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购买采购文件：在登记资料通过审核后，请在“购标、投标文件--&gt;报名下载采购文件”中选择相应的标段，通过网上支付方式完成支付并下载采购文件。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4）购买采购文件：在登记资料通过审核后，请在“标书购买”中选择相应的标段，通过网上支付方式完成支付并下载采购文件。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有关网上注册、报名相关疑问，可致电0757-83332528，邮箱：zgydfs@126.com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val="en-US" w:eastAsia="zh-CN"/>
        </w:rPr>
      </w:pPr>
      <w:r>
        <w:rPr>
          <w:rFonts w:hint="default" w:ascii="Times New Roman" w:hAnsi="Times New Roman" w:cs="Times New Roman" w:eastAsiaTheme="minorEastAsia"/>
          <w:b w:val="0"/>
          <w:bCs/>
          <w:color w:val="auto"/>
          <w:sz w:val="24"/>
          <w:highlight w:val="none"/>
          <w:lang w:eastAsia="zh-CN"/>
        </w:rPr>
        <w:t>无法进行网上报名：可携带（a.有效的营业执照副本或社会团体法人证书或事业单位法人证书等复印件；b.法定代表人证明书及授权文件。）到佛山市禅城区季华五路10号金融广场17层A区进行现场报名</w:t>
      </w:r>
      <w:r>
        <w:rPr>
          <w:rFonts w:hint="default" w:ascii="Times New Roman" w:hAnsi="Times New Roman" w:cs="Times New Roman" w:eastAsiaTheme="minorEastAsia"/>
          <w:b w:val="0"/>
          <w:bCs/>
          <w:color w:val="auto"/>
          <w:sz w:val="24"/>
          <w:highlight w:val="none"/>
          <w:lang w:val="en-US" w:eastAsia="zh-CN"/>
        </w:rPr>
        <w:t>。</w:t>
      </w:r>
    </w:p>
    <w:p>
      <w:pPr>
        <w:spacing w:after="72" w:afterLines="30" w:line="360" w:lineRule="auto"/>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lang w:eastAsia="zh-CN"/>
        </w:rPr>
        <w:t>八</w:t>
      </w:r>
      <w:r>
        <w:rPr>
          <w:rFonts w:hint="default" w:ascii="Times New Roman" w:hAnsi="Times New Roman" w:cs="Times New Roman" w:eastAsiaTheme="minorEastAsia"/>
          <w:b/>
          <w:color w:val="auto"/>
          <w:sz w:val="24"/>
          <w:highlight w:val="none"/>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仿宋" w:cs="Times New Roman"/>
          <w:bCs/>
          <w:spacing w:val="10"/>
          <w:kern w:val="0"/>
          <w:sz w:val="28"/>
          <w:szCs w:val="28"/>
          <w:highlight w:val="none"/>
          <w:lang w:val="en-US" w:eastAsia="zh-CN" w:bidi="ar-SA"/>
        </w:rPr>
      </w:pPr>
      <w:r>
        <w:rPr>
          <w:rFonts w:hint="default" w:ascii="Times New Roman" w:hAnsi="Times New Roman" w:cs="Times New Roman" w:eastAsiaTheme="minorEastAsia"/>
          <w:color w:val="auto"/>
          <w:sz w:val="24"/>
          <w:highlight w:val="none"/>
        </w:rPr>
        <w:t>1.采购人信息</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名称：</w:t>
      </w:r>
      <w:r>
        <w:rPr>
          <w:rFonts w:hint="default" w:ascii="Times New Roman" w:hAnsi="Times New Roman" w:cs="Times New Roman" w:eastAsiaTheme="minorEastAsia"/>
          <w:color w:val="auto"/>
          <w:sz w:val="24"/>
          <w:highlight w:val="none"/>
          <w:lang w:eastAsia="zh-CN"/>
        </w:rPr>
        <w:t>佛山市消防救援支队</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地址：佛山市顺德区乐从镇东平社区裕和路1号</w:t>
      </w:r>
      <w:r>
        <w:rPr>
          <w:rFonts w:hint="default" w:ascii="Times New Roman" w:hAnsi="Times New Roman" w:cs="Times New Roman" w:eastAsiaTheme="minorEastAsia"/>
          <w:color w:val="auto"/>
          <w:sz w:val="24"/>
          <w:highlight w:val="none"/>
          <w:lang w:val="en-US" w:eastAsia="zh-CN"/>
        </w:rPr>
        <w:t xml:space="preserve"> </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联</w:t>
      </w:r>
      <w:r>
        <w:rPr>
          <w:rFonts w:hint="default" w:ascii="Times New Roman" w:hAnsi="Times New Roman" w:cs="Times New Roman" w:eastAsiaTheme="minorEastAsia"/>
          <w:color w:val="auto"/>
          <w:sz w:val="24"/>
          <w:highlight w:val="none"/>
          <w:lang w:eastAsia="zh-CN"/>
        </w:rPr>
        <w:t>系方式：0757-82989055</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2.采购代理机构信息</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名称：</w:t>
      </w:r>
      <w:r>
        <w:rPr>
          <w:rFonts w:hint="default" w:ascii="Times New Roman" w:hAnsi="Times New Roman" w:cs="Times New Roman" w:eastAsiaTheme="minorEastAsia"/>
          <w:color w:val="auto"/>
          <w:sz w:val="24"/>
          <w:highlight w:val="none"/>
          <w:lang w:eastAsia="zh-CN"/>
        </w:rPr>
        <w:t>广东远东招标代理有限公司</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地址：</w:t>
      </w:r>
      <w:r>
        <w:rPr>
          <w:rFonts w:hint="default" w:ascii="Times New Roman" w:hAnsi="Times New Roman" w:cs="Times New Roman" w:eastAsiaTheme="minorEastAsia"/>
          <w:color w:val="auto"/>
          <w:sz w:val="24"/>
          <w:highlight w:val="none"/>
          <w:lang w:eastAsia="zh-CN"/>
        </w:rPr>
        <w:t>佛山市禅城区季华五路10号金融广场17层A区之一</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联系方式：</w:t>
      </w:r>
      <w:r>
        <w:rPr>
          <w:rFonts w:hint="default" w:ascii="Times New Roman" w:hAnsi="Times New Roman" w:cs="Times New Roman" w:eastAsiaTheme="minorEastAsia"/>
          <w:color w:val="auto"/>
          <w:sz w:val="24"/>
          <w:highlight w:val="none"/>
          <w:lang w:eastAsia="zh-CN"/>
        </w:rPr>
        <w:t>0757-833325</w:t>
      </w:r>
      <w:r>
        <w:rPr>
          <w:rFonts w:hint="default"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lang w:eastAsia="zh-CN"/>
        </w:rPr>
        <w:t>8</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 项目联系方式</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项目联系人</w:t>
      </w:r>
      <w:r>
        <w:rPr>
          <w:rFonts w:hint="default" w:ascii="Times New Roman" w:hAnsi="Times New Roman" w:cs="Times New Roman" w:eastAsiaTheme="minorEastAsia"/>
          <w:color w:val="auto"/>
          <w:sz w:val="24"/>
          <w:highlight w:val="none"/>
          <w:lang w:eastAsia="zh-CN"/>
        </w:rPr>
        <w:t>：</w:t>
      </w:r>
      <w:r>
        <w:rPr>
          <w:rFonts w:hint="eastAsia" w:cs="Times New Roman" w:eastAsiaTheme="minorEastAsia"/>
          <w:color w:val="auto"/>
          <w:sz w:val="24"/>
          <w:highlight w:val="none"/>
          <w:lang w:eastAsia="zh-CN"/>
        </w:rPr>
        <w:t>夏小姐</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联系电话：</w:t>
      </w:r>
      <w:r>
        <w:rPr>
          <w:rFonts w:hint="default" w:ascii="Times New Roman" w:hAnsi="Times New Roman" w:cs="Times New Roman" w:eastAsiaTheme="minorEastAsia"/>
          <w:color w:val="auto"/>
          <w:sz w:val="24"/>
          <w:highlight w:val="none"/>
          <w:lang w:eastAsia="zh-CN"/>
        </w:rPr>
        <w:t>0757-833325</w:t>
      </w:r>
      <w:r>
        <w:rPr>
          <w:rFonts w:hint="default"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lang w:eastAsia="zh-CN"/>
        </w:rPr>
        <w:t>8</w:t>
      </w:r>
    </w:p>
    <w:p>
      <w:pPr>
        <w:pStyle w:val="13"/>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cs="Times New Roman" w:eastAsiaTheme="minorEastAsia"/>
          <w:color w:val="auto"/>
          <w:kern w:val="2"/>
          <w:sz w:val="24"/>
          <w:szCs w:val="24"/>
          <w:highlight w:val="none"/>
          <w:lang w:val="en-US" w:eastAsia="zh-CN" w:bidi="ar-SA"/>
        </w:rPr>
      </w:pPr>
    </w:p>
    <w:p>
      <w:pPr>
        <w:pStyle w:val="13"/>
        <w:adjustRightInd w:val="0"/>
        <w:spacing w:line="324" w:lineRule="auto"/>
        <w:jc w:val="right"/>
        <w:rPr>
          <w:rFonts w:hint="default" w:ascii="Times New Roman" w:hAnsi="Times New Roman" w:eastAsia="宋体" w:cs="Times New Roman"/>
          <w:kern w:val="2"/>
          <w:sz w:val="24"/>
          <w:lang w:eastAsia="zh-CN"/>
        </w:rPr>
      </w:pPr>
      <w:bookmarkStart w:id="33" w:name="_Toc15735"/>
      <w:bookmarkStart w:id="34" w:name="_Toc256000001"/>
      <w:bookmarkStart w:id="35" w:name="_Toc6922"/>
      <w:r>
        <w:rPr>
          <w:rFonts w:hint="default" w:ascii="Times New Roman" w:hAnsi="Times New Roman" w:eastAsia="宋体" w:cs="Times New Roman"/>
          <w:color w:val="000000"/>
          <w:kern w:val="2"/>
          <w:sz w:val="24"/>
          <w:lang w:eastAsia="zh-CN"/>
        </w:rPr>
        <w:t>发布人：广东远东招标代理有限公司</w:t>
      </w:r>
      <w:bookmarkEnd w:id="33"/>
      <w:bookmarkEnd w:id="34"/>
      <w:bookmarkEnd w:id="35"/>
    </w:p>
    <w:p>
      <w:pPr>
        <w:pStyle w:val="13"/>
        <w:keepNext w:val="0"/>
        <w:keepLines w:val="0"/>
        <w:pageBreakBefore w:val="0"/>
        <w:widowControl w:val="0"/>
        <w:kinsoku/>
        <w:wordWrap/>
        <w:overflowPunct/>
        <w:topLinePunct w:val="0"/>
        <w:autoSpaceDE/>
        <w:autoSpaceDN/>
        <w:bidi w:val="0"/>
        <w:adjustRightInd/>
        <w:snapToGrid w:val="0"/>
        <w:spacing w:line="336" w:lineRule="auto"/>
        <w:jc w:val="right"/>
        <w:textAlignment w:val="auto"/>
        <w:rPr>
          <w:rFonts w:hint="default" w:ascii="Times New Roman" w:hAnsi="Times New Roman" w:cs="Times New Roman" w:eastAsiaTheme="minorEastAsia"/>
          <w:color w:val="auto"/>
          <w:kern w:val="2"/>
          <w:sz w:val="24"/>
          <w:szCs w:val="24"/>
          <w:highlight w:val="none"/>
          <w:lang w:val="en-US" w:eastAsia="zh-CN" w:bidi="ar-SA"/>
        </w:rPr>
      </w:pPr>
      <w:bookmarkStart w:id="36" w:name="_Toc18609"/>
      <w:bookmarkStart w:id="37" w:name="_Toc256000002"/>
      <w:bookmarkStart w:id="38" w:name="_Toc13966"/>
      <w:bookmarkStart w:id="39" w:name="_Toc14421"/>
      <w:bookmarkStart w:id="40" w:name="_Toc5762"/>
      <w:bookmarkStart w:id="41" w:name="_Toc29801"/>
      <w:r>
        <w:rPr>
          <w:rFonts w:hint="default" w:ascii="Times New Roman" w:hAnsi="Times New Roman" w:eastAsia="宋体" w:cs="Times New Roman"/>
          <w:color w:val="000000"/>
          <w:kern w:val="2"/>
          <w:sz w:val="24"/>
          <w:lang w:eastAsia="zh-CN"/>
        </w:rPr>
        <w:t>发布时间：</w:t>
      </w:r>
      <w:r>
        <w:rPr>
          <w:rFonts w:hint="default" w:ascii="Times New Roman" w:hAnsi="Times New Roman" w:eastAsia="宋体" w:cs="Times New Roman"/>
          <w:color w:val="000000"/>
          <w:kern w:val="2"/>
          <w:sz w:val="24"/>
          <w:lang w:val="en-US" w:eastAsia="zh-CN"/>
        </w:rPr>
        <w:t>202</w:t>
      </w:r>
      <w:r>
        <w:rPr>
          <w:rFonts w:hint="eastAsia" w:ascii="Times New Roman" w:hAnsi="Times New Roman" w:cs="Times New Roman"/>
          <w:color w:val="000000"/>
          <w:kern w:val="2"/>
          <w:sz w:val="24"/>
          <w:lang w:val="en-US" w:eastAsia="zh-CN"/>
        </w:rPr>
        <w:t>3</w:t>
      </w:r>
      <w:r>
        <w:rPr>
          <w:rFonts w:hint="default" w:ascii="Times New Roman" w:hAnsi="Times New Roman" w:eastAsia="宋体" w:cs="Times New Roman"/>
          <w:color w:val="000000"/>
          <w:kern w:val="2"/>
          <w:sz w:val="24"/>
          <w:lang w:val="en-US" w:eastAsia="zh-CN"/>
        </w:rPr>
        <w:t>年</w:t>
      </w:r>
      <w:r>
        <w:rPr>
          <w:rFonts w:hint="eastAsia" w:ascii="Times New Roman" w:hAnsi="Times New Roman" w:cs="Times New Roman"/>
          <w:color w:val="000000"/>
          <w:kern w:val="2"/>
          <w:sz w:val="24"/>
          <w:lang w:val="en-US" w:eastAsia="zh-CN"/>
        </w:rPr>
        <w:t>12</w:t>
      </w:r>
      <w:r>
        <w:rPr>
          <w:rFonts w:hint="default" w:ascii="Times New Roman" w:hAnsi="Times New Roman" w:eastAsia="宋体" w:cs="Times New Roman"/>
          <w:color w:val="000000"/>
          <w:kern w:val="2"/>
          <w:sz w:val="24"/>
          <w:lang w:val="en-US" w:eastAsia="zh-CN"/>
        </w:rPr>
        <w:t>月</w:t>
      </w:r>
      <w:r>
        <w:rPr>
          <w:rFonts w:hint="eastAsia" w:ascii="Times New Roman" w:hAnsi="Times New Roman" w:cs="Times New Roman"/>
          <w:color w:val="000000"/>
          <w:kern w:val="2"/>
          <w:sz w:val="24"/>
          <w:lang w:val="en-US" w:eastAsia="zh-CN"/>
        </w:rPr>
        <w:t>29</w:t>
      </w:r>
      <w:r>
        <w:rPr>
          <w:rFonts w:hint="default" w:ascii="Times New Roman" w:hAnsi="Times New Roman" w:eastAsia="宋体" w:cs="Times New Roman"/>
          <w:color w:val="000000"/>
          <w:kern w:val="2"/>
          <w:sz w:val="24"/>
          <w:lang w:val="en-US" w:eastAsia="zh-CN"/>
        </w:rPr>
        <w:t>日</w:t>
      </w:r>
      <w:bookmarkEnd w:id="36"/>
      <w:bookmarkEnd w:id="37"/>
      <w:bookmarkEnd w:id="38"/>
      <w:bookmarkEnd w:id="39"/>
      <w:bookmarkEnd w:id="40"/>
      <w:bookmarkEnd w:id="41"/>
    </w:p>
    <w:p>
      <w:pPr>
        <w:pStyle w:val="13"/>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cs="Times New Roman" w:eastAsiaTheme="minorEastAsia"/>
          <w:color w:val="auto"/>
          <w:kern w:val="2"/>
          <w:sz w:val="24"/>
          <w:szCs w:val="24"/>
          <w:highlight w:val="none"/>
          <w:lang w:val="en-US" w:eastAsia="zh-CN" w:bidi="ar-SA"/>
        </w:rPr>
        <w:sectPr>
          <w:pgSz w:w="11906" w:h="16838"/>
          <w:pgMar w:top="1440" w:right="1080" w:bottom="1440" w:left="1080" w:header="567" w:footer="737" w:gutter="0"/>
          <w:pgNumType w:fmt="decimal"/>
          <w:cols w:space="720" w:num="1"/>
          <w:docGrid w:linePitch="312" w:charSpace="0"/>
        </w:sectPr>
      </w:pPr>
    </w:p>
    <w:p>
      <w:pPr>
        <w:pStyle w:val="3"/>
        <w:pageBreakBefore/>
        <w:spacing w:line="480" w:lineRule="auto"/>
        <w:ind w:left="0" w:firstLine="0"/>
        <w:rPr>
          <w:rFonts w:hint="default" w:ascii="Times New Roman" w:hAnsi="Times New Roman" w:cs="Times New Roman" w:eastAsiaTheme="minorEastAsia"/>
          <w:b w:val="0"/>
          <w:bCs/>
          <w:color w:val="auto"/>
          <w:highlight w:val="none"/>
        </w:rPr>
        <w:sectPr>
          <w:headerReference r:id="rId11" w:type="default"/>
          <w:footerReference r:id="rId12" w:type="default"/>
          <w:pgSz w:w="11906" w:h="16838"/>
          <w:pgMar w:top="1440" w:right="1083" w:bottom="1440" w:left="1083" w:header="567" w:footer="737" w:gutter="0"/>
          <w:pgNumType w:fmt="decimal"/>
          <w:cols w:space="720" w:num="1"/>
          <w:docGrid w:linePitch="312" w:charSpace="0"/>
        </w:sectPr>
      </w:pPr>
      <w:bookmarkStart w:id="42" w:name="_Toc25824"/>
      <w:r>
        <w:rPr>
          <w:rFonts w:hint="default" w:ascii="Times New Roman" w:hAnsi="Times New Roman" w:cs="Times New Roman" w:eastAsiaTheme="minorEastAsia"/>
          <w:b w:val="0"/>
          <w:bCs/>
          <w:color w:val="auto"/>
          <w:highlight w:val="none"/>
        </w:rPr>
        <w:t>第二部分   采购项目</w:t>
      </w:r>
      <w:bookmarkEnd w:id="18"/>
      <w:bookmarkEnd w:id="19"/>
      <w:r>
        <w:rPr>
          <w:rFonts w:hint="default" w:ascii="Times New Roman" w:hAnsi="Times New Roman" w:cs="Times New Roman" w:eastAsiaTheme="minorEastAsia"/>
          <w:b w:val="0"/>
          <w:bCs/>
          <w:color w:val="auto"/>
          <w:highlight w:val="none"/>
        </w:rPr>
        <w:t>内容</w:t>
      </w:r>
      <w:bookmarkEnd w:id="20"/>
      <w:bookmarkEnd w:id="21"/>
      <w:bookmarkEnd w:id="22"/>
      <w:bookmarkEnd w:id="23"/>
      <w:bookmarkEnd w:id="24"/>
      <w:bookmarkEnd w:id="25"/>
      <w:bookmarkEnd w:id="26"/>
      <w:bookmarkEnd w:id="27"/>
      <w:bookmarkEnd w:id="28"/>
      <w:bookmarkEnd w:id="29"/>
      <w:bookmarkEnd w:id="30"/>
      <w:bookmarkEnd w:id="31"/>
      <w:bookmarkEnd w:id="42"/>
    </w:p>
    <w:p>
      <w:pPr>
        <w:pStyle w:val="4"/>
        <w:numPr>
          <w:ilvl w:val="1"/>
          <w:numId w:val="1"/>
        </w:numPr>
        <w:rPr>
          <w:rFonts w:hint="default" w:ascii="Times New Roman" w:hAnsi="Times New Roman" w:cs="Times New Roman" w:eastAsiaTheme="minorEastAsia"/>
          <w:color w:val="auto"/>
          <w:sz w:val="32"/>
          <w:highlight w:val="none"/>
        </w:rPr>
      </w:pPr>
      <w:bookmarkStart w:id="43" w:name="_Toc13986"/>
      <w:bookmarkStart w:id="44" w:name="_Toc4019"/>
      <w:bookmarkStart w:id="45" w:name="_Toc29575"/>
      <w:bookmarkStart w:id="46" w:name="_Toc49329251"/>
      <w:bookmarkStart w:id="47" w:name="_Toc259803660"/>
      <w:bookmarkStart w:id="48" w:name="_Toc310519877"/>
      <w:bookmarkStart w:id="49" w:name="_Toc325031933"/>
      <w:bookmarkStart w:id="50" w:name="_Toc24862"/>
      <w:bookmarkStart w:id="51" w:name="_Toc373767190"/>
      <w:bookmarkStart w:id="52" w:name="_Toc113157420"/>
      <w:bookmarkStart w:id="53" w:name="_Toc419106554"/>
      <w:r>
        <w:rPr>
          <w:rFonts w:hint="default" w:ascii="Times New Roman" w:hAnsi="Times New Roman" w:cs="Times New Roman" w:eastAsiaTheme="minorEastAsia"/>
          <w:color w:val="auto"/>
          <w:sz w:val="32"/>
          <w:highlight w:val="none"/>
        </w:rPr>
        <w:fldChar w:fldCharType="begin"/>
      </w:r>
      <w:r>
        <w:rPr>
          <w:rFonts w:hint="default" w:ascii="Times New Roman" w:hAnsi="Times New Roman" w:cs="Times New Roman" w:eastAsiaTheme="minorEastAsia"/>
          <w:color w:val="auto"/>
          <w:sz w:val="32"/>
          <w:highlight w:val="none"/>
        </w:rPr>
        <w:instrText xml:space="preserve">DOCVARIABLE  技术要求开始  \* MERGEFORMAT</w:instrText>
      </w:r>
      <w:r>
        <w:rPr>
          <w:rFonts w:hint="default" w:ascii="Times New Roman" w:hAnsi="Times New Roman" w:cs="Times New Roman" w:eastAsiaTheme="minorEastAsia"/>
          <w:color w:val="auto"/>
          <w:sz w:val="32"/>
          <w:highlight w:val="none"/>
        </w:rPr>
        <w:fldChar w:fldCharType="separate"/>
      </w:r>
      <w:r>
        <w:rPr>
          <w:rFonts w:hint="default" w:ascii="Times New Roman" w:hAnsi="Times New Roman" w:cs="Times New Roman" w:eastAsiaTheme="minorEastAsia"/>
          <w:color w:val="auto"/>
          <w:sz w:val="32"/>
          <w:highlight w:val="none"/>
        </w:rPr>
        <w:fldChar w:fldCharType="end"/>
      </w:r>
      <w:bookmarkStart w:id="54" w:name="_Toc525311883"/>
      <w:r>
        <w:rPr>
          <w:rFonts w:hint="default" w:ascii="Times New Roman" w:hAnsi="Times New Roman" w:cs="Times New Roman" w:eastAsiaTheme="minorEastAsia"/>
          <w:color w:val="auto"/>
          <w:sz w:val="32"/>
          <w:highlight w:val="none"/>
        </w:rPr>
        <w:t>采购项目技术要求</w:t>
      </w:r>
      <w:bookmarkEnd w:id="43"/>
      <w:bookmarkEnd w:id="44"/>
      <w:bookmarkEnd w:id="45"/>
      <w:bookmarkEnd w:id="54"/>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default" w:ascii="Times New Roman" w:hAnsi="Times New Roman" w:eastAsia="宋体" w:cs="Times New Roman"/>
          <w:b/>
          <w:bCs/>
          <w:spacing w:val="0"/>
          <w:sz w:val="21"/>
          <w:szCs w:val="21"/>
        </w:rPr>
      </w:pPr>
      <w:r>
        <w:rPr>
          <w:rFonts w:hint="default" w:ascii="Times New Roman" w:hAnsi="Times New Roman" w:eastAsia="宋体" w:cs="Times New Roman"/>
          <w:b/>
          <w:bCs/>
          <w:spacing w:val="0"/>
          <w:kern w:val="0"/>
          <w:sz w:val="21"/>
          <w:szCs w:val="21"/>
          <w:lang w:val="en-US" w:eastAsia="zh-CN" w:bidi="ar-SA"/>
        </w:rPr>
        <w:t>（一）</w:t>
      </w:r>
      <w:r>
        <w:rPr>
          <w:rFonts w:hint="default" w:ascii="Times New Roman" w:hAnsi="Times New Roman" w:eastAsia="宋体" w:cs="Times New Roman"/>
          <w:b/>
          <w:bCs/>
          <w:spacing w:val="0"/>
          <w:sz w:val="21"/>
          <w:szCs w:val="21"/>
        </w:rPr>
        <w:t>项目概述</w:t>
      </w:r>
    </w:p>
    <w:p>
      <w:pPr>
        <w:pStyle w:val="10"/>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spacing w:val="0"/>
          <w:sz w:val="21"/>
          <w:szCs w:val="21"/>
          <w:lang w:eastAsia="zh-CN"/>
        </w:rPr>
      </w:pPr>
      <w:r>
        <w:rPr>
          <w:rFonts w:hint="default" w:ascii="Times New Roman" w:hAnsi="Times New Roman" w:eastAsia="宋体" w:cs="Times New Roman"/>
          <w:spacing w:val="0"/>
          <w:sz w:val="21"/>
          <w:szCs w:val="21"/>
        </w:rPr>
        <w:t>项目名称：</w:t>
      </w:r>
      <w:r>
        <w:rPr>
          <w:rFonts w:hint="eastAsia" w:ascii="Times New Roman" w:hAnsi="Times New Roman" w:cs="Times New Roman"/>
          <w:spacing w:val="0"/>
          <w:sz w:val="21"/>
          <w:szCs w:val="21"/>
          <w:lang w:eastAsia="zh-CN"/>
        </w:rPr>
        <w:t>佛山市消防救援支队购买团体意外伤害保险项目</w:t>
      </w:r>
    </w:p>
    <w:p>
      <w:pPr>
        <w:pStyle w:val="10"/>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项目预算：</w:t>
      </w:r>
      <w:r>
        <w:rPr>
          <w:rFonts w:hint="eastAsia" w:ascii="Times New Roman" w:hAnsi="Times New Roman" w:cs="Times New Roman"/>
          <w:spacing w:val="0"/>
          <w:sz w:val="21"/>
          <w:szCs w:val="21"/>
          <w:lang w:val="en-US" w:eastAsia="zh-CN"/>
        </w:rPr>
        <w:t>240</w:t>
      </w:r>
      <w:r>
        <w:rPr>
          <w:rFonts w:hint="eastAsia" w:ascii="Times New Roman" w:hAnsi="Times New Roman" w:cs="Times New Roman"/>
          <w:spacing w:val="0"/>
          <w:sz w:val="21"/>
          <w:szCs w:val="21"/>
          <w:lang w:eastAsia="zh-CN"/>
        </w:rPr>
        <w:t>,</w:t>
      </w:r>
      <w:r>
        <w:rPr>
          <w:rFonts w:hint="eastAsia" w:ascii="Times New Roman" w:hAnsi="Times New Roman" w:cs="Times New Roman"/>
          <w:spacing w:val="0"/>
          <w:sz w:val="21"/>
          <w:szCs w:val="21"/>
          <w:lang w:val="en-US" w:eastAsia="zh-CN"/>
        </w:rPr>
        <w:t>0</w:t>
      </w:r>
      <w:r>
        <w:rPr>
          <w:rFonts w:hint="eastAsia" w:ascii="Times New Roman" w:hAnsi="Times New Roman" w:cs="Times New Roman"/>
          <w:spacing w:val="0"/>
          <w:sz w:val="21"/>
          <w:szCs w:val="21"/>
          <w:lang w:eastAsia="zh-CN"/>
        </w:rPr>
        <w:t>00.00</w:t>
      </w:r>
      <w:r>
        <w:rPr>
          <w:rFonts w:hint="default" w:ascii="Times New Roman" w:hAnsi="Times New Roman" w:eastAsia="宋体" w:cs="Times New Roman"/>
          <w:spacing w:val="0"/>
          <w:sz w:val="21"/>
          <w:szCs w:val="21"/>
        </w:rPr>
        <w:t>元</w:t>
      </w:r>
    </w:p>
    <w:p>
      <w:pPr>
        <w:pStyle w:val="10"/>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合同履行期限：</w:t>
      </w:r>
      <w:r>
        <w:rPr>
          <w:rFonts w:hint="default" w:ascii="Times New Roman" w:hAnsi="Times New Roman" w:eastAsia="新宋体" w:cs="Times New Roman"/>
          <w:i w:val="0"/>
          <w:iCs w:val="0"/>
          <w:caps w:val="0"/>
          <w:color w:val="222222"/>
          <w:spacing w:val="0"/>
          <w:sz w:val="21"/>
          <w:szCs w:val="21"/>
          <w:shd w:val="clear" w:color="auto" w:fill="FFFFFF"/>
        </w:rPr>
        <w:t>采购人与成交供应商的投保合同为一年，保险期自投保人与成交供应商签订协议之日起一年</w:t>
      </w:r>
      <w:r>
        <w:rPr>
          <w:rFonts w:hint="default" w:ascii="Times New Roman" w:hAnsi="Times New Roman" w:eastAsia="宋体" w:cs="Times New Roman"/>
          <w:spacing w:val="0"/>
          <w:sz w:val="21"/>
          <w:szCs w:val="21"/>
        </w:rPr>
        <w:t>。</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eastAsia" w:ascii="Times New Roman" w:hAnsi="Times New Roman" w:eastAsia="宋体" w:cs="Times New Roman"/>
          <w:b/>
          <w:bCs/>
          <w:spacing w:val="0"/>
          <w:sz w:val="21"/>
          <w:szCs w:val="21"/>
          <w:lang w:eastAsia="zh-CN"/>
        </w:rPr>
      </w:pPr>
      <w:r>
        <w:rPr>
          <w:rFonts w:hint="default" w:ascii="Times New Roman" w:hAnsi="Times New Roman" w:eastAsia="宋体" w:cs="Times New Roman"/>
          <w:b/>
          <w:bCs/>
          <w:spacing w:val="0"/>
          <w:kern w:val="0"/>
          <w:sz w:val="21"/>
          <w:szCs w:val="21"/>
          <w:lang w:val="en-US" w:eastAsia="zh-CN" w:bidi="ar-SA"/>
        </w:rPr>
        <w:t>（二）</w:t>
      </w:r>
      <w:r>
        <w:rPr>
          <w:rFonts w:hint="default" w:ascii="Times New Roman" w:hAnsi="Times New Roman" w:eastAsia="宋体" w:cs="Times New Roman"/>
          <w:b/>
          <w:bCs/>
          <w:spacing w:val="0"/>
          <w:sz w:val="21"/>
          <w:szCs w:val="21"/>
        </w:rPr>
        <w:t>项目</w:t>
      </w:r>
      <w:r>
        <w:rPr>
          <w:rFonts w:hint="eastAsia" w:ascii="Times New Roman" w:hAnsi="Times New Roman" w:cs="Times New Roman"/>
          <w:b/>
          <w:bCs/>
          <w:spacing w:val="0"/>
          <w:sz w:val="21"/>
          <w:szCs w:val="21"/>
          <w:lang w:eastAsia="zh-CN"/>
        </w:rPr>
        <w:t>背景</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通过购买保险的方式进一步提升消防指战员的职业保障水平。</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default" w:ascii="Times New Roman" w:hAnsi="Times New Roman" w:eastAsia="宋体" w:cs="Times New Roman"/>
          <w:b/>
          <w:bCs/>
          <w:spacing w:val="0"/>
          <w:sz w:val="21"/>
          <w:szCs w:val="21"/>
        </w:rPr>
      </w:pPr>
      <w:r>
        <w:rPr>
          <w:rFonts w:hint="default" w:ascii="Times New Roman" w:hAnsi="Times New Roman" w:eastAsia="宋体" w:cs="Times New Roman"/>
          <w:b/>
          <w:bCs/>
          <w:spacing w:val="0"/>
          <w:kern w:val="0"/>
          <w:sz w:val="21"/>
          <w:szCs w:val="21"/>
          <w:lang w:val="en-US" w:eastAsia="zh-CN" w:bidi="ar-SA"/>
        </w:rPr>
        <w:t>（三）</w:t>
      </w:r>
      <w:r>
        <w:rPr>
          <w:rFonts w:hint="default" w:ascii="Times New Roman" w:hAnsi="Times New Roman" w:eastAsia="宋体" w:cs="Times New Roman"/>
          <w:b/>
          <w:bCs/>
          <w:spacing w:val="0"/>
          <w:sz w:val="21"/>
          <w:szCs w:val="21"/>
        </w:rPr>
        <w:t>服务内容</w:t>
      </w:r>
    </w:p>
    <w:p>
      <w:pPr>
        <w:numPr>
          <w:ilvl w:val="-1"/>
          <w:numId w:val="0"/>
        </w:numPr>
        <w:adjustRightInd w:val="0"/>
        <w:snapToGrid w:val="0"/>
        <w:spacing w:line="440" w:lineRule="atLeast"/>
        <w:ind w:firstLine="422" w:firstLineChars="200"/>
        <w:rPr>
          <w:rFonts w:hint="default" w:ascii="Times New Roman" w:hAnsi="Times New Roman" w:eastAsia="宋体" w:cs="Times New Roman"/>
          <w:b/>
          <w:bCs/>
          <w:spacing w:val="0"/>
          <w:sz w:val="21"/>
          <w:szCs w:val="21"/>
          <w:lang w:val="en-US" w:eastAsia="zh-CN"/>
        </w:rPr>
      </w:pPr>
      <w:r>
        <w:rPr>
          <w:rFonts w:hint="eastAsia" w:cs="Times New Roman"/>
          <w:b/>
          <w:bCs/>
          <w:spacing w:val="0"/>
          <w:sz w:val="21"/>
          <w:szCs w:val="21"/>
          <w:lang w:val="en-US" w:eastAsia="zh-CN"/>
        </w:rPr>
        <w:t>1、</w:t>
      </w:r>
      <w:r>
        <w:rPr>
          <w:rFonts w:hint="default" w:ascii="Times New Roman" w:hAnsi="Times New Roman" w:eastAsia="宋体" w:cs="Times New Roman"/>
          <w:b/>
          <w:bCs/>
          <w:spacing w:val="0"/>
          <w:sz w:val="21"/>
          <w:szCs w:val="21"/>
          <w:lang w:val="en-US" w:eastAsia="zh-CN"/>
        </w:rPr>
        <w:t>参保人员和保障内容</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参保人员为国家综合性消防救援人员145人、</w:t>
      </w:r>
      <w:r>
        <w:rPr>
          <w:rFonts w:hint="default" w:ascii="Times New Roman" w:hAnsi="Times New Roman" w:eastAsia="宋体" w:cs="Times New Roman"/>
          <w:spacing w:val="0"/>
          <w:sz w:val="21"/>
          <w:szCs w:val="21"/>
          <w:highlight w:val="none"/>
          <w:lang w:val="en-US" w:eastAsia="zh-CN"/>
        </w:rPr>
        <w:t>政府专职消防队员91人和消防文员41人</w:t>
      </w:r>
      <w:r>
        <w:rPr>
          <w:rFonts w:hint="default" w:ascii="Times New Roman" w:hAnsi="Times New Roman" w:eastAsia="宋体" w:cs="Times New Roman"/>
          <w:spacing w:val="0"/>
          <w:sz w:val="21"/>
          <w:szCs w:val="21"/>
          <w:lang w:val="en-US" w:eastAsia="zh-CN"/>
        </w:rPr>
        <w:t>。</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（1）</w:t>
      </w:r>
      <w:r>
        <w:rPr>
          <w:rFonts w:hint="default" w:ascii="Times New Roman" w:hAnsi="Times New Roman" w:eastAsia="宋体" w:cs="Times New Roman"/>
          <w:spacing w:val="0"/>
          <w:sz w:val="21"/>
          <w:szCs w:val="21"/>
          <w:lang w:val="en-US" w:eastAsia="zh-CN"/>
        </w:rPr>
        <w:t>适用人群：身体健康、年龄 18—60 岁国家综合性消防救援人员、政府专职消防队员、文员，职业工种包括消防员、消防辅助人员及后勤人员。</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（2）</w:t>
      </w:r>
      <w:r>
        <w:rPr>
          <w:rFonts w:hint="default" w:ascii="Times New Roman" w:hAnsi="Times New Roman" w:eastAsia="宋体" w:cs="Times New Roman"/>
          <w:spacing w:val="0"/>
          <w:sz w:val="21"/>
          <w:szCs w:val="21"/>
          <w:lang w:val="en-US" w:eastAsia="zh-CN"/>
        </w:rPr>
        <w:t>投保方式：团体投保。购买政府专职消防队员91人和消防文员41人保险，需包含国家综合性消防救援人员145人的保险保障。</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（3）</w:t>
      </w:r>
      <w:r>
        <w:rPr>
          <w:rFonts w:hint="default" w:ascii="Times New Roman" w:hAnsi="Times New Roman" w:eastAsia="宋体" w:cs="Times New Roman"/>
          <w:spacing w:val="0"/>
          <w:sz w:val="21"/>
          <w:szCs w:val="21"/>
          <w:lang w:val="en-US" w:eastAsia="zh-CN"/>
        </w:rPr>
        <w:t>保险期间：一年。</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（4）</w:t>
      </w:r>
      <w:r>
        <w:rPr>
          <w:rFonts w:hint="default" w:ascii="Times New Roman" w:hAnsi="Times New Roman" w:eastAsia="宋体" w:cs="Times New Roman"/>
          <w:spacing w:val="0"/>
          <w:sz w:val="21"/>
          <w:szCs w:val="21"/>
          <w:lang w:val="en-US" w:eastAsia="zh-CN"/>
        </w:rPr>
        <w:t>受益人：伤残、医疗保险金受益人为被保险本人；身故保险金受益人为被保险人的法定继承人。</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（5）</w:t>
      </w:r>
      <w:r>
        <w:rPr>
          <w:rFonts w:hint="default" w:ascii="Times New Roman" w:hAnsi="Times New Roman" w:eastAsia="宋体" w:cs="Times New Roman"/>
          <w:spacing w:val="0"/>
          <w:sz w:val="21"/>
          <w:szCs w:val="21"/>
          <w:lang w:val="en-US" w:eastAsia="zh-CN"/>
        </w:rPr>
        <w:t>保障内容：</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1）意外伤害保障：保额不低于100万元；</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2）意外医疗保障：保额不低于10万元；</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3）疾病身故保障：保额不低于20万元；</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4）重大疾病保障：保额不低于20万元；</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5）猝死保障：保额不低于</w:t>
      </w:r>
      <w:r>
        <w:rPr>
          <w:rFonts w:hint="eastAsia" w:cs="Times New Roman"/>
          <w:spacing w:val="0"/>
          <w:sz w:val="21"/>
          <w:szCs w:val="21"/>
          <w:lang w:val="en-US" w:eastAsia="zh-CN"/>
        </w:rPr>
        <w:t>50</w:t>
      </w:r>
      <w:r>
        <w:rPr>
          <w:rFonts w:hint="default" w:ascii="Times New Roman" w:hAnsi="Times New Roman" w:eastAsia="宋体" w:cs="Times New Roman"/>
          <w:spacing w:val="0"/>
          <w:sz w:val="21"/>
          <w:szCs w:val="21"/>
          <w:lang w:val="en-US" w:eastAsia="zh-CN"/>
        </w:rPr>
        <w:t>万元。</w:t>
      </w:r>
    </w:p>
    <w:p>
      <w:pPr>
        <w:numPr>
          <w:ilvl w:val="-1"/>
          <w:numId w:val="0"/>
        </w:numPr>
        <w:adjustRightInd w:val="0"/>
        <w:snapToGrid w:val="0"/>
        <w:spacing w:line="440" w:lineRule="atLeast"/>
        <w:ind w:firstLine="422" w:firstLineChars="200"/>
        <w:rPr>
          <w:rFonts w:hint="default" w:ascii="Times New Roman" w:hAnsi="Times New Roman" w:eastAsia="宋体" w:cs="Times New Roman"/>
          <w:b/>
          <w:bCs/>
          <w:spacing w:val="0"/>
          <w:sz w:val="21"/>
          <w:szCs w:val="21"/>
          <w:lang w:val="en-US" w:eastAsia="zh-CN"/>
        </w:rPr>
      </w:pPr>
      <w:r>
        <w:rPr>
          <w:rFonts w:hint="eastAsia" w:cs="Times New Roman"/>
          <w:b/>
          <w:bCs/>
          <w:spacing w:val="0"/>
          <w:sz w:val="21"/>
          <w:szCs w:val="21"/>
          <w:lang w:val="en-US" w:eastAsia="zh-CN"/>
        </w:rPr>
        <w:t>2、</w:t>
      </w:r>
      <w:r>
        <w:rPr>
          <w:rFonts w:hint="default" w:ascii="Times New Roman" w:hAnsi="Times New Roman" w:eastAsia="宋体" w:cs="Times New Roman"/>
          <w:b/>
          <w:bCs/>
          <w:spacing w:val="0"/>
          <w:sz w:val="21"/>
          <w:szCs w:val="21"/>
          <w:lang w:val="en-US" w:eastAsia="zh-CN"/>
        </w:rPr>
        <w:t>保险期</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采购人与成交供应商的投保合同为一年，保险期自投保人与成交供应商签订协议之日起一年。</w:t>
      </w:r>
    </w:p>
    <w:p>
      <w:pPr>
        <w:numPr>
          <w:ilvl w:val="-1"/>
          <w:numId w:val="0"/>
        </w:numPr>
        <w:adjustRightInd w:val="0"/>
        <w:snapToGrid w:val="0"/>
        <w:spacing w:line="440" w:lineRule="atLeast"/>
        <w:ind w:firstLine="422" w:firstLineChars="200"/>
        <w:rPr>
          <w:rFonts w:hint="default" w:ascii="Times New Roman" w:hAnsi="Times New Roman" w:eastAsia="宋体" w:cs="Times New Roman"/>
          <w:b/>
          <w:bCs/>
          <w:spacing w:val="0"/>
          <w:sz w:val="21"/>
          <w:szCs w:val="21"/>
          <w:lang w:val="en-US" w:eastAsia="zh-CN"/>
        </w:rPr>
      </w:pPr>
      <w:r>
        <w:rPr>
          <w:rFonts w:hint="eastAsia" w:cs="Times New Roman"/>
          <w:b/>
          <w:bCs/>
          <w:spacing w:val="0"/>
          <w:sz w:val="21"/>
          <w:szCs w:val="21"/>
          <w:lang w:val="en-US" w:eastAsia="zh-CN"/>
        </w:rPr>
        <w:t>3、</w:t>
      </w:r>
      <w:r>
        <w:rPr>
          <w:rFonts w:hint="default" w:ascii="Times New Roman" w:hAnsi="Times New Roman" w:eastAsia="宋体" w:cs="Times New Roman"/>
          <w:b/>
          <w:bCs/>
          <w:spacing w:val="0"/>
          <w:sz w:val="21"/>
          <w:szCs w:val="21"/>
          <w:lang w:val="en-US" w:eastAsia="zh-CN"/>
        </w:rPr>
        <w:t>保险责任</w:t>
      </w:r>
    </w:p>
    <w:p>
      <w:pPr>
        <w:numPr>
          <w:ilvl w:val="-1"/>
          <w:numId w:val="0"/>
        </w:numPr>
        <w:adjustRightInd w:val="0"/>
        <w:snapToGrid w:val="0"/>
        <w:spacing w:line="440" w:lineRule="atLeast"/>
        <w:ind w:firstLine="422" w:firstLineChars="200"/>
        <w:rPr>
          <w:rFonts w:hint="default" w:ascii="Times New Roman" w:hAnsi="Times New Roman" w:eastAsia="宋体" w:cs="Times New Roman"/>
          <w:b/>
          <w:bCs/>
          <w:spacing w:val="0"/>
          <w:sz w:val="21"/>
          <w:szCs w:val="21"/>
          <w:lang w:val="en-US" w:eastAsia="zh-CN"/>
        </w:rPr>
      </w:pPr>
      <w:r>
        <w:rPr>
          <w:rFonts w:hint="eastAsia" w:cs="Times New Roman"/>
          <w:b/>
          <w:bCs/>
          <w:spacing w:val="0"/>
          <w:sz w:val="21"/>
          <w:szCs w:val="21"/>
          <w:lang w:val="en-US" w:eastAsia="zh-CN"/>
        </w:rPr>
        <w:t>注：本内容所指的投保人为采购人、保险人为成交供应商、被保险人为参保人员。</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（1）</w:t>
      </w:r>
      <w:r>
        <w:rPr>
          <w:rFonts w:hint="default" w:ascii="Times New Roman" w:hAnsi="Times New Roman" w:eastAsia="宋体" w:cs="Times New Roman"/>
          <w:spacing w:val="0"/>
          <w:sz w:val="21"/>
          <w:szCs w:val="21"/>
          <w:lang w:val="en-US" w:eastAsia="zh-CN"/>
        </w:rPr>
        <w:t>团体人身意外伤害保险责任：在保险期间内被保险人遭受意外伤害，并因该意外伤害导致身故、残疾的，保险人依照下列约定给付保险金，且给付各项保险金之和不超过该被保险人的保险金额。</w:t>
      </w:r>
    </w:p>
    <w:p>
      <w:pPr>
        <w:numPr>
          <w:ilvl w:val="-1"/>
          <w:numId w:val="0"/>
        </w:numPr>
        <w:adjustRightInd w:val="0"/>
        <w:snapToGrid w:val="0"/>
        <w:spacing w:line="440" w:lineRule="exact"/>
        <w:ind w:firstLine="422" w:firstLineChars="200"/>
        <w:rPr>
          <w:rFonts w:hint="default" w:ascii="Times New Roman" w:hAnsi="Times New Roman" w:eastAsia="宋体" w:cs="Times New Roman"/>
          <w:b/>
          <w:bCs/>
          <w:spacing w:val="0"/>
          <w:sz w:val="21"/>
          <w:szCs w:val="21"/>
          <w:lang w:val="en-US" w:eastAsia="zh-CN"/>
        </w:rPr>
      </w:pPr>
      <w:r>
        <w:rPr>
          <w:rFonts w:hint="default" w:ascii="Times New Roman" w:hAnsi="Times New Roman" w:eastAsia="宋体" w:cs="Times New Roman"/>
          <w:b/>
          <w:bCs/>
          <w:spacing w:val="0"/>
          <w:sz w:val="21"/>
          <w:szCs w:val="21"/>
          <w:lang w:val="en-US" w:eastAsia="zh-CN"/>
        </w:rPr>
        <w:t>1</w:t>
      </w:r>
      <w:r>
        <w:rPr>
          <w:rFonts w:hint="eastAsia" w:cs="Times New Roman"/>
          <w:b/>
          <w:bCs/>
          <w:spacing w:val="0"/>
          <w:sz w:val="21"/>
          <w:szCs w:val="21"/>
          <w:lang w:val="en-US" w:eastAsia="zh-CN"/>
        </w:rPr>
        <w:t>）身故保险责任</w:t>
      </w:r>
    </w:p>
    <w:p>
      <w:pPr>
        <w:numPr>
          <w:ilvl w:val="-1"/>
          <w:numId w:val="0"/>
        </w:numPr>
        <w:adjustRightInd w:val="0"/>
        <w:snapToGrid w:val="0"/>
        <w:spacing w:line="440" w:lineRule="exac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在保险期间内被保险人遭受意外伤害，并自意外伤害发生之日起180日内因该意外伤害身故的，保险人按保险金额给付身故保险金，对该被保险人的保险责任终止。</w:t>
      </w:r>
    </w:p>
    <w:p>
      <w:pPr>
        <w:numPr>
          <w:ilvl w:val="-1"/>
          <w:numId w:val="0"/>
        </w:numPr>
        <w:adjustRightInd w:val="0"/>
        <w:snapToGrid w:val="0"/>
        <w:spacing w:line="440" w:lineRule="exac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被保险人身故前保险人已给付约定的残疾保险金的，身故保险金应扣除已给付的保险金。</w:t>
      </w:r>
    </w:p>
    <w:p>
      <w:pPr>
        <w:numPr>
          <w:ilvl w:val="-1"/>
          <w:numId w:val="0"/>
        </w:numPr>
        <w:adjustRightInd w:val="0"/>
        <w:snapToGrid w:val="0"/>
        <w:spacing w:line="440" w:lineRule="atLeast"/>
        <w:ind w:firstLine="422" w:firstLineChars="200"/>
        <w:rPr>
          <w:rFonts w:hint="default" w:ascii="Times New Roman" w:hAnsi="Times New Roman" w:eastAsia="宋体" w:cs="Times New Roman"/>
          <w:b/>
          <w:bCs/>
          <w:spacing w:val="0"/>
          <w:sz w:val="21"/>
          <w:szCs w:val="21"/>
          <w:lang w:val="en-US" w:eastAsia="zh-CN"/>
        </w:rPr>
      </w:pPr>
      <w:r>
        <w:rPr>
          <w:rFonts w:hint="default" w:ascii="Times New Roman" w:hAnsi="Times New Roman" w:eastAsia="宋体" w:cs="Times New Roman"/>
          <w:b/>
          <w:bCs/>
          <w:spacing w:val="0"/>
          <w:sz w:val="21"/>
          <w:szCs w:val="21"/>
          <w:lang w:val="en-US" w:eastAsia="zh-CN"/>
        </w:rPr>
        <w:t>2</w:t>
      </w:r>
      <w:r>
        <w:rPr>
          <w:rFonts w:hint="eastAsia" w:cs="Times New Roman"/>
          <w:b/>
          <w:bCs/>
          <w:spacing w:val="0"/>
          <w:sz w:val="21"/>
          <w:szCs w:val="21"/>
          <w:lang w:val="en-US" w:eastAsia="zh-CN"/>
        </w:rPr>
        <w:t>）</w:t>
      </w:r>
      <w:r>
        <w:rPr>
          <w:rFonts w:hint="default" w:ascii="Times New Roman" w:hAnsi="Times New Roman" w:eastAsia="宋体" w:cs="Times New Roman"/>
          <w:b/>
          <w:bCs/>
          <w:spacing w:val="0"/>
          <w:sz w:val="21"/>
          <w:szCs w:val="21"/>
          <w:lang w:val="en-US" w:eastAsia="zh-CN"/>
        </w:rPr>
        <w:t>残疾保险责任</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在保险期间内被保险人遭受意外伤害，并自该意外伤害发生之日起180日内因该意外伤害造成本保险合同所附《人身保险伤残评定标准》（简称《评定标准》）所列伤残程度之一的，保险人按《评定标准》所对应伤残等级的给付比例乘以保险金额给付残疾保险金。如第180日治疗仍未结束的，按当日的身体情况进行伤残评定，并据此给付残疾保险金。</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①</w:t>
      </w:r>
      <w:r>
        <w:rPr>
          <w:rFonts w:hint="default" w:ascii="Times New Roman" w:hAnsi="Times New Roman" w:eastAsia="宋体" w:cs="Times New Roman"/>
          <w:spacing w:val="0"/>
          <w:sz w:val="21"/>
          <w:szCs w:val="21"/>
          <w:lang w:val="en-US" w:eastAsia="zh-CN"/>
        </w:rPr>
        <w:t>被保险人因同一意外伤害造成两处或两处以上伤残时，保险人根据《评定标准》规定的多处伤残评定原则给付残疾保险金。</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②</w:t>
      </w:r>
      <w:r>
        <w:rPr>
          <w:rFonts w:hint="default" w:ascii="Times New Roman" w:hAnsi="Times New Roman" w:eastAsia="宋体" w:cs="Times New Roman"/>
          <w:spacing w:val="0"/>
          <w:sz w:val="21"/>
          <w:szCs w:val="21"/>
          <w:lang w:val="en-US" w:eastAsia="zh-CN"/>
        </w:rPr>
        <w:t>被保险人如在本次意外伤害之前已有残疾，保险人按合并后的残疾程度在《评定标准》中所对应伤残等级的给付比例扣除原有残疾程度在《评定标准》中所对应伤残等级的给付比例，给付残疾保险金。</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（2）</w:t>
      </w:r>
      <w:r>
        <w:rPr>
          <w:rFonts w:hint="default" w:ascii="Times New Roman" w:hAnsi="Times New Roman" w:eastAsia="宋体" w:cs="Times New Roman"/>
          <w:spacing w:val="0"/>
          <w:sz w:val="21"/>
          <w:szCs w:val="21"/>
          <w:lang w:val="en-US" w:eastAsia="zh-CN"/>
        </w:rPr>
        <w:t>附加意外伤害医疗保险责任：在保险期间内，被保险人遭受意外伤害，并在中华人民共和国境内（不包括港、澳、台地区）二级或二级以上医院或保险人认可的医疗机构进行治疗，保险人按下列约定给付意外医疗保险金：</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1</w:t>
      </w:r>
      <w:r>
        <w:rPr>
          <w:rFonts w:hint="eastAsia" w:cs="Times New Roman"/>
          <w:spacing w:val="0"/>
          <w:sz w:val="21"/>
          <w:szCs w:val="21"/>
          <w:lang w:val="en-US" w:eastAsia="zh-CN"/>
        </w:rPr>
        <w:t>）</w:t>
      </w:r>
      <w:r>
        <w:rPr>
          <w:rFonts w:hint="default" w:ascii="Times New Roman" w:hAnsi="Times New Roman" w:eastAsia="宋体" w:cs="Times New Roman"/>
          <w:spacing w:val="0"/>
          <w:sz w:val="21"/>
          <w:szCs w:val="21"/>
          <w:lang w:val="en-US" w:eastAsia="zh-CN"/>
        </w:rPr>
        <w:t>对于被保险人在每次意外伤害中所支出的必要且合理的，符合本保险合同签发地政府颁布的基本医疗保险报销范围的医疗费用，保险人在扣除社会基本医疗保险或任何第三方（包括任何商业医疗保险）已经补偿或给付部分以及本附加保险合同约定的免赔额后，对其余额按本附加保险合同约定的给付比例和门、急诊限额给付意外医疗保险金。免赔额、赔付比例和门、急诊限额由投保人、保险人双方约定，并在保险单中载明。</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2</w:t>
      </w:r>
      <w:r>
        <w:rPr>
          <w:rFonts w:hint="eastAsia" w:cs="Times New Roman"/>
          <w:spacing w:val="0"/>
          <w:sz w:val="21"/>
          <w:szCs w:val="21"/>
          <w:lang w:val="en-US" w:eastAsia="zh-CN"/>
        </w:rPr>
        <w:t>）</w:t>
      </w:r>
      <w:r>
        <w:rPr>
          <w:rFonts w:hint="default" w:ascii="Times New Roman" w:hAnsi="Times New Roman" w:eastAsia="宋体" w:cs="Times New Roman"/>
          <w:spacing w:val="0"/>
          <w:sz w:val="21"/>
          <w:szCs w:val="21"/>
          <w:lang w:val="en-US" w:eastAsia="zh-CN"/>
        </w:rPr>
        <w:t>保险期间届满被保险人治疗仍未结束的，保险人所负保险责任期限可按下列约定延长：门诊治疗者，自保险期间届满次日起计算，以15日为限；保险期间届满被保险人仍在住院治疗的，自保险期间届满次日起计算，至出院之日止，最长以90日为限。</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3</w:t>
      </w:r>
      <w:r>
        <w:rPr>
          <w:rFonts w:hint="eastAsia" w:cs="Times New Roman"/>
          <w:spacing w:val="0"/>
          <w:sz w:val="21"/>
          <w:szCs w:val="21"/>
          <w:lang w:val="en-US" w:eastAsia="zh-CN"/>
        </w:rPr>
        <w:t>）</w:t>
      </w:r>
      <w:r>
        <w:rPr>
          <w:rFonts w:hint="default" w:ascii="Times New Roman" w:hAnsi="Times New Roman" w:eastAsia="宋体" w:cs="Times New Roman"/>
          <w:spacing w:val="0"/>
          <w:sz w:val="21"/>
          <w:szCs w:val="21"/>
          <w:lang w:val="en-US" w:eastAsia="zh-CN"/>
        </w:rPr>
        <w:t>保险人所负给付意外医疗保险金的责任以本附加保险合同项下的保险金额为限，对被保险人一次或者累计给付保险金达到其本附加保险合同项下该被保险人的保险金额时，本附加保险合同对该被保险人的本附加保险合同项下的保险责任终止。</w:t>
      </w:r>
    </w:p>
    <w:p>
      <w:pPr>
        <w:numPr>
          <w:ilvl w:val="-1"/>
          <w:numId w:val="0"/>
        </w:numPr>
        <w:adjustRightInd w:val="0"/>
        <w:snapToGrid w:val="0"/>
        <w:spacing w:line="440" w:lineRule="atLeast"/>
        <w:ind w:firstLine="422" w:firstLineChars="200"/>
        <w:rPr>
          <w:rFonts w:hint="eastAsia" w:cs="Times New Roman"/>
          <w:b/>
          <w:bCs/>
          <w:sz w:val="21"/>
          <w:szCs w:val="21"/>
        </w:rPr>
      </w:pPr>
      <w:r>
        <w:rPr>
          <w:rFonts w:hint="eastAsia" w:cs="Times New Roman"/>
          <w:b/>
          <w:bCs/>
          <w:spacing w:val="0"/>
          <w:sz w:val="21"/>
          <w:szCs w:val="21"/>
          <w:lang w:val="en-US" w:eastAsia="zh-CN"/>
        </w:rPr>
        <w:t>（2）</w:t>
      </w:r>
      <w:r>
        <w:rPr>
          <w:rFonts w:hint="eastAsia" w:cs="Times New Roman"/>
          <w:b/>
          <w:bCs/>
          <w:sz w:val="21"/>
          <w:szCs w:val="21"/>
        </w:rPr>
        <w:t>住院津贴</w:t>
      </w:r>
    </w:p>
    <w:p>
      <w:pPr>
        <w:numPr>
          <w:ilvl w:val="-1"/>
          <w:numId w:val="0"/>
        </w:numPr>
        <w:adjustRightInd w:val="0"/>
        <w:snapToGrid w:val="0"/>
        <w:spacing w:line="440" w:lineRule="atLeast"/>
        <w:ind w:firstLine="420" w:firstLineChars="200"/>
        <w:rPr>
          <w:rFonts w:hint="default" w:cs="Times New Roman"/>
          <w:b/>
          <w:bCs/>
          <w:sz w:val="21"/>
          <w:szCs w:val="21"/>
          <w:lang w:val="en-US" w:eastAsia="zh-CN"/>
        </w:rPr>
      </w:pPr>
      <w:r>
        <w:rPr>
          <w:rFonts w:hint="default" w:cs="Times New Roman"/>
          <w:b w:val="0"/>
          <w:bCs w:val="0"/>
          <w:sz w:val="21"/>
          <w:szCs w:val="21"/>
        </w:rPr>
        <w:t>意外住院定额给付保险：被保险人遭受意外伤害后因在二级以上（含二级）医院或</w:t>
      </w:r>
      <w:r>
        <w:rPr>
          <w:rFonts w:hint="eastAsia" w:cs="Times New Roman"/>
          <w:b w:val="0"/>
          <w:bCs w:val="0"/>
          <w:sz w:val="21"/>
          <w:szCs w:val="21"/>
          <w:lang w:eastAsia="zh-CN"/>
        </w:rPr>
        <w:t>保险人</w:t>
      </w:r>
      <w:r>
        <w:rPr>
          <w:rFonts w:hint="default" w:cs="Times New Roman"/>
          <w:b w:val="0"/>
          <w:bCs w:val="0"/>
          <w:sz w:val="21"/>
          <w:szCs w:val="21"/>
        </w:rPr>
        <w:t>认可的其他医疗机构住院诊疗，保险人按合同约定的住院日定额给付金额乘以实际住院日数给付保险金，但对每次住院的给付日数以九十日为限。被保险人多次住院的，累计给付日数以一百八十日为限。若被保险人本次住院治疗与前次住院原因相同，并且前次出院与本次入院间隔不超过三十日，则本次住院与前次住院视为同—次住院。</w:t>
      </w:r>
    </w:p>
    <w:p>
      <w:pPr>
        <w:numPr>
          <w:ilvl w:val="-1"/>
          <w:numId w:val="0"/>
        </w:numPr>
        <w:adjustRightInd w:val="0"/>
        <w:snapToGrid w:val="0"/>
        <w:spacing w:line="440" w:lineRule="atLeast"/>
        <w:ind w:firstLine="0" w:firstLineChars="0"/>
        <w:rPr>
          <w:rFonts w:hint="eastAsia" w:cs="Times New Roman"/>
          <w:b/>
          <w:bCs/>
          <w:spacing w:val="0"/>
          <w:sz w:val="21"/>
          <w:szCs w:val="21"/>
          <w:lang w:val="en-US" w:eastAsia="zh-CN"/>
        </w:rPr>
      </w:pPr>
      <w:r>
        <w:rPr>
          <w:rFonts w:hint="eastAsia" w:cs="Times New Roman"/>
          <w:b/>
          <w:bCs/>
          <w:spacing w:val="0"/>
          <w:sz w:val="21"/>
          <w:szCs w:val="21"/>
          <w:lang w:val="en-US" w:eastAsia="zh-CN"/>
        </w:rPr>
        <w:t>（四）服务要求</w:t>
      </w:r>
    </w:p>
    <w:p>
      <w:pPr>
        <w:numPr>
          <w:ilvl w:val="-1"/>
          <w:numId w:val="0"/>
        </w:numPr>
        <w:adjustRightInd w:val="0"/>
        <w:snapToGrid w:val="0"/>
        <w:spacing w:line="440" w:lineRule="atLeast"/>
        <w:ind w:firstLine="422" w:firstLineChars="200"/>
        <w:rPr>
          <w:rFonts w:hint="default" w:cs="Times New Roman"/>
          <w:b/>
          <w:bCs/>
          <w:sz w:val="21"/>
          <w:szCs w:val="21"/>
          <w:lang w:val="en-US" w:eastAsia="zh-CN"/>
        </w:rPr>
      </w:pPr>
      <w:r>
        <w:rPr>
          <w:rFonts w:hint="eastAsia" w:cs="Times New Roman"/>
          <w:b/>
          <w:bCs/>
          <w:sz w:val="21"/>
          <w:szCs w:val="21"/>
          <w:lang w:val="en-US" w:eastAsia="zh-CN"/>
        </w:rPr>
        <w:t>1、</w:t>
      </w:r>
      <w:r>
        <w:rPr>
          <w:rFonts w:hint="eastAsia" w:cs="Times New Roman"/>
          <w:b/>
          <w:bCs/>
          <w:sz w:val="21"/>
          <w:szCs w:val="21"/>
          <w:lang w:eastAsia="zh-CN"/>
        </w:rPr>
        <w:t>理赔</w:t>
      </w:r>
      <w:r>
        <w:rPr>
          <w:rFonts w:hint="eastAsia" w:cs="Times New Roman"/>
          <w:b/>
          <w:bCs/>
          <w:sz w:val="21"/>
          <w:szCs w:val="21"/>
        </w:rPr>
        <w:t>响应时效</w:t>
      </w:r>
    </w:p>
    <w:p>
      <w:pPr>
        <w:numPr>
          <w:ilvl w:val="-1"/>
          <w:numId w:val="0"/>
        </w:numPr>
        <w:adjustRightInd w:val="0"/>
        <w:snapToGrid w:val="0"/>
        <w:spacing w:line="440" w:lineRule="atLeast"/>
        <w:ind w:firstLine="420" w:firstLineChars="200"/>
        <w:rPr>
          <w:rFonts w:hint="default" w:cs="Times New Roman"/>
          <w:b w:val="0"/>
          <w:bCs w:val="0"/>
          <w:spacing w:val="0"/>
          <w:sz w:val="21"/>
          <w:szCs w:val="21"/>
          <w:lang w:val="en-US" w:eastAsia="zh-CN"/>
        </w:rPr>
      </w:pPr>
      <w:r>
        <w:rPr>
          <w:rFonts w:hint="eastAsia" w:cs="Times New Roman"/>
          <w:sz w:val="21"/>
          <w:szCs w:val="21"/>
          <w:lang w:eastAsia="zh-CN"/>
        </w:rPr>
        <w:t>（</w:t>
      </w:r>
      <w:r>
        <w:rPr>
          <w:rFonts w:hint="eastAsia" w:cs="Times New Roman"/>
          <w:sz w:val="21"/>
          <w:szCs w:val="21"/>
          <w:lang w:val="en-US" w:eastAsia="zh-CN"/>
        </w:rPr>
        <w:t>1</w:t>
      </w:r>
      <w:r>
        <w:rPr>
          <w:rFonts w:hint="eastAsia" w:cs="Times New Roman"/>
          <w:sz w:val="21"/>
          <w:szCs w:val="21"/>
          <w:lang w:eastAsia="zh-CN"/>
        </w:rPr>
        <w:t>）</w:t>
      </w:r>
      <w:r>
        <w:rPr>
          <w:rFonts w:hint="default" w:cs="Times New Roman"/>
          <w:b w:val="0"/>
          <w:bCs w:val="0"/>
          <w:spacing w:val="0"/>
          <w:sz w:val="21"/>
          <w:szCs w:val="21"/>
          <w:lang w:val="en-US" w:eastAsia="zh-CN"/>
        </w:rPr>
        <w:t>保险索赔须在索赔时效内提出，超过时效，被保险人或受益人不向保险人提出索赔，不提供必要单证和不领取保险金，视为放弃权利</w:t>
      </w:r>
      <w:r>
        <w:rPr>
          <w:rFonts w:hint="eastAsia" w:cs="Times New Roman"/>
          <w:b w:val="0"/>
          <w:bCs w:val="0"/>
          <w:spacing w:val="0"/>
          <w:sz w:val="21"/>
          <w:szCs w:val="21"/>
          <w:lang w:val="en-US" w:eastAsia="zh-CN"/>
        </w:rPr>
        <w:t>。保险人的</w:t>
      </w:r>
      <w:r>
        <w:rPr>
          <w:rFonts w:hint="default" w:cs="Times New Roman"/>
          <w:b w:val="0"/>
          <w:bCs w:val="0"/>
          <w:spacing w:val="0"/>
          <w:sz w:val="21"/>
          <w:szCs w:val="21"/>
          <w:lang w:val="en-US" w:eastAsia="zh-CN"/>
        </w:rPr>
        <w:t>索赔时效</w:t>
      </w:r>
      <w:r>
        <w:rPr>
          <w:rFonts w:hint="eastAsia" w:cs="Times New Roman"/>
          <w:b w:val="0"/>
          <w:bCs w:val="0"/>
          <w:spacing w:val="0"/>
          <w:sz w:val="21"/>
          <w:szCs w:val="21"/>
          <w:lang w:val="en-US" w:eastAsia="zh-CN"/>
        </w:rPr>
        <w:t>应不少于</w:t>
      </w:r>
      <w:r>
        <w:rPr>
          <w:rFonts w:hint="default" w:cs="Times New Roman"/>
          <w:b w:val="0"/>
          <w:bCs w:val="0"/>
          <w:spacing w:val="0"/>
          <w:sz w:val="21"/>
          <w:szCs w:val="21"/>
          <w:lang w:val="en-US" w:eastAsia="zh-CN"/>
        </w:rPr>
        <w:t xml:space="preserve"> 2</w:t>
      </w:r>
      <w:r>
        <w:rPr>
          <w:rFonts w:hint="eastAsia" w:cs="Times New Roman"/>
          <w:b w:val="0"/>
          <w:bCs w:val="0"/>
          <w:spacing w:val="0"/>
          <w:sz w:val="21"/>
          <w:szCs w:val="21"/>
          <w:lang w:val="en-US" w:eastAsia="zh-CN"/>
        </w:rPr>
        <w:t xml:space="preserve"> </w:t>
      </w:r>
      <w:r>
        <w:rPr>
          <w:rFonts w:hint="default" w:cs="Times New Roman"/>
          <w:b w:val="0"/>
          <w:bCs w:val="0"/>
          <w:spacing w:val="0"/>
          <w:sz w:val="21"/>
          <w:szCs w:val="21"/>
          <w:lang w:val="en-US" w:eastAsia="zh-CN"/>
        </w:rPr>
        <w:t>年。索赔时效应当从被保险人或受益人知道保险事故发生之日算起。保险事故发生后，投保人、保险人或受益人首先要立即止险报案，然后提出索赔请求。</w:t>
      </w:r>
    </w:p>
    <w:p>
      <w:pPr>
        <w:numPr>
          <w:ilvl w:val="-1"/>
          <w:numId w:val="0"/>
        </w:numPr>
        <w:adjustRightInd w:val="0"/>
        <w:snapToGrid w:val="0"/>
        <w:spacing w:line="440" w:lineRule="atLeast"/>
        <w:ind w:firstLine="420" w:firstLineChars="200"/>
        <w:rPr>
          <w:rFonts w:hint="default" w:cs="Times New Roman"/>
          <w:b w:val="0"/>
          <w:bCs w:val="0"/>
          <w:spacing w:val="0"/>
          <w:sz w:val="21"/>
          <w:szCs w:val="21"/>
          <w:lang w:val="en-US" w:eastAsia="zh-CN"/>
        </w:rPr>
      </w:pPr>
      <w:r>
        <w:rPr>
          <w:rFonts w:hint="eastAsia" w:cs="Times New Roman"/>
          <w:sz w:val="21"/>
          <w:szCs w:val="21"/>
          <w:lang w:eastAsia="zh-CN"/>
        </w:rPr>
        <w:t>（</w:t>
      </w:r>
      <w:r>
        <w:rPr>
          <w:rFonts w:hint="eastAsia" w:cs="Times New Roman"/>
          <w:sz w:val="21"/>
          <w:szCs w:val="21"/>
          <w:lang w:val="en-US" w:eastAsia="zh-CN"/>
        </w:rPr>
        <w:t>2</w:t>
      </w:r>
      <w:r>
        <w:rPr>
          <w:rFonts w:hint="eastAsia" w:cs="Times New Roman"/>
          <w:sz w:val="21"/>
          <w:szCs w:val="21"/>
          <w:lang w:eastAsia="zh-CN"/>
        </w:rPr>
        <w:t>）</w:t>
      </w:r>
      <w:r>
        <w:rPr>
          <w:rFonts w:hint="default" w:cs="Times New Roman"/>
          <w:b w:val="0"/>
          <w:bCs w:val="0"/>
          <w:spacing w:val="0"/>
          <w:sz w:val="21"/>
          <w:szCs w:val="21"/>
          <w:lang w:val="en-US" w:eastAsia="zh-CN"/>
        </w:rPr>
        <w:t>被保险人或受益人提出索赔后，</w:t>
      </w:r>
      <w:r>
        <w:rPr>
          <w:rFonts w:hint="eastAsia" w:cs="Times New Roman"/>
          <w:b w:val="0"/>
          <w:bCs w:val="0"/>
          <w:spacing w:val="0"/>
          <w:sz w:val="21"/>
          <w:szCs w:val="21"/>
          <w:lang w:val="en-US" w:eastAsia="zh-CN"/>
        </w:rPr>
        <w:t>保险人</w:t>
      </w:r>
      <w:r>
        <w:rPr>
          <w:rFonts w:hint="default" w:cs="Times New Roman"/>
          <w:b w:val="0"/>
          <w:bCs w:val="0"/>
          <w:spacing w:val="0"/>
          <w:sz w:val="21"/>
          <w:szCs w:val="21"/>
          <w:lang w:val="en-US" w:eastAsia="zh-CN"/>
        </w:rPr>
        <w:t>如果认为需补交有关的证明和资料，应当及时一次性通知对方</w:t>
      </w:r>
      <w:r>
        <w:rPr>
          <w:rFonts w:hint="eastAsia" w:cs="Times New Roman"/>
          <w:b w:val="0"/>
          <w:bCs w:val="0"/>
          <w:spacing w:val="0"/>
          <w:sz w:val="21"/>
          <w:szCs w:val="21"/>
          <w:lang w:val="en-US" w:eastAsia="zh-CN"/>
        </w:rPr>
        <w:t>。</w:t>
      </w:r>
      <w:r>
        <w:rPr>
          <w:rFonts w:hint="default" w:cs="Times New Roman"/>
          <w:b w:val="0"/>
          <w:bCs w:val="0"/>
          <w:spacing w:val="0"/>
          <w:sz w:val="21"/>
          <w:szCs w:val="21"/>
          <w:lang w:val="en-US" w:eastAsia="zh-CN"/>
        </w:rPr>
        <w:t>材料齐全后，</w:t>
      </w:r>
      <w:r>
        <w:rPr>
          <w:rFonts w:hint="eastAsia" w:cs="Times New Roman"/>
          <w:b w:val="0"/>
          <w:bCs w:val="0"/>
          <w:spacing w:val="0"/>
          <w:sz w:val="21"/>
          <w:szCs w:val="21"/>
          <w:lang w:val="en-US" w:eastAsia="zh-CN"/>
        </w:rPr>
        <w:t>保险人</w:t>
      </w:r>
      <w:r>
        <w:rPr>
          <w:rFonts w:hint="default" w:cs="Times New Roman"/>
          <w:b w:val="0"/>
          <w:bCs w:val="0"/>
          <w:spacing w:val="0"/>
          <w:sz w:val="21"/>
          <w:szCs w:val="21"/>
          <w:lang w:val="en-US" w:eastAsia="zh-CN"/>
        </w:rPr>
        <w:t>应当及时作出核定，情形复杂的，应当在30天内作出核定，并将核定结果书面通知对方</w:t>
      </w:r>
      <w:r>
        <w:rPr>
          <w:rFonts w:hint="eastAsia" w:cs="Times New Roman"/>
          <w:b w:val="0"/>
          <w:bCs w:val="0"/>
          <w:spacing w:val="0"/>
          <w:sz w:val="21"/>
          <w:szCs w:val="21"/>
          <w:lang w:val="en-US" w:eastAsia="zh-CN"/>
        </w:rPr>
        <w:t>；</w:t>
      </w:r>
      <w:r>
        <w:rPr>
          <w:rFonts w:hint="default" w:cs="Times New Roman"/>
          <w:b w:val="0"/>
          <w:bCs w:val="0"/>
          <w:spacing w:val="0"/>
          <w:sz w:val="21"/>
          <w:szCs w:val="21"/>
          <w:lang w:val="en-US" w:eastAsia="zh-CN"/>
        </w:rPr>
        <w:t>对属于保险责任的，</w:t>
      </w:r>
      <w:r>
        <w:rPr>
          <w:rFonts w:hint="eastAsia" w:cs="Times New Roman"/>
          <w:b w:val="0"/>
          <w:bCs w:val="0"/>
          <w:spacing w:val="0"/>
          <w:sz w:val="21"/>
          <w:szCs w:val="21"/>
          <w:lang w:val="en-US" w:eastAsia="zh-CN"/>
        </w:rPr>
        <w:t>保险人</w:t>
      </w:r>
      <w:r>
        <w:rPr>
          <w:rFonts w:hint="default" w:cs="Times New Roman"/>
          <w:b w:val="0"/>
          <w:bCs w:val="0"/>
          <w:spacing w:val="0"/>
          <w:sz w:val="21"/>
          <w:szCs w:val="21"/>
          <w:lang w:val="en-US" w:eastAsia="zh-CN"/>
        </w:rPr>
        <w:t>在赔付协议达成后10天内支付赔款</w:t>
      </w:r>
      <w:r>
        <w:rPr>
          <w:rFonts w:hint="eastAsia" w:cs="Times New Roman"/>
          <w:b w:val="0"/>
          <w:bCs w:val="0"/>
          <w:spacing w:val="0"/>
          <w:sz w:val="21"/>
          <w:szCs w:val="21"/>
          <w:lang w:val="en-US" w:eastAsia="zh-CN"/>
        </w:rPr>
        <w:t>；</w:t>
      </w:r>
      <w:r>
        <w:rPr>
          <w:rFonts w:hint="default" w:cs="Times New Roman"/>
          <w:b w:val="0"/>
          <w:bCs w:val="0"/>
          <w:spacing w:val="0"/>
          <w:sz w:val="21"/>
          <w:szCs w:val="21"/>
          <w:lang w:val="en-US" w:eastAsia="zh-CN"/>
        </w:rPr>
        <w:t>对不属于保险责任的，应当自作出核定之日起3天内发出拒赔通知书并说明理由。保险人理赔审核时间不应超过30日，除非合同另有约定。而在达成赔偿或给付保险金协议后10日内，</w:t>
      </w:r>
      <w:r>
        <w:rPr>
          <w:rFonts w:hint="eastAsia" w:cs="Times New Roman"/>
          <w:b w:val="0"/>
          <w:bCs w:val="0"/>
          <w:spacing w:val="0"/>
          <w:sz w:val="21"/>
          <w:szCs w:val="21"/>
          <w:lang w:val="en-US" w:eastAsia="zh-CN"/>
        </w:rPr>
        <w:t>保险人</w:t>
      </w:r>
      <w:r>
        <w:rPr>
          <w:rFonts w:hint="default" w:cs="Times New Roman"/>
          <w:b w:val="0"/>
          <w:bCs w:val="0"/>
          <w:spacing w:val="0"/>
          <w:sz w:val="21"/>
          <w:szCs w:val="21"/>
          <w:lang w:val="en-US" w:eastAsia="zh-CN"/>
        </w:rPr>
        <w:t>要履行赔偿或给付保险金义务。此外，核定不属于保险责任的，应当自核定之日起3日内发出拒赔通知书并说明理由。</w:t>
      </w:r>
    </w:p>
    <w:p>
      <w:pPr>
        <w:numPr>
          <w:ilvl w:val="-1"/>
          <w:numId w:val="0"/>
        </w:numPr>
        <w:adjustRightInd w:val="0"/>
        <w:snapToGrid w:val="0"/>
        <w:spacing w:line="440" w:lineRule="atLeast"/>
        <w:ind w:firstLine="422" w:firstLineChars="200"/>
        <w:rPr>
          <w:rFonts w:hint="eastAsia" w:cs="Times New Roman"/>
          <w:sz w:val="21"/>
          <w:szCs w:val="21"/>
          <w:lang w:val="en-US" w:eastAsia="zh-CN"/>
        </w:rPr>
      </w:pPr>
      <w:r>
        <w:rPr>
          <w:rFonts w:hint="eastAsia" w:cs="Times New Roman"/>
          <w:b/>
          <w:bCs/>
          <w:sz w:val="21"/>
          <w:szCs w:val="21"/>
          <w:lang w:val="en-US" w:eastAsia="zh-CN"/>
        </w:rPr>
        <w:t>2、</w:t>
      </w:r>
      <w:r>
        <w:rPr>
          <w:rFonts w:hint="eastAsia" w:cs="Times New Roman"/>
          <w:b/>
          <w:bCs/>
          <w:sz w:val="21"/>
          <w:szCs w:val="21"/>
        </w:rPr>
        <w:t>报案响应时间</w:t>
      </w:r>
    </w:p>
    <w:p>
      <w:pPr>
        <w:numPr>
          <w:ilvl w:val="-1"/>
          <w:numId w:val="0"/>
        </w:numPr>
        <w:adjustRightInd w:val="0"/>
        <w:snapToGrid w:val="0"/>
        <w:spacing w:line="440" w:lineRule="atLeast"/>
        <w:ind w:firstLine="420" w:firstLineChars="200"/>
        <w:rPr>
          <w:rFonts w:hint="eastAsia" w:cs="Times New Roman"/>
          <w:sz w:val="21"/>
          <w:szCs w:val="21"/>
        </w:rPr>
      </w:pPr>
      <w:r>
        <w:rPr>
          <w:rFonts w:hint="eastAsia" w:cs="Times New Roman"/>
          <w:sz w:val="21"/>
          <w:szCs w:val="21"/>
          <w:lang w:eastAsia="zh-CN"/>
        </w:rPr>
        <w:t>（</w:t>
      </w:r>
      <w:r>
        <w:rPr>
          <w:rFonts w:hint="eastAsia" w:cs="Times New Roman"/>
          <w:sz w:val="21"/>
          <w:szCs w:val="21"/>
          <w:lang w:val="en-US" w:eastAsia="zh-CN"/>
        </w:rPr>
        <w:t>1</w:t>
      </w:r>
      <w:r>
        <w:rPr>
          <w:rFonts w:hint="eastAsia" w:cs="Times New Roman"/>
          <w:sz w:val="21"/>
          <w:szCs w:val="21"/>
          <w:lang w:eastAsia="zh-CN"/>
        </w:rPr>
        <w:t>）</w:t>
      </w:r>
      <w:r>
        <w:rPr>
          <w:rFonts w:hint="eastAsia" w:cs="Times New Roman"/>
          <w:spacing w:val="0"/>
          <w:sz w:val="21"/>
          <w:szCs w:val="21"/>
          <w:lang w:val="en-US" w:eastAsia="zh-CN"/>
        </w:rPr>
        <w:t>保险人应</w:t>
      </w:r>
      <w:r>
        <w:rPr>
          <w:rFonts w:hint="default" w:cs="Times New Roman"/>
          <w:spacing w:val="0"/>
          <w:sz w:val="21"/>
          <w:szCs w:val="21"/>
          <w:lang w:val="en-US" w:eastAsia="zh-CN"/>
        </w:rPr>
        <w:t>设立24小时保险服务专线电话，可全年365天随时接受被保险人的出险报案，并应立即通知客户服务专员；被保险人也可以直接向成交供应商客户服务专员报案</w:t>
      </w:r>
      <w:r>
        <w:rPr>
          <w:rFonts w:hint="eastAsia" w:cs="Times New Roman"/>
          <w:spacing w:val="0"/>
          <w:sz w:val="21"/>
          <w:szCs w:val="21"/>
          <w:lang w:val="en-US" w:eastAsia="zh-CN"/>
        </w:rPr>
        <w:t>。并</w:t>
      </w:r>
      <w:r>
        <w:rPr>
          <w:rFonts w:hint="eastAsia" w:cs="Times New Roman"/>
          <w:sz w:val="21"/>
          <w:szCs w:val="21"/>
        </w:rPr>
        <w:t>提供全天候、全时段的现场查勘服务</w:t>
      </w:r>
      <w:r>
        <w:rPr>
          <w:rFonts w:hint="eastAsia" w:cs="Times New Roman"/>
          <w:sz w:val="21"/>
          <w:szCs w:val="21"/>
          <w:lang w:eastAsia="zh-CN"/>
        </w:rPr>
        <w:t>，</w:t>
      </w:r>
      <w:r>
        <w:rPr>
          <w:rFonts w:hint="eastAsia" w:cs="Times New Roman"/>
          <w:sz w:val="21"/>
          <w:szCs w:val="21"/>
        </w:rPr>
        <w:t>在接到</w:t>
      </w:r>
      <w:r>
        <w:rPr>
          <w:rFonts w:hint="eastAsia" w:cs="Times New Roman"/>
          <w:sz w:val="21"/>
          <w:szCs w:val="21"/>
          <w:lang w:eastAsia="zh-CN"/>
        </w:rPr>
        <w:t>投保人或被保险人</w:t>
      </w:r>
      <w:r>
        <w:rPr>
          <w:rFonts w:hint="eastAsia" w:cs="Times New Roman"/>
          <w:sz w:val="21"/>
          <w:szCs w:val="21"/>
        </w:rPr>
        <w:t>的出险报案后，</w:t>
      </w:r>
      <w:r>
        <w:rPr>
          <w:rFonts w:hint="eastAsia" w:cs="Times New Roman"/>
          <w:sz w:val="21"/>
          <w:szCs w:val="21"/>
          <w:lang w:eastAsia="zh-CN"/>
        </w:rPr>
        <w:t>佛山</w:t>
      </w:r>
      <w:r>
        <w:rPr>
          <w:rFonts w:hint="eastAsia" w:cs="Times New Roman"/>
          <w:sz w:val="21"/>
          <w:szCs w:val="21"/>
        </w:rPr>
        <w:t>市内应于30分钟内赶到现场，</w:t>
      </w:r>
      <w:r>
        <w:rPr>
          <w:rFonts w:hint="eastAsia" w:cs="Times New Roman"/>
          <w:sz w:val="21"/>
          <w:szCs w:val="21"/>
          <w:lang w:eastAsia="zh-CN"/>
        </w:rPr>
        <w:t>市外</w:t>
      </w:r>
      <w:r>
        <w:rPr>
          <w:rFonts w:hint="eastAsia" w:cs="Times New Roman"/>
          <w:sz w:val="21"/>
          <w:szCs w:val="21"/>
        </w:rPr>
        <w:t>1小时内应赶到现场。对估计赔偿将超过1万元的保险事故，</w:t>
      </w:r>
      <w:r>
        <w:rPr>
          <w:rFonts w:hint="eastAsia" w:cs="Times New Roman"/>
          <w:sz w:val="21"/>
          <w:szCs w:val="21"/>
          <w:lang w:eastAsia="zh-CN"/>
        </w:rPr>
        <w:t>保险人</w:t>
      </w:r>
      <w:r>
        <w:rPr>
          <w:rFonts w:hint="eastAsia" w:cs="Times New Roman"/>
          <w:sz w:val="21"/>
          <w:szCs w:val="21"/>
        </w:rPr>
        <w:t>应派出专业人员1小时内抵达伤者入院的医院，及时了解病情，并负责全程向伤者和医疗机构告知保险赔偿医疗费的范围，监督医药费的开支，将</w:t>
      </w:r>
      <w:r>
        <w:rPr>
          <w:rFonts w:hint="eastAsia" w:cs="Times New Roman"/>
          <w:sz w:val="21"/>
          <w:szCs w:val="21"/>
          <w:lang w:eastAsia="zh-CN"/>
        </w:rPr>
        <w:t>被保险人</w:t>
      </w:r>
      <w:r>
        <w:rPr>
          <w:rFonts w:hint="eastAsia" w:cs="Times New Roman"/>
          <w:sz w:val="21"/>
          <w:szCs w:val="21"/>
        </w:rPr>
        <w:t>因事故为工作带来的不便降到最低。</w:t>
      </w:r>
    </w:p>
    <w:p>
      <w:pPr>
        <w:numPr>
          <w:ilvl w:val="-1"/>
          <w:numId w:val="0"/>
        </w:numPr>
        <w:adjustRightInd w:val="0"/>
        <w:snapToGrid w:val="0"/>
        <w:spacing w:line="440" w:lineRule="atLeast"/>
        <w:ind w:firstLine="420" w:firstLineChars="200"/>
        <w:rPr>
          <w:rFonts w:hint="eastAsia" w:cs="Times New Roman"/>
          <w:sz w:val="21"/>
          <w:szCs w:val="21"/>
        </w:rPr>
      </w:pPr>
      <w:r>
        <w:rPr>
          <w:rFonts w:hint="eastAsia" w:cs="Times New Roman"/>
          <w:sz w:val="21"/>
          <w:szCs w:val="21"/>
          <w:lang w:eastAsia="zh-CN"/>
        </w:rPr>
        <w:t>（</w:t>
      </w:r>
      <w:r>
        <w:rPr>
          <w:rFonts w:hint="eastAsia" w:cs="Times New Roman"/>
          <w:sz w:val="21"/>
          <w:szCs w:val="21"/>
          <w:lang w:val="en-US" w:eastAsia="zh-CN"/>
        </w:rPr>
        <w:t>2</w:t>
      </w:r>
      <w:r>
        <w:rPr>
          <w:rFonts w:hint="eastAsia" w:cs="Times New Roman"/>
          <w:sz w:val="21"/>
          <w:szCs w:val="21"/>
          <w:lang w:eastAsia="zh-CN"/>
        </w:rPr>
        <w:t>）被保险人</w:t>
      </w:r>
      <w:r>
        <w:rPr>
          <w:rFonts w:hint="eastAsia" w:cs="Times New Roman"/>
          <w:sz w:val="21"/>
          <w:szCs w:val="21"/>
        </w:rPr>
        <w:t>在广东省内出险后，</w:t>
      </w:r>
      <w:r>
        <w:rPr>
          <w:rFonts w:hint="eastAsia" w:cs="Times New Roman"/>
          <w:sz w:val="21"/>
          <w:szCs w:val="21"/>
          <w:lang w:eastAsia="zh-CN"/>
        </w:rPr>
        <w:t>保险人</w:t>
      </w:r>
      <w:r>
        <w:rPr>
          <w:rFonts w:hint="eastAsia" w:cs="Times New Roman"/>
          <w:sz w:val="21"/>
          <w:szCs w:val="21"/>
        </w:rPr>
        <w:t>或</w:t>
      </w:r>
      <w:r>
        <w:rPr>
          <w:rFonts w:hint="eastAsia" w:cs="Times New Roman"/>
          <w:sz w:val="21"/>
          <w:szCs w:val="21"/>
          <w:lang w:eastAsia="zh-CN"/>
        </w:rPr>
        <w:t>保险人</w:t>
      </w:r>
      <w:r>
        <w:rPr>
          <w:rFonts w:hint="eastAsia" w:cs="Times New Roman"/>
          <w:sz w:val="21"/>
          <w:szCs w:val="21"/>
        </w:rPr>
        <w:t>当地分支机构应协助</w:t>
      </w:r>
      <w:r>
        <w:rPr>
          <w:rFonts w:hint="eastAsia" w:cs="Times New Roman"/>
          <w:sz w:val="21"/>
          <w:szCs w:val="21"/>
          <w:lang w:eastAsia="zh-CN"/>
        </w:rPr>
        <w:t>被保险人</w:t>
      </w:r>
      <w:r>
        <w:rPr>
          <w:rFonts w:hint="eastAsia" w:cs="Times New Roman"/>
          <w:sz w:val="21"/>
          <w:szCs w:val="21"/>
        </w:rPr>
        <w:t>的施救工作，在广东省内的</w:t>
      </w:r>
      <w:r>
        <w:rPr>
          <w:rFonts w:hint="eastAsia" w:cs="Times New Roman"/>
          <w:sz w:val="21"/>
          <w:szCs w:val="21"/>
          <w:lang w:eastAsia="zh-CN"/>
        </w:rPr>
        <w:t>佛山</w:t>
      </w:r>
      <w:r>
        <w:rPr>
          <w:rFonts w:hint="eastAsia" w:cs="Times New Roman"/>
          <w:sz w:val="21"/>
          <w:szCs w:val="21"/>
        </w:rPr>
        <w:t>市区内需为事故人员提供免费的施救服务。发生交通事故时，如需要</w:t>
      </w:r>
      <w:r>
        <w:rPr>
          <w:rFonts w:hint="eastAsia" w:cs="Times New Roman"/>
          <w:sz w:val="21"/>
          <w:szCs w:val="21"/>
          <w:lang w:eastAsia="zh-CN"/>
        </w:rPr>
        <w:t>保险人</w:t>
      </w:r>
      <w:r>
        <w:rPr>
          <w:rFonts w:hint="eastAsia" w:cs="Times New Roman"/>
          <w:sz w:val="21"/>
          <w:szCs w:val="21"/>
        </w:rPr>
        <w:t>提供交通援助服务，</w:t>
      </w:r>
      <w:r>
        <w:rPr>
          <w:rFonts w:hint="eastAsia" w:cs="Times New Roman"/>
          <w:sz w:val="21"/>
          <w:szCs w:val="21"/>
          <w:lang w:eastAsia="zh-CN"/>
        </w:rPr>
        <w:t>保险人</w:t>
      </w:r>
      <w:r>
        <w:rPr>
          <w:rFonts w:hint="eastAsia" w:cs="Times New Roman"/>
          <w:sz w:val="21"/>
          <w:szCs w:val="21"/>
        </w:rPr>
        <w:t>应迅速派人赶赴事故现场，协助</w:t>
      </w:r>
      <w:r>
        <w:rPr>
          <w:rFonts w:hint="eastAsia" w:cs="Times New Roman"/>
          <w:sz w:val="21"/>
          <w:szCs w:val="21"/>
          <w:lang w:eastAsia="zh-CN"/>
        </w:rPr>
        <w:t>被保险人</w:t>
      </w:r>
      <w:r>
        <w:rPr>
          <w:rFonts w:hint="eastAsia" w:cs="Times New Roman"/>
          <w:sz w:val="21"/>
          <w:szCs w:val="21"/>
        </w:rPr>
        <w:t>进行交通事故的处理，提供专业的法律援助。</w:t>
      </w:r>
    </w:p>
    <w:p>
      <w:pPr>
        <w:numPr>
          <w:ilvl w:val="-1"/>
          <w:numId w:val="0"/>
        </w:numPr>
        <w:adjustRightInd w:val="0"/>
        <w:snapToGrid w:val="0"/>
        <w:spacing w:line="440" w:lineRule="atLeast"/>
        <w:ind w:firstLine="420" w:firstLineChars="200"/>
        <w:rPr>
          <w:rFonts w:hint="default" w:cs="Times New Roman"/>
          <w:spacing w:val="0"/>
          <w:sz w:val="21"/>
          <w:szCs w:val="21"/>
          <w:lang w:val="en-US" w:eastAsia="zh-CN"/>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default" w:cs="Times New Roman"/>
          <w:spacing w:val="0"/>
          <w:sz w:val="21"/>
          <w:szCs w:val="21"/>
          <w:lang w:val="en-US" w:eastAsia="zh-CN"/>
        </w:rPr>
        <w:t>被保险人因特殊情况无法在规定的时间内报案，</w:t>
      </w:r>
      <w:r>
        <w:rPr>
          <w:rFonts w:hint="eastAsia" w:cs="Times New Roman"/>
          <w:spacing w:val="0"/>
          <w:sz w:val="21"/>
          <w:szCs w:val="21"/>
          <w:lang w:val="en-US" w:eastAsia="zh-CN"/>
        </w:rPr>
        <w:t>保险人</w:t>
      </w:r>
      <w:r>
        <w:rPr>
          <w:rFonts w:hint="default" w:cs="Times New Roman"/>
          <w:spacing w:val="0"/>
          <w:sz w:val="21"/>
          <w:szCs w:val="21"/>
          <w:lang w:val="en-US" w:eastAsia="zh-CN"/>
        </w:rPr>
        <w:t>应认可被保险人事后出具的书面说明，并视同为及时报案。</w:t>
      </w:r>
    </w:p>
    <w:p>
      <w:pPr>
        <w:numPr>
          <w:ilvl w:val="-1"/>
          <w:numId w:val="0"/>
        </w:numPr>
        <w:adjustRightInd w:val="0"/>
        <w:snapToGrid w:val="0"/>
        <w:spacing w:line="440" w:lineRule="atLeast"/>
        <w:ind w:firstLine="420" w:firstLineChars="200"/>
        <w:rPr>
          <w:rFonts w:hint="default" w:cs="Times New Roman"/>
          <w:spacing w:val="0"/>
          <w:sz w:val="21"/>
          <w:szCs w:val="21"/>
          <w:lang w:val="en-US" w:eastAsia="zh-CN"/>
        </w:rPr>
      </w:pPr>
      <w:r>
        <w:rPr>
          <w:rFonts w:hint="eastAsia" w:cs="Times New Roman"/>
          <w:spacing w:val="0"/>
          <w:sz w:val="21"/>
          <w:szCs w:val="21"/>
          <w:lang w:val="en-US" w:eastAsia="zh-CN"/>
        </w:rPr>
        <w:t>（4）</w:t>
      </w:r>
      <w:r>
        <w:rPr>
          <w:rFonts w:hint="eastAsia" w:cs="Times New Roman"/>
          <w:b w:val="0"/>
          <w:bCs w:val="0"/>
          <w:spacing w:val="0"/>
          <w:sz w:val="21"/>
          <w:szCs w:val="21"/>
          <w:lang w:val="en-US" w:eastAsia="zh-CN"/>
        </w:rPr>
        <w:t>如</w:t>
      </w:r>
      <w:r>
        <w:rPr>
          <w:rFonts w:hint="eastAsia" w:cs="Times New Roman"/>
          <w:spacing w:val="0"/>
          <w:sz w:val="21"/>
          <w:szCs w:val="21"/>
          <w:lang w:val="en-US" w:eastAsia="zh-CN"/>
        </w:rPr>
        <w:t>保险人</w:t>
      </w:r>
      <w:r>
        <w:rPr>
          <w:rFonts w:hint="default" w:cs="Times New Roman"/>
          <w:spacing w:val="0"/>
          <w:sz w:val="21"/>
          <w:szCs w:val="21"/>
          <w:lang w:val="en-US" w:eastAsia="zh-CN"/>
        </w:rPr>
        <w:t>无法按照约定时间到达事故现场</w:t>
      </w:r>
      <w:r>
        <w:rPr>
          <w:rFonts w:hint="eastAsia" w:cs="Times New Roman"/>
          <w:spacing w:val="0"/>
          <w:sz w:val="21"/>
          <w:szCs w:val="21"/>
          <w:lang w:val="en-US" w:eastAsia="zh-CN"/>
        </w:rPr>
        <w:t>进行</w:t>
      </w:r>
      <w:r>
        <w:rPr>
          <w:rFonts w:hint="default" w:cs="Times New Roman"/>
          <w:spacing w:val="0"/>
          <w:sz w:val="21"/>
          <w:szCs w:val="21"/>
          <w:lang w:val="en-US" w:eastAsia="zh-CN"/>
        </w:rPr>
        <w:t>查勘，应以被保险人提供的现场照片、损失清单、事故说明、发票及其他证明材料作为赔付理算依据。如被保险人当时无法拍照，可不提供现场照片。</w:t>
      </w:r>
    </w:p>
    <w:p>
      <w:pPr>
        <w:numPr>
          <w:ilvl w:val="-1"/>
          <w:numId w:val="0"/>
        </w:numPr>
        <w:adjustRightInd w:val="0"/>
        <w:snapToGrid w:val="0"/>
        <w:spacing w:line="440" w:lineRule="atLeast"/>
        <w:ind w:firstLine="422" w:firstLineChars="200"/>
        <w:rPr>
          <w:rFonts w:hint="eastAsia" w:cs="Times New Roman"/>
          <w:b/>
          <w:bCs/>
          <w:sz w:val="21"/>
          <w:szCs w:val="21"/>
        </w:rPr>
      </w:pPr>
      <w:r>
        <w:rPr>
          <w:rFonts w:hint="eastAsia" w:cs="Times New Roman"/>
          <w:b/>
          <w:bCs/>
          <w:sz w:val="21"/>
          <w:szCs w:val="21"/>
          <w:lang w:val="en-US" w:eastAsia="zh-CN"/>
        </w:rPr>
        <w:t>3、保险</w:t>
      </w:r>
      <w:r>
        <w:rPr>
          <w:rFonts w:hint="eastAsia" w:cs="Times New Roman"/>
          <w:b/>
          <w:bCs/>
          <w:sz w:val="21"/>
          <w:szCs w:val="21"/>
        </w:rPr>
        <w:t>应急预案</w:t>
      </w:r>
    </w:p>
    <w:p>
      <w:pPr>
        <w:numPr>
          <w:ilvl w:val="-1"/>
          <w:numId w:val="0"/>
        </w:numPr>
        <w:adjustRightInd w:val="0"/>
        <w:snapToGrid w:val="0"/>
        <w:spacing w:line="440" w:lineRule="atLeast"/>
        <w:ind w:firstLine="420" w:firstLineChars="200"/>
        <w:rPr>
          <w:rFonts w:hint="eastAsia" w:cs="Times New Roman"/>
          <w:b w:val="0"/>
          <w:bCs w:val="0"/>
          <w:sz w:val="21"/>
          <w:szCs w:val="21"/>
          <w:lang w:val="en-US" w:eastAsia="zh-CN"/>
        </w:rPr>
      </w:pPr>
      <w:r>
        <w:rPr>
          <w:rFonts w:hint="eastAsia" w:cs="Times New Roman"/>
          <w:b w:val="0"/>
          <w:bCs w:val="0"/>
          <w:sz w:val="21"/>
          <w:szCs w:val="21"/>
          <w:lang w:val="en-US" w:eastAsia="zh-CN"/>
        </w:rPr>
        <w:t>（1）为</w:t>
      </w:r>
      <w:r>
        <w:rPr>
          <w:rFonts w:hint="default" w:cs="Times New Roman"/>
          <w:b w:val="0"/>
          <w:bCs w:val="0"/>
          <w:sz w:val="21"/>
          <w:szCs w:val="21"/>
          <w:lang w:val="en-US" w:eastAsia="zh-CN"/>
        </w:rPr>
        <w:t>提高理赔效率、保障投保人和</w:t>
      </w:r>
      <w:r>
        <w:rPr>
          <w:rFonts w:hint="eastAsia" w:cs="Times New Roman"/>
          <w:b w:val="0"/>
          <w:bCs w:val="0"/>
          <w:sz w:val="21"/>
          <w:szCs w:val="21"/>
          <w:lang w:val="en-US" w:eastAsia="zh-CN"/>
        </w:rPr>
        <w:t>被保险人</w:t>
      </w:r>
      <w:r>
        <w:rPr>
          <w:rFonts w:hint="default" w:cs="Times New Roman"/>
          <w:b w:val="0"/>
          <w:bCs w:val="0"/>
          <w:sz w:val="21"/>
          <w:szCs w:val="21"/>
          <w:lang w:val="en-US" w:eastAsia="zh-CN"/>
        </w:rPr>
        <w:t>的权益</w:t>
      </w:r>
      <w:r>
        <w:rPr>
          <w:rFonts w:hint="eastAsia" w:cs="Times New Roman"/>
          <w:b w:val="0"/>
          <w:bCs w:val="0"/>
          <w:sz w:val="21"/>
          <w:szCs w:val="21"/>
          <w:lang w:val="en-US" w:eastAsia="zh-CN"/>
        </w:rPr>
        <w:t>，保险人应建立一套完善的理赔应急预案，以防理赔过程中可能会遇到一些紧急情况。</w:t>
      </w:r>
    </w:p>
    <w:p>
      <w:pPr>
        <w:numPr>
          <w:ilvl w:val="-1"/>
          <w:numId w:val="0"/>
        </w:numPr>
        <w:adjustRightInd w:val="0"/>
        <w:snapToGrid w:val="0"/>
        <w:spacing w:line="440" w:lineRule="atLeast"/>
        <w:ind w:firstLine="420" w:firstLineChars="200"/>
        <w:rPr>
          <w:rFonts w:hint="eastAsia" w:cs="Times New Roman"/>
          <w:sz w:val="21"/>
          <w:szCs w:val="21"/>
          <w:lang w:eastAsia="zh-CN"/>
        </w:rPr>
      </w:pPr>
      <w:r>
        <w:rPr>
          <w:rFonts w:hint="eastAsia" w:cs="Times New Roman"/>
          <w:b w:val="0"/>
          <w:bCs w:val="0"/>
          <w:sz w:val="21"/>
          <w:szCs w:val="21"/>
          <w:lang w:val="en-US" w:eastAsia="zh-CN"/>
        </w:rPr>
        <w:t>（2）保险人应建立一个专门的理赔应急处理小组。</w:t>
      </w:r>
      <w:r>
        <w:rPr>
          <w:rFonts w:hint="eastAsia" w:cs="Times New Roman"/>
          <w:sz w:val="21"/>
          <w:szCs w:val="21"/>
        </w:rPr>
        <w:t>该小组由相关部门的专业人员组成，包括报案受理、调查核实、风险评估、理赔决定</w:t>
      </w:r>
      <w:r>
        <w:rPr>
          <w:rFonts w:hint="eastAsia" w:cs="Times New Roman"/>
          <w:sz w:val="21"/>
          <w:szCs w:val="21"/>
          <w:lang w:eastAsia="zh-CN"/>
        </w:rPr>
        <w:t>、投诉处理</w:t>
      </w:r>
      <w:r>
        <w:rPr>
          <w:rFonts w:hint="eastAsia" w:cs="Times New Roman"/>
          <w:sz w:val="21"/>
          <w:szCs w:val="21"/>
        </w:rPr>
        <w:t>等环节的人员。同时，应明确小组成员的职责和权限。</w:t>
      </w:r>
      <w:r>
        <w:rPr>
          <w:rFonts w:hint="eastAsia" w:cs="Times New Roman"/>
          <w:sz w:val="21"/>
          <w:szCs w:val="21"/>
          <w:lang w:eastAsia="zh-CN"/>
        </w:rPr>
        <w:t>并制定一套合理的理赔应急流程，包括应急响应、信息收集、核实事实、评估赔付、赔案结案等环节。该流程应明确每个环节的责任人和时间限制，以确保应急情况能够迅速得到妥善处理。</w:t>
      </w:r>
    </w:p>
    <w:p>
      <w:pPr>
        <w:numPr>
          <w:ilvl w:val="-1"/>
          <w:numId w:val="0"/>
        </w:numPr>
        <w:adjustRightInd w:val="0"/>
        <w:snapToGrid w:val="0"/>
        <w:spacing w:line="440" w:lineRule="atLeast"/>
        <w:ind w:firstLine="420" w:firstLineChars="200"/>
        <w:rPr>
          <w:rFonts w:hint="eastAsia" w:eastAsia="宋体" w:cs="Times New Roman"/>
          <w:sz w:val="21"/>
          <w:szCs w:val="21"/>
          <w:lang w:val="en-US" w:eastAsia="zh-CN"/>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）如发生重特大事故损失，保险人应</w:t>
      </w:r>
      <w:r>
        <w:rPr>
          <w:rFonts w:hint="eastAsia" w:cs="Times New Roman"/>
          <w:sz w:val="21"/>
          <w:szCs w:val="21"/>
        </w:rPr>
        <w:t>设立</w:t>
      </w:r>
      <w:r>
        <w:rPr>
          <w:rFonts w:hint="eastAsia" w:cs="Times New Roman"/>
          <w:sz w:val="21"/>
          <w:szCs w:val="21"/>
          <w:lang w:eastAsia="zh-CN"/>
        </w:rPr>
        <w:t>理赔绿色通道，</w:t>
      </w:r>
      <w:r>
        <w:rPr>
          <w:rFonts w:hint="eastAsia" w:cs="Times New Roman"/>
          <w:sz w:val="21"/>
          <w:szCs w:val="21"/>
        </w:rPr>
        <w:t>通过简化操作流程和缩短审核时间等方式，为客户提供便捷快速的理赔服务</w:t>
      </w:r>
      <w:r>
        <w:rPr>
          <w:rFonts w:hint="eastAsia" w:cs="Times New Roman"/>
          <w:sz w:val="21"/>
          <w:szCs w:val="21"/>
          <w:lang w:eastAsia="zh-CN"/>
        </w:rPr>
        <w:t>。</w:t>
      </w:r>
    </w:p>
    <w:p>
      <w:pPr>
        <w:numPr>
          <w:ilvl w:val="-1"/>
          <w:numId w:val="0"/>
        </w:numPr>
        <w:adjustRightInd w:val="0"/>
        <w:snapToGrid w:val="0"/>
        <w:spacing w:line="440" w:lineRule="atLeast"/>
        <w:ind w:firstLine="422" w:firstLineChars="200"/>
        <w:rPr>
          <w:rFonts w:hint="eastAsia" w:cs="Times New Roman"/>
          <w:b/>
          <w:bCs/>
          <w:sz w:val="21"/>
          <w:szCs w:val="21"/>
          <w:lang w:val="en-US" w:eastAsia="zh-CN"/>
        </w:rPr>
      </w:pPr>
      <w:r>
        <w:rPr>
          <w:rFonts w:hint="eastAsia" w:cs="Times New Roman"/>
          <w:b/>
          <w:bCs/>
          <w:sz w:val="21"/>
          <w:szCs w:val="21"/>
          <w:lang w:val="en-US" w:eastAsia="zh-CN"/>
        </w:rPr>
        <w:t>4、</w:t>
      </w:r>
      <w:r>
        <w:rPr>
          <w:rFonts w:hint="eastAsia" w:cs="Times New Roman"/>
          <w:b/>
          <w:bCs/>
          <w:sz w:val="21"/>
          <w:szCs w:val="21"/>
        </w:rPr>
        <w:t>成立专门管理服务团队</w:t>
      </w:r>
    </w:p>
    <w:p>
      <w:pPr>
        <w:numPr>
          <w:ilvl w:val="-1"/>
          <w:numId w:val="0"/>
        </w:numPr>
        <w:adjustRightInd w:val="0"/>
        <w:snapToGrid w:val="0"/>
        <w:spacing w:line="440" w:lineRule="atLeast"/>
        <w:ind w:firstLine="420" w:firstLineChars="200"/>
        <w:rPr>
          <w:rFonts w:hint="eastAsia" w:eastAsia="宋体" w:cs="Times New Roman"/>
          <w:b w:val="0"/>
          <w:bCs w:val="0"/>
          <w:sz w:val="21"/>
          <w:szCs w:val="21"/>
          <w:lang w:val="en-US" w:eastAsia="zh-CN"/>
        </w:rPr>
      </w:pPr>
      <w:r>
        <w:rPr>
          <w:rFonts w:hint="eastAsia" w:cs="Times New Roman"/>
          <w:sz w:val="21"/>
          <w:szCs w:val="21"/>
          <w:lang w:eastAsia="zh-CN"/>
        </w:rPr>
        <w:t>保险人</w:t>
      </w:r>
      <w:r>
        <w:rPr>
          <w:rFonts w:hint="eastAsia" w:cs="Times New Roman"/>
          <w:sz w:val="21"/>
          <w:szCs w:val="21"/>
        </w:rPr>
        <w:t>要成立保险的专门服务团队，建立保险服务工作流程、理赔流程等相关制度</w:t>
      </w:r>
      <w:r>
        <w:rPr>
          <w:rFonts w:hint="eastAsia" w:cs="Times New Roman"/>
          <w:sz w:val="21"/>
          <w:szCs w:val="21"/>
          <w:lang w:eastAsia="zh-CN"/>
        </w:rPr>
        <w:t>，并</w:t>
      </w:r>
      <w:r>
        <w:rPr>
          <w:rFonts w:hint="eastAsia" w:cs="Times New Roman"/>
          <w:sz w:val="21"/>
          <w:szCs w:val="21"/>
        </w:rPr>
        <w:t>配备专职人员，保证服务质量：</w:t>
      </w:r>
      <w:r>
        <w:rPr>
          <w:rFonts w:hint="eastAsia" w:cs="Times New Roman"/>
          <w:sz w:val="21"/>
          <w:szCs w:val="21"/>
          <w:lang w:eastAsia="zh-CN"/>
        </w:rPr>
        <w:t>保险人</w:t>
      </w:r>
      <w:r>
        <w:rPr>
          <w:rFonts w:hint="eastAsia" w:cs="Times New Roman"/>
          <w:sz w:val="21"/>
          <w:szCs w:val="21"/>
        </w:rPr>
        <w:t>要根据服务参保人员比例配备</w:t>
      </w:r>
      <w:r>
        <w:rPr>
          <w:rFonts w:hint="eastAsia" w:cs="Times New Roman"/>
          <w:sz w:val="21"/>
          <w:szCs w:val="21"/>
          <w:lang w:eastAsia="zh-CN"/>
        </w:rPr>
        <w:t>不少于</w:t>
      </w:r>
      <w:r>
        <w:rPr>
          <w:rFonts w:hint="eastAsia" w:cs="Times New Roman"/>
          <w:sz w:val="21"/>
          <w:szCs w:val="21"/>
          <w:lang w:val="en-US" w:eastAsia="zh-CN"/>
        </w:rPr>
        <w:t>10人的</w:t>
      </w:r>
      <w:r>
        <w:rPr>
          <w:rFonts w:hint="eastAsia" w:cs="Times New Roman"/>
          <w:sz w:val="21"/>
          <w:szCs w:val="21"/>
        </w:rPr>
        <w:t>专职人员确保服务质量，并保证人员队伍的相对稳定性</w:t>
      </w:r>
      <w:r>
        <w:rPr>
          <w:rFonts w:hint="eastAsia" w:cs="Times New Roman"/>
          <w:sz w:val="21"/>
          <w:szCs w:val="21"/>
          <w:lang w:eastAsia="zh-CN"/>
        </w:rPr>
        <w:t>。</w:t>
      </w:r>
    </w:p>
    <w:p>
      <w:pPr>
        <w:numPr>
          <w:ilvl w:val="-1"/>
          <w:numId w:val="0"/>
        </w:numPr>
        <w:adjustRightInd w:val="0"/>
        <w:snapToGrid w:val="0"/>
        <w:spacing w:line="440" w:lineRule="atLeast"/>
        <w:ind w:firstLine="420" w:firstLineChars="200"/>
        <w:rPr>
          <w:rFonts w:hint="eastAsia" w:cs="Times New Roman"/>
          <w:b w:val="0"/>
          <w:bCs w:val="0"/>
          <w:sz w:val="21"/>
          <w:szCs w:val="21"/>
        </w:rPr>
      </w:pPr>
      <w:r>
        <w:rPr>
          <w:rFonts w:hint="eastAsia" w:cs="Times New Roman"/>
          <w:b w:val="0"/>
          <w:bCs w:val="0"/>
          <w:sz w:val="21"/>
          <w:szCs w:val="21"/>
          <w:lang w:val="en-US" w:eastAsia="zh-CN"/>
        </w:rPr>
        <w:t>5、</w:t>
      </w:r>
      <w:r>
        <w:rPr>
          <w:rFonts w:hint="eastAsia" w:cs="Times New Roman"/>
          <w:b w:val="0"/>
          <w:bCs w:val="0"/>
          <w:sz w:val="21"/>
          <w:szCs w:val="21"/>
        </w:rPr>
        <w:t>在理赔过程中如遇有其他特殊情况，</w:t>
      </w:r>
      <w:r>
        <w:rPr>
          <w:rFonts w:hint="eastAsia" w:cs="Times New Roman"/>
          <w:b w:val="0"/>
          <w:bCs w:val="0"/>
          <w:sz w:val="21"/>
          <w:szCs w:val="21"/>
          <w:lang w:eastAsia="zh-CN"/>
        </w:rPr>
        <w:t>投保人</w:t>
      </w:r>
      <w:r>
        <w:rPr>
          <w:rFonts w:hint="eastAsia" w:cs="Times New Roman"/>
          <w:b w:val="0"/>
          <w:bCs w:val="0"/>
          <w:sz w:val="21"/>
          <w:szCs w:val="21"/>
        </w:rPr>
        <w:t>与</w:t>
      </w:r>
      <w:r>
        <w:rPr>
          <w:rFonts w:hint="eastAsia" w:cs="Times New Roman"/>
          <w:b w:val="0"/>
          <w:bCs w:val="0"/>
          <w:sz w:val="21"/>
          <w:szCs w:val="21"/>
          <w:lang w:eastAsia="zh-CN"/>
        </w:rPr>
        <w:t>保险人</w:t>
      </w:r>
      <w:r>
        <w:rPr>
          <w:rFonts w:hint="eastAsia" w:cs="Times New Roman"/>
          <w:b w:val="0"/>
          <w:bCs w:val="0"/>
          <w:sz w:val="21"/>
          <w:szCs w:val="21"/>
        </w:rPr>
        <w:t>本着友好协商的原则，妥善处理，充分维护</w:t>
      </w:r>
      <w:r>
        <w:rPr>
          <w:rFonts w:hint="eastAsia" w:cs="Times New Roman"/>
          <w:b w:val="0"/>
          <w:bCs w:val="0"/>
          <w:sz w:val="21"/>
          <w:szCs w:val="21"/>
          <w:lang w:eastAsia="zh-CN"/>
        </w:rPr>
        <w:t>投保人</w:t>
      </w:r>
      <w:r>
        <w:rPr>
          <w:rFonts w:hint="eastAsia" w:cs="Times New Roman"/>
          <w:b w:val="0"/>
          <w:bCs w:val="0"/>
          <w:sz w:val="21"/>
          <w:szCs w:val="21"/>
        </w:rPr>
        <w:t>的合法权益。</w:t>
      </w:r>
    </w:p>
    <w:p>
      <w:pPr>
        <w:numPr>
          <w:ilvl w:val="-1"/>
          <w:numId w:val="0"/>
        </w:numPr>
        <w:adjustRightInd w:val="0"/>
        <w:snapToGrid w:val="0"/>
        <w:spacing w:line="440" w:lineRule="atLeast"/>
        <w:ind w:firstLine="0" w:firstLineChars="0"/>
        <w:rPr>
          <w:rFonts w:hint="eastAsia" w:cs="Times New Roman"/>
          <w:b/>
          <w:bCs/>
          <w:sz w:val="21"/>
          <w:szCs w:val="21"/>
        </w:rPr>
      </w:pPr>
      <w:r>
        <w:rPr>
          <w:rFonts w:hint="eastAsia" w:cs="Times New Roman"/>
          <w:b/>
          <w:bCs/>
          <w:sz w:val="21"/>
          <w:szCs w:val="21"/>
          <w:lang w:eastAsia="zh-CN"/>
        </w:rPr>
        <w:t>（五）</w:t>
      </w:r>
      <w:r>
        <w:rPr>
          <w:rFonts w:hint="eastAsia" w:cs="Times New Roman"/>
          <w:b/>
          <w:bCs/>
          <w:sz w:val="21"/>
          <w:szCs w:val="21"/>
        </w:rPr>
        <w:t>违规处理</w:t>
      </w:r>
    </w:p>
    <w:p>
      <w:pPr>
        <w:numPr>
          <w:ilvl w:val="-1"/>
          <w:numId w:val="0"/>
        </w:numPr>
        <w:adjustRightInd w:val="0"/>
        <w:snapToGrid w:val="0"/>
        <w:spacing w:line="440" w:lineRule="atLeast"/>
        <w:ind w:firstLine="420" w:firstLineChars="200"/>
        <w:rPr>
          <w:rFonts w:hint="default" w:cs="Times New Roman"/>
          <w:sz w:val="21"/>
          <w:szCs w:val="21"/>
        </w:rPr>
      </w:pPr>
      <w:r>
        <w:rPr>
          <w:rFonts w:hint="eastAsia" w:cs="Times New Roman"/>
          <w:sz w:val="21"/>
          <w:szCs w:val="21"/>
        </w:rPr>
        <w:t>成交供应商</w:t>
      </w:r>
      <w:r>
        <w:rPr>
          <w:rFonts w:hint="default" w:cs="Times New Roman"/>
          <w:sz w:val="21"/>
          <w:szCs w:val="21"/>
        </w:rPr>
        <w:t>在履行合同期间，出现下列情况之一，经调查属实的，按照有关规定处理：</w:t>
      </w:r>
    </w:p>
    <w:p>
      <w:pPr>
        <w:numPr>
          <w:ilvl w:val="-1"/>
          <w:numId w:val="0"/>
        </w:numPr>
        <w:adjustRightInd w:val="0"/>
        <w:snapToGrid w:val="0"/>
        <w:spacing w:line="440" w:lineRule="atLeast"/>
        <w:ind w:firstLine="420" w:firstLineChars="200"/>
        <w:rPr>
          <w:rFonts w:hint="default" w:cs="Times New Roman"/>
          <w:sz w:val="21"/>
          <w:szCs w:val="21"/>
        </w:rPr>
      </w:pPr>
      <w:r>
        <w:rPr>
          <w:rFonts w:hint="default" w:cs="Times New Roman"/>
          <w:sz w:val="21"/>
          <w:szCs w:val="21"/>
        </w:rPr>
        <w:t>1</w:t>
      </w:r>
      <w:r>
        <w:rPr>
          <w:rFonts w:hint="eastAsia" w:cs="Times New Roman"/>
          <w:sz w:val="21"/>
          <w:szCs w:val="21"/>
          <w:lang w:eastAsia="zh-CN"/>
        </w:rPr>
        <w:t>、</w:t>
      </w:r>
      <w:r>
        <w:rPr>
          <w:rFonts w:hint="default" w:cs="Times New Roman"/>
          <w:sz w:val="21"/>
          <w:szCs w:val="21"/>
        </w:rPr>
        <w:t>违反法律法规、行业规范要求被有关部门查处的：</w:t>
      </w:r>
    </w:p>
    <w:p>
      <w:pPr>
        <w:numPr>
          <w:ilvl w:val="-1"/>
          <w:numId w:val="0"/>
        </w:numPr>
        <w:adjustRightInd w:val="0"/>
        <w:snapToGrid w:val="0"/>
        <w:spacing w:line="440" w:lineRule="atLeast"/>
        <w:ind w:firstLine="420" w:firstLineChars="200"/>
        <w:rPr>
          <w:rFonts w:hint="default" w:cs="Times New Roman"/>
          <w:sz w:val="21"/>
          <w:szCs w:val="21"/>
        </w:rPr>
      </w:pPr>
      <w:r>
        <w:rPr>
          <w:rFonts w:hint="default" w:cs="Times New Roman"/>
          <w:sz w:val="21"/>
          <w:szCs w:val="21"/>
        </w:rPr>
        <w:t>2</w:t>
      </w:r>
      <w:r>
        <w:rPr>
          <w:rFonts w:hint="eastAsia" w:cs="Times New Roman"/>
          <w:sz w:val="21"/>
          <w:szCs w:val="21"/>
          <w:lang w:eastAsia="zh-CN"/>
        </w:rPr>
        <w:t>、</w:t>
      </w:r>
      <w:r>
        <w:rPr>
          <w:rFonts w:hint="default" w:cs="Times New Roman"/>
          <w:sz w:val="21"/>
          <w:szCs w:val="21"/>
        </w:rPr>
        <w:t>不能提供承诺的各项服务的：</w:t>
      </w:r>
    </w:p>
    <w:p>
      <w:pPr>
        <w:numPr>
          <w:ilvl w:val="-1"/>
          <w:numId w:val="0"/>
        </w:numPr>
        <w:adjustRightInd w:val="0"/>
        <w:snapToGrid w:val="0"/>
        <w:spacing w:line="440" w:lineRule="atLeast"/>
        <w:ind w:firstLine="420" w:firstLineChars="200"/>
        <w:rPr>
          <w:rFonts w:hint="default" w:cs="Times New Roman"/>
          <w:sz w:val="21"/>
          <w:szCs w:val="21"/>
        </w:rPr>
      </w:pPr>
      <w:r>
        <w:rPr>
          <w:rFonts w:hint="default" w:cs="Times New Roman"/>
          <w:sz w:val="21"/>
          <w:szCs w:val="21"/>
        </w:rPr>
        <w:t>3</w:t>
      </w:r>
      <w:r>
        <w:rPr>
          <w:rFonts w:hint="eastAsia" w:cs="Times New Roman"/>
          <w:sz w:val="21"/>
          <w:szCs w:val="21"/>
          <w:lang w:eastAsia="zh-CN"/>
        </w:rPr>
        <w:t>、</w:t>
      </w:r>
      <w:r>
        <w:rPr>
          <w:rFonts w:hint="default" w:cs="Times New Roman"/>
          <w:sz w:val="21"/>
          <w:szCs w:val="21"/>
        </w:rPr>
        <w:t>没有按照采购文件和响应文件要求实施价格优惠，擅自提高价格的；</w:t>
      </w:r>
    </w:p>
    <w:p>
      <w:pPr>
        <w:numPr>
          <w:ilvl w:val="-1"/>
          <w:numId w:val="0"/>
        </w:numPr>
        <w:adjustRightInd w:val="0"/>
        <w:snapToGrid w:val="0"/>
        <w:spacing w:line="440" w:lineRule="atLeast"/>
        <w:ind w:firstLine="420" w:firstLineChars="200"/>
        <w:rPr>
          <w:rFonts w:hint="eastAsia" w:cs="Times New Roman"/>
          <w:sz w:val="21"/>
          <w:szCs w:val="21"/>
        </w:rPr>
      </w:pPr>
      <w:r>
        <w:rPr>
          <w:rFonts w:hint="default" w:cs="Times New Roman"/>
          <w:sz w:val="21"/>
          <w:szCs w:val="21"/>
        </w:rPr>
        <w:t>4</w:t>
      </w:r>
      <w:r>
        <w:rPr>
          <w:rFonts w:hint="eastAsia" w:cs="Times New Roman"/>
          <w:sz w:val="21"/>
          <w:szCs w:val="21"/>
          <w:lang w:eastAsia="zh-CN"/>
        </w:rPr>
        <w:t>、</w:t>
      </w:r>
      <w:r>
        <w:rPr>
          <w:rFonts w:hint="default" w:cs="Times New Roman"/>
          <w:sz w:val="21"/>
          <w:szCs w:val="21"/>
        </w:rPr>
        <w:t>因服务问题被有效投诉的</w:t>
      </w:r>
      <w:r>
        <w:rPr>
          <w:rFonts w:hint="eastAsia" w:cs="Times New Roman"/>
          <w:sz w:val="21"/>
          <w:szCs w:val="21"/>
          <w:lang w:eastAsia="zh-CN"/>
        </w:rPr>
        <w:t>；</w:t>
      </w:r>
    </w:p>
    <w:p>
      <w:pPr>
        <w:numPr>
          <w:ilvl w:val="-1"/>
          <w:numId w:val="0"/>
        </w:numPr>
        <w:adjustRightInd w:val="0"/>
        <w:snapToGrid w:val="0"/>
        <w:spacing w:line="440" w:lineRule="atLeast"/>
        <w:ind w:firstLine="420" w:firstLineChars="200"/>
        <w:rPr>
          <w:rFonts w:hint="eastAsia" w:cs="Times New Roman"/>
          <w:sz w:val="21"/>
          <w:szCs w:val="21"/>
        </w:rPr>
      </w:pPr>
      <w:r>
        <w:rPr>
          <w:rFonts w:hint="default" w:cs="Times New Roman"/>
          <w:sz w:val="21"/>
          <w:szCs w:val="21"/>
        </w:rPr>
        <w:t>5</w:t>
      </w:r>
      <w:r>
        <w:rPr>
          <w:rFonts w:hint="eastAsia" w:cs="Times New Roman"/>
          <w:sz w:val="21"/>
          <w:szCs w:val="21"/>
          <w:lang w:eastAsia="zh-CN"/>
        </w:rPr>
        <w:t>、</w:t>
      </w:r>
      <w:r>
        <w:rPr>
          <w:rFonts w:hint="default" w:cs="Times New Roman"/>
          <w:sz w:val="21"/>
          <w:szCs w:val="21"/>
        </w:rPr>
        <w:t>通过给回佣或变相给回佣的</w:t>
      </w:r>
      <w:r>
        <w:rPr>
          <w:rFonts w:hint="eastAsia" w:cs="Times New Roman"/>
          <w:sz w:val="21"/>
          <w:szCs w:val="21"/>
          <w:lang w:eastAsia="zh-CN"/>
        </w:rPr>
        <w:t>；</w:t>
      </w:r>
    </w:p>
    <w:p>
      <w:pPr>
        <w:numPr>
          <w:ilvl w:val="-1"/>
          <w:numId w:val="0"/>
        </w:numPr>
        <w:adjustRightInd w:val="0"/>
        <w:snapToGrid w:val="0"/>
        <w:spacing w:line="440" w:lineRule="atLeast"/>
        <w:ind w:firstLine="420" w:firstLineChars="200"/>
        <w:rPr>
          <w:rFonts w:hint="default" w:cs="Times New Roman"/>
          <w:sz w:val="21"/>
          <w:szCs w:val="21"/>
        </w:rPr>
      </w:pPr>
      <w:r>
        <w:rPr>
          <w:rFonts w:hint="default" w:cs="Times New Roman"/>
          <w:sz w:val="21"/>
          <w:szCs w:val="21"/>
        </w:rPr>
        <w:t>6</w:t>
      </w:r>
      <w:r>
        <w:rPr>
          <w:rFonts w:hint="eastAsia" w:cs="Times New Roman"/>
          <w:sz w:val="21"/>
          <w:szCs w:val="21"/>
          <w:lang w:eastAsia="zh-CN"/>
        </w:rPr>
        <w:t>、</w:t>
      </w:r>
      <w:r>
        <w:rPr>
          <w:rFonts w:hint="default" w:cs="Times New Roman"/>
          <w:sz w:val="21"/>
          <w:szCs w:val="21"/>
        </w:rPr>
        <w:t>不按合同条款履约，擅自终止合同的；</w:t>
      </w:r>
    </w:p>
    <w:p>
      <w:pPr>
        <w:numPr>
          <w:ilvl w:val="-1"/>
          <w:numId w:val="0"/>
        </w:numPr>
        <w:adjustRightInd w:val="0"/>
        <w:snapToGrid w:val="0"/>
        <w:spacing w:line="440" w:lineRule="atLeast"/>
        <w:ind w:firstLine="420" w:firstLineChars="200"/>
        <w:rPr>
          <w:rFonts w:hint="eastAsia" w:cs="Times New Roman"/>
          <w:sz w:val="21"/>
          <w:szCs w:val="21"/>
          <w:lang w:eastAsia="zh-CN"/>
        </w:rPr>
      </w:pPr>
      <w:r>
        <w:rPr>
          <w:rFonts w:hint="default" w:cs="Times New Roman"/>
          <w:sz w:val="21"/>
          <w:szCs w:val="21"/>
        </w:rPr>
        <w:t>7</w:t>
      </w:r>
      <w:r>
        <w:rPr>
          <w:rFonts w:hint="eastAsia" w:cs="Times New Roman"/>
          <w:sz w:val="21"/>
          <w:szCs w:val="21"/>
          <w:lang w:eastAsia="zh-CN"/>
        </w:rPr>
        <w:t>、</w:t>
      </w:r>
      <w:r>
        <w:rPr>
          <w:rFonts w:hint="default" w:cs="Times New Roman"/>
          <w:sz w:val="21"/>
          <w:szCs w:val="21"/>
        </w:rPr>
        <w:t>拒绝接受有关部门监督检查和提供虚假情况的</w:t>
      </w:r>
      <w:r>
        <w:rPr>
          <w:rFonts w:hint="eastAsia" w:cs="Times New Roman"/>
          <w:sz w:val="21"/>
          <w:szCs w:val="21"/>
          <w:lang w:eastAsia="zh-CN"/>
        </w:rPr>
        <w:t>。</w:t>
      </w:r>
    </w:p>
    <w:p>
      <w:pPr>
        <w:numPr>
          <w:ilvl w:val="-1"/>
          <w:numId w:val="0"/>
        </w:numPr>
        <w:adjustRightInd w:val="0"/>
        <w:snapToGrid w:val="0"/>
        <w:spacing w:line="440" w:lineRule="atLeast"/>
        <w:ind w:firstLine="420" w:firstLineChars="200"/>
        <w:rPr>
          <w:rFonts w:hint="default" w:cs="Times New Roman"/>
          <w:sz w:val="21"/>
          <w:szCs w:val="21"/>
          <w:lang w:val="en-US" w:eastAsia="zh-CN"/>
        </w:rPr>
      </w:pPr>
      <w:r>
        <w:rPr>
          <w:rFonts w:hint="eastAsia" w:cs="Times New Roman"/>
          <w:sz w:val="21"/>
          <w:szCs w:val="21"/>
          <w:lang w:val="en-US" w:eastAsia="zh-CN"/>
        </w:rPr>
        <w:t>8、</w:t>
      </w:r>
      <w:r>
        <w:rPr>
          <w:rFonts w:hint="default" w:cs="Times New Roman"/>
          <w:sz w:val="21"/>
          <w:szCs w:val="21"/>
          <w:lang w:val="en-US" w:eastAsia="zh-CN"/>
        </w:rPr>
        <w:t>未及时履行赔偿或者给付保险金的，除支付保险金外，应当赔偿被保险人或者受益人因此受到的损失。</w:t>
      </w:r>
    </w:p>
    <w:p>
      <w:pPr>
        <w:numPr>
          <w:ilvl w:val="-1"/>
          <w:numId w:val="0"/>
        </w:numPr>
        <w:adjustRightInd w:val="0"/>
        <w:snapToGrid w:val="0"/>
        <w:spacing w:line="440" w:lineRule="atLeast"/>
        <w:ind w:firstLine="0" w:firstLineChars="0"/>
        <w:rPr>
          <w:rFonts w:hint="eastAsia" w:cs="Times New Roman"/>
          <w:b/>
          <w:bCs/>
          <w:sz w:val="21"/>
          <w:szCs w:val="21"/>
        </w:rPr>
      </w:pPr>
      <w:r>
        <w:rPr>
          <w:rFonts w:hint="eastAsia" w:cs="Times New Roman"/>
          <w:b/>
          <w:bCs/>
          <w:sz w:val="21"/>
          <w:szCs w:val="21"/>
          <w:lang w:eastAsia="zh-CN"/>
        </w:rPr>
        <w:t>（六）</w:t>
      </w:r>
      <w:r>
        <w:rPr>
          <w:rFonts w:hint="eastAsia" w:cs="Times New Roman"/>
          <w:b/>
          <w:bCs/>
          <w:sz w:val="21"/>
          <w:szCs w:val="21"/>
        </w:rPr>
        <w:t>违约责任</w:t>
      </w:r>
    </w:p>
    <w:p>
      <w:pPr>
        <w:numPr>
          <w:ilvl w:val="-1"/>
          <w:numId w:val="0"/>
        </w:numPr>
        <w:adjustRightInd w:val="0"/>
        <w:snapToGrid w:val="0"/>
        <w:spacing w:line="440" w:lineRule="atLeast"/>
        <w:ind w:firstLine="420" w:firstLineChars="200"/>
        <w:rPr>
          <w:rFonts w:hint="eastAsia" w:cs="Times New Roman"/>
          <w:sz w:val="21"/>
          <w:szCs w:val="21"/>
        </w:rPr>
      </w:pPr>
      <w:r>
        <w:rPr>
          <w:rFonts w:hint="eastAsia" w:cs="Times New Roman"/>
          <w:sz w:val="21"/>
          <w:szCs w:val="21"/>
        </w:rPr>
        <w:t>1</w:t>
      </w:r>
      <w:r>
        <w:rPr>
          <w:rFonts w:hint="eastAsia" w:cs="Times New Roman"/>
          <w:sz w:val="21"/>
          <w:szCs w:val="21"/>
          <w:lang w:eastAsia="zh-CN"/>
        </w:rPr>
        <w:t>、</w:t>
      </w:r>
      <w:r>
        <w:rPr>
          <w:rFonts w:hint="eastAsia" w:cs="Times New Roman"/>
          <w:sz w:val="21"/>
          <w:szCs w:val="21"/>
        </w:rPr>
        <w:t>合同期内，</w:t>
      </w:r>
      <w:r>
        <w:rPr>
          <w:rFonts w:hint="eastAsia" w:cs="Times New Roman"/>
          <w:sz w:val="21"/>
          <w:szCs w:val="21"/>
          <w:lang w:eastAsia="zh-CN"/>
        </w:rPr>
        <w:t>成交供应商</w:t>
      </w:r>
      <w:r>
        <w:rPr>
          <w:rFonts w:hint="eastAsia" w:cs="Times New Roman"/>
          <w:sz w:val="21"/>
          <w:szCs w:val="21"/>
        </w:rPr>
        <w:t>未及时履行赔偿或者给付保险金的，除支付保险金外，应当赔偿被保险人或者受益人因此受到的损失。</w:t>
      </w:r>
    </w:p>
    <w:p>
      <w:pPr>
        <w:numPr>
          <w:ilvl w:val="-1"/>
          <w:numId w:val="0"/>
        </w:numPr>
        <w:adjustRightInd w:val="0"/>
        <w:snapToGrid w:val="0"/>
        <w:spacing w:line="440" w:lineRule="atLeast"/>
        <w:ind w:firstLine="420" w:firstLineChars="200"/>
        <w:rPr>
          <w:rFonts w:hint="eastAsia" w:eastAsia="宋体" w:cs="Times New Roman"/>
          <w:sz w:val="21"/>
          <w:szCs w:val="21"/>
          <w:lang w:val="en-US" w:eastAsia="zh-CN"/>
        </w:rPr>
      </w:pPr>
      <w:r>
        <w:rPr>
          <w:rFonts w:hint="eastAsia" w:cs="Times New Roman"/>
          <w:sz w:val="21"/>
          <w:szCs w:val="21"/>
          <w:lang w:val="en-US" w:eastAsia="zh-CN"/>
        </w:rPr>
        <w:t>2、本合同一方的违约行为或本协议的解除、终止，均不影响双方向被保险人提供约定服务，双方均有责任确保被保险人的权益不受损害。</w:t>
      </w:r>
    </w:p>
    <w:p>
      <w:pPr>
        <w:numPr>
          <w:ilvl w:val="-1"/>
          <w:numId w:val="0"/>
        </w:numPr>
        <w:adjustRightInd w:val="0"/>
        <w:snapToGrid w:val="0"/>
        <w:spacing w:line="440" w:lineRule="atLeast"/>
        <w:ind w:firstLine="420" w:firstLineChars="200"/>
        <w:rPr>
          <w:rFonts w:hint="eastAsia" w:eastAsia="宋体" w:cs="Times New Roman"/>
          <w:sz w:val="21"/>
          <w:szCs w:val="21"/>
          <w:lang w:val="en-US" w:eastAsia="zh-CN"/>
        </w:rPr>
      </w:pPr>
      <w:r>
        <w:rPr>
          <w:rFonts w:hint="eastAsia" w:cs="Times New Roman"/>
          <w:sz w:val="21"/>
          <w:szCs w:val="21"/>
          <w:lang w:val="en-US" w:eastAsia="zh-CN"/>
        </w:rPr>
        <w:t>3</w:t>
      </w:r>
      <w:r>
        <w:rPr>
          <w:rFonts w:hint="eastAsia" w:cs="Times New Roman"/>
          <w:sz w:val="21"/>
          <w:szCs w:val="21"/>
          <w:lang w:eastAsia="zh-CN"/>
        </w:rPr>
        <w:t>、</w:t>
      </w:r>
      <w:r>
        <w:rPr>
          <w:rFonts w:hint="eastAsia" w:cs="Times New Roman"/>
          <w:sz w:val="21"/>
          <w:szCs w:val="21"/>
        </w:rPr>
        <w:t>如因国家相关政策发生变化，应以最新的国家相关政策为准并进行执行，如因国家相关政策发生变化而导致本次项目的合同无法继续执行，</w:t>
      </w:r>
      <w:r>
        <w:rPr>
          <w:rFonts w:hint="eastAsia" w:cs="Times New Roman"/>
          <w:sz w:val="21"/>
          <w:szCs w:val="21"/>
          <w:lang w:eastAsia="zh-CN"/>
        </w:rPr>
        <w:t>采购人</w:t>
      </w:r>
      <w:r>
        <w:rPr>
          <w:rFonts w:hint="eastAsia" w:cs="Times New Roman"/>
          <w:sz w:val="21"/>
          <w:szCs w:val="21"/>
        </w:rPr>
        <w:t>不承担任何责任，</w:t>
      </w:r>
      <w:r>
        <w:rPr>
          <w:rFonts w:hint="eastAsia" w:cs="Times New Roman"/>
          <w:sz w:val="21"/>
          <w:szCs w:val="21"/>
          <w:lang w:eastAsia="zh-CN"/>
        </w:rPr>
        <w:t>成交供应商</w:t>
      </w:r>
      <w:r>
        <w:rPr>
          <w:rFonts w:hint="eastAsia" w:cs="Times New Roman"/>
          <w:sz w:val="21"/>
          <w:szCs w:val="21"/>
        </w:rPr>
        <w:t>自行承担由此带来的任何风险及后果。</w:t>
      </w:r>
    </w:p>
    <w:p>
      <w:pPr>
        <w:keepNext w:val="0"/>
        <w:keepLines w:val="0"/>
        <w:pageBreakBefore w:val="0"/>
        <w:widowControl w:val="0"/>
        <w:kinsoku/>
        <w:wordWrap/>
        <w:overflowPunct/>
        <w:topLinePunct w:val="0"/>
        <w:autoSpaceDE/>
        <w:autoSpaceDN/>
        <w:bidi w:val="0"/>
        <w:adjustRightInd w:val="0"/>
        <w:snapToGrid w:val="0"/>
        <w:spacing w:line="440" w:lineRule="atLeast"/>
        <w:textAlignment w:val="auto"/>
        <w:rPr>
          <w:rFonts w:hint="default" w:ascii="Times New Roman" w:hAnsi="Times New Roman" w:cs="Times New Roman" w:eastAsiaTheme="minorEastAsia"/>
          <w:color w:val="auto"/>
          <w:sz w:val="32"/>
          <w:highlight w:val="none"/>
        </w:rPr>
      </w:pPr>
      <w:bookmarkStart w:id="55" w:name="_Toc12293"/>
      <w:bookmarkStart w:id="56" w:name="_Toc6812"/>
      <w:bookmarkStart w:id="57" w:name="_Toc15752"/>
      <w:r>
        <w:rPr>
          <w:rFonts w:hint="default" w:ascii="Times New Roman" w:hAnsi="Times New Roman" w:cs="Times New Roman" w:eastAsiaTheme="minorEastAsia"/>
          <w:color w:val="auto"/>
          <w:sz w:val="32"/>
          <w:highlight w:val="none"/>
        </w:rPr>
        <w:br w:type="page"/>
      </w:r>
    </w:p>
    <w:p>
      <w:pPr>
        <w:pStyle w:val="4"/>
        <w:numPr>
          <w:ilvl w:val="1"/>
          <w:numId w:val="1"/>
        </w:numPr>
        <w:rPr>
          <w:rFonts w:hint="default" w:ascii="Times New Roman" w:hAnsi="Times New Roman" w:cs="Times New Roman" w:eastAsiaTheme="minorEastAsia"/>
          <w:color w:val="auto"/>
          <w:sz w:val="32"/>
          <w:highlight w:val="none"/>
        </w:rPr>
      </w:pPr>
      <w:r>
        <w:rPr>
          <w:rFonts w:hint="default" w:ascii="Times New Roman" w:hAnsi="Times New Roman" w:cs="Times New Roman" w:eastAsiaTheme="minorEastAsia"/>
          <w:color w:val="auto"/>
          <w:sz w:val="32"/>
          <w:highlight w:val="none"/>
        </w:rPr>
        <w:fldChar w:fldCharType="begin"/>
      </w:r>
      <w:r>
        <w:rPr>
          <w:rFonts w:hint="default" w:ascii="Times New Roman" w:hAnsi="Times New Roman" w:cs="Times New Roman" w:eastAsiaTheme="minorEastAsia"/>
          <w:color w:val="auto"/>
          <w:sz w:val="32"/>
          <w:highlight w:val="none"/>
        </w:rPr>
        <w:instrText xml:space="preserve"> DOCVARIABLE  商务要求开始  \* MERGEFORMAT </w:instrText>
      </w:r>
      <w:r>
        <w:rPr>
          <w:rFonts w:hint="default" w:ascii="Times New Roman" w:hAnsi="Times New Roman" w:cs="Times New Roman" w:eastAsiaTheme="minorEastAsia"/>
          <w:color w:val="auto"/>
          <w:sz w:val="32"/>
          <w:highlight w:val="none"/>
        </w:rPr>
        <w:fldChar w:fldCharType="separate"/>
      </w:r>
      <w:r>
        <w:rPr>
          <w:rFonts w:hint="default" w:ascii="Times New Roman" w:hAnsi="Times New Roman" w:cs="Times New Roman" w:eastAsiaTheme="minorEastAsia"/>
          <w:color w:val="auto"/>
          <w:sz w:val="32"/>
          <w:highlight w:val="none"/>
        </w:rPr>
        <w:fldChar w:fldCharType="end"/>
      </w:r>
      <w:bookmarkStart w:id="58" w:name="_Toc525312041"/>
      <w:r>
        <w:rPr>
          <w:rFonts w:hint="default" w:ascii="Times New Roman" w:hAnsi="Times New Roman" w:cs="Times New Roman" w:eastAsiaTheme="minorEastAsia"/>
          <w:color w:val="auto"/>
          <w:sz w:val="32"/>
          <w:highlight w:val="none"/>
        </w:rPr>
        <w:t>采购项目商务要求</w:t>
      </w:r>
      <w:bookmarkEnd w:id="55"/>
      <w:bookmarkEnd w:id="56"/>
      <w:bookmarkEnd w:id="57"/>
      <w:bookmarkEnd w:id="58"/>
    </w:p>
    <w:p>
      <w:pPr>
        <w:pStyle w:val="4"/>
        <w:numPr>
          <w:ilvl w:val="0"/>
          <w:numId w:val="0"/>
        </w:numPr>
        <w:spacing w:before="0" w:after="0" w:line="360" w:lineRule="auto"/>
        <w:ind w:left="-420" w:leftChars="0" w:firstLine="420" w:firstLineChars="0"/>
        <w:jc w:val="left"/>
        <w:rPr>
          <w:rFonts w:ascii="宋体" w:hAnsi="宋体" w:eastAsia="宋体"/>
          <w:sz w:val="21"/>
          <w:szCs w:val="21"/>
        </w:rPr>
      </w:pPr>
      <w:r>
        <w:rPr>
          <w:rFonts w:hint="eastAsia" w:ascii="宋体" w:hAnsi="宋体" w:eastAsia="宋体" w:cs="Times New Roman"/>
          <w:b/>
          <w:color w:val="000000"/>
          <w:kern w:val="0"/>
          <w:sz w:val="21"/>
          <w:szCs w:val="21"/>
          <w:lang w:val="en-US" w:eastAsia="zh-CN" w:bidi="ar-SA"/>
        </w:rPr>
        <w:t>（一）</w:t>
      </w:r>
      <w:r>
        <w:rPr>
          <w:rFonts w:hint="eastAsia" w:ascii="宋体" w:hAnsi="宋体" w:eastAsia="宋体"/>
          <w:sz w:val="21"/>
          <w:szCs w:val="21"/>
        </w:rPr>
        <w:t>报价要求</w:t>
      </w:r>
    </w:p>
    <w:p>
      <w:pPr>
        <w:pStyle w:val="2"/>
        <w:tabs>
          <w:tab w:val="left" w:pos="540"/>
        </w:tabs>
        <w:snapToGrid w:val="0"/>
        <w:spacing w:line="360" w:lineRule="auto"/>
        <w:ind w:firstLine="420" w:firstLineChars="200"/>
        <w:jc w:val="left"/>
        <w:rPr>
          <w:rFonts w:hint="eastAsia" w:hAnsi="宋体"/>
          <w:sz w:val="21"/>
          <w:szCs w:val="21"/>
        </w:rPr>
      </w:pPr>
      <w:r>
        <w:rPr>
          <w:rFonts w:hint="eastAsia" w:hAnsi="宋体"/>
          <w:sz w:val="21"/>
          <w:szCs w:val="21"/>
        </w:rPr>
        <w:t>1、本项目的报价为整体下浮率报价，保留两位小数，需在0.00%≤投标下浮率≤100.00%范围内，且是固定唯一值的；</w:t>
      </w:r>
    </w:p>
    <w:p>
      <w:pPr>
        <w:pStyle w:val="2"/>
        <w:tabs>
          <w:tab w:val="left" w:pos="540"/>
        </w:tabs>
        <w:snapToGrid w:val="0"/>
        <w:spacing w:line="360" w:lineRule="auto"/>
        <w:ind w:firstLine="422" w:firstLineChars="200"/>
        <w:jc w:val="left"/>
        <w:rPr>
          <w:rFonts w:hint="eastAsia" w:hAnsi="宋体"/>
          <w:sz w:val="21"/>
          <w:szCs w:val="21"/>
        </w:rPr>
      </w:pPr>
      <w:r>
        <w:rPr>
          <w:rFonts w:hint="eastAsia" w:hAnsi="宋体"/>
          <w:b/>
          <w:sz w:val="21"/>
          <w:szCs w:val="21"/>
        </w:rPr>
        <w:t>成交单价＝保费标准×（1-成交下浮率）；</w:t>
      </w:r>
    </w:p>
    <w:p>
      <w:pPr>
        <w:pStyle w:val="2"/>
        <w:tabs>
          <w:tab w:val="left" w:pos="540"/>
        </w:tabs>
        <w:snapToGrid w:val="0"/>
        <w:spacing w:line="360" w:lineRule="auto"/>
        <w:ind w:firstLine="422" w:firstLineChars="200"/>
        <w:jc w:val="left"/>
        <w:rPr>
          <w:rFonts w:hint="eastAsia" w:hAnsi="宋体"/>
          <w:b/>
          <w:sz w:val="21"/>
          <w:szCs w:val="21"/>
        </w:rPr>
      </w:pPr>
      <w:r>
        <w:rPr>
          <w:rFonts w:hint="eastAsia" w:hAnsi="宋体"/>
          <w:b/>
          <w:sz w:val="21"/>
          <w:szCs w:val="21"/>
        </w:rPr>
        <w:t>2、投保人数为暂定数量，实际支付金额=实际投保人数×成交单价；</w:t>
      </w:r>
    </w:p>
    <w:p>
      <w:pPr>
        <w:pStyle w:val="2"/>
        <w:tabs>
          <w:tab w:val="left" w:pos="540"/>
        </w:tabs>
        <w:snapToGrid w:val="0"/>
        <w:spacing w:line="360" w:lineRule="auto"/>
        <w:ind w:firstLine="422" w:firstLineChars="200"/>
        <w:jc w:val="left"/>
        <w:rPr>
          <w:rFonts w:hint="eastAsia" w:hAnsi="宋体"/>
          <w:b/>
          <w:sz w:val="21"/>
          <w:szCs w:val="21"/>
        </w:rPr>
      </w:pPr>
      <w:r>
        <w:rPr>
          <w:rFonts w:hint="eastAsia" w:hAnsi="宋体"/>
          <w:b/>
          <w:sz w:val="21"/>
          <w:szCs w:val="21"/>
        </w:rPr>
        <w:t>3、供应商响应报价包含了保险费用、服务人员的工资、管理费用、售后服务、合理利润等所有已知及不可预见费用，供应商在成交后不得以任何理由要求改变报价。</w:t>
      </w:r>
    </w:p>
    <w:p>
      <w:pPr>
        <w:pStyle w:val="2"/>
        <w:tabs>
          <w:tab w:val="left" w:pos="540"/>
        </w:tabs>
        <w:snapToGrid w:val="0"/>
        <w:spacing w:line="360" w:lineRule="auto"/>
        <w:ind w:firstLine="422" w:firstLineChars="200"/>
        <w:jc w:val="left"/>
        <w:rPr>
          <w:rFonts w:hint="eastAsia" w:hAnsi="宋体" w:eastAsia="宋体"/>
          <w:b/>
          <w:sz w:val="21"/>
          <w:szCs w:val="21"/>
          <w:lang w:eastAsia="zh-CN"/>
        </w:rPr>
      </w:pPr>
      <w:r>
        <w:rPr>
          <w:rFonts w:hint="eastAsia" w:hAnsi="宋体"/>
          <w:b/>
          <w:sz w:val="21"/>
          <w:szCs w:val="21"/>
          <w:lang w:val="en-US" w:eastAsia="zh-CN"/>
        </w:rPr>
        <w:t>4、</w:t>
      </w:r>
      <w:r>
        <w:rPr>
          <w:rFonts w:hint="eastAsia" w:hAnsi="宋体"/>
          <w:b/>
          <w:sz w:val="21"/>
          <w:szCs w:val="21"/>
          <w:lang w:eastAsia="zh-CN"/>
        </w:rPr>
        <w:t>详细保费标准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488"/>
        <w:gridCol w:w="1492"/>
        <w:gridCol w:w="1401"/>
        <w:gridCol w:w="1538"/>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5"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sz w:val="21"/>
                <w:szCs w:val="21"/>
              </w:rPr>
            </w:pPr>
            <w:r>
              <w:rPr>
                <w:rFonts w:hint="eastAsia" w:hAnsi="宋体"/>
                <w:b/>
                <w:sz w:val="21"/>
                <w:szCs w:val="21"/>
              </w:rPr>
              <w:t>序号</w:t>
            </w:r>
          </w:p>
        </w:tc>
        <w:tc>
          <w:tcPr>
            <w:tcW w:w="2488"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sz w:val="21"/>
                <w:szCs w:val="21"/>
              </w:rPr>
            </w:pPr>
            <w:r>
              <w:rPr>
                <w:rFonts w:hint="eastAsia" w:hAnsi="宋体"/>
                <w:b/>
                <w:sz w:val="21"/>
                <w:szCs w:val="21"/>
              </w:rPr>
              <w:t>投保人员</w:t>
            </w:r>
          </w:p>
        </w:tc>
        <w:tc>
          <w:tcPr>
            <w:tcW w:w="1492"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sz w:val="21"/>
                <w:szCs w:val="21"/>
              </w:rPr>
            </w:pPr>
            <w:r>
              <w:rPr>
                <w:rFonts w:hint="eastAsia" w:hAnsi="宋体"/>
                <w:b/>
                <w:sz w:val="21"/>
                <w:szCs w:val="21"/>
              </w:rPr>
              <w:t>投</w:t>
            </w:r>
            <w:r>
              <w:rPr>
                <w:rFonts w:hint="eastAsia" w:hAnsi="宋体"/>
                <w:b/>
                <w:sz w:val="21"/>
                <w:szCs w:val="21"/>
                <w:lang w:eastAsia="zh-CN"/>
              </w:rPr>
              <w:t>保</w:t>
            </w:r>
            <w:r>
              <w:rPr>
                <w:rFonts w:hint="eastAsia" w:hAnsi="宋体"/>
                <w:b/>
                <w:sz w:val="21"/>
                <w:szCs w:val="21"/>
              </w:rPr>
              <w:t>人数</w:t>
            </w:r>
          </w:p>
        </w:tc>
        <w:tc>
          <w:tcPr>
            <w:tcW w:w="1401"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sz w:val="21"/>
                <w:szCs w:val="21"/>
              </w:rPr>
            </w:pPr>
            <w:r>
              <w:rPr>
                <w:rFonts w:hint="eastAsia" w:hAnsi="宋体"/>
                <w:b/>
                <w:sz w:val="21"/>
                <w:szCs w:val="21"/>
              </w:rPr>
              <w:t>保费标准</w:t>
            </w:r>
          </w:p>
        </w:tc>
        <w:tc>
          <w:tcPr>
            <w:tcW w:w="1538"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240" w:lineRule="auto"/>
              <w:jc w:val="center"/>
              <w:textAlignment w:val="auto"/>
              <w:rPr>
                <w:rFonts w:hint="eastAsia" w:hAnsi="宋体"/>
                <w:b/>
                <w:sz w:val="21"/>
                <w:szCs w:val="21"/>
              </w:rPr>
            </w:pPr>
            <w:r>
              <w:rPr>
                <w:rFonts w:hint="eastAsia" w:hAnsi="宋体"/>
                <w:b/>
                <w:sz w:val="21"/>
                <w:szCs w:val="21"/>
              </w:rPr>
              <w:t>1年保费总金额限价</w:t>
            </w:r>
          </w:p>
        </w:tc>
        <w:tc>
          <w:tcPr>
            <w:tcW w:w="2220"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sz w:val="21"/>
                <w:szCs w:val="21"/>
              </w:rPr>
            </w:pPr>
            <w:r>
              <w:rPr>
                <w:rFonts w:hint="eastAsia" w:hAnsi="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5"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rPr>
              <w:t>1</w:t>
            </w:r>
          </w:p>
        </w:tc>
        <w:tc>
          <w:tcPr>
            <w:tcW w:w="2488"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rPr>
              <w:t>政府专职消防队员</w:t>
            </w:r>
          </w:p>
        </w:tc>
        <w:tc>
          <w:tcPr>
            <w:tcW w:w="1492"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lang w:val="en-US" w:eastAsia="zh-CN"/>
              </w:rPr>
              <w:t>91</w:t>
            </w:r>
            <w:r>
              <w:rPr>
                <w:rFonts w:hint="eastAsia" w:hAnsi="宋体"/>
                <w:sz w:val="21"/>
                <w:szCs w:val="21"/>
              </w:rPr>
              <w:t>人</w:t>
            </w:r>
          </w:p>
        </w:tc>
        <w:tc>
          <w:tcPr>
            <w:tcW w:w="1401"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default" w:hAnsi="宋体" w:eastAsia="宋体"/>
                <w:sz w:val="21"/>
                <w:szCs w:val="21"/>
                <w:lang w:val="en-US" w:eastAsia="zh-CN"/>
              </w:rPr>
            </w:pPr>
            <w:r>
              <w:rPr>
                <w:rFonts w:hint="eastAsia" w:hAnsi="宋体"/>
                <w:sz w:val="21"/>
                <w:szCs w:val="21"/>
                <w:lang w:val="en-US" w:eastAsia="zh-CN"/>
              </w:rPr>
              <w:t>2050</w:t>
            </w:r>
          </w:p>
        </w:tc>
        <w:tc>
          <w:tcPr>
            <w:tcW w:w="1538" w:type="dxa"/>
            <w:vMerge w:val="restart"/>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rPr>
              <w:t>24万元</w:t>
            </w:r>
          </w:p>
        </w:tc>
        <w:tc>
          <w:tcPr>
            <w:tcW w:w="2220" w:type="dxa"/>
            <w:vMerge w:val="restart"/>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rPr>
              <w:t>需包含国家综合性消防救援人员</w:t>
            </w:r>
            <w:r>
              <w:rPr>
                <w:rFonts w:hint="eastAsia" w:hAnsi="宋体"/>
                <w:sz w:val="21"/>
                <w:szCs w:val="21"/>
                <w:lang w:val="en-US" w:eastAsia="zh-CN"/>
              </w:rPr>
              <w:t>145</w:t>
            </w:r>
            <w:r>
              <w:rPr>
                <w:rFonts w:hint="eastAsia" w:hAnsi="宋体"/>
                <w:sz w:val="21"/>
                <w:szCs w:val="21"/>
              </w:rPr>
              <w:t>人的保险保障。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15"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rPr>
              <w:t>2</w:t>
            </w:r>
          </w:p>
        </w:tc>
        <w:tc>
          <w:tcPr>
            <w:tcW w:w="2488"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rPr>
              <w:t>消防文员</w:t>
            </w:r>
          </w:p>
        </w:tc>
        <w:tc>
          <w:tcPr>
            <w:tcW w:w="1492"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Ansi="宋体"/>
                <w:sz w:val="21"/>
                <w:szCs w:val="21"/>
              </w:rPr>
            </w:pPr>
            <w:r>
              <w:rPr>
                <w:rFonts w:hint="eastAsia" w:hAnsi="宋体"/>
                <w:sz w:val="21"/>
                <w:szCs w:val="21"/>
                <w:lang w:val="en-US" w:eastAsia="zh-CN"/>
              </w:rPr>
              <w:t>41</w:t>
            </w:r>
            <w:r>
              <w:rPr>
                <w:rFonts w:hint="eastAsia" w:hAnsi="宋体"/>
                <w:sz w:val="21"/>
                <w:szCs w:val="21"/>
              </w:rPr>
              <w:t>人</w:t>
            </w:r>
          </w:p>
        </w:tc>
        <w:tc>
          <w:tcPr>
            <w:tcW w:w="1401" w:type="dxa"/>
            <w:noWrap w:val="0"/>
            <w:vAlign w:val="center"/>
          </w:tcPr>
          <w:p>
            <w:pPr>
              <w:pStyle w:val="2"/>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Ansi="宋体"/>
                <w:sz w:val="21"/>
                <w:szCs w:val="21"/>
              </w:rPr>
            </w:pPr>
            <w:r>
              <w:rPr>
                <w:rFonts w:hint="eastAsia" w:hAnsi="宋体"/>
                <w:sz w:val="21"/>
                <w:szCs w:val="21"/>
              </w:rPr>
              <w:t>1</w:t>
            </w:r>
            <w:r>
              <w:rPr>
                <w:rFonts w:hint="eastAsia" w:hAnsi="宋体"/>
                <w:sz w:val="21"/>
                <w:szCs w:val="21"/>
                <w:lang w:val="en-US" w:eastAsia="zh-CN"/>
              </w:rPr>
              <w:t>3</w:t>
            </w:r>
            <w:r>
              <w:rPr>
                <w:rFonts w:hint="eastAsia" w:hAnsi="宋体"/>
                <w:sz w:val="21"/>
                <w:szCs w:val="21"/>
              </w:rPr>
              <w:t>00</w:t>
            </w:r>
          </w:p>
        </w:tc>
        <w:tc>
          <w:tcPr>
            <w:tcW w:w="1538" w:type="dxa"/>
            <w:vMerge w:val="continue"/>
            <w:noWrap w:val="0"/>
            <w:vAlign w:val="center"/>
          </w:tcPr>
          <w:p>
            <w:pPr>
              <w:pStyle w:val="2"/>
              <w:tabs>
                <w:tab w:val="left" w:pos="540"/>
              </w:tabs>
              <w:snapToGrid w:val="0"/>
              <w:spacing w:line="360" w:lineRule="auto"/>
              <w:jc w:val="center"/>
              <w:rPr>
                <w:rFonts w:hint="eastAsia" w:hAnsi="宋体"/>
                <w:sz w:val="21"/>
                <w:szCs w:val="21"/>
              </w:rPr>
            </w:pPr>
          </w:p>
        </w:tc>
        <w:tc>
          <w:tcPr>
            <w:tcW w:w="2220" w:type="dxa"/>
            <w:vMerge w:val="continue"/>
            <w:noWrap w:val="0"/>
            <w:vAlign w:val="center"/>
          </w:tcPr>
          <w:p>
            <w:pPr>
              <w:pStyle w:val="2"/>
              <w:tabs>
                <w:tab w:val="left" w:pos="540"/>
              </w:tabs>
              <w:snapToGrid w:val="0"/>
              <w:spacing w:line="360" w:lineRule="auto"/>
              <w:jc w:val="center"/>
              <w:rPr>
                <w:rFonts w:hint="eastAsia" w:hAnsi="宋体"/>
                <w:sz w:val="21"/>
                <w:szCs w:val="21"/>
              </w:rPr>
            </w:pPr>
          </w:p>
        </w:tc>
      </w:tr>
    </w:tbl>
    <w:p>
      <w:pPr>
        <w:pStyle w:val="2"/>
        <w:tabs>
          <w:tab w:val="left" w:pos="540"/>
        </w:tabs>
        <w:snapToGrid w:val="0"/>
        <w:spacing w:line="360" w:lineRule="auto"/>
        <w:rPr>
          <w:rFonts w:hint="eastAsia" w:hAnsi="宋体"/>
          <w:b/>
          <w:sz w:val="21"/>
          <w:szCs w:val="21"/>
        </w:rPr>
      </w:pPr>
    </w:p>
    <w:p>
      <w:pPr>
        <w:pStyle w:val="4"/>
        <w:numPr>
          <w:ilvl w:val="0"/>
          <w:numId w:val="0"/>
        </w:numPr>
        <w:spacing w:before="0" w:after="0" w:line="360" w:lineRule="auto"/>
        <w:ind w:left="-420" w:leftChars="0" w:firstLine="420" w:firstLineChars="0"/>
        <w:jc w:val="left"/>
        <w:rPr>
          <w:rFonts w:hint="default" w:ascii="Times New Roman" w:hAnsi="Times New Roman" w:eastAsia="宋体" w:cs="Times New Roman"/>
          <w:b/>
          <w:bCs/>
          <w:color w:val="auto"/>
          <w:spacing w:val="0"/>
          <w:kern w:val="2"/>
          <w:sz w:val="21"/>
          <w:szCs w:val="21"/>
          <w:lang w:val="en-US" w:eastAsia="zh-CN" w:bidi="ar-SA"/>
        </w:rPr>
      </w:pPr>
      <w:r>
        <w:rPr>
          <w:rFonts w:hint="eastAsia" w:ascii="Times New Roman" w:hAnsi="Times New Roman" w:eastAsia="宋体" w:cs="Times New Roman"/>
          <w:b/>
          <w:bCs/>
          <w:color w:val="auto"/>
          <w:spacing w:val="0"/>
          <w:kern w:val="2"/>
          <w:sz w:val="21"/>
          <w:szCs w:val="21"/>
          <w:lang w:val="en-US" w:eastAsia="zh-CN" w:bidi="ar-SA"/>
        </w:rPr>
        <w:t>（二）付款方式</w:t>
      </w:r>
    </w:p>
    <w:p>
      <w:pPr>
        <w:pStyle w:val="42"/>
        <w:ind w:firstLine="420"/>
        <w:jc w:val="left"/>
        <w:rPr>
          <w:rFonts w:hint="eastAsia" w:ascii="Times New Roman" w:hAnsi="Times New Roman" w:eastAsia="宋体" w:cs="Times New Roman"/>
          <w:b w:val="0"/>
          <w:color w:val="auto"/>
          <w:spacing w:val="0"/>
          <w:kern w:val="2"/>
          <w:sz w:val="21"/>
          <w:szCs w:val="21"/>
          <w:lang w:val="en-US" w:eastAsia="zh-CN" w:bidi="ar-SA"/>
        </w:rPr>
      </w:pPr>
      <w:r>
        <w:rPr>
          <w:rFonts w:hint="eastAsia" w:ascii="Times New Roman" w:hAnsi="Times New Roman" w:cs="Times New Roman"/>
          <w:b w:val="0"/>
          <w:color w:val="auto"/>
          <w:spacing w:val="0"/>
          <w:kern w:val="2"/>
          <w:sz w:val="21"/>
          <w:szCs w:val="21"/>
          <w:lang w:val="en-US" w:eastAsia="zh-CN" w:bidi="ar-SA"/>
        </w:rPr>
        <w:t>1、采购人</w:t>
      </w:r>
      <w:r>
        <w:rPr>
          <w:rFonts w:hint="eastAsia" w:ascii="Times New Roman" w:hAnsi="Times New Roman" w:eastAsia="宋体" w:cs="Times New Roman"/>
          <w:b w:val="0"/>
          <w:color w:val="auto"/>
          <w:spacing w:val="0"/>
          <w:kern w:val="2"/>
          <w:sz w:val="21"/>
          <w:szCs w:val="21"/>
          <w:lang w:val="en-US" w:eastAsia="zh-CN" w:bidi="ar-SA"/>
        </w:rPr>
        <w:t>与</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eastAsia="宋体" w:cs="Times New Roman"/>
          <w:b w:val="0"/>
          <w:color w:val="auto"/>
          <w:spacing w:val="0"/>
          <w:kern w:val="2"/>
          <w:sz w:val="21"/>
          <w:szCs w:val="21"/>
          <w:lang w:val="en-US" w:eastAsia="zh-CN" w:bidi="ar-SA"/>
        </w:rPr>
        <w:t>签订投保合同，</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eastAsia="宋体" w:cs="Times New Roman"/>
          <w:b w:val="0"/>
          <w:color w:val="auto"/>
          <w:spacing w:val="0"/>
          <w:kern w:val="2"/>
          <w:sz w:val="21"/>
          <w:szCs w:val="21"/>
          <w:lang w:val="en-US" w:eastAsia="zh-CN" w:bidi="ar-SA"/>
        </w:rPr>
        <w:t>出具保单或付款通知书后，</w:t>
      </w:r>
      <w:r>
        <w:rPr>
          <w:rFonts w:hint="eastAsia" w:ascii="Times New Roman" w:hAnsi="Times New Roman" w:cs="Times New Roman"/>
          <w:b w:val="0"/>
          <w:color w:val="auto"/>
          <w:spacing w:val="0"/>
          <w:kern w:val="2"/>
          <w:sz w:val="21"/>
          <w:szCs w:val="21"/>
          <w:lang w:val="en-US" w:eastAsia="zh-CN" w:bidi="ar-SA"/>
        </w:rPr>
        <w:t>采购人</w:t>
      </w:r>
      <w:r>
        <w:rPr>
          <w:rFonts w:hint="eastAsia" w:ascii="Times New Roman" w:hAnsi="Times New Roman" w:eastAsia="宋体" w:cs="Times New Roman"/>
          <w:b w:val="0"/>
          <w:color w:val="auto"/>
          <w:spacing w:val="0"/>
          <w:kern w:val="2"/>
          <w:sz w:val="21"/>
          <w:szCs w:val="21"/>
          <w:lang w:val="en-US" w:eastAsia="zh-CN" w:bidi="ar-SA"/>
        </w:rPr>
        <w:t>按实际保费一次性支付给</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eastAsia="宋体" w:cs="Times New Roman"/>
          <w:b w:val="0"/>
          <w:color w:val="auto"/>
          <w:spacing w:val="0"/>
          <w:kern w:val="2"/>
          <w:sz w:val="21"/>
          <w:szCs w:val="21"/>
          <w:lang w:val="en-US" w:eastAsia="zh-CN" w:bidi="ar-SA"/>
        </w:rPr>
        <w:t>。</w:t>
      </w:r>
    </w:p>
    <w:p>
      <w:pPr>
        <w:pStyle w:val="42"/>
        <w:ind w:firstLine="420"/>
        <w:jc w:val="left"/>
        <w:rPr>
          <w:rFonts w:hint="eastAsia" w:ascii="Times New Roman" w:hAnsi="Times New Roman" w:cs="Times New Roman"/>
          <w:color w:val="auto"/>
          <w:sz w:val="21"/>
          <w:szCs w:val="21"/>
        </w:rPr>
      </w:pPr>
      <w:r>
        <w:rPr>
          <w:rFonts w:hint="eastAsia" w:ascii="Times New Roman" w:hAnsi="Times New Roman" w:cs="Times New Roman"/>
          <w:b w:val="0"/>
          <w:color w:val="auto"/>
          <w:spacing w:val="0"/>
          <w:kern w:val="2"/>
          <w:sz w:val="21"/>
          <w:szCs w:val="21"/>
          <w:lang w:val="en-US" w:eastAsia="zh-CN" w:bidi="ar-SA"/>
        </w:rPr>
        <w:t>2、成交供应商</w:t>
      </w:r>
      <w:r>
        <w:rPr>
          <w:rFonts w:hint="eastAsia" w:ascii="Times New Roman" w:hAnsi="Times New Roman" w:cs="Times New Roman"/>
          <w:color w:val="auto"/>
          <w:sz w:val="21"/>
          <w:szCs w:val="21"/>
        </w:rPr>
        <w:t>应先向</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开具同等金额有效的增值税发票，且收款方、出具发票方必须与</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名称一致，如</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未能按时提交合法有效发票，</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有权拒绝付款，且</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仍需按本合同约定履行各项义务。</w:t>
      </w:r>
    </w:p>
    <w:p>
      <w:pPr>
        <w:pStyle w:val="42"/>
        <w:ind w:firstLine="420"/>
        <w:jc w:val="lef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3、</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对其向</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提供的收款银行账户信息的真实性、合法性、有效性、准确性、完整性负责。</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需变更其银行账户的，应当提前3日以书面方式通知</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。如因</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提供的银行账户原因（包括但不限于账号错误、被注销、被冻结等）或</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不适当、不及时通知</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，导致费用的支付发生任何不利后果的，由</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承担全部责任。</w:t>
      </w:r>
    </w:p>
    <w:p>
      <w:pPr>
        <w:pStyle w:val="42"/>
        <w:ind w:firstLine="420"/>
        <w:jc w:val="left"/>
        <w:rPr>
          <w:rFonts w:hint="default" w:ascii="Times New Roman" w:hAnsi="Times New Roman" w:eastAsia="宋体" w:cs="Times New Roman"/>
          <w:b w:val="0"/>
          <w:color w:val="auto"/>
          <w:spacing w:val="0"/>
          <w:kern w:val="2"/>
          <w:sz w:val="21"/>
          <w:szCs w:val="21"/>
          <w:lang w:val="en-US" w:eastAsia="zh-CN" w:bidi="ar-SA"/>
        </w:rPr>
      </w:pPr>
      <w:r>
        <w:rPr>
          <w:rFonts w:hint="eastAsia" w:ascii="Times New Roman" w:hAnsi="Times New Roman" w:cs="Times New Roman"/>
          <w:color w:val="auto"/>
          <w:sz w:val="21"/>
          <w:szCs w:val="21"/>
          <w:lang w:val="en-US" w:eastAsia="zh-CN"/>
        </w:rPr>
        <w:t>4、</w:t>
      </w:r>
      <w:r>
        <w:rPr>
          <w:rFonts w:hint="eastAsia" w:ascii="Times New Roman" w:hAnsi="Times New Roman" w:cs="Times New Roman"/>
          <w:color w:val="auto"/>
          <w:sz w:val="21"/>
          <w:szCs w:val="21"/>
        </w:rPr>
        <w:t>因</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使用财政资金付款，需执行财政国库集中支付制度及单位内部资金支付管理审批等有关规定，</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同意如因财政支付审查、财政支付管理流程、预算下达及单位内部支付审批流程等非</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主观原因导致合同价款实际到达</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账户时间延迟的，</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不承担延迟付款的违约责任，</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亦不得以此为由迟延履行或不履行合同义务。</w:t>
      </w:r>
    </w:p>
    <w:p>
      <w:pPr>
        <w:pStyle w:val="4"/>
        <w:numPr>
          <w:ilvl w:val="0"/>
          <w:numId w:val="0"/>
        </w:numPr>
        <w:spacing w:before="0" w:after="0" w:line="360" w:lineRule="auto"/>
        <w:ind w:left="-420" w:leftChars="0" w:firstLine="420" w:firstLineChars="0"/>
        <w:jc w:val="left"/>
        <w:rPr>
          <w:rFonts w:hint="default" w:ascii="Times New Roman" w:hAnsi="Times New Roman" w:eastAsia="宋体" w:cs="Times New Roman"/>
          <w:b/>
          <w:bCs/>
          <w:color w:val="auto"/>
          <w:spacing w:val="0"/>
          <w:kern w:val="2"/>
          <w:sz w:val="21"/>
          <w:szCs w:val="21"/>
          <w:lang w:val="en-US" w:eastAsia="zh-CN" w:bidi="ar-SA"/>
        </w:rPr>
      </w:pPr>
      <w:r>
        <w:rPr>
          <w:rFonts w:hint="eastAsia" w:ascii="Times New Roman" w:hAnsi="Times New Roman" w:eastAsia="宋体" w:cs="Times New Roman"/>
          <w:b/>
          <w:bCs/>
          <w:color w:val="auto"/>
          <w:spacing w:val="0"/>
          <w:kern w:val="2"/>
          <w:sz w:val="21"/>
          <w:szCs w:val="21"/>
          <w:lang w:val="en-US" w:eastAsia="zh-CN" w:bidi="ar-SA"/>
        </w:rPr>
        <w:t>（三）保密要求</w:t>
      </w:r>
    </w:p>
    <w:p>
      <w:pPr>
        <w:pStyle w:val="42"/>
        <w:keepNext w:val="0"/>
        <w:keepLines w:val="0"/>
        <w:pageBreakBefore w:val="0"/>
        <w:widowControl w:val="0"/>
        <w:kinsoku/>
        <w:wordWrap/>
        <w:overflowPunct/>
        <w:topLinePunct w:val="0"/>
        <w:bidi w:val="0"/>
        <w:adjustRightInd/>
        <w:snapToGrid/>
        <w:ind w:left="0" w:firstLine="420" w:firstLineChars="200"/>
        <w:jc w:val="left"/>
        <w:rPr>
          <w:rFonts w:hint="default" w:ascii="Times New Roman" w:hAnsi="Times New Roman" w:eastAsia="宋体" w:cs="Times New Roman"/>
          <w:b w:val="0"/>
          <w:color w:val="auto"/>
          <w:spacing w:val="0"/>
          <w:kern w:val="2"/>
          <w:sz w:val="21"/>
          <w:szCs w:val="21"/>
          <w:lang w:val="en-US" w:eastAsia="zh-CN" w:bidi="ar-SA"/>
        </w:rPr>
      </w:pPr>
      <w:r>
        <w:rPr>
          <w:rFonts w:hint="eastAsia" w:ascii="Times New Roman" w:hAnsi="Times New Roman" w:eastAsia="宋体" w:cs="Times New Roman"/>
          <w:b w:val="0"/>
          <w:color w:val="auto"/>
          <w:spacing w:val="0"/>
          <w:kern w:val="2"/>
          <w:sz w:val="21"/>
          <w:szCs w:val="21"/>
          <w:lang w:val="en-US" w:eastAsia="zh-CN" w:bidi="ar-SA"/>
        </w:rPr>
        <w:t>1、</w:t>
      </w:r>
      <w:r>
        <w:rPr>
          <w:rFonts w:hint="eastAsia" w:ascii="Times New Roman" w:hAnsi="Times New Roman" w:cs="Times New Roman"/>
          <w:b w:val="0"/>
          <w:color w:val="auto"/>
          <w:spacing w:val="0"/>
          <w:kern w:val="2"/>
          <w:sz w:val="21"/>
          <w:szCs w:val="21"/>
          <w:lang w:val="en-US" w:eastAsia="zh-CN" w:bidi="ar-SA"/>
        </w:rPr>
        <w:t>采购人、成交供应商</w:t>
      </w:r>
      <w:r>
        <w:rPr>
          <w:rFonts w:hint="eastAsia" w:ascii="Times New Roman" w:hAnsi="Times New Roman" w:eastAsia="宋体" w:cs="Times New Roman"/>
          <w:b w:val="0"/>
          <w:color w:val="auto"/>
          <w:spacing w:val="0"/>
          <w:kern w:val="2"/>
          <w:sz w:val="21"/>
          <w:szCs w:val="21"/>
          <w:lang w:val="en-US" w:eastAsia="zh-CN" w:bidi="ar-SA"/>
        </w:rPr>
        <w:t xml:space="preserve">双方保证对履行本合同过程中所知悉的属于对方的商务秘密、被保险人信息、相关资料所记载的信息，以及其他管理信息严加保密。除非接受法律监管机构的检查或经一方同意，另一方不得以任何方式向任何第三方泄露其知悉的秘密和双方未公开的资料和信息。 </w:t>
      </w:r>
    </w:p>
    <w:p>
      <w:pPr>
        <w:pStyle w:val="7"/>
        <w:keepNext w:val="0"/>
        <w:keepLines w:val="0"/>
        <w:pageBreakBefore w:val="0"/>
        <w:widowControl w:val="0"/>
        <w:kinsoku/>
        <w:wordWrap/>
        <w:overflowPunct/>
        <w:topLinePunct w:val="0"/>
        <w:bidi w:val="0"/>
        <w:adjustRightInd/>
        <w:snapToGrid/>
        <w:spacing w:before="0" w:after="0"/>
        <w:ind w:left="0" w:firstLine="420" w:firstLineChars="200"/>
        <w:jc w:val="left"/>
        <w:rPr>
          <w:rFonts w:hint="default" w:ascii="Times New Roman" w:hAnsi="Times New Roman" w:eastAsia="宋体" w:cs="Times New Roman"/>
          <w:b w:val="0"/>
          <w:color w:val="auto"/>
          <w:spacing w:val="0"/>
          <w:kern w:val="2"/>
          <w:sz w:val="21"/>
          <w:szCs w:val="21"/>
          <w:lang w:val="en-US" w:eastAsia="zh-CN" w:bidi="ar-SA"/>
        </w:rPr>
        <w:sectPr>
          <w:headerReference r:id="rId13" w:type="default"/>
          <w:footerReference r:id="rId14" w:type="default"/>
          <w:pgSz w:w="11906" w:h="16838"/>
          <w:pgMar w:top="1134" w:right="1134" w:bottom="1134" w:left="1134" w:header="567" w:footer="737" w:gutter="0"/>
          <w:pgNumType w:fmt="decimal"/>
          <w:cols w:space="0" w:num="1"/>
          <w:rtlGutter w:val="0"/>
          <w:docGrid w:linePitch="312" w:charSpace="0"/>
        </w:sectPr>
      </w:pPr>
      <w:r>
        <w:rPr>
          <w:rFonts w:hint="eastAsia" w:ascii="Times New Roman" w:hAnsi="Times New Roman" w:eastAsia="宋体" w:cs="Times New Roman"/>
          <w:b w:val="0"/>
          <w:color w:val="auto"/>
          <w:spacing w:val="0"/>
          <w:kern w:val="2"/>
          <w:sz w:val="21"/>
          <w:szCs w:val="21"/>
          <w:lang w:val="en-US" w:eastAsia="zh-CN" w:bidi="ar-SA"/>
        </w:rPr>
        <w:t>2、在未经</w:t>
      </w:r>
      <w:r>
        <w:rPr>
          <w:rFonts w:hint="eastAsia" w:ascii="Times New Roman" w:cs="Times New Roman"/>
          <w:b w:val="0"/>
          <w:color w:val="auto"/>
          <w:spacing w:val="0"/>
          <w:kern w:val="2"/>
          <w:sz w:val="21"/>
          <w:szCs w:val="21"/>
          <w:lang w:val="en-US" w:eastAsia="zh-CN" w:bidi="ar-SA"/>
        </w:rPr>
        <w:t>合同书</w:t>
      </w:r>
      <w:r>
        <w:rPr>
          <w:rFonts w:hint="eastAsia" w:ascii="Times New Roman" w:hAnsi="Times New Roman" w:eastAsia="宋体" w:cs="Times New Roman"/>
          <w:b w:val="0"/>
          <w:color w:val="auto"/>
          <w:spacing w:val="0"/>
          <w:kern w:val="2"/>
          <w:sz w:val="21"/>
          <w:szCs w:val="21"/>
          <w:lang w:val="en-US" w:eastAsia="zh-CN" w:bidi="ar-SA"/>
        </w:rPr>
        <w:t>各方书面同意前，任何一方不得就</w:t>
      </w:r>
      <w:r>
        <w:rPr>
          <w:rFonts w:hint="eastAsia" w:ascii="Times New Roman" w:cs="Times New Roman"/>
          <w:b w:val="0"/>
          <w:color w:val="auto"/>
          <w:spacing w:val="0"/>
          <w:kern w:val="2"/>
          <w:sz w:val="21"/>
          <w:szCs w:val="21"/>
          <w:highlight w:val="none"/>
          <w:lang w:val="en-US" w:eastAsia="zh-CN" w:bidi="ar-SA"/>
        </w:rPr>
        <w:t>合同书</w:t>
      </w:r>
      <w:r>
        <w:rPr>
          <w:rFonts w:hint="eastAsia" w:ascii="Times New Roman" w:hAnsi="Times New Roman" w:eastAsia="宋体" w:cs="Times New Roman"/>
          <w:b w:val="0"/>
          <w:color w:val="auto"/>
          <w:spacing w:val="0"/>
          <w:kern w:val="2"/>
          <w:sz w:val="21"/>
          <w:szCs w:val="21"/>
          <w:lang w:val="en-US" w:eastAsia="zh-CN" w:bidi="ar-SA"/>
        </w:rPr>
        <w:t>的主要内容向协议方以外的任何第三方公布。</w:t>
      </w:r>
    </w:p>
    <w:p>
      <w:pPr>
        <w:pStyle w:val="3"/>
        <w:pageBreakBefore/>
        <w:spacing w:line="480" w:lineRule="auto"/>
        <w:ind w:left="0" w:firstLine="0"/>
        <w:rPr>
          <w:rFonts w:hint="default" w:ascii="Times New Roman" w:hAnsi="Times New Roman" w:cs="Times New Roman" w:eastAsiaTheme="minorEastAsia"/>
          <w:b w:val="0"/>
          <w:bCs/>
          <w:color w:val="auto"/>
          <w:highlight w:val="none"/>
        </w:rPr>
        <w:sectPr>
          <w:headerReference r:id="rId15" w:type="default"/>
          <w:footerReference r:id="rId16" w:type="default"/>
          <w:pgSz w:w="11906" w:h="16838"/>
          <w:pgMar w:top="1134" w:right="1134" w:bottom="1134" w:left="1587" w:header="567" w:footer="737" w:gutter="0"/>
          <w:pgNumType w:fmt="decimal"/>
          <w:cols w:space="720" w:num="1"/>
          <w:docGrid w:linePitch="312" w:charSpace="0"/>
        </w:sectPr>
      </w:pPr>
      <w:bookmarkStart w:id="59" w:name="_Toc525312042"/>
      <w:bookmarkStart w:id="60" w:name="_Toc32236"/>
      <w:bookmarkStart w:id="61" w:name="_Toc12363"/>
      <w:bookmarkStart w:id="62" w:name="_Toc31972"/>
      <w:bookmarkStart w:id="63" w:name="_Toc23272"/>
      <w:bookmarkStart w:id="64" w:name="_Toc10048"/>
      <w:r>
        <w:rPr>
          <w:rFonts w:hint="default" w:ascii="Times New Roman" w:hAnsi="Times New Roman" w:cs="Times New Roman" w:eastAsiaTheme="minorEastAsia"/>
          <w:b w:val="0"/>
          <w:bCs/>
          <w:color w:val="auto"/>
          <w:highlight w:val="none"/>
        </w:rPr>
        <w:t>第三部分   供应商须知</w:t>
      </w:r>
      <w:bookmarkEnd w:id="46"/>
      <w:bookmarkEnd w:id="47"/>
      <w:bookmarkEnd w:id="48"/>
      <w:bookmarkEnd w:id="49"/>
      <w:bookmarkEnd w:id="50"/>
      <w:bookmarkEnd w:id="51"/>
      <w:bookmarkEnd w:id="52"/>
      <w:bookmarkEnd w:id="53"/>
      <w:bookmarkEnd w:id="59"/>
      <w:bookmarkEnd w:id="60"/>
      <w:bookmarkEnd w:id="61"/>
      <w:bookmarkEnd w:id="62"/>
      <w:bookmarkEnd w:id="63"/>
      <w:bookmarkEnd w:id="64"/>
    </w:p>
    <w:p>
      <w:pPr>
        <w:pageBreakBefore/>
        <w:jc w:val="center"/>
        <w:rPr>
          <w:rFonts w:hint="default" w:ascii="Times New Roman" w:hAnsi="Times New Roman" w:cs="Times New Roman" w:eastAsiaTheme="minorEastAsia"/>
          <w:b/>
          <w:bCs/>
          <w:color w:val="auto"/>
          <w:sz w:val="32"/>
          <w:highlight w:val="none"/>
        </w:rPr>
      </w:pPr>
      <w:bookmarkStart w:id="65" w:name="_Toc49329252"/>
      <w:bookmarkStart w:id="66" w:name="_Toc55812443"/>
      <w:r>
        <w:rPr>
          <w:rFonts w:hint="default" w:ascii="Times New Roman" w:hAnsi="Times New Roman" w:cs="Times New Roman" w:eastAsiaTheme="minorEastAsia"/>
          <w:b/>
          <w:bCs/>
          <w:color w:val="auto"/>
          <w:sz w:val="32"/>
          <w:highlight w:val="none"/>
        </w:rPr>
        <w:t>重要须知事项前置表</w:t>
      </w:r>
      <w:bookmarkEnd w:id="65"/>
      <w:bookmarkEnd w:id="6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720" w:type="dxa"/>
            <w:shd w:val="clear" w:color="auto" w:fill="E6E6E6"/>
            <w:noWrap w:val="0"/>
            <w:vAlign w:val="center"/>
          </w:tcPr>
          <w:p>
            <w:pPr>
              <w:spacing w:line="360" w:lineRule="auto"/>
              <w:jc w:val="left"/>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序号</w:t>
            </w:r>
          </w:p>
        </w:tc>
        <w:tc>
          <w:tcPr>
            <w:tcW w:w="2160" w:type="dxa"/>
            <w:shd w:val="clear" w:color="auto" w:fill="E6E6E6"/>
            <w:noWrap w:val="0"/>
            <w:vAlign w:val="center"/>
          </w:tcPr>
          <w:p>
            <w:pPr>
              <w:spacing w:line="360" w:lineRule="auto"/>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内容</w:t>
            </w:r>
          </w:p>
        </w:tc>
        <w:tc>
          <w:tcPr>
            <w:tcW w:w="6660" w:type="dxa"/>
            <w:shd w:val="clear" w:color="auto" w:fill="E6E6E6"/>
            <w:noWrap w:val="0"/>
            <w:vAlign w:val="center"/>
          </w:tcPr>
          <w:p>
            <w:pPr>
              <w:spacing w:line="360" w:lineRule="auto"/>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磋商保证金</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b/>
                <w:color w:val="auto"/>
                <w:kern w:val="2"/>
                <w:sz w:val="21"/>
                <w:szCs w:val="21"/>
                <w:highlight w:val="none"/>
                <w:lang w:val="en-US" w:eastAsia="zh-CN" w:bidi="ar-SA"/>
              </w:rPr>
            </w:pPr>
            <w:r>
              <w:rPr>
                <w:rFonts w:hint="default" w:ascii="Times New Roman" w:hAnsi="Times New Roman" w:cs="Times New Roman" w:eastAsiaTheme="minorEastAsia"/>
                <w:color w:val="auto"/>
                <w:spacing w:val="0"/>
                <w:sz w:val="21"/>
                <w:szCs w:val="21"/>
                <w:highlight w:val="none"/>
                <w:lang w:eastAsia="zh-CN"/>
              </w:rPr>
              <w:t>本项目不收取磋商保证金。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响应文件的递交</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rPr>
              <w:t>供应商应凭以下资料递交响应文件（加盖供应商公章），否则，采购代理机构将有权拒收：</w:t>
            </w:r>
          </w:p>
          <w:p>
            <w:pPr>
              <w:keepNext w:val="0"/>
              <w:keepLines w:val="0"/>
              <w:pageBreakBefore w:val="0"/>
              <w:widowControl w:val="0"/>
              <w:numPr>
                <w:ilvl w:val="0"/>
                <w:numId w:val="3"/>
              </w:numPr>
              <w:tabs>
                <w:tab w:val="left" w:pos="567"/>
              </w:tabs>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rPr>
              <w:t>法定代表人/负责人资格证明书 原件；</w:t>
            </w:r>
          </w:p>
          <w:p>
            <w:pPr>
              <w:keepNext w:val="0"/>
              <w:keepLines w:val="0"/>
              <w:pageBreakBefore w:val="0"/>
              <w:widowControl w:val="0"/>
              <w:numPr>
                <w:ilvl w:val="0"/>
                <w:numId w:val="3"/>
              </w:numPr>
              <w:tabs>
                <w:tab w:val="left" w:pos="567"/>
              </w:tabs>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rPr>
              <w:t>法定代表人/负责人授权书原件【若法定代表人亲临现场参与投标的，则不</w:t>
            </w:r>
            <w:r>
              <w:rPr>
                <w:rFonts w:hint="eastAsia" w:ascii="Times New Roman" w:hAnsi="Times New Roman" w:cs="Times New Roman" w:eastAsiaTheme="minorEastAsia"/>
                <w:color w:val="auto"/>
                <w:sz w:val="21"/>
                <w:szCs w:val="21"/>
                <w:highlight w:val="none"/>
                <w:lang w:val="zh-CN"/>
              </w:rPr>
              <w:t>需</w:t>
            </w:r>
            <w:r>
              <w:rPr>
                <w:rFonts w:hint="default" w:ascii="Times New Roman" w:hAnsi="Times New Roman" w:cs="Times New Roman" w:eastAsiaTheme="minorEastAsia"/>
                <w:color w:val="auto"/>
                <w:sz w:val="21"/>
                <w:szCs w:val="21"/>
                <w:highlight w:val="none"/>
                <w:lang w:val="zh-CN"/>
              </w:rPr>
              <w:t>提供】；</w:t>
            </w:r>
          </w:p>
          <w:p>
            <w:pPr>
              <w:keepNext w:val="0"/>
              <w:keepLines w:val="0"/>
              <w:pageBreakBefore w:val="0"/>
              <w:widowControl w:val="0"/>
              <w:numPr>
                <w:ilvl w:val="0"/>
                <w:numId w:val="3"/>
              </w:numPr>
              <w:tabs>
                <w:tab w:val="left" w:pos="567"/>
              </w:tabs>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rPr>
              <w:t>法定代表人/负责人或授权代表本人身份证 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响应文件递交数量</w:t>
            </w:r>
          </w:p>
        </w:tc>
        <w:tc>
          <w:tcPr>
            <w:tcW w:w="6660" w:type="dxa"/>
            <w:noWrap w:val="0"/>
            <w:vAlign w:val="center"/>
          </w:tcPr>
          <w:p>
            <w:pPr>
              <w:keepNext w:val="0"/>
              <w:keepLines w:val="0"/>
              <w:pageBreakBefore w:val="0"/>
              <w:widowControl w:val="0"/>
              <w:numPr>
                <w:ilvl w:val="0"/>
                <w:numId w:val="4"/>
              </w:numPr>
              <w:tabs>
                <w:tab w:val="left" w:pos="432"/>
                <w:tab w:val="clear" w:pos="840"/>
              </w:tabs>
              <w:kinsoku/>
              <w:wordWrap/>
              <w:overflowPunct/>
              <w:topLinePunct w:val="0"/>
              <w:autoSpaceDE/>
              <w:autoSpaceDN/>
              <w:bidi w:val="0"/>
              <w:adjustRightInd/>
              <w:snapToGrid/>
              <w:spacing w:line="400" w:lineRule="exact"/>
              <w:ind w:left="431" w:hanging="431"/>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b/>
                <w:color w:val="auto"/>
                <w:sz w:val="21"/>
                <w:szCs w:val="21"/>
                <w:highlight w:val="none"/>
                <w:lang w:val="en-GB"/>
              </w:rPr>
              <w:t>《响应文件》</w:t>
            </w:r>
            <w:r>
              <w:rPr>
                <w:rFonts w:hint="default" w:ascii="Times New Roman" w:hAnsi="Times New Roman" w:cs="Times New Roman" w:eastAsiaTheme="minorEastAsia"/>
                <w:color w:val="auto"/>
                <w:sz w:val="21"/>
                <w:szCs w:val="21"/>
                <w:highlight w:val="none"/>
                <w:lang w:val="en-GB"/>
              </w:rPr>
              <w:t>密封包：一份【内含《响应文件》1份正本和</w:t>
            </w:r>
            <w:r>
              <w:rPr>
                <w:rFonts w:hint="default" w:ascii="Times New Roman" w:hAnsi="Times New Roman" w:cs="Times New Roman" w:eastAsiaTheme="minorEastAsia"/>
                <w:color w:val="auto"/>
                <w:sz w:val="21"/>
                <w:szCs w:val="21"/>
                <w:highlight w:val="none"/>
              </w:rPr>
              <w:t>3</w:t>
            </w:r>
            <w:r>
              <w:rPr>
                <w:rFonts w:hint="default" w:ascii="Times New Roman" w:hAnsi="Times New Roman" w:cs="Times New Roman" w:eastAsiaTheme="minorEastAsia"/>
                <w:color w:val="auto"/>
                <w:sz w:val="21"/>
                <w:szCs w:val="21"/>
                <w:highlight w:val="none"/>
                <w:lang w:val="en-GB"/>
              </w:rPr>
              <w:t>份副本】；</w:t>
            </w:r>
          </w:p>
          <w:p>
            <w:pPr>
              <w:keepNext w:val="0"/>
              <w:keepLines w:val="0"/>
              <w:pageBreakBefore w:val="0"/>
              <w:widowControl w:val="0"/>
              <w:numPr>
                <w:ilvl w:val="0"/>
                <w:numId w:val="4"/>
              </w:numPr>
              <w:tabs>
                <w:tab w:val="left" w:pos="432"/>
                <w:tab w:val="clear" w:pos="840"/>
              </w:tabs>
              <w:kinsoku/>
              <w:wordWrap/>
              <w:overflowPunct/>
              <w:topLinePunct w:val="0"/>
              <w:autoSpaceDE/>
              <w:autoSpaceDN/>
              <w:bidi w:val="0"/>
              <w:adjustRightInd/>
              <w:snapToGrid/>
              <w:spacing w:line="400" w:lineRule="exact"/>
              <w:ind w:left="431" w:hanging="431"/>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b/>
                <w:color w:val="auto"/>
                <w:sz w:val="21"/>
                <w:szCs w:val="21"/>
                <w:highlight w:val="none"/>
                <w:lang w:val="en-GB"/>
              </w:rPr>
              <w:t>唱标信封</w:t>
            </w:r>
            <w:r>
              <w:rPr>
                <w:rFonts w:hint="default" w:ascii="Times New Roman" w:hAnsi="Times New Roman" w:cs="Times New Roman" w:eastAsiaTheme="minorEastAsia"/>
                <w:color w:val="auto"/>
                <w:sz w:val="21"/>
                <w:szCs w:val="21"/>
                <w:highlight w:val="none"/>
                <w:lang w:val="en-GB"/>
              </w:rPr>
              <w:t>密封包：一份【内含《报价汇总表》原件1份，响应文件电子光盘</w:t>
            </w:r>
            <w:r>
              <w:rPr>
                <w:rFonts w:hint="default" w:ascii="Times New Roman" w:hAnsi="Times New Roman" w:cs="Times New Roman" w:eastAsiaTheme="minorEastAsia"/>
                <w:color w:val="auto"/>
                <w:sz w:val="21"/>
                <w:szCs w:val="21"/>
                <w:highlight w:val="none"/>
              </w:rPr>
              <w:t>/U盘</w:t>
            </w:r>
            <w:r>
              <w:rPr>
                <w:rFonts w:hint="default" w:ascii="Times New Roman" w:hAnsi="Times New Roman" w:cs="Times New Roman" w:eastAsiaTheme="minorEastAsia"/>
                <w:color w:val="auto"/>
                <w:sz w:val="21"/>
                <w:szCs w:val="21"/>
                <w:highlight w:val="none"/>
                <w:lang w:val="en-GB"/>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响应文件的制作要求及密封要求</w:t>
            </w:r>
          </w:p>
        </w:tc>
        <w:tc>
          <w:tcPr>
            <w:tcW w:w="6660"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《响应文件》由资格性文件、评审内容索引、商务部分、技术部分及其他文件共五部分组成，并将上述五部分内容装订为一册。</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《响应文件》的【正本】及所有【副本】的</w:t>
            </w:r>
            <w:r>
              <w:rPr>
                <w:rFonts w:hint="default" w:ascii="Times New Roman" w:hAnsi="Times New Roman" w:cs="Times New Roman" w:eastAsiaTheme="minorEastAsia"/>
                <w:b/>
                <w:color w:val="auto"/>
                <w:sz w:val="21"/>
                <w:szCs w:val="21"/>
                <w:highlight w:val="none"/>
                <w:lang w:val="en-GB"/>
              </w:rPr>
              <w:t>封面及骑缝</w:t>
            </w:r>
            <w:r>
              <w:rPr>
                <w:rFonts w:hint="default" w:ascii="Times New Roman" w:hAnsi="Times New Roman" w:cs="Times New Roman" w:eastAsiaTheme="minorEastAsia"/>
                <w:color w:val="auto"/>
                <w:sz w:val="21"/>
                <w:szCs w:val="21"/>
                <w:highlight w:val="none"/>
                <w:lang w:val="en-GB"/>
              </w:rPr>
              <w:t>均须加盖供应商公章。</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b/>
                <w:bCs/>
                <w:color w:val="000000"/>
                <w:sz w:val="21"/>
                <w:szCs w:val="21"/>
                <w:lang w:val="en-GB"/>
              </w:rPr>
              <w:t>唱标信封必须与</w:t>
            </w:r>
            <w:r>
              <w:rPr>
                <w:rFonts w:hint="eastAsia" w:ascii="Times New Roman" w:hAnsi="Times New Roman" w:cs="Times New Roman"/>
                <w:b/>
                <w:bCs/>
                <w:color w:val="000000"/>
                <w:sz w:val="21"/>
                <w:szCs w:val="21"/>
                <w:lang w:val="en-GB" w:eastAsia="zh-CN"/>
              </w:rPr>
              <w:t>响应文件</w:t>
            </w:r>
            <w:r>
              <w:rPr>
                <w:rFonts w:hint="default" w:ascii="Times New Roman" w:hAnsi="Times New Roman" w:cs="Times New Roman"/>
                <w:b/>
                <w:bCs/>
                <w:color w:val="000000"/>
                <w:sz w:val="21"/>
                <w:szCs w:val="21"/>
                <w:lang w:val="en-GB"/>
              </w:rPr>
              <w:t>【正、副本】分开单独密封，并应在规定时间内同时递交，每份密封文件应在封口处加盖</w:t>
            </w:r>
            <w:r>
              <w:rPr>
                <w:rFonts w:hint="eastAsia" w:ascii="Times New Roman" w:hAnsi="Times New Roman" w:cs="Times New Roman"/>
                <w:b/>
                <w:bCs/>
                <w:color w:val="000000"/>
                <w:sz w:val="21"/>
                <w:szCs w:val="21"/>
                <w:lang w:val="en-GB" w:eastAsia="zh-CN"/>
              </w:rPr>
              <w:t>供应商</w:t>
            </w:r>
            <w:r>
              <w:rPr>
                <w:rFonts w:hint="default" w:ascii="Times New Roman" w:hAnsi="Times New Roman" w:cs="Times New Roman"/>
                <w:b/>
                <w:bCs/>
                <w:color w:val="000000"/>
                <w:sz w:val="21"/>
                <w:szCs w:val="21"/>
                <w:lang w:val="en-GB"/>
              </w:rPr>
              <w:t>公章。“电子文档”（光盘</w:t>
            </w:r>
            <w:r>
              <w:rPr>
                <w:rFonts w:hint="default" w:ascii="Times New Roman" w:hAnsi="Times New Roman" w:cs="Times New Roman"/>
                <w:b/>
                <w:bCs/>
                <w:color w:val="000000"/>
                <w:sz w:val="21"/>
                <w:szCs w:val="21"/>
                <w:lang w:val="zh-CN"/>
              </w:rPr>
              <w:t>/U盘</w:t>
            </w:r>
            <w:r>
              <w:rPr>
                <w:rFonts w:hint="default" w:ascii="Times New Roman" w:hAnsi="Times New Roman" w:cs="Times New Roman"/>
                <w:b/>
                <w:bCs/>
                <w:color w:val="000000"/>
                <w:sz w:val="21"/>
                <w:szCs w:val="21"/>
                <w:lang w:val="en-GB"/>
              </w:rPr>
              <w:t>）为</w:t>
            </w:r>
            <w:r>
              <w:rPr>
                <w:rFonts w:hint="eastAsia" w:ascii="Times New Roman" w:hAnsi="Times New Roman" w:cs="Times New Roman"/>
                <w:b/>
                <w:bCs/>
                <w:color w:val="000000"/>
                <w:sz w:val="21"/>
                <w:szCs w:val="21"/>
                <w:lang w:val="en-GB" w:eastAsia="zh-CN"/>
              </w:rPr>
              <w:t>响应文件</w:t>
            </w:r>
            <w:r>
              <w:rPr>
                <w:rFonts w:hint="default" w:ascii="Times New Roman" w:hAnsi="Times New Roman" w:cs="Times New Roman"/>
                <w:b/>
                <w:bCs/>
                <w:color w:val="000000"/>
                <w:sz w:val="21"/>
                <w:szCs w:val="21"/>
                <w:lang w:val="en-GB"/>
              </w:rPr>
              <w:t>正本Word格式电子文件和</w:t>
            </w:r>
            <w:r>
              <w:rPr>
                <w:rFonts w:hint="eastAsia" w:ascii="Times New Roman" w:hAnsi="Times New Roman" w:cs="Times New Roman"/>
                <w:b/>
                <w:bCs/>
                <w:color w:val="000000"/>
                <w:sz w:val="21"/>
                <w:szCs w:val="21"/>
                <w:lang w:val="en-GB" w:eastAsia="zh-CN"/>
              </w:rPr>
              <w:t>响应文件</w:t>
            </w:r>
            <w:r>
              <w:rPr>
                <w:rFonts w:hint="default" w:ascii="Times New Roman" w:hAnsi="Times New Roman" w:cs="Times New Roman"/>
                <w:b/>
                <w:bCs/>
                <w:color w:val="000000"/>
                <w:sz w:val="21"/>
                <w:szCs w:val="21"/>
                <w:lang w:val="en-GB"/>
              </w:rPr>
              <w:t>正本签字盖章后的PDF格式电子文件</w:t>
            </w:r>
            <w:r>
              <w:rPr>
                <w:rFonts w:hint="default" w:ascii="Times New Roman" w:hAnsi="Times New Roman" w:cs="Times New Roman"/>
                <w:b/>
                <w:bCs/>
                <w:color w:val="000000"/>
                <w:sz w:val="21"/>
                <w:szCs w:val="21"/>
              </w:rPr>
              <w:t>，</w:t>
            </w:r>
            <w:r>
              <w:rPr>
                <w:rFonts w:hint="default" w:ascii="Times New Roman" w:hAnsi="Times New Roman" w:cs="Times New Roman"/>
                <w:b/>
                <w:bCs/>
                <w:color w:val="000000"/>
                <w:sz w:val="21"/>
                <w:szCs w:val="21"/>
                <w:lang w:val="en-GB"/>
              </w:rPr>
              <w:t>表面须标明</w:t>
            </w:r>
            <w:r>
              <w:rPr>
                <w:rFonts w:hint="eastAsia" w:ascii="Times New Roman" w:hAnsi="Times New Roman" w:cs="Times New Roman"/>
                <w:b/>
                <w:bCs/>
                <w:color w:val="000000"/>
                <w:sz w:val="21"/>
                <w:szCs w:val="21"/>
                <w:lang w:val="en-GB" w:eastAsia="zh-CN"/>
              </w:rPr>
              <w:t>供应商</w:t>
            </w:r>
            <w:r>
              <w:rPr>
                <w:rFonts w:hint="default" w:ascii="Times New Roman" w:hAnsi="Times New Roman" w:cs="Times New Roman"/>
                <w:b/>
                <w:bCs/>
                <w:color w:val="000000"/>
                <w:sz w:val="21"/>
                <w:szCs w:val="21"/>
                <w:lang w:val="en-GB"/>
              </w:rPr>
              <w:t>名称，密封于唱标信封之内</w:t>
            </w:r>
            <w:r>
              <w:rPr>
                <w:rFonts w:hint="default" w:ascii="Times New Roman" w:hAnsi="Times New Roman" w:cs="Times New Roman" w:eastAsiaTheme="minorEastAsia"/>
                <w:b/>
                <w:color w:val="auto"/>
                <w:sz w:val="21"/>
                <w:szCs w:val="21"/>
                <w:highlight w:val="none"/>
                <w:lang w:val="en-GB"/>
              </w:rPr>
              <w:t>。</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所有密封文件封套正面统一按“文件包装袋封面”格式填写标贴。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投标有效期</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递交响应文件截止日后90天内有效，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中标（成交）供应商的有效期延续到项目服务期满之日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评标方法</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color w:val="000000"/>
                <w:sz w:val="21"/>
                <w:szCs w:val="21"/>
                <w:lang w:val="zh-CN"/>
              </w:rPr>
              <w:t>成交候选人推荐</w:t>
            </w:r>
          </w:p>
        </w:tc>
        <w:tc>
          <w:tcPr>
            <w:tcW w:w="6660" w:type="dxa"/>
            <w:noWrap w:val="0"/>
            <w:vAlign w:val="center"/>
          </w:tcPr>
          <w:p>
            <w:pPr>
              <w:pStyle w:val="32"/>
              <w:keepNext w:val="0"/>
              <w:keepLines w:val="0"/>
              <w:pageBreakBefore w:val="0"/>
              <w:widowControl w:val="0"/>
              <w:tabs>
                <w:tab w:val="left" w:pos="432"/>
              </w:tabs>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color w:val="000000"/>
                <w:sz w:val="21"/>
                <w:szCs w:val="21"/>
                <w:lang w:val="zh-CN"/>
              </w:rPr>
              <w:t>推荐</w:t>
            </w:r>
            <w:r>
              <w:rPr>
                <w:rFonts w:hint="default" w:ascii="Times New Roman" w:hAnsi="Times New Roman" w:cs="Times New Roman"/>
                <w:color w:val="000000"/>
                <w:sz w:val="21"/>
                <w:szCs w:val="21"/>
                <w:lang w:val="en-US" w:eastAsia="zh-CN"/>
              </w:rPr>
              <w:t>3</w:t>
            </w:r>
            <w:r>
              <w:rPr>
                <w:rFonts w:hint="default" w:ascii="Times New Roman" w:hAnsi="Times New Roman" w:cs="Times New Roman"/>
                <w:color w:val="000000"/>
                <w:sz w:val="21"/>
                <w:szCs w:val="21"/>
                <w:lang w:val="zh-CN"/>
              </w:rPr>
              <w:t>名</w:t>
            </w:r>
            <w:r>
              <w:rPr>
                <w:rFonts w:hint="default" w:ascii="Times New Roman" w:hAnsi="Times New Roman" w:cs="Times New Roman"/>
                <w:color w:val="000000"/>
                <w:sz w:val="21"/>
                <w:szCs w:val="21"/>
              </w:rPr>
              <w:t>中标候选人</w:t>
            </w:r>
            <w:r>
              <w:rPr>
                <w:rFonts w:hint="default" w:ascii="Times New Roman" w:hAnsi="Times New Roman" w:cs="Times New Roman"/>
                <w:color w:val="000000"/>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成交资格的确认</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成交供应商数量：1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成交服务费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支付方式</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rPr>
              <w:t>成交服务费</w:t>
            </w:r>
            <w:r>
              <w:rPr>
                <w:rFonts w:hint="default" w:ascii="Times New Roman" w:hAnsi="Times New Roman" w:cs="Times New Roman" w:eastAsiaTheme="minorEastAsia"/>
                <w:bCs/>
                <w:color w:val="auto"/>
                <w:sz w:val="21"/>
                <w:szCs w:val="21"/>
                <w:highlight w:val="none"/>
              </w:rPr>
              <w:t>由</w:t>
            </w:r>
            <w:r>
              <w:rPr>
                <w:rFonts w:hint="default" w:ascii="Times New Roman" w:hAnsi="Times New Roman" w:cs="Times New Roman" w:eastAsiaTheme="minorEastAsia"/>
                <w:color w:val="auto"/>
                <w:sz w:val="21"/>
                <w:szCs w:val="21"/>
                <w:highlight w:val="none"/>
              </w:rPr>
              <w:t>成交供应商</w:t>
            </w:r>
            <w:r>
              <w:rPr>
                <w:rFonts w:hint="default" w:ascii="Times New Roman" w:hAnsi="Times New Roman" w:cs="Times New Roman" w:eastAsiaTheme="minorEastAsia"/>
                <w:bCs/>
                <w:color w:val="auto"/>
                <w:sz w:val="21"/>
                <w:szCs w:val="21"/>
                <w:highlight w:val="none"/>
              </w:rPr>
              <w:t>在领取《</w:t>
            </w:r>
            <w:r>
              <w:rPr>
                <w:rFonts w:hint="default" w:ascii="Times New Roman" w:hAnsi="Times New Roman" w:cs="Times New Roman" w:eastAsiaTheme="minorEastAsia"/>
                <w:color w:val="auto"/>
                <w:sz w:val="21"/>
                <w:szCs w:val="21"/>
                <w:highlight w:val="none"/>
              </w:rPr>
              <w:t>成交</w:t>
            </w:r>
            <w:r>
              <w:rPr>
                <w:rFonts w:hint="default" w:ascii="Times New Roman" w:hAnsi="Times New Roman" w:cs="Times New Roman" w:eastAsiaTheme="minorEastAsia"/>
                <w:bCs/>
                <w:color w:val="auto"/>
                <w:sz w:val="21"/>
                <w:szCs w:val="21"/>
                <w:highlight w:val="none"/>
              </w:rPr>
              <w:t>通知书》原件时,向采购代理机构一次性支付。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成交服务费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Cs/>
                <w:color w:val="auto"/>
                <w:sz w:val="21"/>
                <w:szCs w:val="21"/>
                <w:highlight w:val="none"/>
              </w:rPr>
              <w:t>收费标准</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服务类收费标准：由成交供应商在领取《成交通知书》原件时向采购代理机构一次性支付，成交服务费</w:t>
            </w:r>
            <w:r>
              <w:rPr>
                <w:rFonts w:hint="eastAsia" w:cs="Times New Roman" w:eastAsiaTheme="minorEastAsia"/>
                <w:color w:val="auto"/>
                <w:sz w:val="21"/>
                <w:szCs w:val="21"/>
                <w:highlight w:val="none"/>
                <w:lang w:eastAsia="zh-CN"/>
              </w:rPr>
              <w:t>定额收取</w:t>
            </w:r>
            <w:r>
              <w:rPr>
                <w:rFonts w:hint="eastAsia" w:cs="Times New Roman" w:eastAsiaTheme="minorEastAsia"/>
                <w:color w:val="auto"/>
                <w:sz w:val="21"/>
                <w:szCs w:val="21"/>
                <w:highlight w:val="none"/>
                <w:lang w:val="en-US" w:eastAsia="zh-CN"/>
              </w:rPr>
              <w:t>8000元</w:t>
            </w:r>
            <w:r>
              <w:rPr>
                <w:rFonts w:hint="default" w:ascii="Times New Roman" w:hAnsi="Times New Roman" w:cs="Times New Roman" w:eastAsia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bCs/>
                <w:color w:val="auto"/>
                <w:sz w:val="21"/>
                <w:szCs w:val="21"/>
                <w:highlight w:val="none"/>
                <w:lang w:eastAsia="zh-CN"/>
              </w:rPr>
            </w:pPr>
            <w:r>
              <w:rPr>
                <w:rFonts w:hint="eastAsia" w:cs="Times New Roman" w:eastAsiaTheme="minorEastAsia"/>
                <w:bCs/>
                <w:color w:val="auto"/>
                <w:sz w:val="21"/>
                <w:szCs w:val="21"/>
                <w:highlight w:val="none"/>
                <w:lang w:eastAsia="zh-CN"/>
              </w:rPr>
              <w:t>其他</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b w:val="0"/>
                <w:bCs/>
                <w:sz w:val="21"/>
                <w:szCs w:val="21"/>
                <w:lang w:eastAsia="zh-CN"/>
              </w:rPr>
              <w:t>《中小企业划型标准规定》</w:t>
            </w:r>
            <w:r>
              <w:rPr>
                <w:rFonts w:hint="eastAsia" w:cs="Times New Roman"/>
                <w:b w:val="0"/>
                <w:bCs/>
                <w:sz w:val="21"/>
                <w:szCs w:val="21"/>
                <w:lang w:eastAsia="zh-CN"/>
              </w:rPr>
              <w:t>中</w:t>
            </w:r>
            <w:r>
              <w:rPr>
                <w:rFonts w:hint="default" w:ascii="Times New Roman" w:hAnsi="Times New Roman" w:cs="Times New Roman" w:eastAsiaTheme="minorEastAsia"/>
                <w:color w:val="auto"/>
                <w:sz w:val="21"/>
                <w:szCs w:val="21"/>
                <w:highlight w:val="none"/>
              </w:rPr>
              <w:t>其他未列明行业中小微企业划分：从业人员300人以下的为中小微型企业。其中，从业人员100人及以上的为中型企业；从业人员10人及以上的为小型企业；从业人员10人以下的为微型企业。</w:t>
            </w:r>
          </w:p>
        </w:tc>
      </w:tr>
    </w:tbl>
    <w:p>
      <w:pPr>
        <w:pStyle w:val="20"/>
        <w:rPr>
          <w:rFonts w:hint="default" w:ascii="Times New Roman" w:hAnsi="Times New Roman" w:cs="Times New Roman" w:eastAsiaTheme="minorEastAsia"/>
          <w:color w:val="auto"/>
          <w:highlight w:val="none"/>
        </w:rPr>
      </w:pPr>
    </w:p>
    <w:p>
      <w:pPr>
        <w:pStyle w:val="4"/>
        <w:pageBreakBefore/>
        <w:numPr>
          <w:ilvl w:val="0"/>
          <w:numId w:val="6"/>
        </w:numPr>
        <w:tabs>
          <w:tab w:val="left" w:pos="0"/>
        </w:tabs>
        <w:ind w:left="2" w:firstLine="0"/>
        <w:rPr>
          <w:rFonts w:hint="default" w:ascii="Times New Roman" w:hAnsi="Times New Roman" w:cs="Times New Roman" w:eastAsiaTheme="minorEastAsia"/>
          <w:color w:val="auto"/>
          <w:sz w:val="32"/>
          <w:highlight w:val="none"/>
        </w:rPr>
      </w:pPr>
      <w:bookmarkStart w:id="67" w:name="_Toc20571348"/>
      <w:bookmarkStart w:id="68" w:name="_Toc5575595"/>
      <w:bookmarkStart w:id="69" w:name="_Toc20564514"/>
      <w:bookmarkStart w:id="70" w:name="_Toc5578658"/>
      <w:bookmarkStart w:id="71" w:name="_Toc20144968"/>
      <w:bookmarkStart w:id="72" w:name="_Toc20564602"/>
      <w:bookmarkStart w:id="73" w:name="_Toc55812444"/>
      <w:bookmarkStart w:id="74" w:name="_Toc49329253"/>
      <w:bookmarkStart w:id="75" w:name="_Toc8644"/>
      <w:bookmarkStart w:id="76" w:name="_Toc113157421"/>
      <w:bookmarkStart w:id="77" w:name="_Toc909"/>
      <w:bookmarkStart w:id="78" w:name="_Toc8091"/>
      <w:bookmarkStart w:id="79" w:name="_Toc419106555"/>
      <w:bookmarkStart w:id="80" w:name="_Toc233"/>
      <w:bookmarkStart w:id="81" w:name="_Toc325031934"/>
      <w:bookmarkStart w:id="82" w:name="_Toc28408"/>
      <w:bookmarkStart w:id="83" w:name="_Toc373767191"/>
      <w:bookmarkStart w:id="84" w:name="_Toc259803661"/>
      <w:bookmarkStart w:id="85" w:name="_Toc310519878"/>
      <w:bookmarkStart w:id="86" w:name="_Toc14658"/>
      <w:bookmarkStart w:id="87" w:name="_Toc525312043"/>
      <w:r>
        <w:rPr>
          <w:rFonts w:hint="default" w:ascii="Times New Roman" w:hAnsi="Times New Roman" w:cs="Times New Roman" w:eastAsiaTheme="minorEastAsia"/>
          <w:color w:val="auto"/>
          <w:sz w:val="32"/>
          <w:highlight w:val="none"/>
        </w:rPr>
        <w:t>概念</w:t>
      </w:r>
      <w:bookmarkEnd w:id="67"/>
      <w:bookmarkEnd w:id="68"/>
      <w:bookmarkEnd w:id="69"/>
      <w:bookmarkEnd w:id="70"/>
      <w:bookmarkEnd w:id="71"/>
      <w:bookmarkEnd w:id="72"/>
      <w:bookmarkEnd w:id="73"/>
      <w:bookmarkEnd w:id="74"/>
      <w:r>
        <w:rPr>
          <w:rFonts w:hint="default" w:ascii="Times New Roman" w:hAnsi="Times New Roman" w:cs="Times New Roman" w:eastAsiaTheme="minorEastAsia"/>
          <w:color w:val="auto"/>
          <w:sz w:val="32"/>
          <w:highlight w:val="none"/>
        </w:rPr>
        <w:t>释义</w:t>
      </w:r>
      <w:bookmarkEnd w:id="75"/>
      <w:bookmarkEnd w:id="76"/>
      <w:bookmarkEnd w:id="77"/>
      <w:bookmarkEnd w:id="78"/>
      <w:bookmarkEnd w:id="79"/>
      <w:bookmarkEnd w:id="80"/>
      <w:bookmarkEnd w:id="81"/>
      <w:bookmarkEnd w:id="82"/>
      <w:bookmarkEnd w:id="83"/>
      <w:bookmarkEnd w:id="84"/>
      <w:bookmarkEnd w:id="85"/>
      <w:bookmarkEnd w:id="86"/>
      <w:bookmarkEnd w:id="87"/>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bookmarkStart w:id="88" w:name="_Toc119321123"/>
      <w:bookmarkStart w:id="89" w:name="_Toc136682888"/>
      <w:bookmarkStart w:id="90" w:name="_Toc159385047"/>
      <w:bookmarkStart w:id="91" w:name="_Toc136662912"/>
      <w:r>
        <w:rPr>
          <w:rFonts w:hint="default" w:ascii="Times New Roman" w:hAnsi="Times New Roman" w:cs="Times New Roman" w:eastAsiaTheme="minorEastAsia"/>
          <w:b/>
          <w:color w:val="auto"/>
          <w:sz w:val="24"/>
          <w:szCs w:val="24"/>
          <w:highlight w:val="none"/>
        </w:rPr>
        <w:t>采购适用法律</w:t>
      </w:r>
      <w:bookmarkEnd w:id="88"/>
      <w:bookmarkEnd w:id="89"/>
      <w:bookmarkEnd w:id="90"/>
      <w:bookmarkEnd w:id="91"/>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本次采购适用的主要法律法规为《中华人民共和国政府采购法》、《政府采购竞争性磋商采购方式管理暂行办法》、《广东省实施＜中华人民共和国政府采购法＞办法》及政府采购其它相关法规。</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bookmarkStart w:id="92" w:name="_Toc119321124"/>
      <w:bookmarkStart w:id="93" w:name="_Toc159385048"/>
      <w:bookmarkStart w:id="94" w:name="_Toc136682889"/>
      <w:bookmarkStart w:id="95" w:name="_Toc136662913"/>
      <w:r>
        <w:rPr>
          <w:rFonts w:hint="default" w:ascii="Times New Roman" w:hAnsi="Times New Roman" w:cs="Times New Roman" w:eastAsiaTheme="minorEastAsia"/>
          <w:b/>
          <w:color w:val="auto"/>
          <w:sz w:val="24"/>
          <w:szCs w:val="24"/>
          <w:highlight w:val="none"/>
        </w:rPr>
        <w:t>释义</w:t>
      </w:r>
      <w:bookmarkEnd w:id="92"/>
      <w:bookmarkEnd w:id="93"/>
      <w:bookmarkEnd w:id="94"/>
      <w:bookmarkEnd w:id="95"/>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政府采购的政策目标：</w:t>
      </w:r>
      <w:r>
        <w:rPr>
          <w:rFonts w:hint="default" w:ascii="Times New Roman" w:hAnsi="Times New Roman" w:cs="Times New Roman" w:eastAsiaTheme="minorEastAsia"/>
          <w:bCs/>
          <w:color w:val="auto"/>
          <w:szCs w:val="32"/>
          <w:highlight w:val="none"/>
        </w:rPr>
        <w:t>政府采购应当</w:t>
      </w:r>
      <w:r>
        <w:rPr>
          <w:rFonts w:hint="default" w:ascii="Times New Roman" w:hAnsi="Times New Roman" w:cs="Times New Roman" w:eastAsiaTheme="minorEastAsia"/>
          <w:color w:val="auto"/>
          <w:szCs w:val="32"/>
          <w:highlight w:val="none"/>
        </w:rPr>
        <w:t>有助于实现</w:t>
      </w:r>
      <w:r>
        <w:rPr>
          <w:rFonts w:hint="default" w:ascii="Times New Roman" w:hAnsi="Times New Roman" w:cs="Times New Roman" w:eastAsiaTheme="minorEastAsia"/>
          <w:bCs/>
          <w:color w:val="auto"/>
          <w:szCs w:val="32"/>
          <w:highlight w:val="none"/>
        </w:rPr>
        <w:t>保护环境</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节能减排</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支持自主创新</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扶持不发达地区和少数民族地区</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促进中小企业发展等</w:t>
      </w:r>
      <w:r>
        <w:rPr>
          <w:rFonts w:hint="default" w:ascii="Times New Roman" w:hAnsi="Times New Roman" w:cs="Times New Roman" w:eastAsiaTheme="minorEastAsia"/>
          <w:color w:val="auto"/>
          <w:szCs w:val="32"/>
          <w:highlight w:val="none"/>
        </w:rPr>
        <w:t>国家的经济和社会发展政策目标。</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采购人：是指</w:t>
      </w:r>
      <w:r>
        <w:rPr>
          <w:rFonts w:hint="default" w:ascii="Times New Roman" w:hAnsi="Times New Roman" w:cs="Times New Roman" w:eastAsiaTheme="minorEastAsia"/>
          <w:color w:val="auto"/>
          <w:highlight w:val="none"/>
          <w:lang w:eastAsia="zh-CN"/>
        </w:rPr>
        <w:t>佛山市消防救援支队</w:t>
      </w:r>
      <w:r>
        <w:rPr>
          <w:rFonts w:hint="default" w:ascii="Times New Roman" w:hAnsi="Times New Roman" w:cs="Times New Roman" w:eastAsiaTheme="minorEastAsia"/>
          <w:color w:val="auto"/>
          <w:highlight w:val="none"/>
        </w:rPr>
        <w:t>。为采购活动当事人之一，负责项目的整体规划、技术方案可行性设计论证与实施，作为合同采购方(用户)的主体承担质疑回复、履行合同义务、验收与评价等义务。</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bookmarkStart w:id="96" w:name="_Toc136682890"/>
      <w:bookmarkStart w:id="97" w:name="_Toc159385049"/>
      <w:bookmarkStart w:id="98" w:name="_Toc119321125"/>
      <w:bookmarkStart w:id="99" w:name="_Toc136662914"/>
      <w:r>
        <w:rPr>
          <w:rFonts w:hint="default" w:ascii="Times New Roman" w:hAnsi="Times New Roman" w:cs="Times New Roman" w:eastAsiaTheme="minorEastAsia"/>
          <w:color w:val="auto"/>
          <w:highlight w:val="none"/>
        </w:rPr>
        <w:t>采购代理机构：是指</w:t>
      </w:r>
      <w:r>
        <w:rPr>
          <w:rFonts w:hint="default" w:ascii="Times New Roman" w:hAnsi="Times New Roman" w:cs="Times New Roman" w:eastAsiaTheme="minorEastAsia"/>
          <w:color w:val="auto"/>
          <w:highlight w:val="none"/>
          <w:lang w:eastAsia="zh-CN"/>
        </w:rPr>
        <w:t>广东远东招标代理有限公司</w:t>
      </w:r>
      <w:r>
        <w:rPr>
          <w:rFonts w:hint="default" w:ascii="Times New Roman" w:hAnsi="Times New Roman" w:cs="Times New Roman" w:eastAsiaTheme="minorEastAsia"/>
          <w:color w:val="auto"/>
          <w:highlight w:val="none"/>
        </w:rPr>
        <w:t>，是整个采购活动的组织者，依法负责编制和发布采购文件，对采购文件拥有最终的解释权。采购代理机构不以任何身份出任磋商小组成员。</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佛山市：是指包括禅城区、顺德区、南海区、高明区、三水区共五个行政辖区。</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采购文件：是指包括项目公告、竞争性磋商文件以及竞争性磋商文件的补充、变更和澄清等一系列文件。</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采购过程：是指从采购项目信息公告发布起，到成交结果公告止，包括采购文件的发布、磋商与报价、评审、澄清等各个程序环节。</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实质性响应：是指符合采购文件的关键性和重要要求、条款、条件、规定，且没有不利于项目实施质量效果和服务保障的重大偏离或保留。实质性条款包括但不限于本文件涉及的“质保期、完工期、付款方式、预算金额”及其它带“★”标注的强制响应条款。</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重大偏离或保留：是指影响到采购文件规定的范围、质量和性能或限制了采购人的权力和参与磋商与报价供应商义务的规定，而调整纠正这些偏离将直接影响到其它参与磋商与报价供应商的公平竞争地位。</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轻微偏离: 是指响应文件能够实质上响应采购文件要求，但在个别地方存在漏项或者提供了不完整的信息和数据等情况，并且补正这些遗漏或者不完整不会对其他参与磋商与报价的供应商造成不公平的结果。它包括负偏离（劣于）和正偏离(优于)。</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中小企业：依据《政府采购促进中小企业发展管理办法》（财库〔2020〕46号），包含中型、小型、微型企业，具体标准依据工信部联企业〔2011〕300号文件进行划分。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日期、天数、时间：未有特别说明时，均为公历日（天）及北京时间。</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合格的供应商、合格的产品和服务</w:t>
      </w:r>
      <w:bookmarkEnd w:id="96"/>
      <w:bookmarkEnd w:id="97"/>
      <w:bookmarkEnd w:id="98"/>
      <w:bookmarkEnd w:id="99"/>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bookmarkStart w:id="100" w:name="OLE_LINK1"/>
      <w:r>
        <w:rPr>
          <w:rFonts w:hint="default" w:ascii="Times New Roman" w:hAnsi="Times New Roman" w:cs="Times New Roman" w:eastAsiaTheme="minorEastAsia"/>
          <w:color w:val="auto"/>
          <w:highlight w:val="none"/>
        </w:rPr>
        <w:t>根据《政府采购法》第二十二条的要求，供应商参加政府采购活动应当具备下列条件：①具有独立承担民事责任的能力；②具有良好的商业信誉和健全的财务会计制度；③具有履行合同所必需的设备和专业技术能力；④具有依法缴纳税收和社会保障资金的良好记录；⑤参加本次政府采购活动前三年内，在经营活动中没有重大违法记录；⑥法律、行政法规规定的其他条件。</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在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供应商在参加政府采购活动前3年内因违法经营被禁止在一定期限内参加政府采购活动，期限届满的，可以参加政府采购活动。</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参与磋商与报价的供应商须在中国大陆境内经政府行业主管部门合法注册登记，符合政府采购法律、法规规定的必备条件，于本文件指定时效内均能满足响应资格及相关重要要求。</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根据财库2007[119]号文与财办库2008[248]号文关于政府采购进口产品管理的有关规定，未经核准同意，供应商参与磋商与报价时必须提供本国产品，供应商以进口产品参与磋商与报价的，将作无效响应处理。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中小企业须符合财库[2020]46号和工信部联企业〔2011〕300号文件关于中型、小型、微型企业的要求，且提供本企业制造的货物、承担的工程或者服务，或者提供其他中小企业制造的货物，但不包括使用大型企业注册商标的货物。</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采购代理机构领取采购文件的供应商进行报名登记备案，供应商经报名登记备案及递交响应文件后即成为合法的参与本项目磋商与报价的供应商。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参与磋商与报价的供应商应保证提交的资料合法真实且准确有效，如发现自身资料被盗用或复制，应遵循法律途径解决，追究侵权者责任。对同一家供应商递交两份响应文件或同一份响应文件中出现多家参与磋商与报价的供应商名称的，磋商小组将按采购文件中有关无效报价的规定处理。</w:t>
      </w:r>
    </w:p>
    <w:bookmarkEnd w:id="100"/>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所有涉及知识产权的产品及设计，供应商必须确保采购人拥有其合法的、不受限制的无偿使用权，并免受任何侵权诉讼或索偿，否则，由此产生的一切经济损失和法律责任由供应商承担。</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供应商获取了本采购文件并非意味着满足了合格、有效供应商的基本条件，一切均以磋商小组共同评定确认的结果为准。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不合格的供应商参与本项目的报价可认定为无效报价行为，对其提供的货物、工程和伴随服务，采购方拒绝为其承担任何责任义务，且不予支付任何费用。</w:t>
      </w:r>
    </w:p>
    <w:p>
      <w:pPr>
        <w:rPr>
          <w:rFonts w:hint="default" w:ascii="Times New Roman" w:hAnsi="Times New Roman" w:cs="Times New Roman" w:eastAsiaTheme="minorEastAsia"/>
          <w:color w:val="auto"/>
          <w:sz w:val="24"/>
          <w:highlight w:val="none"/>
        </w:rPr>
      </w:pPr>
    </w:p>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p>
      <w:pPr>
        <w:pStyle w:val="4"/>
        <w:numPr>
          <w:ilvl w:val="0"/>
          <w:numId w:val="6"/>
        </w:numPr>
        <w:ind w:left="575" w:hanging="575" w:hangingChars="179"/>
        <w:rPr>
          <w:rFonts w:hint="default" w:ascii="Times New Roman" w:hAnsi="Times New Roman" w:cs="Times New Roman" w:eastAsiaTheme="minorEastAsia"/>
          <w:color w:val="auto"/>
          <w:sz w:val="32"/>
          <w:highlight w:val="none"/>
        </w:rPr>
      </w:pPr>
      <w:bookmarkStart w:id="101" w:name="_招标文件说明"/>
      <w:bookmarkEnd w:id="101"/>
      <w:bookmarkStart w:id="102" w:name="_Toc373767192"/>
      <w:bookmarkStart w:id="103" w:name="_Toc20144973"/>
      <w:bookmarkStart w:id="104" w:name="_Toc20571353"/>
      <w:bookmarkStart w:id="105" w:name="_Toc32517"/>
      <w:bookmarkStart w:id="106" w:name="_Toc27277"/>
      <w:bookmarkStart w:id="107" w:name="_Toc325031935"/>
      <w:bookmarkStart w:id="108" w:name="_Toc113157422"/>
      <w:bookmarkStart w:id="109" w:name="_Toc525312044"/>
      <w:bookmarkStart w:id="110" w:name="_Toc259803662"/>
      <w:bookmarkStart w:id="111" w:name="_Toc310519879"/>
      <w:bookmarkStart w:id="112" w:name="_Toc31718"/>
      <w:bookmarkStart w:id="113" w:name="_Toc55812445"/>
      <w:bookmarkStart w:id="114" w:name="_Toc5578663"/>
      <w:bookmarkStart w:id="115" w:name="_Toc19090"/>
      <w:bookmarkStart w:id="116" w:name="_Toc419106556"/>
      <w:bookmarkStart w:id="117" w:name="_Toc20564607"/>
      <w:bookmarkStart w:id="118" w:name="_Toc49329254"/>
      <w:bookmarkStart w:id="119" w:name="_Toc11044"/>
      <w:bookmarkStart w:id="120" w:name="_Toc5575600"/>
      <w:bookmarkStart w:id="121" w:name="_Toc25913"/>
      <w:bookmarkStart w:id="122" w:name="_Toc20564519"/>
      <w:r>
        <w:rPr>
          <w:rFonts w:hint="default" w:ascii="Times New Roman" w:hAnsi="Times New Roman" w:cs="Times New Roman" w:eastAsiaTheme="minorEastAsia"/>
          <w:color w:val="auto"/>
          <w:sz w:val="32"/>
          <w:highlight w:val="none"/>
        </w:rPr>
        <w:t>采购文件说明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采购文件说明</w:t>
      </w:r>
    </w:p>
    <w:p>
      <w:pPr>
        <w:numPr>
          <w:ilvl w:val="1"/>
          <w:numId w:val="9"/>
        </w:numPr>
        <w:spacing w:line="360" w:lineRule="auto"/>
        <w:rPr>
          <w:highlight w:val="none"/>
        </w:rPr>
      </w:pPr>
      <w:bookmarkStart w:id="123" w:name="_Toc55812447"/>
      <w:bookmarkStart w:id="124" w:name="_Toc49329256"/>
      <w:r>
        <w:rPr>
          <w:rFonts w:hint="eastAsia"/>
          <w:highlight w:val="none"/>
        </w:rPr>
        <w:t>本文件是采购方阐明所实施的采购项目内容、响应规约等综合性文件，采购文件、响应文件、评审结果、合同书和相关承诺确认文件，均作为约束当事人行为的重要标准，各方当事人均应以最基本的职业道德和商业诚信履行自己应尽的责任义务。</w:t>
      </w:r>
    </w:p>
    <w:p>
      <w:pPr>
        <w:numPr>
          <w:ilvl w:val="1"/>
          <w:numId w:val="9"/>
        </w:numPr>
        <w:spacing w:line="360" w:lineRule="auto"/>
        <w:rPr>
          <w:highlight w:val="none"/>
        </w:rPr>
      </w:pPr>
      <w:r>
        <w:rPr>
          <w:rFonts w:hint="eastAsia"/>
          <w:highlight w:val="none"/>
        </w:rPr>
        <w:t>本文件的专业服务内容如涉及到有官方强制性要求或行业标准规范限制和禁止性内容时，应以官方强制性要求或行业标准规范为准；否则，以本采购文件约定的技术要求为准。</w:t>
      </w:r>
    </w:p>
    <w:p>
      <w:pPr>
        <w:numPr>
          <w:ilvl w:val="1"/>
          <w:numId w:val="9"/>
        </w:numPr>
        <w:spacing w:line="360" w:lineRule="auto"/>
        <w:rPr>
          <w:highlight w:val="none"/>
        </w:rPr>
      </w:pPr>
      <w:r>
        <w:rPr>
          <w:rFonts w:hint="eastAsia"/>
          <w:highlight w:val="none"/>
        </w:rPr>
        <w:t>本文件由电子文档制作，它由：</w:t>
      </w:r>
      <w:r>
        <w:rPr>
          <w:rFonts w:hint="eastAsia"/>
          <w:highlight w:val="none"/>
          <w:lang w:eastAsia="zh-CN"/>
        </w:rPr>
        <w:t>采购</w:t>
      </w:r>
      <w:r>
        <w:rPr>
          <w:rFonts w:hint="eastAsia"/>
          <w:highlight w:val="none"/>
        </w:rPr>
        <w:t>邀请函、采购项目</w:t>
      </w:r>
      <w:r>
        <w:rPr>
          <w:rFonts w:hint="eastAsia"/>
          <w:highlight w:val="none"/>
          <w:lang w:eastAsia="zh-CN"/>
        </w:rPr>
        <w:t>内容</w:t>
      </w:r>
      <w:r>
        <w:rPr>
          <w:rFonts w:hint="eastAsia"/>
          <w:highlight w:val="none"/>
        </w:rPr>
        <w:t>、供应商须知、合同书范本、响应文件格式共五部分组成。</w:t>
      </w:r>
    </w:p>
    <w:p>
      <w:pPr>
        <w:numPr>
          <w:ilvl w:val="1"/>
          <w:numId w:val="9"/>
        </w:numPr>
        <w:spacing w:line="360" w:lineRule="auto"/>
        <w:rPr>
          <w:highlight w:val="none"/>
        </w:rPr>
      </w:pPr>
      <w:r>
        <w:rPr>
          <w:rFonts w:hint="eastAsia"/>
          <w:b/>
          <w:bCs/>
          <w:highlight w:val="none"/>
        </w:rPr>
        <w:t>采购文件中重复描述的内容出现不一致时，均以文件中首次对该内容描述为准。</w:t>
      </w:r>
    </w:p>
    <w:p>
      <w:pPr>
        <w:numPr>
          <w:ilvl w:val="1"/>
          <w:numId w:val="9"/>
        </w:numPr>
        <w:spacing w:line="360" w:lineRule="auto"/>
        <w:rPr>
          <w:rFonts w:hint="eastAsia"/>
          <w:highlight w:val="none"/>
        </w:rPr>
      </w:pPr>
      <w:r>
        <w:rPr>
          <w:rFonts w:hint="eastAsia"/>
          <w:highlight w:val="none"/>
        </w:rPr>
        <w:t>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numPr>
          <w:ilvl w:val="0"/>
          <w:numId w:val="0"/>
        </w:numPr>
        <w:spacing w:line="360" w:lineRule="auto"/>
        <w:ind w:left="630" w:leftChars="300" w:firstLine="0" w:firstLineChars="0"/>
        <w:rPr>
          <w:rFonts w:hint="eastAsia"/>
          <w:highlight w:val="none"/>
        </w:rPr>
      </w:pPr>
      <w:r>
        <w:rPr>
          <w:rFonts w:hint="eastAsia"/>
          <w:highlight w:val="none"/>
        </w:rPr>
        <w:t>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numPr>
          <w:ilvl w:val="1"/>
          <w:numId w:val="9"/>
        </w:numPr>
        <w:spacing w:line="360" w:lineRule="auto"/>
        <w:rPr>
          <w:highlight w:val="none"/>
        </w:rPr>
      </w:pPr>
      <w:r>
        <w:rPr>
          <w:rFonts w:hint="eastAsia"/>
          <w:highlight w:val="none"/>
        </w:rPr>
        <w:t>供应商必须认真阅读理解本采购文件的各项要求，如有任何疑问经向采购方咨询后仍无法解决，应最迟在提交首次响应文件截止之日前5天，以书面形式【</w:t>
      </w:r>
      <w:r>
        <w:rPr>
          <w:highlight w:val="none"/>
        </w:rPr>
        <w:t>包括信函或传真等（应加盖公章），下同</w:t>
      </w:r>
      <w:r>
        <w:rPr>
          <w:rFonts w:hint="eastAsia"/>
          <w:highlight w:val="none"/>
        </w:rPr>
        <w:t>】向采购代理机构提出澄清要求，采购代理机构均将以书面形式及时予以回复。</w:t>
      </w:r>
    </w:p>
    <w:p>
      <w:pPr>
        <w:numPr>
          <w:ilvl w:val="0"/>
          <w:numId w:val="0"/>
        </w:numPr>
        <w:spacing w:line="360" w:lineRule="auto"/>
        <w:ind w:left="630" w:leftChars="300" w:firstLine="0"/>
        <w:rPr>
          <w:highlight w:val="none"/>
        </w:rPr>
      </w:pPr>
      <w:r>
        <w:rPr>
          <w:rFonts w:hint="eastAsia"/>
          <w:highlight w:val="none"/>
        </w:rPr>
        <w:t>供应商在规定的时间内未对磋商文件提出疑问、质疑或要求澄清的，将视其为无异议。对磋商文件中描述有歧义或前后不一致的地方，磋商小组有权进行评判，但对同一条款的评判应适用于每个供应商。</w:t>
      </w:r>
    </w:p>
    <w:p>
      <w:pPr>
        <w:numPr>
          <w:ilvl w:val="1"/>
          <w:numId w:val="9"/>
        </w:numPr>
        <w:spacing w:line="360" w:lineRule="auto"/>
        <w:rPr>
          <w:highlight w:val="none"/>
        </w:rPr>
      </w:pPr>
      <w:r>
        <w:rPr>
          <w:rFonts w:hint="eastAsia"/>
          <w:highlight w:val="none"/>
        </w:rPr>
        <w:t>采购代理机构在采购过程中，均有权要求参与磋商与报价的供应商或相关当事人就本项目的内容按时提交澄清说明或补充材料等，被通知的当事人须认真予以配合。</w:t>
      </w:r>
    </w:p>
    <w:p>
      <w:pPr>
        <w:numPr>
          <w:ilvl w:val="1"/>
          <w:numId w:val="9"/>
        </w:numPr>
        <w:spacing w:line="360" w:lineRule="auto"/>
        <w:rPr>
          <w:highlight w:val="none"/>
        </w:rPr>
      </w:pPr>
      <w:r>
        <w:rPr>
          <w:rFonts w:hint="eastAsia"/>
          <w:highlight w:val="none"/>
        </w:rPr>
        <w:t>采购过程中的一切补充文件一经确认后与主体源文件均具有同等法律效力，确认方均视为知悉无疑并依照最后确认的文件执行。一切要约承诺未经合意缔约方同意不得擅自变更、撤销或转让。</w:t>
      </w:r>
    </w:p>
    <w:p>
      <w:pPr>
        <w:numPr>
          <w:ilvl w:val="1"/>
          <w:numId w:val="9"/>
        </w:numPr>
        <w:spacing w:line="360" w:lineRule="auto"/>
        <w:rPr>
          <w:rFonts w:hint="eastAsia" w:ascii="Times New Roman" w:hAnsi="Times New Roman" w:eastAsia="宋体"/>
          <w:highlight w:val="none"/>
        </w:rPr>
      </w:pPr>
      <w:r>
        <w:rPr>
          <w:rFonts w:hint="eastAsia"/>
          <w:highlight w:val="none"/>
        </w:rPr>
        <w:t>对各类参数、条款事项成交注“★”号项为不可负偏离的重要参数要求，在磋商采购时须完全实质</w:t>
      </w:r>
      <w:r>
        <w:rPr>
          <w:rFonts w:hint="eastAsia" w:ascii="Times New Roman" w:hAnsi="Times New Roman" w:eastAsia="宋体"/>
          <w:highlight w:val="none"/>
        </w:rPr>
        <w:t>性响应，若其中一项出现负偏离时将作无效报价处理。</w:t>
      </w:r>
    </w:p>
    <w:p>
      <w:pPr>
        <w:numPr>
          <w:ilvl w:val="1"/>
          <w:numId w:val="9"/>
        </w:numPr>
        <w:spacing w:before="0" w:beforeLines="0" w:after="0" w:afterLines="0" w:line="360" w:lineRule="auto"/>
        <w:rPr>
          <w:rFonts w:hint="eastAsia" w:ascii="Times New Roman" w:hAnsi="Times New Roman" w:eastAsia="宋体"/>
          <w:highlight w:val="none"/>
        </w:rPr>
      </w:pPr>
      <w:r>
        <w:rPr>
          <w:rFonts w:hint="eastAsia" w:ascii="Times New Roman" w:hAnsi="Times New Roman" w:eastAsia="宋体"/>
          <w:highlight w:val="none"/>
        </w:rPr>
        <w:t>采购方在没有特别要求时，只允许参与磋商与报价的供应商提供唯一最具代表性和竞争力的报价方案，对提供含糊不清、不确定或可选的报价方案者均作无效报价处理。</w:t>
      </w:r>
    </w:p>
    <w:p>
      <w:pPr>
        <w:numPr>
          <w:ilvl w:val="1"/>
          <w:numId w:val="9"/>
        </w:numPr>
        <w:spacing w:before="0" w:beforeLines="0" w:after="0" w:afterLines="0" w:line="360" w:lineRule="auto"/>
        <w:rPr>
          <w:rFonts w:hint="eastAsia" w:ascii="Times New Roman" w:hAnsi="Times New Roman" w:eastAsia="宋体"/>
          <w:highlight w:val="none"/>
        </w:rPr>
      </w:pPr>
      <w:r>
        <w:rPr>
          <w:rFonts w:hint="eastAsia" w:ascii="Times New Roman" w:hAnsi="Times New Roman" w:eastAsia="宋体"/>
          <w:highlight w:val="none"/>
        </w:rPr>
        <w:t>不论磋商结果如何，供应商应承担所有与准备和参加磋商有关的费用。采购代理机构和采购人均无义务和责任承担相关费用。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bookmarkEnd w:id="123"/>
    <w:bookmarkEnd w:id="124"/>
    <w:p>
      <w:pPr>
        <w:pStyle w:val="4"/>
        <w:numPr>
          <w:ilvl w:val="0"/>
          <w:numId w:val="6"/>
        </w:numPr>
        <w:ind w:left="575" w:hanging="575" w:hangingChars="179"/>
        <w:rPr>
          <w:rFonts w:hint="default" w:ascii="Times New Roman" w:hAnsi="Times New Roman" w:cs="Times New Roman" w:eastAsiaTheme="minorEastAsia"/>
          <w:color w:val="auto"/>
          <w:sz w:val="32"/>
          <w:highlight w:val="none"/>
        </w:rPr>
      </w:pPr>
      <w:bookmarkStart w:id="125" w:name="_Toc373767193"/>
      <w:bookmarkStart w:id="126" w:name="_Toc21419"/>
      <w:bookmarkStart w:id="127" w:name="_Toc20332"/>
      <w:bookmarkStart w:id="128" w:name="_Toc13588"/>
      <w:bookmarkStart w:id="129" w:name="_Toc325031936"/>
      <w:bookmarkStart w:id="130" w:name="_Toc259803663"/>
      <w:bookmarkStart w:id="131" w:name="_Toc310519880"/>
      <w:bookmarkStart w:id="132" w:name="_Toc525312045"/>
      <w:bookmarkStart w:id="133" w:name="_Toc493"/>
      <w:bookmarkStart w:id="134" w:name="_Toc13038"/>
      <w:bookmarkStart w:id="135" w:name="_Toc30042"/>
      <w:bookmarkStart w:id="136" w:name="_Toc419106557"/>
      <w:r>
        <w:rPr>
          <w:rFonts w:hint="default" w:ascii="Times New Roman" w:hAnsi="Times New Roman" w:cs="Times New Roman" w:eastAsiaTheme="minorEastAsia"/>
          <w:color w:val="auto"/>
          <w:sz w:val="32"/>
          <w:highlight w:val="none"/>
        </w:rPr>
        <w:t>响应文件说明</w:t>
      </w:r>
      <w:bookmarkEnd w:id="125"/>
      <w:bookmarkEnd w:id="126"/>
      <w:bookmarkEnd w:id="127"/>
      <w:bookmarkEnd w:id="128"/>
      <w:bookmarkEnd w:id="129"/>
      <w:bookmarkEnd w:id="130"/>
      <w:bookmarkEnd w:id="131"/>
      <w:bookmarkEnd w:id="132"/>
      <w:bookmarkEnd w:id="133"/>
      <w:bookmarkEnd w:id="134"/>
      <w:bookmarkEnd w:id="135"/>
      <w:bookmarkEnd w:id="136"/>
    </w:p>
    <w:p>
      <w:pPr>
        <w:numPr>
          <w:ilvl w:val="0"/>
          <w:numId w:val="10"/>
        </w:numPr>
        <w:spacing w:before="0" w:beforeLines="0" w:after="0" w:afterLines="0" w:line="360" w:lineRule="auto"/>
        <w:ind w:left="624" w:hanging="624"/>
        <w:rPr>
          <w:rFonts w:hint="default" w:ascii="Times New Roman" w:hAnsi="Times New Roman" w:cs="Times New Roman"/>
          <w:b/>
          <w:color w:val="auto"/>
          <w:sz w:val="24"/>
          <w:szCs w:val="24"/>
          <w:highlight w:val="none"/>
        </w:rPr>
      </w:pPr>
      <w:bookmarkStart w:id="137" w:name="_Toc136682893"/>
      <w:bookmarkStart w:id="138" w:name="_Toc20564523"/>
      <w:bookmarkStart w:id="139" w:name="_Toc20144977"/>
      <w:bookmarkStart w:id="140" w:name="_Toc119321128"/>
      <w:bookmarkStart w:id="141" w:name="_Toc159385052"/>
      <w:bookmarkStart w:id="142" w:name="_Toc5575604"/>
      <w:bookmarkStart w:id="143" w:name="_Toc5578667"/>
      <w:bookmarkStart w:id="144" w:name="_Toc20564611"/>
      <w:bookmarkStart w:id="145" w:name="_Toc136662917"/>
      <w:bookmarkStart w:id="146" w:name="_Toc20571357"/>
      <w:bookmarkStart w:id="147" w:name="_Toc55812449"/>
      <w:bookmarkStart w:id="148" w:name="_Toc49329258"/>
      <w:r>
        <w:rPr>
          <w:rFonts w:hint="default" w:ascii="Times New Roman" w:hAnsi="Times New Roman" w:cs="Times New Roman"/>
          <w:b/>
          <w:color w:val="auto"/>
          <w:sz w:val="24"/>
          <w:szCs w:val="24"/>
          <w:highlight w:val="none"/>
        </w:rPr>
        <w:t>原则</w:t>
      </w:r>
      <w:bookmarkEnd w:id="137"/>
      <w:bookmarkEnd w:id="138"/>
      <w:bookmarkEnd w:id="139"/>
      <w:bookmarkEnd w:id="140"/>
      <w:bookmarkEnd w:id="141"/>
      <w:bookmarkEnd w:id="142"/>
      <w:bookmarkEnd w:id="143"/>
      <w:bookmarkEnd w:id="144"/>
      <w:bookmarkEnd w:id="145"/>
      <w:bookmarkEnd w:id="146"/>
    </w:p>
    <w:p>
      <w:pPr>
        <w:numPr>
          <w:ilvl w:val="1"/>
          <w:numId w:val="10"/>
        </w:numPr>
        <w:spacing w:beforeLines="0" w:afterLines="0" w:line="360" w:lineRule="auto"/>
        <w:ind w:left="624" w:hanging="624"/>
        <w:rPr>
          <w:rFonts w:hint="default" w:ascii="Times New Roman" w:hAnsi="Times New Roman" w:cs="Times New Roman"/>
          <w:color w:val="auto"/>
          <w:highlight w:val="none"/>
        </w:rPr>
      </w:pPr>
      <w:bookmarkStart w:id="149" w:name="_Toc136682894"/>
      <w:bookmarkStart w:id="150" w:name="_Toc136662918"/>
      <w:bookmarkStart w:id="151" w:name="_Toc119321129"/>
      <w:bookmarkStart w:id="152" w:name="_Toc159385053"/>
      <w:r>
        <w:rPr>
          <w:rFonts w:hint="default" w:ascii="Times New Roman" w:hAnsi="Times New Roman" w:cs="Times New Roman"/>
          <w:color w:val="auto"/>
          <w:highlight w:val="none"/>
        </w:rPr>
        <w:t>响应文件应突出重点，精简扼要。所提供的资料必须符合诚实信用、客观真实的原则，对弄虚作假或违背诚信的违法行为，应承担相应的后果及法律责任。</w:t>
      </w:r>
    </w:p>
    <w:p>
      <w:pPr>
        <w:numPr>
          <w:ilvl w:val="1"/>
          <w:numId w:val="10"/>
        </w:numPr>
        <w:spacing w:beforeLines="0" w:afterLines="0" w:line="360" w:lineRule="auto"/>
        <w:ind w:left="624" w:hanging="624"/>
        <w:rPr>
          <w:rFonts w:hint="default" w:ascii="Times New Roman" w:hAnsi="Times New Roman" w:cs="Times New Roman"/>
          <w:color w:val="auto"/>
          <w:highlight w:val="none"/>
        </w:rPr>
      </w:pPr>
      <w:r>
        <w:rPr>
          <w:rFonts w:hint="default" w:ascii="Times New Roman" w:hAnsi="Times New Roman" w:cs="Times New Roman"/>
          <w:color w:val="auto"/>
          <w:highlight w:val="none"/>
        </w:rPr>
        <w:t>无论采购结果如何，供应商自行承担因参加本次磋商而发生的一切费用。采购机构对参与磋商与报价的供应商及其他当事人不承担任何形式的赔偿或补偿。</w:t>
      </w:r>
    </w:p>
    <w:p>
      <w:pPr>
        <w:numPr>
          <w:ilvl w:val="0"/>
          <w:numId w:val="10"/>
        </w:numPr>
        <w:spacing w:before="0" w:beforeLines="0" w:after="0" w:afterLines="0" w:line="360" w:lineRule="auto"/>
        <w:ind w:left="624" w:hanging="624"/>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响应文件的组成与制作要求</w:t>
      </w:r>
      <w:bookmarkEnd w:id="149"/>
      <w:bookmarkEnd w:id="150"/>
      <w:bookmarkEnd w:id="151"/>
      <w:bookmarkEnd w:id="152"/>
    </w:p>
    <w:p>
      <w:pPr>
        <w:numPr>
          <w:ilvl w:val="1"/>
          <w:numId w:val="10"/>
        </w:numPr>
        <w:spacing w:line="360" w:lineRule="auto"/>
        <w:rPr>
          <w:rFonts w:hint="default" w:ascii="Times New Roman" w:hAnsi="Times New Roman" w:cs="Times New Roman"/>
          <w:color w:val="auto"/>
          <w:highlight w:val="none"/>
        </w:rPr>
      </w:pPr>
      <w:bookmarkStart w:id="153" w:name="_Toc159385054"/>
      <w:bookmarkStart w:id="154" w:name="_Toc136662919"/>
      <w:bookmarkStart w:id="155" w:name="_Toc136682895"/>
      <w:bookmarkStart w:id="156" w:name="_Toc119321130"/>
      <w:r>
        <w:rPr>
          <w:rFonts w:hint="default" w:ascii="Times New Roman" w:hAnsi="Times New Roman" w:cs="Times New Roman"/>
          <w:color w:val="auto"/>
          <w:highlight w:val="none"/>
        </w:rPr>
        <w:t>响应文件由资格性文件、评审内容索引、商务技术部分、</w:t>
      </w:r>
      <w:r>
        <w:rPr>
          <w:rFonts w:hint="default" w:ascii="Times New Roman" w:hAnsi="Times New Roman" w:cs="Times New Roman"/>
          <w:color w:val="auto"/>
          <w:highlight w:val="none"/>
          <w:lang w:eastAsia="zh-CN"/>
        </w:rPr>
        <w:t>其他</w:t>
      </w:r>
      <w:r>
        <w:rPr>
          <w:rFonts w:hint="default" w:ascii="Times New Roman" w:hAnsi="Times New Roman" w:cs="Times New Roman"/>
          <w:color w:val="auto"/>
          <w:highlight w:val="none"/>
        </w:rPr>
        <w:t>共</w:t>
      </w:r>
      <w:r>
        <w:rPr>
          <w:rFonts w:hint="default" w:ascii="Times New Roman" w:hAnsi="Times New Roman" w:cs="Times New Roman"/>
          <w:color w:val="auto"/>
          <w:highlight w:val="none"/>
          <w:lang w:eastAsia="zh-CN"/>
        </w:rPr>
        <w:t>四</w:t>
      </w:r>
      <w:r>
        <w:rPr>
          <w:rFonts w:hint="default" w:ascii="Times New Roman" w:hAnsi="Times New Roman" w:cs="Times New Roman"/>
          <w:color w:val="auto"/>
          <w:highlight w:val="none"/>
        </w:rPr>
        <w:t>部分组成，具体按采购文件中第五部分“响应文件格式”的要求以A4版面统一编制。</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响应文件的制作、不同文字文本的释义均以简体中文文本为准，重要的外文资料须附有中文译注。</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响应文件所使用的公章必须为机构公章，且与参与磋商与报价的供应商名称一致，不能以其它业务章或附属机构章代替。需签名之处必须由当事人亲笔签署。</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《响应承诺函》、《法人（负责人）授权书》、《守法经营声明书》的格式内容不允许擅自删改。</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响应文件自制部分必须打印，每份内页须按序加注页码，整册装订牢固可靠且不能轻易脱落。如因装订问题而出现漏页或缺页，由此产生的一切后果由供应商自行承担。</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任何行间插字、涂改和增删，必须由供应商授权代表在旁边签字或加盖供应商公章后方为有效。</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唱标信封必须与响应文件【正、副本】分开单独密封，并应在规定时间内同时递交，每份密封文件应在封口处加盖供应商公章。“电子文档”（光盘）表面须标明供应商名称，并加盖公章，密封于唱标信封之内。包装文件的封口处须加盖供应商公章或授权代表签名，每一份响应文件上应明确注明“正本”或“副本”字样。</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所有密封文件封套正面统一按“响应文件包装袋封面”格式填写标贴。</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采购机构有权拒绝接受报价的情形：以电报、电话传真形式响应；密封、数量、规格、册装不合要求或逾期提交的响应文件；不按要求提供重要物证资料。</w:t>
      </w:r>
    </w:p>
    <w:p>
      <w:pPr>
        <w:numPr>
          <w:ilvl w:val="0"/>
          <w:numId w:val="10"/>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响应报价</w:t>
      </w:r>
      <w:bookmarkEnd w:id="153"/>
      <w:bookmarkEnd w:id="154"/>
      <w:bookmarkEnd w:id="155"/>
      <w:bookmarkEnd w:id="156"/>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任何报价是以参与磋商与报价的供应商可独立履行项目合同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报价总价之内。</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对超出常规、具有特别意义的报价，或报价明显低于成本价或高于同业同期市场平均价时须作出重点说明，详述其理由和依据。</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在提交首次响应文件时间截止后至响应有效期截止前的任何报价为固定不变价，此报价将作为评审的重要依据之一，但并不是确定中标（成交）供应商的唯一依据。</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响应报价提出有折扣优惠者，以折扣后的最终优惠价为准。</w:t>
      </w:r>
    </w:p>
    <w:p>
      <w:pPr>
        <w:numPr>
          <w:ilvl w:val="0"/>
          <w:numId w:val="10"/>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响应文件差异修正准则</w:t>
      </w:r>
    </w:p>
    <w:p>
      <w:pPr>
        <w:spacing w:beforeLines="0" w:afterLines="0" w:line="360" w:lineRule="auto"/>
        <w:ind w:firstLine="630" w:firstLineChars="300"/>
        <w:rPr>
          <w:rFonts w:hint="default" w:ascii="Times New Roman" w:hAnsi="Times New Roman" w:cs="Times New Roman"/>
          <w:color w:val="auto"/>
          <w:highlight w:val="none"/>
        </w:rPr>
      </w:pPr>
      <w:bookmarkStart w:id="157" w:name="_Toc159385055"/>
      <w:bookmarkStart w:id="158" w:name="_Toc136682896"/>
      <w:bookmarkStart w:id="159" w:name="_Toc136662920"/>
      <w:bookmarkStart w:id="160" w:name="_Toc119321131"/>
      <w:r>
        <w:rPr>
          <w:rFonts w:hint="default" w:ascii="Times New Roman" w:hAnsi="Times New Roman" w:cs="Times New Roman"/>
          <w:color w:val="auto"/>
          <w:kern w:val="0"/>
          <w:szCs w:val="20"/>
          <w:highlight w:val="none"/>
        </w:rPr>
        <w:t>响应文件出现差异时，修正原则如下：</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公开唱读内容与响应文件对应内容不一致，均以公开唱读内容为准。正本和副本之间内容有差异，以正本为准；</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报价汇总表与分项明细表或其它相关报价表的报价不一致时，均以报价汇总表为准；</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报价汇总表中各分项报价之和与总价不一致时，以单价修正总价；</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分项明细表中的单价与对应的合计价不相符时，以单价为准，修正对应的该项合计价；</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中文大写与小写数值标注价格不一致，以中文大写表示的报价为准；</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响应文件描述内容与原始材料引述内容不一致时，以原始材料内容为准；</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对出现以上情况或因明显笔误而需修正任何内容时，均以磋商小组审定通过方为有效；</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磋商小组认定为表述不清晰或无法确定的报价均不予修正。</w:t>
      </w:r>
    </w:p>
    <w:bookmarkEnd w:id="157"/>
    <w:bookmarkEnd w:id="158"/>
    <w:bookmarkEnd w:id="159"/>
    <w:bookmarkEnd w:id="160"/>
    <w:p>
      <w:pPr>
        <w:numPr>
          <w:ilvl w:val="0"/>
          <w:numId w:val="10"/>
        </w:numPr>
        <w:spacing w:before="0" w:beforeLines="0" w:after="0" w:afterLines="0" w:line="360" w:lineRule="auto"/>
        <w:rPr>
          <w:rFonts w:hint="default" w:ascii="Times New Roman" w:hAnsi="Times New Roman" w:cs="Times New Roman"/>
          <w:b/>
          <w:color w:val="auto"/>
          <w:sz w:val="24"/>
          <w:szCs w:val="24"/>
          <w:highlight w:val="none"/>
        </w:rPr>
      </w:pPr>
      <w:bookmarkStart w:id="161" w:name="_Toc136662921"/>
      <w:bookmarkStart w:id="162" w:name="_Toc136682897"/>
      <w:bookmarkStart w:id="163" w:name="_Toc119321132"/>
      <w:bookmarkStart w:id="164" w:name="_Toc159385056"/>
      <w:r>
        <w:rPr>
          <w:rFonts w:hint="default" w:ascii="Times New Roman" w:hAnsi="Times New Roman" w:cs="Times New Roman"/>
          <w:b/>
          <w:color w:val="auto"/>
          <w:sz w:val="24"/>
          <w:szCs w:val="24"/>
          <w:highlight w:val="none"/>
        </w:rPr>
        <w:t>响应有效期</w:t>
      </w:r>
      <w:bookmarkEnd w:id="161"/>
      <w:bookmarkEnd w:id="162"/>
      <w:bookmarkEnd w:id="163"/>
      <w:bookmarkEnd w:id="164"/>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有效期为自递交响应文件起至确定正式中标（成交）供应商止不少于90天，成交单位响应有效期则顺延至项目完成验收之日，在此有效期内未经采购人或采购代理机构同意，响应文件的一切内容和补充承诺均为持续有效且不予改变。</w:t>
      </w:r>
    </w:p>
    <w:p>
      <w:pPr>
        <w:numPr>
          <w:ilvl w:val="1"/>
          <w:numId w:val="10"/>
        </w:numPr>
        <w:spacing w:beforeLines="0" w:afterLines="0"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color w:val="auto"/>
          <w:highlight w:val="none"/>
        </w:rPr>
        <w:t>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numPr>
          <w:ilvl w:val="1"/>
          <w:numId w:val="10"/>
        </w:numPr>
        <w:spacing w:beforeLines="0" w:afterLines="0"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p>
      <w:pPr>
        <w:rPr>
          <w:rFonts w:hint="default" w:ascii="Times New Roman" w:hAnsi="Times New Roman" w:cs="Times New Roman" w:eastAsiaTheme="minorEastAsia"/>
          <w:color w:val="auto"/>
          <w:sz w:val="24"/>
          <w:highlight w:val="none"/>
        </w:rPr>
      </w:pPr>
    </w:p>
    <w:bookmarkEnd w:id="147"/>
    <w:bookmarkEnd w:id="148"/>
    <w:p>
      <w:pPr>
        <w:pStyle w:val="4"/>
        <w:numPr>
          <w:ilvl w:val="0"/>
          <w:numId w:val="6"/>
        </w:numPr>
        <w:ind w:left="575" w:hanging="575" w:hangingChars="179"/>
        <w:rPr>
          <w:rFonts w:hint="default" w:ascii="Times New Roman" w:hAnsi="Times New Roman" w:cs="Times New Roman" w:eastAsiaTheme="minorEastAsia"/>
          <w:color w:val="auto"/>
          <w:sz w:val="32"/>
          <w:highlight w:val="none"/>
        </w:rPr>
      </w:pPr>
      <w:bookmarkStart w:id="165" w:name="_Toc325031937"/>
      <w:bookmarkStart w:id="166" w:name="_Toc373767194"/>
      <w:bookmarkStart w:id="167" w:name="_Toc13972"/>
      <w:bookmarkStart w:id="168" w:name="_Toc10345"/>
      <w:bookmarkStart w:id="169" w:name="_Toc23089"/>
      <w:bookmarkStart w:id="170" w:name="_Toc525312046"/>
      <w:bookmarkStart w:id="171" w:name="_Toc310519881"/>
      <w:bookmarkStart w:id="172" w:name="_Toc7882"/>
      <w:bookmarkStart w:id="173" w:name="_Toc22428"/>
      <w:bookmarkStart w:id="174" w:name="_Toc113157424"/>
      <w:bookmarkStart w:id="175" w:name="_Toc419106558"/>
      <w:bookmarkStart w:id="176" w:name="_Toc259803664"/>
      <w:bookmarkStart w:id="177" w:name="_Toc14981"/>
      <w:r>
        <w:rPr>
          <w:rFonts w:hint="default" w:ascii="Times New Roman" w:hAnsi="Times New Roman" w:cs="Times New Roman" w:eastAsiaTheme="minorEastAsia"/>
          <w:color w:val="auto"/>
          <w:sz w:val="32"/>
          <w:highlight w:val="none"/>
          <w:lang w:eastAsia="zh-CN"/>
        </w:rPr>
        <w:t>开标、</w:t>
      </w:r>
      <w:r>
        <w:rPr>
          <w:rFonts w:hint="default" w:ascii="Times New Roman" w:hAnsi="Times New Roman" w:cs="Times New Roman" w:eastAsiaTheme="minorEastAsia"/>
          <w:color w:val="auto"/>
          <w:sz w:val="32"/>
          <w:highlight w:val="none"/>
        </w:rPr>
        <w:t>磋商小组的组成及评审程序</w:t>
      </w:r>
      <w:bookmarkEnd w:id="165"/>
      <w:bookmarkEnd w:id="166"/>
      <w:bookmarkEnd w:id="167"/>
      <w:bookmarkEnd w:id="168"/>
      <w:bookmarkEnd w:id="169"/>
      <w:bookmarkEnd w:id="170"/>
      <w:bookmarkEnd w:id="171"/>
      <w:bookmarkEnd w:id="172"/>
      <w:bookmarkEnd w:id="173"/>
      <w:bookmarkEnd w:id="174"/>
      <w:bookmarkEnd w:id="175"/>
      <w:bookmarkEnd w:id="176"/>
      <w:bookmarkEnd w:id="177"/>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bookmarkStart w:id="178" w:name="_Toc136682900"/>
      <w:bookmarkStart w:id="179" w:name="_Toc119321135"/>
      <w:bookmarkStart w:id="180" w:name="_Toc136662924"/>
      <w:bookmarkStart w:id="181" w:name="_Toc159385059"/>
      <w:bookmarkStart w:id="182" w:name="_Toc55812451"/>
      <w:bookmarkStart w:id="183" w:name="_Toc49329260"/>
      <w:bookmarkStart w:id="184" w:name="_Toc34704904"/>
      <w:bookmarkStart w:id="185" w:name="_Toc113157425"/>
      <w:bookmarkStart w:id="186" w:name="_Toc31703"/>
      <w:bookmarkStart w:id="187" w:name="_Toc3904"/>
      <w:bookmarkStart w:id="188" w:name="_Toc8479"/>
      <w:bookmarkStart w:id="189" w:name="_Toc31394"/>
      <w:bookmarkStart w:id="190" w:name="_Toc26088"/>
      <w:bookmarkStart w:id="191" w:name="_Toc4952"/>
      <w:r>
        <w:rPr>
          <w:rFonts w:hint="default" w:ascii="Times New Roman" w:hAnsi="Times New Roman" w:cs="Times New Roman"/>
          <w:b/>
          <w:color w:val="auto"/>
          <w:sz w:val="24"/>
          <w:szCs w:val="24"/>
          <w:highlight w:val="none"/>
        </w:rPr>
        <w:t>磋商小组的组成及评审工作要求</w:t>
      </w:r>
      <w:bookmarkEnd w:id="178"/>
      <w:bookmarkEnd w:id="179"/>
      <w:bookmarkEnd w:id="180"/>
      <w:bookmarkEnd w:id="181"/>
    </w:p>
    <w:p>
      <w:pPr>
        <w:numPr>
          <w:ilvl w:val="1"/>
          <w:numId w:val="11"/>
        </w:numPr>
        <w:spacing w:beforeLines="0" w:afterLines="0" w:line="360" w:lineRule="auto"/>
        <w:rPr>
          <w:rFonts w:hint="default" w:ascii="Times New Roman" w:hAnsi="Times New Roman" w:cs="Times New Roman"/>
          <w:color w:val="auto"/>
          <w:highlight w:val="none"/>
        </w:rPr>
      </w:pPr>
      <w:bookmarkStart w:id="192" w:name="_Toc136682901"/>
      <w:bookmarkStart w:id="193" w:name="_Toc159385060"/>
      <w:bookmarkStart w:id="194" w:name="_Toc119321136"/>
      <w:bookmarkStart w:id="195" w:name="_Toc136662925"/>
      <w:r>
        <w:rPr>
          <w:rFonts w:hint="default" w:ascii="Times New Roman" w:hAnsi="Times New Roman" w:cs="Times New Roman"/>
          <w:color w:val="auto"/>
          <w:highlight w:val="none"/>
        </w:rPr>
        <w:t xml:space="preserve">采购代理机构根据项目的特点和专业技术要求依法组建磋商小组，其成员为3人以上单数，由其他技术、经济等方面的专家组成，专家成员在开标前一天从专家库中抽选产生。 </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小组将本着公平、公正、科学、择优的原则，严格按照法律法规和采购文件的要求推荐评审结果。如发现磋商小组的工作明显偏离采购文件的要求，或违反国家法律法规，采购代理机构可会同监管部门有权解散磋商小组，重新组织招标或评标，并依法追究有关人员的法律责任。</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磋商小组的工作要求</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评审开始前，磋商小组应确认磋商文件。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磋商过程中，磋商小组可以根据磋商文件和磋商情况对采购需求中技术要求以及合同书范本中的条款作出实质性变动，但不得变动磋商文件的其他内容或已明确不允许实质性变动的内容及最低要求。现场修改的内容须经采购人代表确认后，以书面形式同时通知所有参加磋商的供应商。磋商小组对磋商文件作出的实质性变动是磋商文件的有效组成部分。</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评审期间，磋商小组应客观、公正地审查供应商提交的响应文件并作出评价，必要时可要求供应商解释或者澄清其响应文件；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小组判断响应文件的有效性、合格性和响应情况，仅依赖于供应商最基本的商业诚信和所递交一切文件的真实表述，不额外主动寻求外部证据，不受与本项目无直接关联的外部信息、传言而影响自身的专业判断。</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各方当事人、专家成员如对磋商文件、响应文件及相关补充文件的理解存有歧义时，磋商小组可对这些文件或向有关方面进行查证了解质询，通过集体讨论或表决达成一致处理意见。任何形式的决定，须以合法公正和有利于项目的安全顺利实施为前提。</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根据法律法规相关规定，磋商小组成员和与评审活动有关的人员不得泄露有关响应文件的评审和比较、成交候选供应商的推荐以及与评审有关的其他情况。如在评审过程中发现的供应商的违法违规行为，应及时告知采购人、采购代理机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评审结束后，磋商小组应负责评审报告的编写。</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响应文件的撤回</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在提交响应文件截止时间前，供应商可以修改或撤回响应文件，并于提交响应文件截止时间前</w:t>
      </w:r>
      <w:r>
        <w:rPr>
          <w:rFonts w:hint="eastAsia" w:ascii="Times New Roman" w:hAnsi="Times New Roman" w:cs="Times New Roman"/>
          <w:color w:val="auto"/>
          <w:highlight w:val="none"/>
          <w:lang w:eastAsia="zh-CN"/>
        </w:rPr>
        <w:t>重新提交</w:t>
      </w:r>
      <w:r>
        <w:rPr>
          <w:rFonts w:hint="default" w:ascii="Times New Roman" w:hAnsi="Times New Roman" w:cs="Times New Roman"/>
          <w:color w:val="auto"/>
          <w:highlight w:val="none"/>
        </w:rPr>
        <w:t>修改后的响应文件，到达响应文件提交截止时间后，将不允许修改或撤回。在提交响应文件截止时间后，供应商不得补充、修改和更换响应文件。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供应商在提交首次响应文件后，在最后报价之前退出磋商的，均视为其撤回已提交的所有响应文件，并应书面通知采购人和采购代理机构。</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有关磋商的约定</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供应商授权代表必须在规定时间内到达评审现场处理磋商及报价的相关事宜，对于在规定的合理时间内未能到达评审会现场的，该供应商将被视为自动放弃磋商及报价。</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评审过程中，供应商的授权代表应听从组织方的安排轮侯出席磋商，按照磋商文件的变动情况和磋商小组的要求重新提交响应文件，并由其法定代表人或授权代表签字或者加盖公章，其现场所确认的文件均代表供应商的真实意愿和决定，并作为响应文件的补充内容具有不可撤消更改的法律效力。</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递交首次响应文件后，在提交最后报价之前，供应商可以根据评审情况退出磋商。</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供应商有以下情况的不得再参加同一项目的重新采购活动：</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项目评审开始后，未对磋商文件作出实质性修改时，撤回响应文件或退出磋商的；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对实质性变动内容作出响应并已重新提交响应文件，在提交最后报价之前退出磋商的；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在提交最后报价之后，退出磋商的；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除不可抗力等因素外，成交通知书发出后，供应商拒绝签订政府采购合同的。</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评审流程与相关事项</w:t>
      </w:r>
      <w:bookmarkEnd w:id="192"/>
      <w:bookmarkEnd w:id="193"/>
      <w:bookmarkEnd w:id="194"/>
      <w:bookmarkEnd w:id="195"/>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磋商小组确认磋商文件。磋商文件通过磋商小组集体会签确认后，磋商小组成员则统一严格按其内容和要求进入下列评审程序。</w:t>
      </w:r>
    </w:p>
    <w:p>
      <w:pPr>
        <w:numPr>
          <w:ilvl w:val="1"/>
          <w:numId w:val="11"/>
        </w:numPr>
        <w:spacing w:beforeLines="0" w:afterLines="0" w:line="360" w:lineRule="auto"/>
        <w:rPr>
          <w:rFonts w:hint="default" w:ascii="Times New Roman" w:hAnsi="Times New Roman" w:cs="Times New Roman"/>
          <w:color w:val="auto"/>
          <w:highlight w:val="none"/>
        </w:rPr>
      </w:pPr>
      <w:r>
        <w:rPr>
          <w:rFonts w:hint="eastAsia"/>
          <w:highlight w:val="none"/>
        </w:rPr>
        <w:t>签署通过《评审现场纪律》。《评审现场纪律》一旦通过集体会签确认后，磋商小组成员则统一严格按《评审现场纪律》的内容和要求进入下列评审程序。</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资格性审查内容：</w:t>
      </w:r>
      <w:r>
        <w:rPr>
          <w:rFonts w:hint="default" w:ascii="Times New Roman" w:hAnsi="Times New Roman" w:cs="Times New Roman"/>
          <w:color w:val="auto"/>
          <w:highlight w:val="none"/>
        </w:rPr>
        <w:t>由磋商小组对照磋商文件中的“资格性文件清单”要求，在满足完整和有效的前提下，核定资格符合的供应商名单。符合资格的供应商将被确定为邀请磋商的对象。</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符合性审查内容：</w:t>
      </w:r>
      <w:r>
        <w:rPr>
          <w:rFonts w:hint="default" w:ascii="Times New Roman" w:hAnsi="Times New Roman" w:cs="Times New Roman"/>
          <w:color w:val="auto"/>
          <w:highlight w:val="none"/>
        </w:rPr>
        <w:t>对照本项目的服务、商务、预算金额及文件制作要求，审查响应文件是否完全实质性响应采购文件的要求，没有出现重大偏离。</w:t>
      </w:r>
    </w:p>
    <w:p>
      <w:pPr>
        <w:numPr>
          <w:ilvl w:val="1"/>
          <w:numId w:val="11"/>
        </w:numPr>
        <w:spacing w:beforeLines="0" w:afterLines="0" w:line="360" w:lineRule="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符合性审查内容如下：</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1"/>
        <w:gridCol w:w="3839"/>
        <w:gridCol w:w="4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spacing w:beforeLines="0" w:afterLines="0"/>
              <w:ind w:left="0" w:leftChars="0" w:right="0" w:rightChars="0"/>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83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spacing w:beforeLines="0" w:afterLines="0"/>
              <w:ind w:left="0" w:leftChars="0" w:right="0" w:rightChars="0"/>
              <w:rPr>
                <w:rFonts w:hint="default" w:ascii="Times New Roman" w:hAnsi="Times New Roman" w:cs="Times New Roman"/>
                <w:color w:val="auto"/>
                <w:highlight w:val="none"/>
              </w:rPr>
            </w:pPr>
            <w:r>
              <w:rPr>
                <w:rFonts w:hint="default" w:ascii="Times New Roman" w:hAnsi="Times New Roman" w:cs="Times New Roman"/>
                <w:color w:val="auto"/>
                <w:highlight w:val="none"/>
              </w:rPr>
              <w:t>审  查  内  容</w:t>
            </w:r>
          </w:p>
        </w:tc>
        <w:tc>
          <w:tcPr>
            <w:tcW w:w="486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spacing w:beforeLines="0" w:afterLines="0"/>
              <w:ind w:left="0" w:leftChars="0" w:right="0" w:rightChars="0"/>
              <w:rPr>
                <w:rFonts w:hint="default" w:ascii="Times New Roman" w:hAnsi="Times New Roman" w:cs="Times New Roman"/>
                <w:color w:val="auto"/>
                <w:highlight w:val="none"/>
              </w:rPr>
            </w:pPr>
            <w:r>
              <w:rPr>
                <w:rFonts w:hint="default" w:ascii="Times New Roman" w:hAnsi="Times New Roman" w:cs="Times New Roman"/>
                <w:color w:val="auto"/>
                <w:highlight w:val="none"/>
              </w:rPr>
              <w:t>评  审  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响应文件制作</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符合响应文件编制格式基本要求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《响应文件说明》</w:t>
            </w:r>
          </w:p>
          <w:p>
            <w:pPr>
              <w:pStyle w:val="10"/>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中必须提交的文件</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各文件格式、数量及内容均完整有效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报价内容的有效性</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符合报价规定范围且无缺漏项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无采购文件规定的投标无效情况</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无采购文件规定的投标无效情况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jc w:val="center"/>
        </w:trPr>
        <w:tc>
          <w:tcPr>
            <w:tcW w:w="93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审查结论评定依据：</w:t>
            </w:r>
          </w:p>
          <w:p>
            <w:pPr>
              <w:widowControl/>
              <w:spacing w:beforeLines="0" w:afterLines="0"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以上各项均评定为“符合或合格”时，符合性审查结论为“合格”；若任何一项出现“不符合或不合格”时，则符合性审查结论为“不合格”。</w:t>
            </w:r>
          </w:p>
        </w:tc>
      </w:tr>
    </w:tbl>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资格性审查和符合性审查由磋商小组以记名方式独立表决，并以少数服从多数的原则确定审查结果。</w:t>
      </w:r>
      <w:r>
        <w:rPr>
          <w:rFonts w:hint="default" w:ascii="Times New Roman" w:hAnsi="Times New Roman" w:cs="Times New Roman"/>
          <w:color w:val="auto"/>
          <w:highlight w:val="none"/>
        </w:rPr>
        <w:t>被审定为 “未实质性响应采购文件”时，磋商小组将通知供应商代表亲自到达现场，由当事人对被列举的事实加以核证和确认。未实质性响应采购文件的响应文件按无效处理，将不进入下列程序。</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质询与澄清：</w:t>
      </w:r>
      <w:r>
        <w:rPr>
          <w:rFonts w:hint="default" w:ascii="Times New Roman" w:hAnsi="Times New Roman" w:cs="Times New Roman"/>
          <w:color w:val="auto"/>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竞争性磋商：</w:t>
      </w:r>
      <w:r>
        <w:rPr>
          <w:rFonts w:hint="default" w:ascii="Times New Roman" w:hAnsi="Times New Roman" w:cs="Times New Roman"/>
          <w:color w:val="auto"/>
          <w:highlight w:val="none"/>
        </w:rPr>
        <w:t>磋商小组所有成员与实质性响应磋商文件的供应商分别进行磋商。在磋商过程中，磋商小组对采购文件有变动的。被供应商应当按照采购文件的变动情况和磋商小组的要求重新提交响应文件，并由其法定代表人或授权代表签字或者加盖公章。磋商小组对采购文件作出的实质性变动是磋商文件的有效组成部分。</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已提交响应文件的供应商，在提交最后报价之前，可以根据情况退出磋商。供应商在最终报价前退出磋商的其响应文件及承诺函不予退回。</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结束后，磋商小组将召集所有继续参加磋商且对由磋商小组最终确定的采购文件作出实质性响应的供应商提交最后报价。提交最后报价的供应商应不少于三家，但符合《政府采购竞争性磋商采购方式管理暂行办法》第二十一条第三款规定的情形除外。根据《财政部关于政府采购竞争性磋商采购方式管理暂行办法有关问题的补充通知》要求，采用竞争性磋商采购方式采购的政府购买服务项目（含政府和社会资本合作项目），在采购过程中符合要求的供应商（社会资本）只有2家的，竞争性磋商采购活动可以继续进行。</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最后报价：</w:t>
      </w:r>
      <w:r>
        <w:rPr>
          <w:rFonts w:hint="eastAsia" w:ascii="Times New Roman" w:hAnsi="Times New Roman" w:cs="Times New Roman"/>
          <w:b/>
          <w:color w:val="auto"/>
          <w:highlight w:val="none"/>
          <w:lang w:eastAsia="zh-CN"/>
        </w:rPr>
        <w:t>本项目第二次报价即为最后报价，</w:t>
      </w:r>
      <w:r>
        <w:rPr>
          <w:rFonts w:hint="default" w:ascii="Times New Roman" w:hAnsi="Times New Roman" w:cs="Times New Roman"/>
          <w:color w:val="auto"/>
          <w:highlight w:val="none"/>
        </w:rPr>
        <w:t>最后报价在规定的时间内现场封闭式进行，一般情况下最后报价不得高于初次报价，但磋商小组对采购文件作出可能影响报价的实质性变动时，经磋商小组同意的情形除外。</w:t>
      </w:r>
    </w:p>
    <w:p>
      <w:pPr>
        <w:numPr>
          <w:ilvl w:val="1"/>
          <w:numId w:val="11"/>
        </w:numPr>
        <w:spacing w:beforeLines="0" w:afterLines="0"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综合评审：经磋商小组确定最终采购需求和提交最后报价的供应商后，由磋商小组采用综合评分法对提交最后报价的供应商的响应文件和最后报价进行综合评分。具体评审标准详见“五、</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DOCVARIABLE  评审方法开始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end"/>
      </w:r>
      <w:r>
        <w:rPr>
          <w:rFonts w:hint="default" w:ascii="Times New Roman" w:hAnsi="Times New Roman" w:cs="Times New Roman"/>
          <w:b/>
          <w:color w:val="auto"/>
          <w:highlight w:val="none"/>
        </w:rPr>
        <w:t>评审方法及标准”。</w:t>
      </w:r>
    </w:p>
    <w:p>
      <w:pPr>
        <w:numPr>
          <w:ilvl w:val="1"/>
          <w:numId w:val="11"/>
        </w:numPr>
        <w:spacing w:line="360" w:lineRule="auto"/>
        <w:rPr>
          <w:rFonts w:hint="default" w:ascii="Times New Roman" w:hAnsi="Times New Roman" w:cs="Times New Roman"/>
          <w:b w:val="0"/>
          <w:bCs/>
          <w:color w:val="auto"/>
          <w:highlight w:val="none"/>
        </w:rPr>
      </w:pPr>
      <w:r>
        <w:rPr>
          <w:rFonts w:hint="default" w:ascii="Times New Roman" w:hAnsi="Times New Roman" w:cs="Times New Roman"/>
          <w:b/>
          <w:color w:val="auto"/>
          <w:highlight w:val="none"/>
        </w:rPr>
        <w:t>关于中小微企业响应：</w:t>
      </w:r>
      <w:r>
        <w:rPr>
          <w:rFonts w:hint="default" w:ascii="Times New Roman" w:hAnsi="Times New Roman" w:cs="Times New Roman"/>
          <w:b w:val="0"/>
          <w:bCs/>
          <w:color w:val="auto"/>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numPr>
          <w:ilvl w:val="0"/>
          <w:numId w:val="0"/>
        </w:numPr>
        <w:spacing w:line="360" w:lineRule="auto"/>
        <w:ind w:left="630" w:leftChars="300" w:firstLine="0"/>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numPr>
          <w:ilvl w:val="0"/>
          <w:numId w:val="0"/>
        </w:numPr>
        <w:spacing w:line="360" w:lineRule="auto"/>
        <w:ind w:left="630" w:leftChars="300" w:firstLine="0"/>
        <w:rPr>
          <w:rFonts w:hint="default" w:ascii="Times New Roman" w:hAnsi="Times New Roman" w:cs="Times New Roman"/>
          <w:b/>
          <w:color w:val="auto"/>
          <w:highlight w:val="none"/>
        </w:rPr>
      </w:pPr>
      <w:r>
        <w:rPr>
          <w:rFonts w:hint="default" w:ascii="Times New Roman" w:hAnsi="Times New Roman" w:cs="Times New Roman"/>
          <w:b w:val="0"/>
          <w:bCs/>
          <w:color w:val="auto"/>
          <w:highlight w:val="none"/>
        </w:rPr>
        <w:t>根据财库〔2017〕141号《财政部 民政部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numPr>
          <w:ilvl w:val="0"/>
          <w:numId w:val="0"/>
        </w:numPr>
        <w:spacing w:line="360" w:lineRule="auto"/>
        <w:ind w:left="630" w:leftChars="300"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对符合政策要求的中小企业供应商提供的小型和微型企业产品给予相应的价格扣除，按照扣除后的价格参与评审计分，具体扣除比例详见“五、</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DOCVARIABLE  评审方法开始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评审方法及标准”。（监狱企业视同小型、微型企业，</w:t>
      </w:r>
      <w:r>
        <w:rPr>
          <w:rFonts w:hint="default" w:ascii="Times New Roman" w:hAnsi="Times New Roman" w:cs="Times New Roman"/>
          <w:b/>
          <w:color w:val="auto"/>
          <w:highlight w:val="none"/>
        </w:rPr>
        <w:t>监狱企业参加政府采购活动时，应当提供由省级以上监狱管理局、戒毒管理局&lt;含新疆生产建设兵团&gt;出具的属于监狱企业的证明文件</w:t>
      </w:r>
      <w:r>
        <w:rPr>
          <w:rFonts w:hint="default" w:ascii="Times New Roman" w:hAnsi="Times New Roman" w:cs="Times New Roman"/>
          <w:color w:val="auto"/>
          <w:highlight w:val="none"/>
        </w:rPr>
        <w:t>）。</w:t>
      </w:r>
    </w:p>
    <w:p>
      <w:pPr>
        <w:numPr>
          <w:ilvl w:val="1"/>
          <w:numId w:val="11"/>
        </w:numPr>
        <w:spacing w:line="360" w:lineRule="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推荐</w:t>
      </w:r>
      <w:r>
        <w:rPr>
          <w:rFonts w:hint="default" w:ascii="Times New Roman" w:hAnsi="Times New Roman" w:cs="Times New Roman"/>
          <w:b/>
          <w:bCs/>
          <w:color w:val="auto"/>
          <w:kern w:val="0"/>
          <w:highlight w:val="none"/>
        </w:rPr>
        <w:t>成交候选供应商</w:t>
      </w:r>
      <w:r>
        <w:rPr>
          <w:rFonts w:hint="default" w:ascii="Times New Roman" w:hAnsi="Times New Roman" w:cs="Times New Roman"/>
          <w:color w:val="auto"/>
          <w:highlight w:val="none"/>
        </w:rPr>
        <w:t>：经磋商小组审核，</w:t>
      </w:r>
      <w:r>
        <w:rPr>
          <w:rFonts w:hint="default" w:ascii="Times New Roman" w:hAnsi="Times New Roman" w:cs="Times New Roman"/>
          <w:color w:val="auto"/>
          <w:kern w:val="0"/>
          <w:highlight w:val="none"/>
        </w:rPr>
        <w:t>并进行综合评审后，根据综合评分情况，按照评审得分由高到低顺序推荐3名以上成交候选人。</w:t>
      </w:r>
      <w:r>
        <w:rPr>
          <w:rFonts w:hint="default" w:ascii="Times New Roman" w:hAnsi="Times New Roman" w:cs="Times New Roman"/>
          <w:color w:val="auto"/>
          <w:highlight w:val="none"/>
          <w:shd w:val="clear" w:color="auto" w:fill="FFFFFF"/>
        </w:rPr>
        <w:t>符合</w:t>
      </w:r>
      <w:r>
        <w:rPr>
          <w:rFonts w:hint="default" w:ascii="Times New Roman" w:hAnsi="Times New Roman" w:cs="Times New Roman"/>
          <w:color w:val="auto"/>
          <w:highlight w:val="none"/>
        </w:rPr>
        <w:t>《政府采购竞争性磋商采购方式管理暂行办法》</w:t>
      </w:r>
      <w:r>
        <w:rPr>
          <w:rFonts w:hint="default" w:ascii="Times New Roman" w:hAnsi="Times New Roman" w:cs="Times New Roman"/>
          <w:color w:val="auto"/>
          <w:highlight w:val="none"/>
          <w:shd w:val="clear" w:color="auto" w:fill="FFFFFF"/>
        </w:rPr>
        <w:t>第二十一条第三款情形的，可以推荐2家成交候选人。评审得分相同的，按照最后报价由高到低的顺序推荐。评审得分且最后报价相同的，按照</w:t>
      </w:r>
      <w:r>
        <w:rPr>
          <w:rFonts w:hint="default" w:ascii="Times New Roman" w:hAnsi="Times New Roman" w:cs="Times New Roman"/>
          <w:color w:val="auto"/>
          <w:highlight w:val="none"/>
        </w:rPr>
        <w:t>技术部分得分高低</w:t>
      </w:r>
      <w:r>
        <w:rPr>
          <w:rFonts w:hint="default" w:ascii="Times New Roman" w:hAnsi="Times New Roman" w:cs="Times New Roman"/>
          <w:color w:val="auto"/>
          <w:highlight w:val="none"/>
          <w:shd w:val="clear" w:color="auto" w:fill="FFFFFF"/>
        </w:rPr>
        <w:t>推荐。</w:t>
      </w:r>
    </w:p>
    <w:p>
      <w:pPr>
        <w:numPr>
          <w:ilvl w:val="1"/>
          <w:numId w:val="11"/>
        </w:numPr>
        <w:spacing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原件备查审核：</w:t>
      </w:r>
      <w:r>
        <w:rPr>
          <w:rFonts w:hint="default" w:ascii="Times New Roman" w:hAnsi="Times New Roman" w:cs="Times New Roman"/>
          <w:color w:val="auto"/>
          <w:highlight w:val="none"/>
        </w:rPr>
        <w:t>若采购文件中要求提交同类项目业绩证明文件、客户验收报告、企业资质证书、人员资格证书、社会保险证明、聘用合同书等资料复印件，磋商小组认为有必要时，可要求参与磋商与报价的供应商在规定的时间内递交原件审核验证。供应商必须在规定的时间内向磋商小组提交原件，否则，将视为提交的文件资料不符合要求。</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如发现</w:t>
      </w:r>
      <w:r>
        <w:rPr>
          <w:rFonts w:hint="default" w:ascii="Times New Roman" w:hAnsi="Times New Roman" w:cs="Times New Roman"/>
          <w:color w:val="auto"/>
          <w:highlight w:val="none"/>
          <w:shd w:val="clear" w:color="auto" w:fill="FFFFFF"/>
        </w:rPr>
        <w:t>资格性检查认定错误、分值汇总计算错误、分项评分超出评分标准范围、客观分评分不一致、经磋商小组一致认定评分畸高、畸低的情形</w:t>
      </w:r>
      <w:r>
        <w:rPr>
          <w:rFonts w:hint="default" w:ascii="Times New Roman" w:hAnsi="Times New Roman" w:cs="Times New Roman"/>
          <w:color w:val="auto"/>
          <w:highlight w:val="none"/>
        </w:rPr>
        <w:t>，采购人或者采购代理机构应组织重新评审。采购人、采购代理机构如发现磋商小组</w:t>
      </w:r>
      <w:r>
        <w:rPr>
          <w:rFonts w:hint="default" w:ascii="Times New Roman" w:hAnsi="Times New Roman" w:cs="Times New Roman"/>
          <w:color w:val="auto"/>
          <w:highlight w:val="none"/>
          <w:shd w:val="clear" w:color="auto" w:fill="FFFFFF"/>
        </w:rPr>
        <w:t>未按照磋商文件规定的评审标准进行评审的</w:t>
      </w:r>
      <w:r>
        <w:rPr>
          <w:rFonts w:hint="default" w:ascii="Times New Roman" w:hAnsi="Times New Roman" w:cs="Times New Roman"/>
          <w:color w:val="auto"/>
          <w:highlight w:val="none"/>
        </w:rPr>
        <w:t>，应当重新开展采购活动，并同时书面报告本级财政部门（政府采购管理部门）。</w:t>
      </w:r>
    </w:p>
    <w:p>
      <w:pPr>
        <w:numPr>
          <w:ilvl w:val="0"/>
          <w:numId w:val="11"/>
        </w:numPr>
        <w:spacing w:beforeLines="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采购活动终止的情形</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因情况变化，不再符合规定的竞争性磋商采购方式适用情形的；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采购过程出现影响采购公正的违法、违规行为的；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shd w:val="clear" w:color="auto" w:fill="FFFFFF"/>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政府采购文件存在重大缺漏致无法继续磋商评审，或继续磋商评审可能影响公平竞争的；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因重大变故，采购任务取消的。</w:t>
      </w:r>
    </w:p>
    <w:p>
      <w:pPr>
        <w:spacing w:beforeLines="0" w:afterLines="0" w:line="360" w:lineRule="auto"/>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如出现上述情形之一的，采购人或者采购代理机构应当终止竞争性磋商活动，发布项目终止公告并说明原因，重新开展采购活动。如出现上述“因重大变故，采购任务取消的”情形，不仅需要通知所有参加采购活动的供应商，同时还须将项目实施情况和采购任务取消原因报送本级财政监管部门。</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bookmarkStart w:id="196" w:name="_Toc273256772"/>
      <w:bookmarkStart w:id="197" w:name="_Toc398648504"/>
      <w:bookmarkStart w:id="198" w:name="_Toc399142784"/>
      <w:bookmarkStart w:id="199" w:name="_Toc273256956"/>
      <w:bookmarkStart w:id="200" w:name="_Toc398911307"/>
      <w:r>
        <w:rPr>
          <w:rFonts w:hint="default" w:ascii="Times New Roman" w:hAnsi="Times New Roman" w:cs="Times New Roman"/>
          <w:b/>
          <w:color w:val="auto"/>
          <w:sz w:val="24"/>
          <w:szCs w:val="24"/>
          <w:highlight w:val="none"/>
        </w:rPr>
        <w:t>未实质性响应磋商文件的情形或无效供应商的认定</w:t>
      </w:r>
      <w:bookmarkEnd w:id="196"/>
      <w:bookmarkEnd w:id="197"/>
      <w:bookmarkEnd w:id="198"/>
      <w:bookmarkEnd w:id="199"/>
      <w:bookmarkEnd w:id="200"/>
    </w:p>
    <w:p>
      <w:pPr>
        <w:numPr>
          <w:ilvl w:val="1"/>
          <w:numId w:val="11"/>
        </w:numPr>
        <w:spacing w:beforeLines="0" w:afterLines="0" w:line="360" w:lineRule="auto"/>
        <w:rPr>
          <w:rFonts w:hint="default" w:ascii="Times New Roman" w:hAnsi="Times New Roman" w:cs="Times New Roman"/>
          <w:color w:val="auto"/>
          <w:highlight w:val="none"/>
        </w:rPr>
      </w:pPr>
      <w:bookmarkStart w:id="201" w:name="_Toc119321137"/>
      <w:bookmarkStart w:id="202" w:name="_Toc25726401"/>
      <w:bookmarkStart w:id="203" w:name="_Toc136682902"/>
      <w:bookmarkStart w:id="204" w:name="_Toc26261448"/>
      <w:bookmarkStart w:id="205" w:name="_Toc136662926"/>
      <w:bookmarkStart w:id="206" w:name="_Toc159385061"/>
      <w:r>
        <w:rPr>
          <w:rFonts w:hint="default" w:ascii="Times New Roman" w:hAnsi="Times New Roman" w:cs="Times New Roman"/>
          <w:color w:val="auto"/>
          <w:highlight w:val="none"/>
        </w:rPr>
        <w:t>不符合《政府采购法》第二十二条对供应商参加政府采购活动应当具备的条件；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参与磋商的供应商主体不明确；</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不符合采购文件中合格供应商的相关规定；产品或服务不符合法定和约定的合格性标准要求； </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授权代表未能在磋商小组规定的合理时间内达到评审现场；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供应商的响应文件不符合磋商文件要求；未按要求递交响应文件；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递交的响应文件密封不严，出现侵权事实行为；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响应文件编制与内容严重不符合要求；</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未按采购文件要求签字、盖章，出现无效印章、签字和失效文件；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参与磋商与报价的有效期不响应；</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未按要求提供重要的样板、物证和资料；</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出现不正当竞争的行为；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以假借、挂靠他人名义或以串谋协同行动等形式参与响应，在独立供应商之间构成互利同盟关系；违反了诚实信用、公平竞争原则；</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相互串通响应，出现以下情形之一的：不同供应商的响应文件由同一单位或者个人编制；不同供应商委托同一单位或者个人办理参与磋商与报价的事宜；不同供应商的响应文件载明的项目管理成员为同一人；不同供应商的响应文件异常一致或者磋商报价呈规律性差异；不同供应商的响应文件相互混装；不同供应商的磋商保证金</w:t>
      </w:r>
      <w:r>
        <w:rPr>
          <w:rFonts w:hint="eastAsia" w:cs="Times New Roman"/>
          <w:color w:val="auto"/>
          <w:highlight w:val="none"/>
          <w:lang w:eastAsia="zh-CN"/>
        </w:rPr>
        <w:t>（如有）</w:t>
      </w:r>
      <w:r>
        <w:rPr>
          <w:rFonts w:hint="default" w:ascii="Times New Roman" w:hAnsi="Times New Roman" w:cs="Times New Roman"/>
          <w:color w:val="auto"/>
          <w:highlight w:val="none"/>
        </w:rPr>
        <w:t>从同一单位或者个人的账户转出。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单位负责人为同一人或者存在控股、管理关系的不同供应商，同时参与本项目或分包的响应；</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参与本项目供应商的主要成员同时出任其它供应商的重要职位，包括：法定代表人、董事成员、监事成员、高级经理或有可能影响公平竞争的关键岗位；</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响应方案、报价表述不清晰或无法确定；报价超过了采购项目控制金额；</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未能有效通过资格性审查或符合性审查，对约定必备的合格条件和重要关键内容出现实质性偏离；</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在递交响应文件截止时间之后，响应文件有效期满之前，撤回响应文件或退出磋商；</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响应方案或报价出现缺漏，经磋商后磋商小组认为仍无法满足项目要求；</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经磋商小组认定为严重低于成本的恶意报价；</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提供的中小企业声明与承诺等证明材料经认定存在虚假或与事实不符的情形；提供虚假材料谋取成交的；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出现了违反政府采购进口产品管理相关规定的情形；</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评审期间，供应商没有按磋商小组的要求提交</w:t>
      </w:r>
      <w:r>
        <w:rPr>
          <w:rFonts w:hint="eastAsia" w:ascii="Times New Roman" w:hAnsi="Times New Roman" w:cs="Times New Roman"/>
          <w:color w:val="auto"/>
          <w:highlight w:val="none"/>
          <w:lang w:eastAsia="zh-CN"/>
        </w:rPr>
        <w:t>相关</w:t>
      </w:r>
      <w:r>
        <w:rPr>
          <w:rFonts w:hint="default" w:ascii="Times New Roman" w:hAnsi="Times New Roman" w:cs="Times New Roman"/>
          <w:color w:val="auto"/>
          <w:highlight w:val="none"/>
        </w:rPr>
        <w:t>的澄清、说明、补正</w:t>
      </w:r>
      <w:r>
        <w:rPr>
          <w:rFonts w:hint="eastAsia" w:ascii="Times New Roman" w:hAnsi="Times New Roman" w:cs="Times New Roman"/>
          <w:color w:val="auto"/>
          <w:highlight w:val="none"/>
          <w:lang w:eastAsia="zh-CN"/>
        </w:rPr>
        <w:t>，调整的补充内容、修正的报价超出允许规定范围</w:t>
      </w:r>
      <w:r>
        <w:rPr>
          <w:rFonts w:hint="default" w:ascii="Times New Roman" w:hAnsi="Times New Roman" w:cs="Times New Roman"/>
          <w:color w:val="auto"/>
          <w:highlight w:val="none"/>
        </w:rPr>
        <w:t>或改变了响应文件的实质性内容的。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授权代表未能在磋商小组规定的合理时间内到达评审现场；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符合采购文件中载明会导致无效响应的其它规定和要求。</w:t>
      </w:r>
      <w:bookmarkEnd w:id="201"/>
      <w:bookmarkEnd w:id="202"/>
      <w:bookmarkEnd w:id="203"/>
      <w:bookmarkEnd w:id="204"/>
      <w:bookmarkEnd w:id="205"/>
      <w:bookmarkEnd w:id="206"/>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响应文件含有采购人不能接受的附加条件的。</w:t>
      </w:r>
    </w:p>
    <w:p>
      <w:pPr>
        <w:numPr>
          <w:ilvl w:val="1"/>
          <w:numId w:val="11"/>
        </w:numPr>
        <w:spacing w:beforeLines="0" w:afterLines="0" w:line="360" w:lineRule="auto"/>
        <w:rPr>
          <w:rFonts w:hint="default" w:ascii="Times New Roman" w:hAnsi="Times New Roman" w:cs="Times New Roman"/>
          <w:color w:val="auto"/>
          <w:highlight w:val="none"/>
        </w:rPr>
      </w:pPr>
      <w:r>
        <w:rPr>
          <w:highlight w:val="none"/>
        </w:rPr>
        <w:t>法律、法规和磋商文件规定的其他无效情形。</w:t>
      </w:r>
    </w:p>
    <w:p>
      <w:pPr>
        <w:rPr>
          <w:rFonts w:hint="default" w:ascii="Times New Roman" w:hAnsi="Times New Roman" w:cs="Times New Roman"/>
          <w:color w:val="auto"/>
          <w:highlight w:val="none"/>
        </w:rPr>
      </w:pPr>
      <w:r>
        <w:rPr>
          <w:highlight w:val="none"/>
        </w:rPr>
        <w:br w:type="page"/>
      </w:r>
    </w:p>
    <w:p>
      <w:pPr>
        <w:pStyle w:val="2"/>
        <w:rPr>
          <w:rFonts w:hint="default"/>
        </w:rPr>
      </w:pPr>
    </w:p>
    <w:p>
      <w:pPr>
        <w:pStyle w:val="4"/>
        <w:numPr>
          <w:ilvl w:val="0"/>
          <w:numId w:val="6"/>
        </w:numPr>
        <w:tabs>
          <w:tab w:val="left" w:pos="0"/>
        </w:tabs>
        <w:ind w:left="2" w:firstLine="0"/>
        <w:rPr>
          <w:rFonts w:hint="default" w:ascii="Times New Roman" w:hAnsi="Times New Roman" w:cs="Times New Roman" w:eastAsiaTheme="minorEastAsia"/>
          <w:color w:val="auto"/>
          <w:sz w:val="32"/>
          <w:highlight w:val="none"/>
        </w:rPr>
      </w:pPr>
      <w:r>
        <w:rPr>
          <w:rFonts w:hint="default" w:ascii="Times New Roman" w:hAnsi="Times New Roman" w:cs="Times New Roman" w:eastAsiaTheme="minorEastAsia"/>
          <w:b w:val="0"/>
          <w:bCs/>
          <w:color w:val="auto"/>
          <w:sz w:val="24"/>
          <w:highlight w:val="none"/>
        </w:rPr>
        <w:fldChar w:fldCharType="begin"/>
      </w:r>
      <w:r>
        <w:rPr>
          <w:rFonts w:hint="default" w:ascii="Times New Roman" w:hAnsi="Times New Roman" w:cs="Times New Roman" w:eastAsiaTheme="minorEastAsia"/>
          <w:b w:val="0"/>
          <w:bCs/>
          <w:color w:val="auto"/>
          <w:sz w:val="24"/>
          <w:highlight w:val="none"/>
        </w:rPr>
        <w:instrText xml:space="preserve"> DOCVARIABLE  评审方法开始  \* MERGEFORMAT </w:instrText>
      </w:r>
      <w:r>
        <w:rPr>
          <w:rFonts w:hint="default" w:ascii="Times New Roman" w:hAnsi="Times New Roman" w:cs="Times New Roman" w:eastAsiaTheme="minorEastAsia"/>
          <w:b w:val="0"/>
          <w:bCs/>
          <w:color w:val="auto"/>
          <w:sz w:val="24"/>
          <w:highlight w:val="none"/>
        </w:rPr>
        <w:fldChar w:fldCharType="separate"/>
      </w:r>
      <w:r>
        <w:rPr>
          <w:rFonts w:hint="default" w:ascii="Times New Roman" w:hAnsi="Times New Roman" w:cs="Times New Roman" w:eastAsiaTheme="minorEastAsia"/>
          <w:b w:val="0"/>
          <w:bCs/>
          <w:color w:val="auto"/>
          <w:sz w:val="24"/>
          <w:highlight w:val="none"/>
        </w:rPr>
        <w:fldChar w:fldCharType="end"/>
      </w:r>
      <w:bookmarkStart w:id="207" w:name="_Toc525312047"/>
      <w:bookmarkStart w:id="208" w:name="_Toc310519882"/>
      <w:bookmarkStart w:id="209" w:name="_Toc259803665"/>
      <w:bookmarkStart w:id="210" w:name="_Toc373767195"/>
      <w:bookmarkStart w:id="211" w:name="_Toc419106559"/>
      <w:bookmarkStart w:id="212" w:name="_Toc325031938"/>
      <w:r>
        <w:rPr>
          <w:rFonts w:hint="default" w:ascii="Times New Roman" w:hAnsi="Times New Roman" w:cs="Times New Roman" w:eastAsiaTheme="minorEastAsia"/>
          <w:color w:val="auto"/>
          <w:sz w:val="32"/>
          <w:highlight w:val="none"/>
        </w:rPr>
        <w:t>评审方法</w:t>
      </w:r>
      <w:bookmarkEnd w:id="182"/>
      <w:bookmarkEnd w:id="183"/>
      <w:bookmarkEnd w:id="184"/>
      <w:bookmarkEnd w:id="185"/>
      <w:r>
        <w:rPr>
          <w:rFonts w:hint="default" w:ascii="Times New Roman" w:hAnsi="Times New Roman" w:cs="Times New Roman" w:eastAsiaTheme="minorEastAsia"/>
          <w:color w:val="auto"/>
          <w:sz w:val="32"/>
          <w:highlight w:val="none"/>
        </w:rPr>
        <w:t>及标准</w:t>
      </w:r>
      <w:bookmarkEnd w:id="186"/>
      <w:bookmarkEnd w:id="187"/>
      <w:bookmarkEnd w:id="188"/>
      <w:bookmarkEnd w:id="189"/>
      <w:bookmarkEnd w:id="190"/>
      <w:bookmarkEnd w:id="191"/>
      <w:bookmarkEnd w:id="207"/>
      <w:bookmarkEnd w:id="208"/>
      <w:bookmarkEnd w:id="209"/>
      <w:bookmarkEnd w:id="210"/>
      <w:bookmarkEnd w:id="211"/>
      <w:bookmarkEnd w:id="212"/>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bookmarkStart w:id="213" w:name="_Toc23044296"/>
      <w:bookmarkStart w:id="214" w:name="_Toc119321139"/>
      <w:bookmarkStart w:id="215" w:name="_Toc159385063"/>
      <w:bookmarkStart w:id="216" w:name="_Toc5575621"/>
      <w:bookmarkStart w:id="217" w:name="_Toc5578684"/>
      <w:bookmarkStart w:id="218" w:name="_Toc20564540"/>
      <w:bookmarkStart w:id="219" w:name="_Toc34704906"/>
      <w:bookmarkStart w:id="220" w:name="_Toc20144994"/>
      <w:bookmarkStart w:id="221" w:name="_Toc20564628"/>
      <w:bookmarkStart w:id="222" w:name="_Toc136662928"/>
      <w:bookmarkStart w:id="223" w:name="_Toc136682904"/>
      <w:bookmarkStart w:id="224" w:name="_Toc25037540"/>
      <w:bookmarkStart w:id="225" w:name="_Toc25726403"/>
      <w:bookmarkStart w:id="226" w:name="_Toc26261450"/>
      <w:r>
        <w:rPr>
          <w:rFonts w:hint="default" w:ascii="Times New Roman" w:hAnsi="Times New Roman" w:cs="Times New Roman" w:eastAsiaTheme="minorEastAsia"/>
          <w:b/>
          <w:color w:val="auto"/>
          <w:sz w:val="24"/>
          <w:szCs w:val="24"/>
          <w:highlight w:val="none"/>
        </w:rPr>
        <w:t>评审方法</w:t>
      </w:r>
      <w:bookmarkEnd w:id="213"/>
      <w:bookmarkEnd w:id="214"/>
      <w:bookmarkEnd w:id="215"/>
      <w:bookmarkEnd w:id="216"/>
      <w:bookmarkEnd w:id="217"/>
      <w:bookmarkEnd w:id="218"/>
      <w:bookmarkEnd w:id="219"/>
      <w:bookmarkEnd w:id="220"/>
      <w:bookmarkEnd w:id="221"/>
      <w:bookmarkEnd w:id="222"/>
      <w:bookmarkEnd w:id="223"/>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eastAsia="zh-CN"/>
        </w:rPr>
        <w:t>本项目使用</w:t>
      </w:r>
      <w:r>
        <w:rPr>
          <w:rFonts w:hint="default" w:ascii="Times New Roman" w:hAnsi="Times New Roman" w:cs="Times New Roman"/>
          <w:color w:val="auto"/>
          <w:highlight w:val="none"/>
        </w:rPr>
        <w:t>综合评分法。磋商小组将严格按照本采购文件的评审标准与方法，在符合有效报价范畴且最大限度地满足采购文件实质性要求前提下，对参与磋商与报价的供应商进行综合评审和独立评分。评审因素评分以该项“分值”为上限，“0”分为下限。（最低报价不是中标的唯一依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4"/>
          <w:szCs w:val="24"/>
          <w:highlight w:val="none"/>
        </w:rPr>
        <w:t>评审标准</w:t>
      </w:r>
      <w:bookmarkStart w:id="227" w:name="_Toc389489432"/>
      <w:bookmarkStart w:id="228" w:name="_Toc324867197"/>
      <w:bookmarkStart w:id="229" w:name="_Toc273255368"/>
      <w:bookmarkStart w:id="230" w:name="_Toc22657"/>
      <w:bookmarkStart w:id="231" w:name="_Toc23759"/>
      <w:bookmarkStart w:id="232" w:name="_Toc1194"/>
    </w:p>
    <w:p>
      <w:pPr>
        <w:pStyle w:val="6"/>
        <w:tabs>
          <w:tab w:val="left" w:pos="780"/>
        </w:tabs>
        <w:spacing w:after="120" w:afterLines="0" w:line="240" w:lineRule="auto"/>
        <w:ind w:left="0"/>
        <w:jc w:val="left"/>
        <w:rPr>
          <w:rFonts w:hint="default" w:ascii="Times New Roman" w:hAnsi="Times New Roman" w:cs="Times New Roman" w:eastAsiaTheme="minorEastAsia"/>
          <w:color w:val="auto"/>
          <w:sz w:val="24"/>
          <w:szCs w:val="24"/>
          <w:highlight w:val="none"/>
        </w:rPr>
      </w:pPr>
      <w:bookmarkStart w:id="233" w:name="_Toc16525"/>
      <w:r>
        <w:rPr>
          <w:rFonts w:hint="default" w:ascii="Times New Roman" w:hAnsi="Times New Roman" w:cs="Times New Roman" w:eastAsiaTheme="minorEastAsia"/>
          <w:color w:val="auto"/>
          <w:sz w:val="24"/>
          <w:szCs w:val="24"/>
          <w:highlight w:val="none"/>
        </w:rPr>
        <w:t>权重分配</w:t>
      </w:r>
      <w:bookmarkEnd w:id="227"/>
      <w:bookmarkEnd w:id="228"/>
      <w:bookmarkEnd w:id="229"/>
      <w:r>
        <w:rPr>
          <w:rFonts w:hint="default" w:ascii="Times New Roman" w:hAnsi="Times New Roman" w:cs="Times New Roman" w:eastAsiaTheme="minorEastAsia"/>
          <w:color w:val="auto"/>
          <w:sz w:val="24"/>
          <w:szCs w:val="24"/>
          <w:highlight w:val="none"/>
        </w:rPr>
        <w:t>（总分100分）</w:t>
      </w:r>
      <w:bookmarkEnd w:id="230"/>
      <w:bookmarkEnd w:id="231"/>
      <w:bookmarkEnd w:id="232"/>
      <w:bookmarkEnd w:id="23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3059"/>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69" w:type="dxa"/>
            <w:shd w:val="clear" w:color="auto" w:fill="F3F3F3"/>
            <w:noWrap w:val="0"/>
            <w:vAlign w:val="center"/>
          </w:tcPr>
          <w:p>
            <w:pPr>
              <w:jc w:val="center"/>
              <w:rPr>
                <w:rFonts w:hint="default" w:ascii="Times New Roman" w:hAnsi="Times New Roman" w:cs="Times New Roman" w:eastAsiaTheme="minorEastAsia"/>
                <w:b/>
                <w:color w:val="auto"/>
                <w:szCs w:val="21"/>
                <w:highlight w:val="none"/>
                <w:lang w:val="en-GB"/>
              </w:rPr>
            </w:pPr>
            <w:r>
              <w:rPr>
                <w:rFonts w:hint="default" w:ascii="Times New Roman" w:hAnsi="Times New Roman" w:cs="Times New Roman" w:eastAsiaTheme="minorEastAsia"/>
                <w:b/>
                <w:color w:val="auto"/>
                <w:szCs w:val="21"/>
                <w:highlight w:val="none"/>
              </w:rPr>
              <w:t>商务部分</w:t>
            </w:r>
          </w:p>
        </w:tc>
        <w:tc>
          <w:tcPr>
            <w:tcW w:w="3059" w:type="dxa"/>
            <w:shd w:val="clear" w:color="auto" w:fill="F3F3F3"/>
            <w:noWrap w:val="0"/>
            <w:vAlign w:val="center"/>
          </w:tcPr>
          <w:p>
            <w:pPr>
              <w:jc w:val="center"/>
              <w:rPr>
                <w:rFonts w:hint="default" w:ascii="Times New Roman" w:hAnsi="Times New Roman" w:cs="Times New Roman" w:eastAsiaTheme="minorEastAsia"/>
                <w:b/>
                <w:color w:val="auto"/>
                <w:szCs w:val="21"/>
                <w:highlight w:val="none"/>
                <w:lang w:val="en-GB"/>
              </w:rPr>
            </w:pPr>
            <w:r>
              <w:rPr>
                <w:rFonts w:hint="default" w:ascii="Times New Roman" w:hAnsi="Times New Roman" w:cs="Times New Roman" w:eastAsiaTheme="minorEastAsia"/>
                <w:b/>
                <w:color w:val="auto"/>
                <w:szCs w:val="21"/>
                <w:highlight w:val="none"/>
              </w:rPr>
              <w:t>技术部分</w:t>
            </w:r>
          </w:p>
        </w:tc>
        <w:tc>
          <w:tcPr>
            <w:tcW w:w="2774" w:type="dxa"/>
            <w:shd w:val="clear" w:color="auto" w:fill="F3F3F3"/>
            <w:noWrap w:val="0"/>
            <w:vAlign w:val="center"/>
          </w:tcPr>
          <w:p>
            <w:pPr>
              <w:jc w:val="center"/>
              <w:rPr>
                <w:rFonts w:hint="default" w:ascii="Times New Roman" w:hAnsi="Times New Roman" w:cs="Times New Roman" w:eastAsiaTheme="minorEastAsia"/>
                <w:b/>
                <w:color w:val="auto"/>
                <w:szCs w:val="21"/>
                <w:highlight w:val="none"/>
                <w:lang w:val="en-GB"/>
              </w:rPr>
            </w:pPr>
            <w:r>
              <w:rPr>
                <w:rFonts w:hint="default" w:ascii="Times New Roman" w:hAnsi="Times New Roman" w:cs="Times New Roman" w:eastAsiaTheme="minorEastAsia"/>
                <w:b/>
                <w:color w:val="auto"/>
                <w:szCs w:val="21"/>
                <w:highlight w:val="none"/>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69" w:type="dxa"/>
            <w:noWrap w:val="0"/>
            <w:vAlign w:val="center"/>
          </w:tcPr>
          <w:p>
            <w:pPr>
              <w:jc w:val="center"/>
              <w:rPr>
                <w:rFonts w:hint="default" w:ascii="Times New Roman" w:hAnsi="Times New Roman" w:cs="Times New Roman" w:eastAsiaTheme="minorEastAsia"/>
                <w:color w:val="auto"/>
                <w:szCs w:val="21"/>
                <w:highlight w:val="none"/>
                <w:lang w:val="en-GB"/>
              </w:rPr>
            </w:pPr>
            <w:r>
              <w:rPr>
                <w:rFonts w:hint="eastAsia" w:cs="Times New Roman" w:eastAsiaTheme="minorEastAsia"/>
                <w:color w:val="auto"/>
                <w:szCs w:val="21"/>
                <w:highlight w:val="none"/>
                <w:lang w:val="en-US" w:eastAsia="zh-CN" w:bidi="ar"/>
              </w:rPr>
              <w:t>35</w:t>
            </w:r>
            <w:r>
              <w:rPr>
                <w:rFonts w:hint="default" w:ascii="Times New Roman" w:hAnsi="Times New Roman" w:cs="Times New Roman" w:eastAsiaTheme="minorEastAsia"/>
                <w:color w:val="auto"/>
                <w:szCs w:val="21"/>
                <w:highlight w:val="none"/>
                <w:lang w:bidi="ar"/>
              </w:rPr>
              <w:t>%</w:t>
            </w:r>
          </w:p>
        </w:tc>
        <w:tc>
          <w:tcPr>
            <w:tcW w:w="3059" w:type="dxa"/>
            <w:noWrap w:val="0"/>
            <w:vAlign w:val="center"/>
          </w:tcPr>
          <w:p>
            <w:pPr>
              <w:jc w:val="center"/>
              <w:rPr>
                <w:rFonts w:hint="default" w:ascii="Times New Roman" w:hAnsi="Times New Roman" w:cs="Times New Roman" w:eastAsiaTheme="minorEastAsia"/>
                <w:color w:val="auto"/>
                <w:szCs w:val="21"/>
                <w:highlight w:val="none"/>
                <w:lang w:val="en-GB"/>
              </w:rPr>
            </w:pPr>
            <w:r>
              <w:rPr>
                <w:rFonts w:hint="eastAsia" w:cs="Times New Roman" w:eastAsiaTheme="minorEastAsia"/>
                <w:color w:val="auto"/>
                <w:szCs w:val="21"/>
                <w:highlight w:val="none"/>
                <w:lang w:val="en-US" w:eastAsia="zh-CN" w:bidi="ar"/>
              </w:rPr>
              <w:t>35</w:t>
            </w:r>
            <w:r>
              <w:rPr>
                <w:rFonts w:hint="default" w:ascii="Times New Roman" w:hAnsi="Times New Roman" w:cs="Times New Roman" w:eastAsiaTheme="minorEastAsia"/>
                <w:color w:val="auto"/>
                <w:szCs w:val="21"/>
                <w:highlight w:val="none"/>
                <w:lang w:bidi="ar"/>
              </w:rPr>
              <w:t>%</w:t>
            </w:r>
          </w:p>
        </w:tc>
        <w:tc>
          <w:tcPr>
            <w:tcW w:w="2774" w:type="dxa"/>
            <w:noWrap w:val="0"/>
            <w:vAlign w:val="center"/>
          </w:tcPr>
          <w:p>
            <w:pPr>
              <w:jc w:val="center"/>
              <w:rPr>
                <w:rFonts w:hint="default" w:ascii="Times New Roman" w:hAnsi="Times New Roman" w:cs="Times New Roman" w:eastAsiaTheme="minorEastAsia"/>
                <w:color w:val="auto"/>
                <w:szCs w:val="21"/>
                <w:highlight w:val="none"/>
                <w:lang w:val="en-GB"/>
              </w:rPr>
            </w:pPr>
            <w:r>
              <w:rPr>
                <w:rFonts w:hint="eastAsia" w:cs="Times New Roman" w:eastAsiaTheme="minorEastAsia"/>
                <w:color w:val="auto"/>
                <w:szCs w:val="21"/>
                <w:highlight w:val="none"/>
                <w:lang w:val="en-US" w:eastAsia="zh-CN" w:bidi="ar"/>
              </w:rPr>
              <w:t>30</w:t>
            </w:r>
            <w:r>
              <w:rPr>
                <w:rFonts w:hint="default" w:ascii="Times New Roman" w:hAnsi="Times New Roman" w:cs="Times New Roman" w:eastAsiaTheme="minorEastAsia"/>
                <w:color w:val="auto"/>
                <w:szCs w:val="21"/>
                <w:highlight w:val="none"/>
                <w:lang w:bidi="ar"/>
              </w:rPr>
              <w:t>%</w:t>
            </w:r>
          </w:p>
        </w:tc>
      </w:tr>
    </w:tbl>
    <w:p>
      <w:pPr>
        <w:pStyle w:val="6"/>
        <w:keepNext w:val="0"/>
        <w:keepLines w:val="0"/>
        <w:pageBreakBefore w:val="0"/>
        <w:widowControl w:val="0"/>
        <w:tabs>
          <w:tab w:val="left" w:pos="780"/>
        </w:tabs>
        <w:kinsoku/>
        <w:wordWrap/>
        <w:overflowPunct/>
        <w:topLinePunct w:val="0"/>
        <w:autoSpaceDE w:val="0"/>
        <w:autoSpaceDN w:val="0"/>
        <w:bidi w:val="0"/>
        <w:adjustRightInd/>
        <w:snapToGrid/>
        <w:spacing w:before="313" w:beforeLines="100" w:after="20" w:afterLines="0" w:line="400" w:lineRule="exact"/>
        <w:ind w:left="0"/>
        <w:jc w:val="left"/>
        <w:textAlignment w:val="auto"/>
        <w:rPr>
          <w:rFonts w:hint="default" w:ascii="Times New Roman" w:hAnsi="Times New Roman" w:cs="Times New Roman" w:eastAsiaTheme="minorEastAsia"/>
          <w:color w:val="auto"/>
          <w:highlight w:val="none"/>
          <w:lang w:val="en-GB"/>
        </w:rPr>
      </w:pPr>
      <w:bookmarkStart w:id="234" w:name="_Toc324867198"/>
      <w:bookmarkStart w:id="235" w:name="_Toc273255369"/>
      <w:bookmarkStart w:id="236" w:name="_Toc389489433"/>
      <w:r>
        <w:rPr>
          <w:rFonts w:hint="default" w:ascii="Times New Roman" w:hAnsi="Times New Roman" w:cs="Times New Roman" w:eastAsiaTheme="minorEastAsia"/>
          <w:color w:val="auto"/>
          <w:sz w:val="24"/>
          <w:szCs w:val="24"/>
          <w:highlight w:val="none"/>
        </w:rPr>
        <w:t>商务部分（权重</w:t>
      </w:r>
      <w:r>
        <w:rPr>
          <w:rFonts w:hint="eastAsia" w:ascii="Times New Roman" w:hAnsi="Times New Roman" w:cs="Times New Roman" w:eastAsiaTheme="minorEastAsia"/>
          <w:color w:val="auto"/>
          <w:sz w:val="24"/>
          <w:szCs w:val="24"/>
          <w:highlight w:val="none"/>
          <w:lang w:val="en-US" w:eastAsia="zh-CN"/>
        </w:rPr>
        <w:t>35</w:t>
      </w:r>
      <w:r>
        <w:rPr>
          <w:rFonts w:hint="default" w:ascii="Times New Roman" w:hAnsi="Times New Roman" w:cs="Times New Roman" w:eastAsiaTheme="minorEastAsia"/>
          <w:color w:val="auto"/>
          <w:sz w:val="24"/>
          <w:szCs w:val="24"/>
          <w:highlight w:val="none"/>
        </w:rPr>
        <w:t>%）</w:t>
      </w:r>
    </w:p>
    <w:tbl>
      <w:tblPr>
        <w:tblStyle w:val="22"/>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342"/>
        <w:gridCol w:w="960"/>
        <w:gridCol w:w="7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816"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b/>
                <w:color w:val="auto"/>
                <w:szCs w:val="21"/>
                <w:highlight w:val="none"/>
              </w:rPr>
            </w:pPr>
            <w:bookmarkStart w:id="237" w:name="_Toc1144"/>
            <w:bookmarkStart w:id="238" w:name="_Toc20695"/>
            <w:bookmarkStart w:id="239" w:name="_Toc58"/>
            <w:bookmarkStart w:id="240" w:name="_Toc28470"/>
            <w:r>
              <w:rPr>
                <w:rFonts w:hint="default" w:ascii="Times New Roman" w:hAnsi="Times New Roman" w:cs="Times New Roman" w:eastAsiaTheme="minorEastAsia"/>
                <w:b/>
                <w:color w:val="auto"/>
                <w:szCs w:val="21"/>
                <w:highlight w:val="none"/>
                <w:lang w:bidi="ar"/>
              </w:rPr>
              <w:t>商务评审因素</w:t>
            </w:r>
          </w:p>
        </w:tc>
        <w:tc>
          <w:tcPr>
            <w:tcW w:w="96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ind w:left="-8" w:leftChars="-4"/>
              <w:jc w:val="center"/>
              <w:textAlignment w:val="auto"/>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满分值</w:t>
            </w:r>
          </w:p>
        </w:tc>
        <w:tc>
          <w:tcPr>
            <w:tcW w:w="7443"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ind w:firstLine="321"/>
              <w:jc w:val="center"/>
              <w:textAlignment w:val="auto"/>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 w:val="21"/>
                <w:highlight w:val="none"/>
                <w:lang w:val="en-US" w:eastAsia="zh-CN"/>
              </w:rPr>
              <w:t>1</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宋体" w:hAnsi="宋体"/>
              </w:rPr>
              <w:t>同类项目经验</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10</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ascii="宋体" w:hAnsi="宋体"/>
              </w:rPr>
            </w:pPr>
            <w:r>
              <w:rPr>
                <w:rFonts w:hint="eastAsia" w:ascii="宋体" w:hAnsi="宋体"/>
                <w:lang w:eastAsia="zh-CN"/>
              </w:rPr>
              <w:t>供应商提供</w:t>
            </w:r>
            <w:r>
              <w:rPr>
                <w:rFonts w:hint="eastAsia" w:ascii="宋体" w:hAnsi="宋体"/>
              </w:rPr>
              <w:t>自20</w:t>
            </w:r>
            <w:r>
              <w:rPr>
                <w:rFonts w:hint="eastAsia" w:ascii="宋体" w:hAnsi="宋体"/>
                <w:lang w:val="en-US" w:eastAsia="zh-CN"/>
              </w:rPr>
              <w:t>20</w:t>
            </w:r>
            <w:r>
              <w:rPr>
                <w:rFonts w:hint="eastAsia" w:ascii="宋体" w:hAnsi="宋体"/>
              </w:rPr>
              <w:t>年1月1日</w:t>
            </w:r>
            <w:r>
              <w:rPr>
                <w:rFonts w:hint="eastAsia" w:ascii="宋体" w:hAnsi="宋体"/>
                <w:lang w:eastAsia="zh-CN"/>
              </w:rPr>
              <w:t>起至今</w:t>
            </w:r>
            <w:r>
              <w:rPr>
                <w:rFonts w:hint="eastAsia" w:ascii="宋体" w:hAnsi="宋体"/>
              </w:rPr>
              <w:t>（以合同签订时间为准）</w:t>
            </w:r>
            <w:r>
              <w:rPr>
                <w:rFonts w:hint="eastAsia" w:ascii="宋体" w:hAnsi="宋体"/>
                <w:lang w:eastAsia="zh-CN"/>
              </w:rPr>
              <w:t>承接</w:t>
            </w:r>
            <w:r>
              <w:rPr>
                <w:rFonts w:hint="eastAsia" w:ascii="宋体" w:hAnsi="宋体"/>
              </w:rPr>
              <w:t>的同类保险项目，每个合同2分，最高得10分。</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Times New Roman" w:hAnsi="Times New Roman" w:cs="Times New Roman" w:eastAsiaTheme="minorEastAsia"/>
                <w:color w:val="auto"/>
                <w:szCs w:val="21"/>
                <w:highlight w:val="none"/>
                <w:lang w:val="en-US" w:eastAsia="zh-CN"/>
              </w:rPr>
            </w:pPr>
            <w:r>
              <w:rPr>
                <w:rFonts w:hint="eastAsia" w:ascii="宋体" w:hAnsi="宋体"/>
              </w:rPr>
              <w:t>注：</w:t>
            </w:r>
            <w:r>
              <w:rPr>
                <w:rFonts w:hint="default" w:ascii="Times New Roman" w:hAnsi="Times New Roman" w:cs="Times New Roman"/>
                <w:color w:val="auto"/>
                <w:highlight w:val="none"/>
              </w:rPr>
              <w:t>须提供双方签订</w:t>
            </w:r>
            <w:r>
              <w:rPr>
                <w:rFonts w:hint="eastAsia" w:ascii="Times New Roman" w:hAnsi="Times New Roman" w:cs="Times New Roman"/>
                <w:color w:val="auto"/>
                <w:highlight w:val="none"/>
                <w:lang w:eastAsia="zh-CN"/>
              </w:rPr>
              <w:t>的</w:t>
            </w:r>
            <w:r>
              <w:rPr>
                <w:rFonts w:hint="default" w:ascii="Times New Roman" w:hAnsi="Times New Roman" w:cs="Times New Roman"/>
                <w:color w:val="auto"/>
                <w:highlight w:val="none"/>
              </w:rPr>
              <w:t>合同扫描件作</w:t>
            </w:r>
            <w:r>
              <w:rPr>
                <w:rFonts w:hint="eastAsia" w:ascii="Times New Roman" w:hAnsi="Times New Roman" w:cs="Times New Roman"/>
                <w:color w:val="auto"/>
                <w:highlight w:val="none"/>
                <w:lang w:eastAsia="zh-CN"/>
              </w:rPr>
              <w:t>关键页（如合同双方的落款盖章、签订时间、合同标的、采购内容等相关内容）</w:t>
            </w:r>
            <w:r>
              <w:rPr>
                <w:rFonts w:hint="default" w:ascii="Times New Roman" w:hAnsi="Times New Roman" w:cs="Times New Roman"/>
                <w:color w:val="auto"/>
                <w:highlight w:val="none"/>
              </w:rPr>
              <w:t>为同类业绩证明材料</w:t>
            </w:r>
            <w:r>
              <w:rPr>
                <w:rFonts w:hint="eastAsia" w:ascii="Times New Roman" w:hAnsi="Times New Roman" w:cs="Times New Roman"/>
                <w:color w:val="auto"/>
                <w:highlight w:val="none"/>
                <w:lang w:eastAsia="zh-CN"/>
              </w:rPr>
              <w:t>并加盖供应商公章</w:t>
            </w:r>
            <w:r>
              <w:rPr>
                <w:rFonts w:hint="default" w:ascii="Times New Roman" w:hAnsi="Times New Roman" w:cs="Times New Roman"/>
                <w:color w:val="auto"/>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 w:val="21"/>
                <w:highlight w:val="none"/>
                <w:lang w:val="en-US" w:eastAsia="zh-CN"/>
              </w:rPr>
              <w:t>2</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Cs w:val="21"/>
                <w:highlight w:val="none"/>
              </w:rPr>
            </w:pPr>
            <w:r>
              <w:rPr>
                <w:rFonts w:hint="eastAsia" w:ascii="宋体" w:hAnsi="宋体" w:cs="宋体"/>
              </w:rPr>
              <w:t>服务评级</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10</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ascii="宋体" w:hAnsi="宋体" w:eastAsia="宋体" w:cs="宋体"/>
                <w:sz w:val="21"/>
                <w:szCs w:val="21"/>
              </w:rPr>
            </w:pPr>
            <w:r>
              <w:rPr>
                <w:rFonts w:hint="eastAsia" w:ascii="宋体" w:hAnsi="宋体" w:eastAsia="宋体" w:cs="宋体"/>
                <w:sz w:val="21"/>
                <w:szCs w:val="21"/>
              </w:rPr>
              <w:t>根据供应商保险公司最新一期服务评价结果情况进行评审，风险综合评级为：</w:t>
            </w:r>
          </w:p>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风险综合评级为 A A A级</w:t>
            </w:r>
            <w:r>
              <w:rPr>
                <w:rFonts w:hint="eastAsia" w:ascii="宋体" w:hAnsi="宋体" w:eastAsia="宋体" w:cs="宋体"/>
                <w:sz w:val="21"/>
                <w:szCs w:val="21"/>
                <w:lang w:eastAsia="zh-CN"/>
              </w:rPr>
              <w:t>或</w:t>
            </w:r>
            <w:r>
              <w:rPr>
                <w:rFonts w:hint="eastAsia" w:ascii="宋体" w:hAnsi="宋体" w:eastAsia="宋体" w:cs="宋体"/>
                <w:sz w:val="21"/>
                <w:szCs w:val="21"/>
              </w:rPr>
              <w:t>以上的得 10分，</w:t>
            </w:r>
            <w:r>
              <w:rPr>
                <w:rFonts w:ascii="宋体" w:hAnsi="宋体" w:eastAsia="宋体" w:cs="宋体"/>
                <w:sz w:val="21"/>
                <w:szCs w:val="21"/>
              </w:rPr>
              <w:br w:type="textWrapping"/>
            </w:r>
            <w:r>
              <w:rPr>
                <w:rFonts w:hint="eastAsia" w:ascii="宋体" w:hAnsi="宋体" w:eastAsia="宋体" w:cs="宋体"/>
                <w:sz w:val="21"/>
                <w:szCs w:val="21"/>
                <w:lang w:val="en-US" w:eastAsia="zh-CN"/>
              </w:rPr>
              <w:t>2、</w:t>
            </w:r>
            <w:r>
              <w:rPr>
                <w:rFonts w:hint="eastAsia" w:ascii="宋体" w:hAnsi="宋体" w:eastAsia="宋体" w:cs="宋体"/>
                <w:sz w:val="21"/>
                <w:szCs w:val="21"/>
              </w:rPr>
              <w:t>风险综合评级为 A A 级的得6分，</w:t>
            </w:r>
            <w:r>
              <w:rPr>
                <w:rFonts w:ascii="宋体" w:hAnsi="宋体" w:eastAsia="宋体" w:cs="宋体"/>
                <w:sz w:val="21"/>
                <w:szCs w:val="21"/>
              </w:rPr>
              <w:br w:type="textWrapping"/>
            </w:r>
            <w:r>
              <w:rPr>
                <w:rFonts w:hint="eastAsia" w:ascii="宋体" w:hAnsi="宋体" w:eastAsia="宋体" w:cs="宋体"/>
                <w:sz w:val="21"/>
                <w:szCs w:val="21"/>
                <w:lang w:val="en-US" w:eastAsia="zh-CN"/>
              </w:rPr>
              <w:t>3、</w:t>
            </w:r>
            <w:r>
              <w:rPr>
                <w:rFonts w:hint="eastAsia" w:ascii="宋体" w:hAnsi="宋体" w:eastAsia="宋体" w:cs="宋体"/>
                <w:sz w:val="21"/>
                <w:szCs w:val="21"/>
              </w:rPr>
              <w:t>风险综合评级为 A 级得 2 分，</w:t>
            </w:r>
            <w:r>
              <w:rPr>
                <w:rFonts w:ascii="宋体" w:hAnsi="宋体" w:eastAsia="宋体" w:cs="宋体"/>
                <w:sz w:val="21"/>
                <w:szCs w:val="21"/>
              </w:rPr>
              <w:br w:type="textWrapping"/>
            </w:r>
            <w:r>
              <w:rPr>
                <w:rFonts w:hint="eastAsia" w:ascii="宋体" w:hAnsi="宋体" w:eastAsia="宋体" w:cs="宋体"/>
                <w:sz w:val="21"/>
                <w:szCs w:val="21"/>
                <w:lang w:val="en-US" w:eastAsia="zh-CN"/>
              </w:rPr>
              <w:t>4、</w:t>
            </w:r>
            <w:r>
              <w:rPr>
                <w:rFonts w:hint="eastAsia" w:ascii="宋体" w:hAnsi="宋体" w:eastAsia="宋体" w:cs="宋体"/>
                <w:sz w:val="21"/>
                <w:szCs w:val="21"/>
              </w:rPr>
              <w:t>其它情况或未提供的不得分。</w:t>
            </w:r>
            <w:r>
              <w:rPr>
                <w:rFonts w:ascii="宋体" w:hAnsi="宋体" w:eastAsia="宋体" w:cs="宋体"/>
                <w:sz w:val="21"/>
                <w:szCs w:val="21"/>
              </w:rPr>
              <w:br w:type="textWrapping"/>
            </w:r>
            <w:r>
              <w:rPr>
                <w:rFonts w:hint="eastAsia" w:ascii="宋体" w:hAnsi="宋体" w:eastAsia="宋体" w:cs="宋体"/>
                <w:sz w:val="21"/>
                <w:szCs w:val="21"/>
              </w:rPr>
              <w:t>【如供应商为新成立企业因经营年限不足导致未能获得服务评价的，得 2分（“新成立企业”指经营年限未达到该服务评价年度的企业，“新成立企业”须提供申请该评价的具体年限要求并作出承诺）。】</w:t>
            </w:r>
          </w:p>
          <w:p>
            <w:pPr>
              <w:pStyle w:val="40"/>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cs="Times New Roman" w:eastAsiaTheme="minorEastAsia"/>
                <w:color w:val="auto"/>
                <w:highlight w:val="none"/>
              </w:rPr>
            </w:pPr>
            <w:r>
              <w:rPr>
                <w:rFonts w:hint="eastAsia" w:ascii="宋体" w:hAnsi="宋体" w:eastAsia="宋体" w:cs="宋体"/>
                <w:sz w:val="21"/>
                <w:szCs w:val="21"/>
              </w:rPr>
              <w:t>注：以最新一期的中国银保信的服务评价结果为准，需提供官方证明材料加盖供应商公章，不提供不得分。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 w:val="21"/>
                <w:highlight w:val="none"/>
                <w:lang w:val="en-US" w:eastAsia="zh-CN"/>
              </w:rPr>
              <w:t>3</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Cs w:val="21"/>
                <w:highlight w:val="none"/>
              </w:rPr>
            </w:pPr>
            <w:r>
              <w:rPr>
                <w:rFonts w:hint="eastAsia" w:ascii="宋体" w:hAnsi="宋体" w:cs="宋体"/>
              </w:rPr>
              <w:t>综合偿付能力充足率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5</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rPr>
              <w:t>根据供应商总公司202</w:t>
            </w:r>
            <w:r>
              <w:rPr>
                <w:rFonts w:hint="eastAsia" w:ascii="宋体" w:hAnsi="宋体" w:eastAsia="宋体" w:cs="宋体"/>
                <w:sz w:val="21"/>
                <w:szCs w:val="21"/>
                <w:lang w:val="en-US" w:eastAsia="zh-CN"/>
              </w:rPr>
              <w:t>2</w:t>
            </w:r>
            <w:r>
              <w:rPr>
                <w:rFonts w:hint="eastAsia" w:ascii="宋体" w:hAnsi="宋体" w:eastAsia="宋体" w:cs="宋体"/>
                <w:sz w:val="21"/>
                <w:szCs w:val="21"/>
              </w:rPr>
              <w:t>年年末综合偿付能力充足率进行评审：</w:t>
            </w:r>
          </w:p>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综合偿付能力充足率≥230%，得</w:t>
            </w:r>
            <w:r>
              <w:rPr>
                <w:rFonts w:ascii="宋体" w:hAnsi="宋体" w:eastAsia="宋体" w:cs="宋体"/>
                <w:sz w:val="21"/>
                <w:szCs w:val="21"/>
              </w:rPr>
              <w:t>5</w:t>
            </w:r>
            <w:r>
              <w:rPr>
                <w:rFonts w:hint="eastAsia" w:ascii="宋体" w:hAnsi="宋体" w:eastAsia="宋体" w:cs="宋体"/>
                <w:sz w:val="21"/>
                <w:szCs w:val="21"/>
              </w:rPr>
              <w:t>分</w:t>
            </w:r>
          </w:p>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230%＞综合偿付能力充足率≥175%，得</w:t>
            </w:r>
            <w:r>
              <w:rPr>
                <w:rFonts w:ascii="宋体" w:hAnsi="宋体" w:eastAsia="宋体" w:cs="宋体"/>
                <w:sz w:val="21"/>
                <w:szCs w:val="21"/>
              </w:rPr>
              <w:t>3</w:t>
            </w:r>
            <w:r>
              <w:rPr>
                <w:rFonts w:hint="eastAsia" w:ascii="宋体" w:hAnsi="宋体" w:eastAsia="宋体" w:cs="宋体"/>
                <w:sz w:val="21"/>
                <w:szCs w:val="21"/>
              </w:rPr>
              <w:t>分</w:t>
            </w:r>
          </w:p>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175%＞综合偿付能力充足率≥120%，得1分</w:t>
            </w:r>
          </w:p>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综合偿付能力充足率＜120%，得0分</w:t>
            </w:r>
          </w:p>
          <w:p>
            <w:pPr>
              <w:pStyle w:val="40"/>
              <w:keepNext w:val="0"/>
              <w:keepLines w:val="0"/>
              <w:pageBreakBefore w:val="0"/>
              <w:widowControl w:val="0"/>
              <w:kinsoku/>
              <w:wordWrap/>
              <w:overflowPunct/>
              <w:topLinePunct w:val="0"/>
              <w:autoSpaceDE/>
              <w:autoSpaceDN/>
              <w:bidi w:val="0"/>
              <w:adjustRightInd/>
              <w:snapToGrid/>
              <w:spacing w:line="400" w:lineRule="exact"/>
              <w:ind w:left="51" w:leftChars="0" w:right="0"/>
              <w:jc w:val="both"/>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sz w:val="21"/>
                <w:szCs w:val="21"/>
                <w:lang w:eastAsia="zh-CN"/>
              </w:rPr>
              <w:t>注：</w:t>
            </w:r>
            <w:r>
              <w:rPr>
                <w:rFonts w:hint="eastAsia" w:cs="宋体"/>
                <w:sz w:val="21"/>
                <w:szCs w:val="21"/>
                <w:lang w:eastAsia="zh-CN"/>
              </w:rPr>
              <w:t>供应商</w:t>
            </w:r>
            <w:r>
              <w:rPr>
                <w:rFonts w:hint="eastAsia" w:ascii="宋体" w:hAnsi="宋体" w:eastAsia="宋体" w:cs="宋体"/>
                <w:sz w:val="21"/>
                <w:szCs w:val="21"/>
              </w:rPr>
              <w:t>需提供中国银保监会消费者权益保护局</w:t>
            </w:r>
            <w:r>
              <w:rPr>
                <w:rFonts w:hint="eastAsia" w:ascii="宋体" w:hAnsi="宋体" w:eastAsia="宋体" w:cs="宋体"/>
                <w:sz w:val="21"/>
                <w:szCs w:val="21"/>
                <w:highlight w:val="none"/>
              </w:rPr>
              <w:t>关于</w:t>
            </w:r>
            <w:r>
              <w:rPr>
                <w:rFonts w:hint="eastAsia" w:ascii="宋体" w:hAnsi="宋体" w:eastAsia="宋体" w:cs="宋体"/>
                <w:sz w:val="21"/>
                <w:szCs w:val="21"/>
              </w:rPr>
              <w:t>202</w:t>
            </w:r>
            <w:r>
              <w:rPr>
                <w:rFonts w:hint="eastAsia" w:ascii="宋体" w:hAnsi="宋体" w:eastAsia="宋体" w:cs="宋体"/>
                <w:sz w:val="21"/>
                <w:szCs w:val="21"/>
                <w:lang w:val="en-US" w:eastAsia="zh-CN"/>
              </w:rPr>
              <w:t>2</w:t>
            </w:r>
            <w:r>
              <w:rPr>
                <w:rFonts w:hint="eastAsia" w:ascii="宋体" w:hAnsi="宋体" w:eastAsia="宋体" w:cs="宋体"/>
                <w:sz w:val="21"/>
                <w:szCs w:val="21"/>
              </w:rPr>
              <w:t>年年末</w:t>
            </w:r>
            <w:r>
              <w:rPr>
                <w:rFonts w:hint="eastAsia" w:ascii="宋体" w:hAnsi="宋体" w:eastAsia="宋体" w:cs="宋体"/>
                <w:sz w:val="21"/>
                <w:szCs w:val="21"/>
                <w:highlight w:val="none"/>
              </w:rPr>
              <w:t>综合赔付率证明材料</w:t>
            </w:r>
            <w:r>
              <w:rPr>
                <w:rFonts w:hint="eastAsia" w:cs="宋体"/>
                <w:sz w:val="21"/>
                <w:szCs w:val="21"/>
                <w:highlight w:val="none"/>
                <w:lang w:eastAsia="zh-CN"/>
              </w:rPr>
              <w:t>或提供由第三方</w:t>
            </w:r>
            <w:r>
              <w:rPr>
                <w:rFonts w:hint="eastAsia"/>
                <w:szCs w:val="21"/>
                <w:highlight w:val="none"/>
              </w:rPr>
              <w:t>会计师事务所出具的2022年度审计报告中偿付能力状况表复印件</w:t>
            </w:r>
            <w:r>
              <w:rPr>
                <w:rFonts w:hint="eastAsia" w:ascii="宋体" w:hAnsi="宋体" w:eastAsia="宋体" w:cs="宋体"/>
                <w:sz w:val="21"/>
                <w:szCs w:val="21"/>
                <w:highlight w:val="none"/>
              </w:rPr>
              <w:t>，所提供</w:t>
            </w:r>
            <w:r>
              <w:rPr>
                <w:rFonts w:hint="eastAsia" w:cs="宋体"/>
                <w:sz w:val="21"/>
                <w:szCs w:val="21"/>
                <w:highlight w:val="none"/>
                <w:lang w:eastAsia="zh-CN"/>
              </w:rPr>
              <w:t>的证明材料和数据截图均</w:t>
            </w:r>
            <w:r>
              <w:rPr>
                <w:rFonts w:hint="eastAsia" w:ascii="宋体" w:hAnsi="宋体" w:eastAsia="宋体" w:cs="宋体"/>
                <w:sz w:val="21"/>
                <w:szCs w:val="21"/>
                <w:highlight w:val="none"/>
              </w:rPr>
              <w:t>需加盖供应商公章</w:t>
            </w:r>
            <w:r>
              <w:rPr>
                <w:rFonts w:hint="eastAsia"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4</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rPr>
            </w:pPr>
            <w:r>
              <w:t>服务团队成员配备</w:t>
            </w:r>
            <w:r>
              <w:rPr>
                <w:rFonts w:hint="eastAsia"/>
                <w:lang w:eastAsia="zh-CN"/>
              </w:rPr>
              <w:t>方案</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10</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根据供应商针对本项目成立专门的服务团队配备</w:t>
            </w:r>
            <w:r>
              <w:rPr>
                <w:rFonts w:hint="eastAsia" w:ascii="宋体" w:hAnsi="宋体" w:eastAsia="宋体" w:cs="宋体"/>
                <w:sz w:val="21"/>
                <w:szCs w:val="21"/>
                <w:lang w:eastAsia="zh-CN"/>
              </w:rPr>
              <w:t>方案</w:t>
            </w:r>
            <w:r>
              <w:rPr>
                <w:rFonts w:hint="eastAsia" w:ascii="宋体" w:hAnsi="宋体" w:eastAsia="宋体" w:cs="宋体"/>
                <w:sz w:val="21"/>
                <w:szCs w:val="21"/>
              </w:rPr>
              <w:t>进行评审</w:t>
            </w:r>
            <w:r>
              <w:rPr>
                <w:rFonts w:hint="eastAsia" w:ascii="宋体" w:hAnsi="宋体" w:eastAsia="宋体" w:cs="宋体"/>
                <w:sz w:val="21"/>
                <w:szCs w:val="21"/>
                <w:lang w:eastAsia="zh-CN"/>
              </w:rPr>
              <w:t>，包括但不限于团队管理架构完善，团队的分工明确、合理，</w:t>
            </w:r>
            <w:r>
              <w:rPr>
                <w:rFonts w:hint="eastAsia" w:ascii="宋体" w:hAnsi="宋体" w:eastAsia="宋体" w:cs="宋体"/>
                <w:sz w:val="21"/>
                <w:szCs w:val="21"/>
              </w:rPr>
              <w:t>服务</w:t>
            </w:r>
            <w:r>
              <w:rPr>
                <w:rFonts w:hint="eastAsia" w:ascii="宋体" w:hAnsi="宋体" w:eastAsia="宋体" w:cs="宋体"/>
                <w:sz w:val="21"/>
                <w:szCs w:val="21"/>
                <w:lang w:eastAsia="zh-CN"/>
              </w:rPr>
              <w:t>团对成</w:t>
            </w:r>
            <w:r>
              <w:rPr>
                <w:rFonts w:hint="eastAsia" w:ascii="宋体" w:hAnsi="宋体" w:eastAsia="宋体" w:cs="宋体"/>
                <w:sz w:val="21"/>
                <w:szCs w:val="21"/>
              </w:rPr>
              <w:t>员稳定</w:t>
            </w:r>
            <w:r>
              <w:rPr>
                <w:rFonts w:hint="eastAsia" w:ascii="宋体" w:hAnsi="宋体" w:eastAsia="宋体" w:cs="宋体"/>
                <w:sz w:val="21"/>
                <w:szCs w:val="21"/>
                <w:lang w:eastAsia="zh-CN"/>
              </w:rPr>
              <w:t>性</w:t>
            </w:r>
            <w:r>
              <w:rPr>
                <w:rFonts w:hint="eastAsia" w:ascii="宋体" w:hAnsi="宋体" w:eastAsia="宋体" w:cs="宋体"/>
                <w:sz w:val="21"/>
                <w:szCs w:val="21"/>
              </w:rPr>
              <w:t xml:space="preserve">：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服务人员配备10人及以上，</w:t>
            </w:r>
            <w:r>
              <w:rPr>
                <w:rFonts w:hint="eastAsia" w:ascii="宋体" w:hAnsi="宋体" w:eastAsia="宋体" w:cs="宋体"/>
                <w:sz w:val="21"/>
                <w:szCs w:val="21"/>
                <w:lang w:eastAsia="zh-CN"/>
              </w:rPr>
              <w:t>团队管理架构完善，团队的分工明确、合理，</w:t>
            </w:r>
            <w:r>
              <w:rPr>
                <w:rFonts w:hint="eastAsia" w:ascii="宋体" w:hAnsi="宋体" w:eastAsia="宋体" w:cs="宋体"/>
                <w:sz w:val="21"/>
                <w:szCs w:val="21"/>
              </w:rPr>
              <w:t>服务</w:t>
            </w:r>
            <w:r>
              <w:rPr>
                <w:rFonts w:hint="eastAsia" w:ascii="宋体" w:hAnsi="宋体" w:eastAsia="宋体" w:cs="宋体"/>
                <w:sz w:val="21"/>
                <w:szCs w:val="21"/>
                <w:lang w:eastAsia="zh-CN"/>
              </w:rPr>
              <w:t>团对成</w:t>
            </w:r>
            <w:r>
              <w:rPr>
                <w:rFonts w:hint="eastAsia" w:ascii="宋体" w:hAnsi="宋体" w:eastAsia="宋体" w:cs="宋体"/>
                <w:sz w:val="21"/>
                <w:szCs w:val="21"/>
              </w:rPr>
              <w:t>员稳定</w:t>
            </w:r>
            <w:r>
              <w:rPr>
                <w:rFonts w:hint="eastAsia" w:ascii="宋体" w:hAnsi="宋体" w:eastAsia="宋体" w:cs="宋体"/>
                <w:sz w:val="21"/>
                <w:szCs w:val="21"/>
                <w:lang w:eastAsia="zh-CN"/>
              </w:rPr>
              <w:t>性</w:t>
            </w:r>
            <w:r>
              <w:rPr>
                <w:rFonts w:hint="eastAsia" w:ascii="宋体" w:hAnsi="宋体" w:eastAsia="宋体" w:cs="宋体"/>
                <w:sz w:val="21"/>
                <w:szCs w:val="21"/>
              </w:rPr>
              <w:t xml:space="preserve">，得5分；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 xml:space="preserve">服务人员配备5-9人，职责分工较明确、合理，得3分；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 xml:space="preserve">服务人员配备不足5人，责任分工不明确的，得1分。 </w:t>
            </w:r>
          </w:p>
          <w:p>
            <w:pPr>
              <w:pStyle w:val="40"/>
              <w:keepNext w:val="0"/>
              <w:keepLines w:val="0"/>
              <w:pageBreakBefore w:val="0"/>
              <w:widowControl w:val="0"/>
              <w:kinsoku/>
              <w:wordWrap/>
              <w:overflowPunct/>
              <w:topLinePunct w:val="0"/>
              <w:autoSpaceDE/>
              <w:autoSpaceDN/>
              <w:bidi w:val="0"/>
              <w:adjustRightInd/>
              <w:snapToGrid/>
              <w:spacing w:line="400" w:lineRule="exact"/>
              <w:ind w:left="0" w:leftChars="0"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注：须提供服务团队成员名单、在投标人单位近六个月任意一个月缴纳社保或者缴纳个人所得税的证明并加盖投标人公章作为证明材料，不提供不得分。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16" w:type="dxa"/>
            <w:gridSpan w:val="2"/>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合计</w:t>
            </w:r>
          </w:p>
        </w:tc>
        <w:tc>
          <w:tcPr>
            <w:tcW w:w="84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eastAsia" w:cs="Times New Roman" w:eastAsiaTheme="minorEastAsia"/>
                <w:color w:val="auto"/>
                <w:sz w:val="21"/>
                <w:highlight w:val="none"/>
                <w:lang w:val="en-US" w:eastAsia="zh-CN"/>
              </w:rPr>
              <w:t>35</w:t>
            </w:r>
            <w:bookmarkStart w:id="564" w:name="_GoBack"/>
            <w:bookmarkEnd w:id="564"/>
            <w:r>
              <w:rPr>
                <w:rFonts w:hint="eastAsia" w:cs="Times New Roman" w:eastAsiaTheme="minorEastAsia"/>
                <w:color w:val="auto"/>
                <w:sz w:val="21"/>
                <w:highlight w:val="none"/>
                <w:lang w:val="en-US" w:eastAsia="zh-CN"/>
              </w:rPr>
              <w:t>分</w:t>
            </w:r>
          </w:p>
        </w:tc>
      </w:tr>
      <w:bookmarkEnd w:id="234"/>
      <w:bookmarkEnd w:id="235"/>
      <w:bookmarkEnd w:id="236"/>
      <w:bookmarkEnd w:id="237"/>
      <w:bookmarkEnd w:id="238"/>
      <w:bookmarkEnd w:id="239"/>
      <w:bookmarkEnd w:id="240"/>
    </w:tbl>
    <w:p>
      <w:pPr>
        <w:tabs>
          <w:tab w:val="left" w:pos="780"/>
        </w:tabs>
        <w:spacing w:after="120" w:afterLines="0"/>
        <w:ind w:left="0"/>
        <w:jc w:val="left"/>
        <w:outlineLvl w:val="9"/>
        <w:rPr>
          <w:rFonts w:hint="default" w:ascii="Times New Roman" w:hAnsi="Times New Roman" w:cs="Times New Roman" w:eastAsiaTheme="minorEastAsia"/>
          <w:color w:val="auto"/>
          <w:sz w:val="24"/>
          <w:szCs w:val="24"/>
          <w:highlight w:val="none"/>
        </w:rPr>
      </w:pPr>
      <w:bookmarkStart w:id="241" w:name="_Toc21327"/>
      <w:bookmarkStart w:id="242" w:name="_Toc324867199"/>
      <w:bookmarkStart w:id="243" w:name="_Toc17509"/>
      <w:bookmarkStart w:id="244" w:name="_Toc389489434"/>
      <w:bookmarkStart w:id="245" w:name="_Toc32624"/>
      <w:bookmarkStart w:id="246" w:name="_Toc4449"/>
      <w:bookmarkStart w:id="247" w:name="_Toc273255370"/>
    </w:p>
    <w:p>
      <w:pPr>
        <w:pStyle w:val="6"/>
        <w:tabs>
          <w:tab w:val="left" w:pos="780"/>
        </w:tabs>
        <w:spacing w:after="120" w:afterLines="0"/>
        <w:ind w:left="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技术部分（权重</w:t>
      </w:r>
      <w:r>
        <w:rPr>
          <w:rFonts w:hint="eastAsia" w:ascii="Times New Roman" w:hAnsi="Times New Roman" w:cs="Times New Roman" w:eastAsiaTheme="minorEastAsia"/>
          <w:color w:val="auto"/>
          <w:sz w:val="24"/>
          <w:szCs w:val="24"/>
          <w:highlight w:val="none"/>
          <w:lang w:val="en-US" w:eastAsia="zh-CN"/>
        </w:rPr>
        <w:t>35</w:t>
      </w:r>
      <w:r>
        <w:rPr>
          <w:rFonts w:hint="default" w:ascii="Times New Roman" w:hAnsi="Times New Roman" w:cs="Times New Roman" w:eastAsiaTheme="minorEastAsia"/>
          <w:color w:val="auto"/>
          <w:sz w:val="24"/>
          <w:szCs w:val="24"/>
          <w:highlight w:val="none"/>
        </w:rPr>
        <w:t>%）</w:t>
      </w:r>
      <w:bookmarkEnd w:id="241"/>
      <w:bookmarkEnd w:id="242"/>
      <w:bookmarkEnd w:id="243"/>
      <w:bookmarkEnd w:id="244"/>
      <w:bookmarkEnd w:id="245"/>
      <w:bookmarkEnd w:id="246"/>
      <w:bookmarkEnd w:id="247"/>
    </w:p>
    <w:tbl>
      <w:tblPr>
        <w:tblStyle w:val="22"/>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31"/>
        <w:gridCol w:w="915"/>
        <w:gridCol w:w="7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1650"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技术评审因素</w:t>
            </w:r>
          </w:p>
        </w:tc>
        <w:tc>
          <w:tcPr>
            <w:tcW w:w="91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ind w:left="-8" w:leftChars="-4"/>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满分值</w:t>
            </w:r>
          </w:p>
        </w:tc>
        <w:tc>
          <w:tcPr>
            <w:tcW w:w="769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40"/>
              <w:spacing w:before="21" w:line="278" w:lineRule="auto"/>
              <w:ind w:left="115" w:leftChars="0" w:right="99" w:rightChars="0"/>
              <w:jc w:val="center"/>
              <w:rPr>
                <w:rFonts w:hint="default" w:ascii="Times New Roman" w:hAnsi="Times New Roman" w:cs="Times New Roman" w:eastAsiaTheme="minorEastAsia"/>
                <w:color w:val="auto"/>
                <w:szCs w:val="21"/>
                <w:highlight w:val="none"/>
              </w:rPr>
            </w:pPr>
            <w:r>
              <w:rPr>
                <w:rFonts w:hint="eastAsia" w:ascii="宋体" w:hAnsi="宋体" w:cs="宋体"/>
              </w:rPr>
              <w:t>理赔时效方案</w:t>
            </w: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8</w:t>
            </w:r>
          </w:p>
        </w:tc>
        <w:tc>
          <w:tcPr>
            <w:tcW w:w="76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根据各供应商的理赔时效方案</w:t>
            </w:r>
            <w:r>
              <w:rPr>
                <w:rFonts w:hint="eastAsia" w:ascii="宋体" w:hAnsi="宋体"/>
                <w:lang w:eastAsia="zh-CN"/>
              </w:rPr>
              <w:t>（包括但不限于</w:t>
            </w:r>
            <w:r>
              <w:t>现场响应便捷性</w:t>
            </w:r>
            <w:r>
              <w:rPr>
                <w:rFonts w:hint="eastAsia"/>
                <w:lang w:eastAsia="zh-CN"/>
              </w:rPr>
              <w:t>、</w:t>
            </w:r>
            <w:r>
              <w:t>特殊情况处理措施</w:t>
            </w:r>
            <w:r>
              <w:rPr>
                <w:rFonts w:hint="eastAsia"/>
                <w:lang w:eastAsia="zh-CN"/>
              </w:rPr>
              <w:t>等</w:t>
            </w:r>
            <w:r>
              <w:rPr>
                <w:rFonts w:hint="eastAsia" w:ascii="宋体" w:hAnsi="宋体"/>
                <w:lang w:eastAsia="zh-CN"/>
              </w:rPr>
              <w:t>）、理赔响应时间、上门服务时间等</w:t>
            </w:r>
            <w:r>
              <w:rPr>
                <w:rFonts w:hint="eastAsia" w:ascii="宋体" w:hAnsi="宋体"/>
              </w:rPr>
              <w:t>进行综合评审：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1、出险人员理赔响应</w:t>
            </w:r>
            <w:r>
              <w:rPr>
                <w:rFonts w:hint="eastAsia" w:ascii="宋体" w:hAnsi="宋体"/>
                <w:lang w:eastAsia="zh-CN"/>
              </w:rPr>
              <w:t>时间和</w:t>
            </w:r>
            <w:r>
              <w:rPr>
                <w:rFonts w:hint="eastAsia" w:ascii="宋体" w:hAnsi="宋体"/>
              </w:rPr>
              <w:t>上门服务响应</w:t>
            </w:r>
            <w:r>
              <w:rPr>
                <w:rFonts w:hint="eastAsia" w:ascii="宋体" w:hAnsi="宋体"/>
                <w:lang w:eastAsia="zh-CN"/>
              </w:rPr>
              <w:t>时间</w:t>
            </w:r>
            <w:r>
              <w:t>在</w:t>
            </w:r>
            <w:r>
              <w:rPr>
                <w:rFonts w:hint="eastAsia" w:ascii="宋体" w:hAnsi="宋体"/>
              </w:rPr>
              <w:t>30分</w:t>
            </w:r>
            <w:r>
              <w:t>钟（含）内</w:t>
            </w:r>
            <w:r>
              <w:rPr>
                <w:rFonts w:hint="eastAsia" w:ascii="宋体" w:hAnsi="宋体"/>
              </w:rPr>
              <w:t>，</w:t>
            </w:r>
            <w:r>
              <w:rPr>
                <w:rFonts w:hint="eastAsia" w:ascii="宋体" w:hAnsi="宋体"/>
                <w:lang w:eastAsia="zh-CN"/>
              </w:rPr>
              <w:t>理赔时效方案完善，能完全满足采购人需求的</w:t>
            </w:r>
            <w:r>
              <w:rPr>
                <w:rFonts w:hint="eastAsia" w:ascii="宋体" w:hAnsi="宋体"/>
              </w:rPr>
              <w:t>得</w:t>
            </w:r>
            <w:r>
              <w:rPr>
                <w:rFonts w:hint="eastAsia" w:ascii="宋体" w:hAnsi="宋体"/>
                <w:lang w:val="en-US" w:eastAsia="zh-CN"/>
              </w:rPr>
              <w:t>8</w:t>
            </w:r>
            <w:r>
              <w:rPr>
                <w:rFonts w:hint="eastAsia" w:ascii="宋体" w:hAnsi="宋体"/>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r>
              <w:rPr>
                <w:rFonts w:hint="eastAsia" w:ascii="宋体" w:hAnsi="宋体"/>
              </w:rPr>
              <w:t>2、出险人员理赔响应</w:t>
            </w:r>
            <w:r>
              <w:rPr>
                <w:rFonts w:hint="eastAsia" w:ascii="宋体" w:hAnsi="宋体"/>
                <w:lang w:eastAsia="zh-CN"/>
              </w:rPr>
              <w:t>时间和</w:t>
            </w:r>
            <w:r>
              <w:rPr>
                <w:rFonts w:hint="eastAsia" w:ascii="宋体" w:hAnsi="宋体"/>
              </w:rPr>
              <w:t>上门服务响应</w:t>
            </w:r>
            <w:r>
              <w:rPr>
                <w:rFonts w:hint="eastAsia" w:ascii="宋体" w:hAnsi="宋体"/>
                <w:lang w:eastAsia="zh-CN"/>
              </w:rPr>
              <w:t>时间在</w:t>
            </w:r>
            <w:r>
              <w:rPr>
                <w:rFonts w:hint="eastAsia" w:ascii="宋体" w:hAnsi="宋体"/>
              </w:rPr>
              <w:t>30分钟（不含）至60</w:t>
            </w:r>
            <w:r>
              <w:t>分钟（含）</w:t>
            </w:r>
            <w:r>
              <w:rPr>
                <w:rFonts w:hint="eastAsia"/>
                <w:lang w:eastAsia="zh-CN"/>
              </w:rPr>
              <w:t>内</w:t>
            </w:r>
            <w:r>
              <w:rPr>
                <w:rFonts w:hint="eastAsia" w:ascii="宋体" w:hAnsi="宋体"/>
              </w:rPr>
              <w:t>，</w:t>
            </w:r>
            <w:r>
              <w:rPr>
                <w:rFonts w:hint="eastAsia" w:ascii="宋体" w:hAnsi="宋体"/>
                <w:lang w:eastAsia="zh-CN"/>
              </w:rPr>
              <w:t>理赔时效方案较完善，能相对满足采购人需求的</w:t>
            </w:r>
            <w:r>
              <w:rPr>
                <w:rFonts w:hint="eastAsia" w:ascii="宋体" w:hAnsi="宋体"/>
              </w:rPr>
              <w:t>得</w:t>
            </w:r>
            <w:r>
              <w:rPr>
                <w:rFonts w:hint="eastAsia" w:ascii="宋体" w:hAnsi="宋体"/>
                <w:lang w:val="en-US" w:eastAsia="zh-CN"/>
              </w:rPr>
              <w:t>6</w:t>
            </w:r>
            <w:r>
              <w:rPr>
                <w:rFonts w:hint="eastAsia" w:ascii="宋体" w:hAnsi="宋体"/>
              </w:rPr>
              <w:t xml:space="preserve">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r>
              <w:rPr>
                <w:rFonts w:hint="eastAsia" w:ascii="宋体" w:hAnsi="宋体"/>
              </w:rPr>
              <w:t>3</w:t>
            </w:r>
            <w:r>
              <w:rPr>
                <w:rFonts w:hint="eastAsia" w:ascii="宋体" w:hAnsi="宋体"/>
                <w:lang w:eastAsia="zh-CN"/>
              </w:rPr>
              <w:t>、</w:t>
            </w:r>
            <w:r>
              <w:rPr>
                <w:rFonts w:hint="eastAsia" w:ascii="宋体" w:hAnsi="宋体"/>
              </w:rPr>
              <w:t>出险人员理赔响应</w:t>
            </w:r>
            <w:r>
              <w:rPr>
                <w:rFonts w:hint="eastAsia" w:ascii="宋体" w:hAnsi="宋体"/>
                <w:lang w:eastAsia="zh-CN"/>
              </w:rPr>
              <w:t>时间和</w:t>
            </w:r>
            <w:r>
              <w:rPr>
                <w:rFonts w:hint="eastAsia" w:ascii="宋体" w:hAnsi="宋体"/>
              </w:rPr>
              <w:t>上门服务响应</w:t>
            </w:r>
            <w:r>
              <w:rPr>
                <w:rFonts w:hint="eastAsia" w:ascii="宋体" w:hAnsi="宋体"/>
                <w:lang w:eastAsia="zh-CN"/>
              </w:rPr>
              <w:t>时间在</w:t>
            </w:r>
            <w:r>
              <w:rPr>
                <w:rFonts w:hint="eastAsia" w:ascii="宋体" w:hAnsi="宋体"/>
              </w:rPr>
              <w:t>60分钟（不含）至90分钟（含）内，</w:t>
            </w:r>
            <w:r>
              <w:rPr>
                <w:rFonts w:hint="eastAsia" w:ascii="宋体" w:hAnsi="宋体"/>
                <w:lang w:eastAsia="zh-CN"/>
              </w:rPr>
              <w:t>理赔时效方案不完善，不能满足采购人需求的</w:t>
            </w:r>
            <w:r>
              <w:rPr>
                <w:rFonts w:hint="eastAsia" w:ascii="宋体" w:hAnsi="宋体"/>
              </w:rPr>
              <w:t>得</w:t>
            </w:r>
            <w:r>
              <w:rPr>
                <w:rFonts w:hint="eastAsia" w:ascii="宋体" w:hAnsi="宋体"/>
                <w:lang w:val="en-US" w:eastAsia="zh-CN"/>
              </w:rPr>
              <w:t>4</w:t>
            </w:r>
            <w:r>
              <w:rPr>
                <w:rFonts w:hint="eastAsia" w:ascii="宋体" w:hAnsi="宋体"/>
              </w:rPr>
              <w:t xml:space="preserve">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r>
              <w:rPr>
                <w:rFonts w:hint="eastAsia" w:ascii="宋体" w:hAnsi="宋体"/>
              </w:rPr>
              <w:t>4、出险人员理赔响应</w:t>
            </w:r>
            <w:r>
              <w:rPr>
                <w:rFonts w:hint="eastAsia" w:ascii="宋体" w:hAnsi="宋体"/>
                <w:lang w:eastAsia="zh-CN"/>
              </w:rPr>
              <w:t>时间和</w:t>
            </w:r>
            <w:r>
              <w:rPr>
                <w:rFonts w:hint="eastAsia" w:ascii="宋体" w:hAnsi="宋体"/>
              </w:rPr>
              <w:t>上门服务响应</w:t>
            </w:r>
            <w:r>
              <w:rPr>
                <w:rFonts w:hint="eastAsia" w:ascii="宋体" w:hAnsi="宋体"/>
                <w:lang w:eastAsia="zh-CN"/>
              </w:rPr>
              <w:t>时间在</w:t>
            </w:r>
            <w:r>
              <w:rPr>
                <w:rFonts w:hint="eastAsia" w:ascii="宋体" w:hAnsi="宋体"/>
                <w:lang w:val="en-US" w:eastAsia="zh-CN"/>
              </w:rPr>
              <w:t>90分钟以外以及</w:t>
            </w:r>
            <w:r>
              <w:rPr>
                <w:rFonts w:hint="eastAsia" w:ascii="宋体" w:hAnsi="宋体"/>
              </w:rPr>
              <w:t>未提供方案不得分。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lang w:eastAsia="zh-CN"/>
              </w:rPr>
            </w:pPr>
            <w:r>
              <w:rPr>
                <w:rFonts w:hint="eastAsia" w:ascii="宋体" w:hAnsi="宋体"/>
                <w:lang w:eastAsia="zh-CN"/>
              </w:rPr>
              <w:t>注：</w:t>
            </w:r>
            <w:r>
              <w:rPr>
                <w:rFonts w:hint="eastAsia" w:ascii="宋体" w:hAnsi="宋体"/>
              </w:rPr>
              <w:t>须提供服务响应时间承诺书</w:t>
            </w:r>
            <w:r>
              <w:rPr>
                <w:rFonts w:hint="eastAsia" w:ascii="宋体" w:hAnsi="宋体"/>
                <w:lang w:eastAsia="zh-CN"/>
              </w:rPr>
              <w:t>（附上地图路线截图）</w:t>
            </w:r>
            <w:r>
              <w:rPr>
                <w:rFonts w:hint="eastAsia" w:ascii="宋体" w:hAnsi="宋体"/>
              </w:rPr>
              <w:t>并加盖投标人公章作为证明材料，承诺书格式自拟，不提供不得分。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40"/>
              <w:spacing w:before="21" w:line="278" w:lineRule="auto"/>
              <w:ind w:left="115" w:leftChars="0" w:right="99" w:rightChars="0"/>
              <w:jc w:val="center"/>
              <w:rPr>
                <w:rFonts w:hint="default" w:ascii="Times New Roman" w:hAnsi="Times New Roman" w:cs="Times New Roman" w:eastAsiaTheme="minorEastAsia"/>
                <w:color w:val="auto"/>
                <w:szCs w:val="21"/>
                <w:highlight w:val="none"/>
                <w:lang w:val="en-US" w:eastAsia="zh-CN" w:bidi="ar"/>
              </w:rPr>
            </w:pPr>
            <w:r>
              <w:rPr>
                <w:rFonts w:hint="eastAsia" w:ascii="宋体" w:hAnsi="宋体" w:cs="宋体"/>
              </w:rPr>
              <w:t>理赔服务方案</w:t>
            </w: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bidi="ar"/>
              </w:rPr>
            </w:pPr>
            <w:r>
              <w:rPr>
                <w:rFonts w:hint="eastAsia" w:cs="Times New Roman" w:eastAsiaTheme="minorEastAsia"/>
                <w:color w:val="auto"/>
                <w:szCs w:val="21"/>
                <w:highlight w:val="none"/>
                <w:lang w:val="en-US" w:eastAsia="zh-CN" w:bidi="ar"/>
              </w:rPr>
              <w:t>10</w:t>
            </w:r>
          </w:p>
        </w:tc>
        <w:tc>
          <w:tcPr>
            <w:tcW w:w="76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根据各供应商</w:t>
            </w:r>
            <w:r>
              <w:t>针对本项目需求制定的理赔服务方案进行综合评审，包括但不限于</w:t>
            </w:r>
            <w:r>
              <w:rPr>
                <w:rFonts w:hint="eastAsia"/>
                <w:lang w:eastAsia="zh-CN"/>
              </w:rPr>
              <w:t>风险管理</w:t>
            </w:r>
            <w:r>
              <w:t>、快速通道、理赔单证、</w:t>
            </w:r>
            <w:r>
              <w:rPr>
                <w:rFonts w:hint="eastAsia"/>
                <w:lang w:eastAsia="zh-CN"/>
              </w:rPr>
              <w:t>承保服务、</w:t>
            </w:r>
            <w:r>
              <w:t>认可调解及鉴定结果的保障措施及承诺</w:t>
            </w:r>
            <w:r>
              <w:rPr>
                <w:rFonts w:hint="eastAsia" w:ascii="宋体" w:hAnsi="宋体"/>
                <w:lang w:eastAsia="zh-CN"/>
              </w:rPr>
              <w:t>等</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1、供应商</w:t>
            </w:r>
            <w:r>
              <w:rPr>
                <w:rFonts w:hint="eastAsia" w:ascii="宋体" w:hAnsi="宋体"/>
                <w:lang w:eastAsia="zh-CN"/>
              </w:rPr>
              <w:t>提供的</w:t>
            </w:r>
            <w:r>
              <w:rPr>
                <w:rFonts w:hint="eastAsia" w:ascii="宋体" w:hAnsi="宋体"/>
              </w:rPr>
              <w:t>方案</w:t>
            </w:r>
            <w:r>
              <w:t>全面详细，清晰合理</w:t>
            </w:r>
            <w:r>
              <w:rPr>
                <w:rFonts w:hint="eastAsia"/>
                <w:lang w:eastAsia="zh-CN"/>
              </w:rPr>
              <w:t>，</w:t>
            </w:r>
            <w:r>
              <w:t>可操作性强</w:t>
            </w:r>
            <w:r>
              <w:rPr>
                <w:rFonts w:hint="eastAsia"/>
                <w:lang w:eastAsia="zh-CN"/>
              </w:rPr>
              <w:t>，</w:t>
            </w:r>
            <w:r>
              <w:t>符合本项目的实际需要</w:t>
            </w:r>
            <w:r>
              <w:rPr>
                <w:rFonts w:hint="eastAsia"/>
                <w:lang w:eastAsia="zh-CN"/>
              </w:rPr>
              <w:t>；</w:t>
            </w:r>
            <w:r>
              <w:rPr>
                <w:rFonts w:hint="eastAsia" w:ascii="宋体" w:hAnsi="宋体"/>
                <w:lang w:eastAsia="zh-CN"/>
              </w:rPr>
              <w:t>风险管理的措施</w:t>
            </w:r>
            <w:r>
              <w:rPr>
                <w:rFonts w:hint="eastAsia" w:ascii="宋体" w:hAnsi="宋体"/>
              </w:rPr>
              <w:t>完善，</w:t>
            </w:r>
            <w:r>
              <w:t>快速通道、理赔单证、</w:t>
            </w:r>
            <w:r>
              <w:rPr>
                <w:rFonts w:hint="eastAsia"/>
                <w:lang w:eastAsia="zh-CN"/>
              </w:rPr>
              <w:t>承保服务、</w:t>
            </w:r>
            <w:r>
              <w:t>认可调解及鉴定结果的保障措施及承诺</w:t>
            </w:r>
            <w:r>
              <w:rPr>
                <w:rFonts w:hint="eastAsia" w:ascii="宋体" w:hAnsi="宋体"/>
              </w:rPr>
              <w:t>全面</w:t>
            </w:r>
            <w:r>
              <w:rPr>
                <w:rFonts w:hint="eastAsia" w:ascii="宋体" w:hAnsi="宋体"/>
                <w:lang w:eastAsia="zh-CN"/>
              </w:rPr>
              <w:t>，</w:t>
            </w:r>
            <w:r>
              <w:rPr>
                <w:rFonts w:hint="eastAsia" w:ascii="宋体" w:hAnsi="宋体"/>
              </w:rPr>
              <w:t xml:space="preserve">得10分；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2、供应商</w:t>
            </w:r>
            <w:r>
              <w:rPr>
                <w:rFonts w:hint="eastAsia" w:ascii="宋体" w:hAnsi="宋体"/>
                <w:lang w:eastAsia="zh-CN"/>
              </w:rPr>
              <w:t>提供的</w:t>
            </w:r>
            <w:r>
              <w:rPr>
                <w:rFonts w:hint="eastAsia" w:ascii="宋体" w:hAnsi="宋体"/>
              </w:rPr>
              <w:t>方案</w:t>
            </w:r>
            <w:r>
              <w:rPr>
                <w:rFonts w:hint="eastAsia"/>
                <w:lang w:eastAsia="zh-CN"/>
              </w:rPr>
              <w:t>较</w:t>
            </w:r>
            <w:r>
              <w:t>详细，清晰合理</w:t>
            </w:r>
            <w:r>
              <w:rPr>
                <w:rFonts w:hint="eastAsia"/>
                <w:lang w:eastAsia="zh-CN"/>
              </w:rPr>
              <w:t>，</w:t>
            </w:r>
            <w:r>
              <w:t>可操作性</w:t>
            </w:r>
            <w:r>
              <w:rPr>
                <w:rFonts w:hint="eastAsia"/>
                <w:lang w:eastAsia="zh-CN"/>
              </w:rPr>
              <w:t>较</w:t>
            </w:r>
            <w:r>
              <w:t>强</w:t>
            </w:r>
            <w:r>
              <w:rPr>
                <w:rFonts w:hint="eastAsia"/>
                <w:lang w:eastAsia="zh-CN"/>
              </w:rPr>
              <w:t>，基本</w:t>
            </w:r>
            <w:r>
              <w:t>符合本项目的实际需要</w:t>
            </w:r>
            <w:r>
              <w:rPr>
                <w:rFonts w:hint="eastAsia"/>
                <w:lang w:eastAsia="zh-CN"/>
              </w:rPr>
              <w:t>；</w:t>
            </w:r>
            <w:r>
              <w:rPr>
                <w:rFonts w:hint="eastAsia" w:ascii="宋体" w:hAnsi="宋体"/>
                <w:lang w:eastAsia="zh-CN"/>
              </w:rPr>
              <w:t>风险管理的措施较</w:t>
            </w:r>
            <w:r>
              <w:rPr>
                <w:rFonts w:hint="eastAsia" w:ascii="宋体" w:hAnsi="宋体"/>
              </w:rPr>
              <w:t>完善，</w:t>
            </w:r>
            <w:r>
              <w:t>快速通道、理赔单证、</w:t>
            </w:r>
            <w:r>
              <w:rPr>
                <w:rFonts w:hint="eastAsia"/>
                <w:lang w:eastAsia="zh-CN"/>
              </w:rPr>
              <w:t>承保服务、</w:t>
            </w:r>
            <w:r>
              <w:t>认可调解及鉴定结果的保障措施及承诺</w:t>
            </w:r>
            <w:r>
              <w:rPr>
                <w:rFonts w:hint="eastAsia"/>
                <w:lang w:eastAsia="zh-CN"/>
              </w:rPr>
              <w:t>较</w:t>
            </w:r>
            <w:r>
              <w:rPr>
                <w:rFonts w:hint="eastAsia" w:ascii="宋体" w:hAnsi="宋体"/>
              </w:rPr>
              <w:t xml:space="preserve">全面，得6分；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r>
              <w:rPr>
                <w:rFonts w:hint="eastAsia" w:ascii="宋体" w:hAnsi="宋体"/>
              </w:rPr>
              <w:t>3、供应商</w:t>
            </w:r>
            <w:r>
              <w:rPr>
                <w:rFonts w:hint="eastAsia" w:ascii="宋体" w:hAnsi="宋体"/>
                <w:lang w:eastAsia="zh-CN"/>
              </w:rPr>
              <w:t>提供的</w:t>
            </w:r>
            <w:r>
              <w:rPr>
                <w:rFonts w:hint="eastAsia" w:ascii="宋体" w:hAnsi="宋体"/>
              </w:rPr>
              <w:t>方案</w:t>
            </w:r>
            <w:r>
              <w:rPr>
                <w:rFonts w:hint="eastAsia" w:ascii="宋体" w:hAnsi="宋体" w:eastAsia="宋体" w:cs="宋体"/>
                <w:sz w:val="21"/>
                <w:szCs w:val="21"/>
              </w:rPr>
              <w:t>不够详尽</w:t>
            </w:r>
            <w:r>
              <w:rPr>
                <w:rFonts w:hint="eastAsia"/>
                <w:lang w:eastAsia="zh-CN"/>
              </w:rPr>
              <w:t>，</w:t>
            </w:r>
            <w:r>
              <w:t>部分内容不具有可操作性</w:t>
            </w:r>
            <w:r>
              <w:rPr>
                <w:rFonts w:hint="eastAsia"/>
                <w:lang w:eastAsia="zh-CN"/>
              </w:rPr>
              <w:t>，内容不</w:t>
            </w:r>
            <w:r>
              <w:t>符合本项目的实际需要</w:t>
            </w:r>
            <w:r>
              <w:rPr>
                <w:rFonts w:hint="eastAsia"/>
                <w:lang w:eastAsia="zh-CN"/>
              </w:rPr>
              <w:t>；</w:t>
            </w:r>
            <w:r>
              <w:rPr>
                <w:rFonts w:hint="eastAsia" w:ascii="宋体" w:hAnsi="宋体"/>
                <w:lang w:eastAsia="zh-CN"/>
              </w:rPr>
              <w:t>风险管理的措施不</w:t>
            </w:r>
            <w:r>
              <w:rPr>
                <w:rFonts w:hint="eastAsia" w:ascii="宋体" w:hAnsi="宋体"/>
              </w:rPr>
              <w:t>完善，</w:t>
            </w:r>
            <w:r>
              <w:t>快速通道、理赔单证、</w:t>
            </w:r>
            <w:r>
              <w:rPr>
                <w:rFonts w:hint="eastAsia"/>
                <w:lang w:eastAsia="zh-CN"/>
              </w:rPr>
              <w:t>承保服务、</w:t>
            </w:r>
            <w:r>
              <w:t>认可调解及鉴定结果的保障措施及承诺</w:t>
            </w:r>
            <w:r>
              <w:rPr>
                <w:rFonts w:hint="eastAsia"/>
                <w:lang w:eastAsia="zh-CN"/>
              </w:rPr>
              <w:t>不</w:t>
            </w:r>
            <w:r>
              <w:rPr>
                <w:rFonts w:hint="eastAsia" w:ascii="宋体" w:hAnsi="宋体"/>
              </w:rPr>
              <w:t>全面，得2分；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szCs w:val="21"/>
                <w:highlight w:val="none"/>
                <w:lang w:bidi="ar"/>
              </w:rPr>
            </w:pPr>
            <w:r>
              <w:rPr>
                <w:rFonts w:hint="eastAsia" w:ascii="宋体" w:hAnsi="宋体"/>
              </w:rPr>
              <w:t>4、未提供方案不得分。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黑体"/>
                <w:kern w:val="2"/>
                <w:sz w:val="21"/>
                <w:szCs w:val="22"/>
                <w:lang w:val="en-US" w:eastAsia="zh-CN" w:bidi="ar-SA"/>
              </w:rPr>
            </w:pPr>
            <w:r>
              <w:rPr>
                <w:rFonts w:hint="eastAsia" w:ascii="宋体" w:hAnsi="宋体" w:cs="宋体"/>
                <w:lang w:eastAsia="zh-CN"/>
              </w:rPr>
              <w:t>保险应急预案</w:t>
            </w: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10</w:t>
            </w:r>
          </w:p>
        </w:tc>
        <w:tc>
          <w:tcPr>
            <w:tcW w:w="7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根据各供应商的</w:t>
            </w:r>
            <w:r>
              <w:rPr>
                <w:rFonts w:hint="eastAsia" w:ascii="宋体" w:hAnsi="宋体"/>
                <w:lang w:eastAsia="zh-CN"/>
              </w:rPr>
              <w:t>保险应急预案</w:t>
            </w:r>
            <w:r>
              <w:rPr>
                <w:rFonts w:hint="eastAsia" w:ascii="宋体" w:hAnsi="宋体"/>
              </w:rPr>
              <w:t>方案进行综合评审</w:t>
            </w:r>
            <w:r>
              <w:rPr>
                <w:rFonts w:hint="eastAsia" w:ascii="宋体" w:hAnsi="宋体"/>
                <w:lang w:eastAsia="zh-CN"/>
              </w:rPr>
              <w:t>，包括</w:t>
            </w:r>
            <w:r>
              <w:rPr>
                <w:rFonts w:hint="eastAsia" w:ascii="宋体" w:hAnsi="宋体"/>
                <w:lang w:val="en-US" w:eastAsia="zh-CN"/>
              </w:rPr>
              <w:t>但不限于</w:t>
            </w:r>
            <w:r>
              <w:rPr>
                <w:rFonts w:hint="eastAsia" w:ascii="宋体" w:hAnsi="宋体"/>
                <w:lang w:eastAsia="zh-CN"/>
              </w:rPr>
              <w:t>投诉处理、应急处置机制、制度、流程及</w:t>
            </w:r>
            <w:r>
              <w:rPr>
                <w:rFonts w:hint="eastAsia" w:ascii="宋体" w:hAnsi="宋体"/>
              </w:rPr>
              <w:t>发生重特大事故损失的保险应急预案</w:t>
            </w:r>
            <w:r>
              <w:rPr>
                <w:rFonts w:hint="eastAsia" w:ascii="宋体" w:hAnsi="宋体"/>
                <w:lang w:eastAsia="zh-CN"/>
              </w:rPr>
              <w:t>（</w:t>
            </w:r>
            <w:r>
              <w:rPr>
                <w:rFonts w:hint="eastAsia" w:ascii="宋体" w:hAnsi="宋体"/>
              </w:rPr>
              <w:t>包括理赔绿色通道、医疗探视、快捷救援的行动举措等</w:t>
            </w:r>
            <w:r>
              <w:rPr>
                <w:rFonts w:hint="eastAsia" w:ascii="宋体" w:hAnsi="宋体"/>
                <w:lang w:eastAsia="zh-CN"/>
              </w:rPr>
              <w:t>）等</w:t>
            </w: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1、供应商对理赔投诉处理应对迅速，</w:t>
            </w:r>
            <w:r>
              <w:rPr>
                <w:rFonts w:hint="eastAsia" w:ascii="宋体" w:hAnsi="宋体"/>
                <w:lang w:eastAsia="zh-CN"/>
              </w:rPr>
              <w:t>应急处置措施、机制、制度、流程等</w:t>
            </w:r>
            <w:r>
              <w:rPr>
                <w:rFonts w:hint="eastAsia" w:ascii="宋体" w:hAnsi="宋体"/>
              </w:rPr>
              <w:t>全面、合理，应急预案中理赔绿色通道非常完善，医疗探视、快捷救援行动举措非常满足项目实际需求</w:t>
            </w:r>
            <w:r>
              <w:rPr>
                <w:rFonts w:hint="eastAsia" w:ascii="宋体" w:hAnsi="宋体"/>
                <w:lang w:eastAsia="zh-CN"/>
              </w:rPr>
              <w:t>，</w:t>
            </w:r>
            <w:r>
              <w:rPr>
                <w:rFonts w:hint="eastAsia" w:ascii="宋体" w:hAnsi="宋体"/>
              </w:rPr>
              <w:t>得10分；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r>
              <w:rPr>
                <w:rFonts w:hint="eastAsia" w:ascii="宋体" w:hAnsi="宋体"/>
              </w:rPr>
              <w:t>2、供应商对理赔投诉处理应对速度一般，</w:t>
            </w:r>
            <w:r>
              <w:rPr>
                <w:rFonts w:hint="eastAsia" w:ascii="宋体" w:hAnsi="宋体"/>
                <w:lang w:eastAsia="zh-CN"/>
              </w:rPr>
              <w:t>应急处置措施、制度、流程等</w:t>
            </w:r>
            <w:r>
              <w:rPr>
                <w:rFonts w:hint="eastAsia" w:ascii="宋体" w:hAnsi="宋体"/>
              </w:rPr>
              <w:t>较全面、合理，应急预案中理赔绿色通道较完善，医疗探视、快捷救援行动举措基本符合项目实际需求</w:t>
            </w:r>
            <w:r>
              <w:rPr>
                <w:rFonts w:hint="eastAsia" w:ascii="宋体" w:hAnsi="宋体"/>
                <w:lang w:eastAsia="zh-CN"/>
              </w:rPr>
              <w:t>，</w:t>
            </w:r>
            <w:r>
              <w:rPr>
                <w:rFonts w:hint="eastAsia" w:ascii="宋体" w:hAnsi="宋体"/>
              </w:rPr>
              <w:t xml:space="preserve">得6分；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3、供应商对理赔投诉处理应对速度慢，</w:t>
            </w:r>
            <w:r>
              <w:rPr>
                <w:rFonts w:hint="eastAsia" w:ascii="宋体" w:hAnsi="宋体"/>
                <w:lang w:eastAsia="zh-CN"/>
              </w:rPr>
              <w:t>应急处置措施、制度、流程等</w:t>
            </w:r>
            <w:r>
              <w:rPr>
                <w:rFonts w:hint="eastAsia" w:ascii="宋体" w:hAnsi="宋体"/>
              </w:rPr>
              <w:t>不够全面、不够合理，应急预案中理赔绿色通道不够完善，医疗探视、快捷救援行动举措和项目实际需求不够贴切</w:t>
            </w:r>
            <w:r>
              <w:rPr>
                <w:rFonts w:hint="eastAsia" w:ascii="宋体" w:hAnsi="宋体"/>
                <w:lang w:eastAsia="zh-CN"/>
              </w:rPr>
              <w:t>，</w:t>
            </w:r>
            <w:r>
              <w:rPr>
                <w:rFonts w:hint="eastAsia" w:ascii="宋体" w:hAnsi="宋体"/>
              </w:rPr>
              <w:t>得2分；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highlight w:val="none"/>
              </w:rPr>
            </w:pPr>
            <w:r>
              <w:rPr>
                <w:rFonts w:hint="eastAsia" w:ascii="宋体" w:hAnsi="宋体"/>
              </w:rPr>
              <w:t>4、未提供方案不得分。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黑体"/>
                <w:kern w:val="2"/>
                <w:sz w:val="21"/>
                <w:szCs w:val="22"/>
                <w:lang w:val="en-US" w:eastAsia="zh-CN" w:bidi="ar-SA"/>
              </w:rPr>
            </w:pPr>
            <w:r>
              <w:rPr>
                <w:rFonts w:hint="eastAsia" w:ascii="宋体" w:hAnsi="宋体" w:cs="宋体"/>
              </w:rPr>
              <w:t>保险保障措施</w:t>
            </w: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2</w:t>
            </w:r>
          </w:p>
        </w:tc>
        <w:tc>
          <w:tcPr>
            <w:tcW w:w="7695"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根据投标人所属总公司202</w:t>
            </w:r>
            <w:r>
              <w:rPr>
                <w:rFonts w:hint="eastAsia" w:ascii="宋体" w:hAnsi="宋体" w:eastAsia="宋体" w:cs="宋体"/>
                <w:sz w:val="21"/>
                <w:szCs w:val="21"/>
                <w:lang w:eastAsia="zh-CN"/>
              </w:rPr>
              <w:t>2</w:t>
            </w:r>
            <w:r>
              <w:rPr>
                <w:rFonts w:hint="eastAsia" w:ascii="宋体" w:hAnsi="宋体" w:eastAsia="宋体" w:cs="宋体"/>
                <w:sz w:val="21"/>
                <w:szCs w:val="21"/>
              </w:rPr>
              <w:t xml:space="preserve">年四个季度监管部门公布的保险公司“万张保单投诉量”指标进行评分：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1、万张保单投诉量≤0.0</w:t>
            </w:r>
            <w:r>
              <w:rPr>
                <w:rFonts w:hint="eastAsia" w:ascii="宋体" w:hAnsi="宋体" w:eastAsia="宋体" w:cs="宋体"/>
                <w:sz w:val="21"/>
                <w:szCs w:val="21"/>
                <w:lang w:eastAsia="zh-CN"/>
              </w:rPr>
              <w:t>7</w:t>
            </w:r>
            <w:r>
              <w:rPr>
                <w:rFonts w:hint="eastAsia" w:ascii="宋体" w:hAnsi="宋体" w:eastAsia="宋体" w:cs="宋体"/>
                <w:sz w:val="21"/>
                <w:szCs w:val="21"/>
              </w:rPr>
              <w:t>的，得</w:t>
            </w:r>
            <w:r>
              <w:rPr>
                <w:rFonts w:hint="eastAsia" w:ascii="宋体" w:hAnsi="宋体" w:eastAsia="宋体" w:cs="宋体"/>
                <w:sz w:val="21"/>
                <w:szCs w:val="21"/>
                <w:lang w:eastAsia="zh-CN"/>
              </w:rPr>
              <w:t>2</w:t>
            </w:r>
            <w:r>
              <w:rPr>
                <w:rFonts w:hint="eastAsia" w:ascii="宋体" w:hAnsi="宋体" w:eastAsia="宋体" w:cs="宋体"/>
                <w:sz w:val="21"/>
                <w:szCs w:val="21"/>
              </w:rPr>
              <w:t xml:space="preserve">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2、0.0</w:t>
            </w:r>
            <w:r>
              <w:rPr>
                <w:rFonts w:hint="eastAsia" w:ascii="宋体" w:hAnsi="宋体" w:eastAsia="宋体" w:cs="宋体"/>
                <w:sz w:val="21"/>
                <w:szCs w:val="21"/>
                <w:lang w:eastAsia="zh-CN"/>
              </w:rPr>
              <w:t>7</w:t>
            </w:r>
            <w:r>
              <w:rPr>
                <w:rFonts w:hint="eastAsia" w:ascii="宋体" w:hAnsi="宋体" w:eastAsia="宋体" w:cs="宋体"/>
                <w:sz w:val="21"/>
                <w:szCs w:val="21"/>
              </w:rPr>
              <w:t>＜万张保单投诉量≤0.</w:t>
            </w: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5</w:t>
            </w:r>
            <w:r>
              <w:rPr>
                <w:rFonts w:hint="eastAsia" w:ascii="宋体" w:hAnsi="宋体" w:eastAsia="宋体" w:cs="宋体"/>
                <w:sz w:val="21"/>
                <w:szCs w:val="21"/>
              </w:rPr>
              <w:t>的，得</w:t>
            </w:r>
            <w:r>
              <w:rPr>
                <w:rFonts w:hint="eastAsia" w:ascii="宋体" w:hAnsi="宋体" w:eastAsia="宋体" w:cs="宋体"/>
                <w:sz w:val="21"/>
                <w:szCs w:val="21"/>
                <w:lang w:eastAsia="zh-CN"/>
              </w:rPr>
              <w:t>1</w:t>
            </w:r>
            <w:r>
              <w:rPr>
                <w:rFonts w:hint="eastAsia" w:ascii="宋体" w:hAnsi="宋体" w:eastAsia="宋体" w:cs="宋体"/>
                <w:sz w:val="21"/>
                <w:szCs w:val="21"/>
              </w:rPr>
              <w:t xml:space="preserve">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、万张保单投诉量＞0.</w:t>
            </w:r>
            <w:r>
              <w:rPr>
                <w:rFonts w:hint="eastAsia" w:ascii="宋体" w:hAnsi="宋体" w:eastAsia="宋体" w:cs="宋体"/>
                <w:sz w:val="21"/>
                <w:szCs w:val="21"/>
                <w:lang w:val="en-US" w:eastAsia="zh-CN"/>
              </w:rPr>
              <w:t>25</w:t>
            </w:r>
            <w:r>
              <w:rPr>
                <w:rFonts w:hint="eastAsia" w:ascii="宋体" w:hAnsi="宋体" w:eastAsia="宋体" w:cs="宋体"/>
                <w:sz w:val="21"/>
                <w:szCs w:val="21"/>
              </w:rPr>
              <w:t xml:space="preserve">，不得分。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sz w:val="21"/>
                <w:highlight w:val="none"/>
              </w:rPr>
            </w:pPr>
            <w:r>
              <w:rPr>
                <w:rFonts w:hint="eastAsia" w:ascii="宋体" w:hAnsi="宋体" w:eastAsia="宋体" w:cs="宋体"/>
                <w:sz w:val="21"/>
                <w:szCs w:val="21"/>
              </w:rPr>
              <w:t>注：“万张保单投诉量”以银保监会网站目前已公布的202</w:t>
            </w:r>
            <w:r>
              <w:rPr>
                <w:rFonts w:hint="eastAsia" w:ascii="宋体" w:hAnsi="宋体" w:eastAsia="宋体" w:cs="宋体"/>
                <w:sz w:val="21"/>
                <w:szCs w:val="21"/>
                <w:lang w:eastAsia="zh-CN"/>
              </w:rPr>
              <w:t>2</w:t>
            </w:r>
            <w:r>
              <w:rPr>
                <w:rFonts w:hint="eastAsia" w:ascii="宋体" w:hAnsi="宋体" w:eastAsia="宋体" w:cs="宋体"/>
                <w:sz w:val="21"/>
                <w:szCs w:val="21"/>
              </w:rPr>
              <w:t>年四个季度万张保单投诉量（件/万张）计算平均值，结果四舍五入取小数点后</w:t>
            </w:r>
            <w:r>
              <w:rPr>
                <w:rFonts w:hint="eastAsia" w:ascii="宋体" w:hAnsi="宋体" w:eastAsia="宋体" w:cs="宋体"/>
                <w:sz w:val="21"/>
                <w:szCs w:val="21"/>
                <w:lang w:eastAsia="zh-CN"/>
              </w:rPr>
              <w:t>两</w:t>
            </w:r>
            <w:r>
              <w:rPr>
                <w:rFonts w:hint="eastAsia" w:ascii="宋体" w:hAnsi="宋体" w:eastAsia="宋体" w:cs="宋体"/>
                <w:sz w:val="21"/>
                <w:szCs w:val="21"/>
              </w:rPr>
              <w:t>位。提供银保监会网站公告截图及公告附件加盖投标人公章作为评审依据，未按要求提供材料不得分。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黑体"/>
                <w:kern w:val="2"/>
                <w:sz w:val="21"/>
                <w:szCs w:val="22"/>
                <w:lang w:val="en-US" w:eastAsia="zh-CN" w:bidi="ar-SA"/>
              </w:rPr>
            </w:pPr>
            <w:r>
              <w:rPr>
                <w:rFonts w:hint="eastAsia" w:ascii="宋体" w:hAnsi="宋体" w:cs="宋体"/>
              </w:rPr>
              <w:t>附加服务</w:t>
            </w: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5</w:t>
            </w:r>
          </w:p>
        </w:tc>
        <w:tc>
          <w:tcPr>
            <w:tcW w:w="7695"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1"/>
                <w:szCs w:val="21"/>
              </w:rPr>
            </w:pPr>
            <w:r>
              <w:rPr>
                <w:rFonts w:hint="eastAsia" w:ascii="宋体" w:hAnsi="宋体" w:eastAsia="宋体" w:cs="宋体"/>
                <w:sz w:val="21"/>
                <w:szCs w:val="21"/>
              </w:rPr>
              <w:t>根据各供应商在服务承诺基础上提供附加服务方案进行综合评审：</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1"/>
                <w:szCs w:val="21"/>
              </w:rPr>
            </w:pPr>
            <w:r>
              <w:rPr>
                <w:rFonts w:hint="eastAsia" w:ascii="宋体" w:hAnsi="宋体" w:eastAsia="宋体" w:cs="宋体"/>
                <w:sz w:val="21"/>
                <w:szCs w:val="21"/>
              </w:rPr>
              <w:t>1、附加服务方案内容详尽、合理、措施具体、可操作性强的，得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1"/>
                <w:szCs w:val="21"/>
              </w:rPr>
            </w:pPr>
            <w:r>
              <w:rPr>
                <w:rFonts w:hint="eastAsia" w:ascii="宋体" w:hAnsi="宋体" w:eastAsia="宋体" w:cs="宋体"/>
                <w:sz w:val="21"/>
                <w:szCs w:val="21"/>
              </w:rPr>
              <w:t>2、附加服务方案内容较详尽、较合理、措施较具体、可操作性较强的，得</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1"/>
                <w:szCs w:val="21"/>
              </w:rPr>
            </w:pPr>
            <w:r>
              <w:rPr>
                <w:rFonts w:hint="eastAsia" w:ascii="宋体" w:hAnsi="宋体" w:eastAsia="宋体" w:cs="宋体"/>
                <w:sz w:val="21"/>
                <w:szCs w:val="21"/>
              </w:rPr>
              <w:t>3、附加服务方案内容不够详尽、合理性不够、措施不够具体、可操作性不够强的，得</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sz w:val="21"/>
                <w:highlight w:val="none"/>
              </w:rPr>
            </w:pPr>
            <w:r>
              <w:rPr>
                <w:rFonts w:hint="eastAsia" w:ascii="宋体" w:hAnsi="宋体" w:eastAsia="宋体" w:cs="宋体"/>
                <w:sz w:val="21"/>
                <w:szCs w:val="21"/>
              </w:rPr>
              <w:t>4、未提供方案不得分。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lang w:eastAsia="zh-CN"/>
              </w:rPr>
            </w:pPr>
            <w:r>
              <w:rPr>
                <w:rFonts w:hint="eastAsia" w:ascii="宋体" w:hAnsi="宋体" w:cs="宋体"/>
                <w:lang w:eastAsia="zh-CN"/>
              </w:rPr>
              <w:t>合计</w:t>
            </w:r>
          </w:p>
        </w:tc>
        <w:tc>
          <w:tcPr>
            <w:tcW w:w="8610" w:type="dxa"/>
            <w:gridSpan w:val="2"/>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45分</w:t>
            </w:r>
          </w:p>
        </w:tc>
      </w:tr>
    </w:tbl>
    <w:p>
      <w:pPr>
        <w:rPr>
          <w:rFonts w:hint="default" w:ascii="Times New Roman" w:hAnsi="Times New Roman" w:cs="Times New Roman" w:eastAsiaTheme="minorEastAsia"/>
          <w:b/>
          <w:color w:val="auto"/>
          <w:sz w:val="24"/>
          <w:highlight w:val="none"/>
        </w:rPr>
      </w:pPr>
    </w:p>
    <w:p>
      <w:pPr>
        <w:spacing w:line="360" w:lineRule="auto"/>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价格部分评分：（</w:t>
      </w:r>
      <w:r>
        <w:rPr>
          <w:rFonts w:hint="eastAsia" w:cs="Times New Roman" w:eastAsiaTheme="minorEastAsia"/>
          <w:b/>
          <w:color w:val="auto"/>
          <w:sz w:val="24"/>
          <w:highlight w:val="none"/>
          <w:lang w:val="en-US" w:eastAsia="zh-CN"/>
        </w:rPr>
        <w:t>30</w:t>
      </w:r>
      <w:r>
        <w:rPr>
          <w:rFonts w:hint="default" w:ascii="Times New Roman" w:hAnsi="Times New Roman" w:cs="Times New Roman" w:eastAsiaTheme="minorEastAsia"/>
          <w:b/>
          <w:color w:val="auto"/>
          <w:sz w:val="24"/>
          <w:highlight w:val="none"/>
        </w:rPr>
        <w:t>分）</w:t>
      </w:r>
    </w:p>
    <w:tbl>
      <w:tblPr>
        <w:tblStyle w:val="22"/>
        <w:tblW w:w="9819" w:type="dxa"/>
        <w:tblInd w:w="108" w:type="dxa"/>
        <w:tblLayout w:type="fixed"/>
        <w:tblCellMar>
          <w:top w:w="0" w:type="dxa"/>
          <w:left w:w="108" w:type="dxa"/>
          <w:bottom w:w="0" w:type="dxa"/>
          <w:right w:w="108" w:type="dxa"/>
        </w:tblCellMar>
      </w:tblPr>
      <w:tblGrid>
        <w:gridCol w:w="739"/>
        <w:gridCol w:w="741"/>
        <w:gridCol w:w="7228"/>
        <w:gridCol w:w="1111"/>
      </w:tblGrid>
      <w:tr>
        <w:tblPrEx>
          <w:tblCellMar>
            <w:top w:w="0" w:type="dxa"/>
            <w:left w:w="108" w:type="dxa"/>
            <w:bottom w:w="0" w:type="dxa"/>
            <w:right w:w="108" w:type="dxa"/>
          </w:tblCellMar>
        </w:tblPrEx>
        <w:trPr>
          <w:trHeight w:val="779" w:hRule="atLeast"/>
        </w:trPr>
        <w:tc>
          <w:tcPr>
            <w:tcW w:w="739"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w:t>
            </w:r>
          </w:p>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内容</w:t>
            </w:r>
          </w:p>
        </w:tc>
        <w:tc>
          <w:tcPr>
            <w:tcW w:w="74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权重值</w:t>
            </w:r>
          </w:p>
        </w:tc>
        <w:tc>
          <w:tcPr>
            <w:tcW w:w="7228"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  审  子  项</w:t>
            </w:r>
          </w:p>
        </w:tc>
        <w:tc>
          <w:tcPr>
            <w:tcW w:w="111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满分值</w:t>
            </w:r>
          </w:p>
        </w:tc>
      </w:tr>
      <w:tr>
        <w:tblPrEx>
          <w:tblCellMar>
            <w:top w:w="0" w:type="dxa"/>
            <w:left w:w="108" w:type="dxa"/>
            <w:bottom w:w="0" w:type="dxa"/>
            <w:right w:w="108" w:type="dxa"/>
          </w:tblCellMar>
        </w:tblPrEx>
        <w:trPr>
          <w:cantSplit/>
          <w:trHeight w:val="1679"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价格部分</w:t>
            </w: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rPr>
            </w:pPr>
            <w:r>
              <w:rPr>
                <w:rFonts w:hint="eastAsia" w:cs="Times New Roman" w:eastAsiaTheme="minorEastAsia"/>
                <w:b/>
                <w:bCs/>
                <w:color w:val="auto"/>
                <w:highlight w:val="none"/>
                <w:lang w:val="en-US" w:eastAsia="zh-CN"/>
              </w:rPr>
              <w:t>30</w:t>
            </w:r>
            <w:r>
              <w:rPr>
                <w:rFonts w:hint="default" w:ascii="Times New Roman" w:hAnsi="Times New Roman" w:cs="Times New Roman" w:eastAsiaTheme="minorEastAsia"/>
                <w:b/>
                <w:bCs/>
                <w:color w:val="auto"/>
                <w:highlight w:val="none"/>
              </w:rPr>
              <w:t>%</w:t>
            </w:r>
          </w:p>
        </w:tc>
        <w:tc>
          <w:tcPr>
            <w:tcW w:w="7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价格分统一采用低价优先法计算，即满足采购文件要求（通过资格性、符合性审查）且投标价格最低的有效投标报价（指修正后报价，下同）为评标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评标基准价 = 有效最高报价 = 满分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highlight w:val="none"/>
              </w:rPr>
              <w:t>其他投标报价得分 = (有效投标报价÷评标基准价)×</w:t>
            </w:r>
            <w:r>
              <w:rPr>
                <w:rFonts w:hint="eastAsia" w:ascii="Times New Roman" w:hAnsi="Times New Roman" w:cs="Times New Roman"/>
                <w:color w:val="auto"/>
                <w:highlight w:val="none"/>
                <w:lang w:val="en-US" w:eastAsia="zh-CN"/>
              </w:rPr>
              <w:t>30</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highlight w:val="none"/>
              </w:rPr>
            </w:pPr>
            <w:r>
              <w:rPr>
                <w:rFonts w:hint="eastAsia" w:cs="Times New Roman" w:eastAsiaTheme="minorEastAsia"/>
                <w:color w:val="auto"/>
                <w:sz w:val="24"/>
                <w:highlight w:val="none"/>
                <w:lang w:val="en-US" w:eastAsia="zh-CN"/>
              </w:rPr>
              <w:t>30</w:t>
            </w:r>
            <w:r>
              <w:rPr>
                <w:rFonts w:hint="default" w:ascii="Times New Roman" w:hAnsi="Times New Roman" w:cs="Times New Roman" w:eastAsiaTheme="minorEastAsia"/>
                <w:color w:val="auto"/>
                <w:sz w:val="24"/>
                <w:highlight w:val="none"/>
              </w:rPr>
              <w:t>分</w:t>
            </w:r>
          </w:p>
        </w:tc>
      </w:tr>
    </w:tbl>
    <w:p>
      <w:pPr>
        <w:spacing w:line="348" w:lineRule="auto"/>
        <w:rPr>
          <w:rFonts w:hint="default"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kern w:val="0"/>
          <w:szCs w:val="21"/>
          <w:highlight w:val="none"/>
        </w:rPr>
        <w:t>备注：</w:t>
      </w:r>
    </w:p>
    <w:p>
      <w:pPr>
        <w:pStyle w:val="19"/>
        <w:spacing w:beforeLines="0" w:afterLines="0" w:line="348" w:lineRule="auto"/>
        <w:ind w:firstLine="420" w:firstLineChars="200"/>
        <w:rPr>
          <w:rFonts w:hint="eastAsia"/>
          <w:sz w:val="21"/>
          <w:szCs w:val="21"/>
          <w:highlight w:val="none"/>
        </w:rPr>
      </w:pPr>
      <w:r>
        <w:rPr>
          <w:rFonts w:hint="eastAsia"/>
          <w:sz w:val="21"/>
          <w:szCs w:val="21"/>
          <w:highlight w:val="none"/>
          <w:lang w:val="en-US" w:eastAsia="zh-CN"/>
        </w:rPr>
        <w:t>1.</w:t>
      </w:r>
      <w:r>
        <w:rPr>
          <w:rFonts w:hint="eastAsia"/>
          <w:sz w:val="21"/>
          <w:szCs w:val="21"/>
          <w:highlight w:val="none"/>
        </w:rPr>
        <w:t>对小型、微型企业、监狱企业或残疾人福利性单位给予价格扣除：</w:t>
      </w:r>
    </w:p>
    <w:p>
      <w:pPr>
        <w:spacing w:line="360" w:lineRule="auto"/>
        <w:ind w:firstLine="420" w:firstLineChars="20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9"/>
        <w:gridCol w:w="1951"/>
        <w:gridCol w:w="1538"/>
        <w:gridCol w:w="1500"/>
        <w:gridCol w:w="39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5" w:hRule="atLeast"/>
        </w:trPr>
        <w:tc>
          <w:tcPr>
            <w:tcW w:w="679" w:type="dxa"/>
            <w:noWrap w:val="0"/>
            <w:vAlign w:val="top"/>
          </w:tcPr>
          <w:p>
            <w:pPr>
              <w:rPr>
                <w:highlight w:val="none"/>
              </w:rPr>
            </w:pPr>
            <w:r>
              <w:rPr>
                <w:highlight w:val="none"/>
              </w:rPr>
              <w:t>序号</w:t>
            </w:r>
          </w:p>
        </w:tc>
        <w:tc>
          <w:tcPr>
            <w:tcW w:w="1951" w:type="dxa"/>
            <w:noWrap w:val="0"/>
            <w:vAlign w:val="top"/>
          </w:tcPr>
          <w:p>
            <w:pPr>
              <w:rPr>
                <w:highlight w:val="none"/>
              </w:rPr>
            </w:pPr>
            <w:r>
              <w:rPr>
                <w:highlight w:val="none"/>
              </w:rPr>
              <w:t>情形</w:t>
            </w:r>
          </w:p>
        </w:tc>
        <w:tc>
          <w:tcPr>
            <w:tcW w:w="1538" w:type="dxa"/>
            <w:noWrap w:val="0"/>
            <w:vAlign w:val="top"/>
          </w:tcPr>
          <w:p>
            <w:pPr>
              <w:rPr>
                <w:highlight w:val="none"/>
              </w:rPr>
            </w:pPr>
            <w:r>
              <w:rPr>
                <w:highlight w:val="none"/>
              </w:rPr>
              <w:t>适用对象</w:t>
            </w:r>
          </w:p>
        </w:tc>
        <w:tc>
          <w:tcPr>
            <w:tcW w:w="1500" w:type="dxa"/>
            <w:noWrap w:val="0"/>
            <w:vAlign w:val="top"/>
          </w:tcPr>
          <w:p>
            <w:pPr>
              <w:rPr>
                <w:highlight w:val="none"/>
              </w:rPr>
            </w:pPr>
            <w:r>
              <w:rPr>
                <w:highlight w:val="none"/>
              </w:rPr>
              <w:t>价格扣除比例</w:t>
            </w:r>
          </w:p>
        </w:tc>
        <w:tc>
          <w:tcPr>
            <w:tcW w:w="3903" w:type="dxa"/>
            <w:noWrap w:val="0"/>
            <w:vAlign w:val="top"/>
          </w:tcPr>
          <w:p>
            <w:pPr>
              <w:rPr>
                <w:highlight w:val="none"/>
              </w:rPr>
            </w:pPr>
            <w:r>
              <w:rPr>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0" w:hRule="atLeast"/>
        </w:trPr>
        <w:tc>
          <w:tcPr>
            <w:tcW w:w="679" w:type="dxa"/>
            <w:noWrap w:val="0"/>
            <w:vAlign w:val="top"/>
          </w:tcPr>
          <w:p>
            <w:pPr>
              <w:rPr>
                <w:rFonts w:hint="eastAsia" w:eastAsia="宋体"/>
                <w:highlight w:val="none"/>
                <w:lang w:val="en-US" w:eastAsia="zh-CN"/>
              </w:rPr>
            </w:pPr>
            <w:r>
              <w:rPr>
                <w:rFonts w:hint="eastAsia"/>
                <w:highlight w:val="none"/>
                <w:lang w:val="en-US" w:eastAsia="zh-CN"/>
              </w:rPr>
              <w:t>1</w:t>
            </w:r>
          </w:p>
        </w:tc>
        <w:tc>
          <w:tcPr>
            <w:tcW w:w="1951" w:type="dxa"/>
            <w:noWrap w:val="0"/>
            <w:vAlign w:val="top"/>
          </w:tcPr>
          <w:p>
            <w:pPr>
              <w:jc w:val="left"/>
              <w:rPr>
                <w:highlight w:val="none"/>
              </w:rPr>
            </w:pPr>
            <w:r>
              <w:t>小型、微型企业，监狱企业，残疾人福利性单位</w:t>
            </w:r>
          </w:p>
        </w:tc>
        <w:tc>
          <w:tcPr>
            <w:tcW w:w="1538" w:type="dxa"/>
            <w:noWrap w:val="0"/>
            <w:vAlign w:val="top"/>
          </w:tcPr>
          <w:p>
            <w:pPr>
              <w:rPr>
                <w:highlight w:val="none"/>
              </w:rPr>
            </w:pPr>
            <w:r>
              <w:t>服务由小微企业承接</w:t>
            </w:r>
          </w:p>
        </w:tc>
        <w:tc>
          <w:tcPr>
            <w:tcW w:w="1500" w:type="dxa"/>
            <w:noWrap w:val="0"/>
            <w:vAlign w:val="top"/>
          </w:tcPr>
          <w:p>
            <w:pPr>
              <w:rPr>
                <w:highlight w:val="none"/>
              </w:rPr>
            </w:pPr>
            <w:r>
              <w:t>10%</w:t>
            </w:r>
          </w:p>
        </w:tc>
        <w:tc>
          <w:tcPr>
            <w:tcW w:w="3903" w:type="dxa"/>
            <w:noWrap w:val="0"/>
            <w:vAlign w:val="top"/>
          </w:tcPr>
          <w:p>
            <w:pPr>
              <w:jc w:val="left"/>
              <w:rPr>
                <w:highlight w:val="none"/>
              </w:rPr>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0" w:hRule="atLeast"/>
        </w:trPr>
        <w:tc>
          <w:tcPr>
            <w:tcW w:w="9571" w:type="dxa"/>
            <w:gridSpan w:val="5"/>
            <w:noWrap w:val="0"/>
            <w:vAlign w:val="top"/>
          </w:tcPr>
          <w:p>
            <w:pPr>
              <w:jc w:val="left"/>
              <w:rPr>
                <w:highlight w:val="none"/>
              </w:rPr>
            </w:pPr>
            <w:r>
              <w:rPr>
                <w:highlight w:val="none"/>
              </w:rPr>
              <w:t>注：（1）上述评标价仅用于计算价格分，成交金额以实际投标价为准。</w:t>
            </w:r>
          </w:p>
          <w:p>
            <w:pPr>
              <w:ind w:firstLine="420" w:firstLineChars="200"/>
              <w:jc w:val="left"/>
              <w:rPr>
                <w:highlight w:val="none"/>
              </w:rPr>
            </w:pPr>
            <w:r>
              <w:rPr>
                <w:highlight w:val="none"/>
              </w:rPr>
              <w:t>（2）组成联合体的大中型企业和其他自然人、法人或者其他组织、与小型、微型企业之间不得存在投资关系。</w:t>
            </w:r>
          </w:p>
        </w:tc>
      </w:tr>
    </w:tbl>
    <w:p>
      <w:pPr>
        <w:spacing w:line="360" w:lineRule="auto"/>
        <w:ind w:firstLine="420" w:firstLineChars="200"/>
        <w:rPr>
          <w:rFonts w:ascii="Times New Roman" w:hAnsi="Times New Roman" w:eastAsia="宋体" w:cs="Times New Roman"/>
          <w:sz w:val="21"/>
          <w:szCs w:val="21"/>
          <w:highlight w:val="none"/>
        </w:rPr>
      </w:pPr>
    </w:p>
    <w:p>
      <w:pPr>
        <w:spacing w:line="360" w:lineRule="auto"/>
        <w:ind w:firstLine="422" w:firstLineChars="200"/>
        <w:outlineLvl w:val="9"/>
        <w:rPr>
          <w:sz w:val="21"/>
          <w:szCs w:val="21"/>
          <w:highlight w:val="none"/>
        </w:rPr>
      </w:pPr>
      <w:r>
        <w:rPr>
          <w:rFonts w:hint="eastAsia"/>
          <w:b/>
          <w:sz w:val="21"/>
          <w:szCs w:val="21"/>
          <w:highlight w:val="none"/>
          <w:lang w:val="en-US" w:eastAsia="zh-CN"/>
        </w:rPr>
        <w:t>2.</w:t>
      </w:r>
      <w:r>
        <w:rPr>
          <w:b/>
          <w:sz w:val="21"/>
          <w:szCs w:val="21"/>
          <w:highlight w:val="none"/>
        </w:rPr>
        <w:t>价格扣除相关要求</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（1）所称小型和微型企业应当符合以下条件：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符合中小企业划分标准的个体工商户，在政府采购活动中视同中小企业。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提供本企业（属于小微企业）制造的货物或者提供其他小型或微型企业制造的货物/提供本企业（属于小微企业）承接的服务。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说明：供应商应当对其出具的《中小企业声明函》真实性负责，供应商出具的《中小企业声明函》内容不实的，属于提供虚假材料谋取成交。</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sz w:val="21"/>
          <w:szCs w:val="21"/>
          <w:highlight w:val="none"/>
        </w:rPr>
        <w:t>（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rPr>
      </w:pPr>
      <w:r>
        <w:rPr>
          <w:rFonts w:hint="eastAsia" w:ascii="Times New Roman" w:hAnsi="Times New Roman" w:cs="Times New Roman"/>
          <w:color w:val="auto"/>
          <w:kern w:val="2"/>
          <w:sz w:val="21"/>
          <w:szCs w:val="22"/>
          <w:lang w:val="en-US" w:eastAsia="zh-CN" w:bidi="ar-SA"/>
        </w:rPr>
        <w:t>2.1</w:t>
      </w:r>
      <w:r>
        <w:rPr>
          <w:rFonts w:hint="default" w:ascii="Times New Roman" w:hAnsi="Times New Roman" w:eastAsia="宋体" w:cs="Times New Roman"/>
          <w:color w:val="auto"/>
          <w:kern w:val="2"/>
          <w:sz w:val="21"/>
          <w:szCs w:val="22"/>
          <w:lang w:val="en-US" w:eastAsia="zh-CN" w:bidi="ar-SA"/>
        </w:rPr>
        <w:t>.</w:t>
      </w:r>
      <w:r>
        <w:rPr>
          <w:rFonts w:hint="default" w:ascii="Times New Roman" w:hAnsi="Times New Roman" w:cs="Times New Roman"/>
          <w:color w:val="auto"/>
          <w:highlight w:val="none"/>
        </w:rPr>
        <w:t>经磋商小组审核，满足采购文件要求且进行了政策性价格扣除后，以评审价格的最低价者定为评标基准价，其价格分为满分。其他供应商的价格分统一按下列公式折算递减。即：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评标基准价 = 评审价格的最低价 = 权重分配价格部分满分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其他报价得分 =  (评标基准价÷评审价格) ×权重分配价格部分满分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rPr>
      </w:pPr>
      <w:r>
        <w:rPr>
          <w:rFonts w:hint="eastAsia" w:ascii="Times New Roman" w:hAnsi="Times New Roman" w:cs="Times New Roman"/>
          <w:b w:val="0"/>
          <w:i w:val="0"/>
          <w:color w:val="auto"/>
          <w:kern w:val="2"/>
          <w:sz w:val="21"/>
          <w:szCs w:val="21"/>
          <w:lang w:val="en-US" w:eastAsia="zh-CN" w:bidi="ar-SA"/>
        </w:rPr>
        <w:t>2.2</w:t>
      </w:r>
      <w:r>
        <w:rPr>
          <w:rFonts w:hint="default" w:ascii="Times New Roman" w:hAnsi="Times New Roman" w:cs="Times New Roman"/>
          <w:color w:val="auto"/>
          <w:highlight w:val="none"/>
        </w:rPr>
        <w:t>评分汇总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技术</w:t>
      </w:r>
      <w:r>
        <w:rPr>
          <w:rFonts w:hint="default" w:ascii="Times New Roman" w:hAnsi="Times New Roman" w:cs="Times New Roman"/>
          <w:color w:val="auto"/>
          <w:highlight w:val="none"/>
        </w:rPr>
        <w:t>总分＝ 各评委评分总和 ÷ 评委人数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商务总分＝ 各评委评分总和 ÷ 评委人数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价格总分＝ 统一公式计算得分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color w:val="auto"/>
          <w:highlight w:val="none"/>
        </w:rPr>
      </w:pPr>
      <w:r>
        <w:rPr>
          <w:rFonts w:hint="default" w:ascii="Times New Roman" w:hAnsi="Times New Roman" w:cs="Times New Roman"/>
          <w:b/>
          <w:color w:val="auto"/>
          <w:highlight w:val="none"/>
        </w:rPr>
        <w:t>综合总分</w:t>
      </w:r>
      <w:r>
        <w:rPr>
          <w:rFonts w:hint="default" w:ascii="Times New Roman" w:hAnsi="Times New Roman" w:cs="Times New Roman"/>
          <w:b/>
          <w:bCs/>
          <w:color w:val="auto"/>
          <w:highlight w:val="none"/>
        </w:rPr>
        <w:t>＝技术总分+商务总分+价格总分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bCs/>
          <w:color w:val="auto"/>
          <w:highlight w:val="none"/>
        </w:rPr>
        <w:t>（每次评分汇总均精确到二位小数）</w:t>
      </w:r>
      <w:r>
        <w:rPr>
          <w:rFonts w:hint="default" w:ascii="Times New Roman" w:hAnsi="Times New Roman" w:cs="Times New Roman"/>
          <w:b/>
          <w:bCs/>
          <w:color w:val="auto"/>
          <w:highlight w:val="none"/>
        </w:rPr>
        <w:t xml:space="preserve">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bookmarkStart w:id="248" w:name="_Toc136682905"/>
      <w:bookmarkStart w:id="249" w:name="_Toc119321140"/>
      <w:bookmarkStart w:id="250" w:name="_Toc136662929"/>
      <w:bookmarkStart w:id="251" w:name="_Toc159385064"/>
      <w:r>
        <w:rPr>
          <w:rFonts w:hint="default" w:ascii="Times New Roman" w:hAnsi="Times New Roman" w:cs="Times New Roman" w:eastAsiaTheme="minorEastAsia"/>
          <w:b/>
          <w:color w:val="auto"/>
          <w:sz w:val="24"/>
          <w:szCs w:val="24"/>
          <w:highlight w:val="none"/>
        </w:rPr>
        <w:t>推荐结果</w:t>
      </w:r>
      <w:bookmarkEnd w:id="248"/>
      <w:bookmarkEnd w:id="249"/>
      <w:bookmarkEnd w:id="250"/>
      <w:bookmarkEnd w:id="25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b w:val="0"/>
          <w:i w:val="0"/>
          <w:color w:val="auto"/>
          <w:kern w:val="2"/>
          <w:sz w:val="21"/>
          <w:szCs w:val="21"/>
          <w:lang w:val="en-US" w:eastAsia="zh-CN" w:bidi="ar-SA"/>
        </w:rPr>
        <w:t>2.1</w:t>
      </w:r>
      <w:r>
        <w:rPr>
          <w:rFonts w:hint="default" w:ascii="Times New Roman" w:hAnsi="Times New Roman" w:cs="Times New Roman"/>
          <w:color w:val="auto"/>
          <w:highlight w:val="none"/>
        </w:rPr>
        <w:t>磋商小组按照磋商文件确定的评审方法、步骤、标准，对响应文件进行评审。评审结束后，对供应商的评审名次进行排序，确定成交供应商或者推荐成交候选供应商。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b w:val="0"/>
          <w:i w:val="0"/>
          <w:color w:val="auto"/>
          <w:kern w:val="2"/>
          <w:sz w:val="21"/>
          <w:szCs w:val="21"/>
          <w:lang w:val="en-US" w:eastAsia="zh-CN" w:bidi="ar-SA"/>
        </w:rPr>
        <w:t>2.2</w:t>
      </w:r>
      <w:r>
        <w:rPr>
          <w:rFonts w:hint="default" w:ascii="Times New Roman" w:hAnsi="Times New Roman" w:cs="Times New Roman"/>
          <w:color w:val="auto"/>
          <w:highlight w:val="none"/>
        </w:rPr>
        <w:t>评审得分相同的，按最终报价由低到高顺序排列。得分且最终报价相同的，由</w:t>
      </w:r>
      <w:r>
        <w:rPr>
          <w:rFonts w:hint="eastAsia" w:ascii="Times New Roman" w:hAnsi="Times New Roman" w:cs="Times New Roman"/>
          <w:color w:val="auto"/>
          <w:highlight w:val="none"/>
          <w:lang w:eastAsia="zh-CN"/>
        </w:rPr>
        <w:t>磋商</w:t>
      </w:r>
      <w:r>
        <w:rPr>
          <w:rFonts w:hint="default" w:ascii="Times New Roman" w:hAnsi="Times New Roman" w:cs="Times New Roman"/>
          <w:color w:val="auto"/>
          <w:highlight w:val="none"/>
        </w:rPr>
        <w:t>小组采取随机抽取的方式确定。排名第一的</w:t>
      </w:r>
      <w:r>
        <w:rPr>
          <w:rFonts w:hint="eastAsia" w:ascii="Times New Roman" w:hAnsi="Times New Roman" w:cs="Times New Roman"/>
          <w:color w:val="auto"/>
          <w:highlight w:val="none"/>
          <w:lang w:eastAsia="zh-CN"/>
        </w:rPr>
        <w:t>磋商</w:t>
      </w:r>
      <w:r>
        <w:rPr>
          <w:rFonts w:hint="default" w:ascii="Times New Roman" w:hAnsi="Times New Roman" w:cs="Times New Roman"/>
          <w:color w:val="auto"/>
          <w:highlight w:val="none"/>
        </w:rPr>
        <w:t>供应商为第一成交候选人</w:t>
      </w:r>
      <w:r>
        <w:rPr>
          <w:rFonts w:hint="eastAsia" w:ascii="Times New Roman" w:hAnsi="Times New Roman" w:cs="Times New Roman"/>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cs="Times New Roman" w:eastAsiaTheme="minorEastAsia"/>
          <w:color w:val="auto"/>
          <w:highlight w:val="none"/>
        </w:rPr>
      </w:pPr>
      <w:r>
        <w:rPr>
          <w:rFonts w:hint="eastAsia" w:ascii="Times New Roman" w:hAnsi="Times New Roman" w:cs="Times New Roman"/>
          <w:color w:val="auto"/>
          <w:highlight w:val="none"/>
          <w:lang w:val="en-US" w:eastAsia="zh-CN"/>
        </w:rPr>
        <w:t>2.3</w:t>
      </w:r>
      <w:r>
        <w:rPr>
          <w:rFonts w:hint="default" w:ascii="Times New Roman" w:hAnsi="Times New Roman" w:cs="Times New Roman"/>
          <w:color w:val="auto"/>
          <w:highlight w:val="none"/>
        </w:rPr>
        <w:t>评审过程中涉及和产生的所有程序文件、评审意见、表决意见和推荐意见等均须由磋商小组成员签名确认。</w:t>
      </w:r>
    </w:p>
    <w:p>
      <w:pPr>
        <w:numPr>
          <w:ilvl w:val="0"/>
          <w:numId w:val="15"/>
        </w:numPr>
        <w:tabs>
          <w:tab w:val="left" w:pos="540"/>
        </w:tabs>
        <w:jc w:val="center"/>
        <w:outlineLvl w:val="1"/>
        <w:rPr>
          <w:rFonts w:hint="default" w:ascii="Times New Roman" w:hAnsi="Times New Roman" w:cs="Times New Roman" w:eastAsiaTheme="minorEastAsia"/>
          <w:color w:val="auto"/>
          <w:sz w:val="32"/>
          <w:highlight w:val="none"/>
        </w:rPr>
      </w:pPr>
      <w:r>
        <w:rPr>
          <w:rFonts w:hint="default" w:ascii="Times New Roman" w:hAnsi="Times New Roman" w:cs="Times New Roman" w:eastAsiaTheme="minorEastAsia"/>
          <w:color w:val="auto"/>
          <w:highlight w:val="none"/>
        </w:rPr>
        <w:br w:type="page"/>
      </w:r>
      <w:bookmarkEnd w:id="224"/>
      <w:bookmarkEnd w:id="225"/>
      <w:bookmarkEnd w:id="226"/>
      <w:bookmarkStart w:id="252" w:name="_Toc17689"/>
      <w:bookmarkStart w:id="253" w:name="_Toc310519883"/>
      <w:bookmarkStart w:id="254" w:name="_Toc373767196"/>
      <w:bookmarkStart w:id="255" w:name="_Toc31821"/>
      <w:bookmarkStart w:id="256" w:name="_Toc113157426"/>
      <w:bookmarkStart w:id="257" w:name="_Toc259803666"/>
      <w:bookmarkStart w:id="258" w:name="_Toc325031939"/>
      <w:bookmarkStart w:id="259" w:name="_Toc29980"/>
      <w:bookmarkStart w:id="260" w:name="_Toc419106560"/>
      <w:bookmarkStart w:id="261" w:name="_Toc25037541"/>
      <w:bookmarkStart w:id="262" w:name="_Toc26261452"/>
      <w:bookmarkStart w:id="263" w:name="_Toc25726405"/>
      <w:r>
        <w:rPr>
          <w:rFonts w:hint="default" w:ascii="Times New Roman" w:hAnsi="Times New Roman" w:cs="Times New Roman" w:eastAsiaTheme="minorEastAsia"/>
          <w:color w:val="auto"/>
          <w:sz w:val="32"/>
          <w:highlight w:val="none"/>
        </w:rPr>
        <w:t>确定评审结果</w:t>
      </w:r>
      <w:bookmarkEnd w:id="252"/>
      <w:bookmarkEnd w:id="253"/>
      <w:bookmarkEnd w:id="254"/>
      <w:bookmarkEnd w:id="255"/>
      <w:bookmarkEnd w:id="256"/>
      <w:bookmarkEnd w:id="257"/>
      <w:bookmarkEnd w:id="258"/>
      <w:bookmarkEnd w:id="259"/>
      <w:bookmarkEnd w:id="260"/>
    </w:p>
    <w:bookmarkEnd w:id="261"/>
    <w:bookmarkEnd w:id="262"/>
    <w:bookmarkEnd w:id="263"/>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bookmarkStart w:id="264" w:name="_Toc26261456"/>
      <w:bookmarkStart w:id="265" w:name="_Toc25401332"/>
      <w:bookmarkStart w:id="266" w:name="_Toc25039"/>
      <w:bookmarkStart w:id="267" w:name="_Toc25400536"/>
      <w:bookmarkStart w:id="268" w:name="_Toc525312048"/>
      <w:bookmarkStart w:id="269" w:name="_Toc8979"/>
      <w:bookmarkStart w:id="270" w:name="_Toc325031940"/>
      <w:bookmarkStart w:id="271" w:name="_Toc31518"/>
      <w:bookmarkStart w:id="272" w:name="_Toc419106561"/>
      <w:bookmarkStart w:id="273" w:name="_Toc25726409"/>
      <w:bookmarkStart w:id="274" w:name="_Toc49329262"/>
      <w:bookmarkStart w:id="275" w:name="_Toc17728"/>
      <w:bookmarkStart w:id="276" w:name="_Toc10789"/>
      <w:bookmarkStart w:id="277" w:name="_Toc30477"/>
      <w:bookmarkStart w:id="278" w:name="_Toc373767197"/>
      <w:bookmarkStart w:id="279" w:name="_Toc113157427"/>
      <w:bookmarkStart w:id="280" w:name="_Toc310519884"/>
      <w:bookmarkStart w:id="281" w:name="_Toc25574120"/>
      <w:bookmarkStart w:id="282" w:name="_Toc259803667"/>
      <w:r>
        <w:rPr>
          <w:rFonts w:hint="default" w:ascii="Times New Roman" w:hAnsi="Times New Roman" w:cs="Times New Roman"/>
          <w:b/>
          <w:color w:val="auto"/>
          <w:sz w:val="24"/>
          <w:szCs w:val="24"/>
          <w:highlight w:val="none"/>
        </w:rPr>
        <w:t>确定评审结果</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jc w:val="left"/>
        <w:textAlignment w:val="auto"/>
        <w:rPr>
          <w:rFonts w:hint="default" w:ascii="Times New Roman" w:hAnsi="Times New Roman" w:cs="Times New Roman"/>
          <w:color w:val="auto"/>
          <w:highlight w:val="none"/>
        </w:rPr>
      </w:pPr>
      <w:bookmarkStart w:id="283" w:name="_Toc25037542"/>
      <w:bookmarkStart w:id="284" w:name="_Toc119321143"/>
      <w:bookmarkStart w:id="285" w:name="_Toc136662932"/>
      <w:bookmarkStart w:id="286" w:name="_Toc34704912"/>
      <w:bookmarkStart w:id="287" w:name="_Toc26261453"/>
      <w:bookmarkStart w:id="288" w:name="_Toc25726406"/>
      <w:bookmarkStart w:id="289" w:name="_Toc159385067"/>
      <w:bookmarkStart w:id="290" w:name="_Toc136682908"/>
      <w:r>
        <w:rPr>
          <w:rFonts w:hint="default" w:ascii="Times New Roman" w:hAnsi="Times New Roman" w:cs="Times New Roman"/>
          <w:color w:val="auto"/>
          <w:highlight w:val="none"/>
        </w:rPr>
        <w:t>采购人可事先授权磋商小组直接确定中标（成交）供应商，或在法定时间内对评审结果进行确认。评审结束后，采购代理机构根据磋商小组评审意见和前期组织情况整理出《评审报告》送交采购人。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如需对评审结果进行确认时，采购人可根据磋商小组推荐的成交候选供应商名单，按照采购文件的要求对成交候选供应商的主要服务和商务条款的响应程度作进一步的核实，确保响应方案能够完全满足采购文件的实质性要求，无出现重大偏离，且方案合法、真实、可行。</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采购人因故逾期确认评审结果时，应书面提出异议。采购人逾期未确定成交结果且不提出异议的，视为确定评审报告提出的排名第一的供应商为中标（成交）供应商。</w:t>
      </w:r>
    </w:p>
    <w:bookmarkEnd w:id="283"/>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成交通知</w:t>
      </w:r>
      <w:bookmarkEnd w:id="284"/>
      <w:bookmarkEnd w:id="285"/>
      <w:bookmarkEnd w:id="286"/>
      <w:bookmarkEnd w:id="287"/>
      <w:bookmarkEnd w:id="288"/>
      <w:bookmarkEnd w:id="289"/>
      <w:bookmarkEnd w:id="290"/>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bookmarkStart w:id="291" w:name="_Toc34704913"/>
      <w:bookmarkStart w:id="292" w:name="_Toc25726407"/>
      <w:bookmarkStart w:id="293" w:name="_Toc25037543"/>
      <w:bookmarkStart w:id="294" w:name="_Toc26261454"/>
      <w:bookmarkStart w:id="295" w:name="_Toc159385068"/>
      <w:bookmarkStart w:id="296" w:name="_Toc136682909"/>
      <w:bookmarkStart w:id="297" w:name="_Toc136662933"/>
      <w:bookmarkStart w:id="298" w:name="_Toc119321144"/>
      <w:r>
        <w:rPr>
          <w:rFonts w:hint="default" w:ascii="Times New Roman" w:hAnsi="Times New Roman" w:cs="Times New Roman"/>
          <w:color w:val="auto"/>
          <w:highlight w:val="none"/>
        </w:rPr>
        <w:t>采购人确定评审结果后，采购代理机构将在法定时间内向中标（成交）供应商签发《成交通知书》，同时在指定媒体发布成交公告。未成交的供应商可通过指定媒体获知采购结果或到采购代理机构领取《采购结果通知书》。</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《成交通知书》将作为授予合同资格的唯一合法依据。</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在未取得合法理由而获批复前，</w:t>
      </w:r>
      <w:r>
        <w:rPr>
          <w:rFonts w:hint="eastAsia" w:ascii="Times New Roman" w:hAnsi="Times New Roman" w:cs="Times New Roman"/>
          <w:color w:val="auto"/>
          <w:highlight w:val="none"/>
          <w:lang w:eastAsia="zh-CN"/>
        </w:rPr>
        <w:t>成交供应商</w:t>
      </w:r>
      <w:r>
        <w:rPr>
          <w:rFonts w:hint="default" w:ascii="Times New Roman" w:hAnsi="Times New Roman" w:cs="Times New Roman"/>
          <w:color w:val="auto"/>
          <w:highlight w:val="none"/>
        </w:rPr>
        <w:t>擅自放弃成交资格，则须承担相应的违约责任，并赔偿采购方由此所造成的一切经济损失。</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采购方对任何参与磋商的无效行为可追究至合同生效之前，一经被查证核实认定符合无效条件的供应商，其所获得的候选资格、成交资格均无效。</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替补候选供应商的适用情形</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在合同签订生效之前，经监管部门同意，中标（成交）供应商因故放弃成交资格，在采购人愿意采纳替补候选供应商响应方案，且报价合理的前提下，可考虑由该替补候选供应商填补为中标（成交）供应商。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若采购人不同意采纳替补候选供应商响应方案时，则本项目作采购失败处理。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若成交候选供应商及其响应文件在评审后被审查发现存有重大偏离、或没有完全实质性响应之处时，则其成交资格无效，本项目直接作采购失败处理，替补候选供应商不得填补。</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对由于不良行为而被取消成交资格者不得参与该项目的重新采购。</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合同</w:t>
      </w:r>
      <w:bookmarkEnd w:id="291"/>
      <w:bookmarkEnd w:id="292"/>
      <w:bookmarkEnd w:id="293"/>
      <w:bookmarkEnd w:id="294"/>
      <w:r>
        <w:rPr>
          <w:rFonts w:hint="default" w:ascii="Times New Roman" w:hAnsi="Times New Roman" w:cs="Times New Roman"/>
          <w:b/>
          <w:color w:val="auto"/>
          <w:sz w:val="24"/>
          <w:szCs w:val="24"/>
          <w:highlight w:val="none"/>
        </w:rPr>
        <w:t>签订、争议与跟踪</w:t>
      </w:r>
      <w:bookmarkEnd w:id="295"/>
      <w:bookmarkEnd w:id="296"/>
      <w:bookmarkEnd w:id="297"/>
      <w:bookmarkEnd w:id="298"/>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成交供应商</w:t>
      </w:r>
      <w:r>
        <w:rPr>
          <w:rFonts w:hint="default" w:ascii="Times New Roman" w:hAnsi="Times New Roman" w:cs="Times New Roman"/>
          <w:color w:val="auto"/>
          <w:highlight w:val="none"/>
        </w:rPr>
        <w:t>应按照政府采购法的要求，于成交通知书发出之日起三十日内，按照采购文件确定的事项与采购人签订合同。否则，应当依法承担相应的法律责任。</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采购文件、响应文件、相关澄清材料及来往确认文件，均作为合同订立和裁定争议的依据。</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采购人和</w:t>
      </w:r>
      <w:r>
        <w:rPr>
          <w:rFonts w:hint="eastAsia" w:ascii="Times New Roman" w:hAnsi="Times New Roman" w:cs="Times New Roman"/>
          <w:color w:val="auto"/>
          <w:highlight w:val="none"/>
          <w:lang w:eastAsia="zh-CN"/>
        </w:rPr>
        <w:t>成交供应商</w:t>
      </w:r>
      <w:r>
        <w:rPr>
          <w:rFonts w:hint="default" w:ascii="Times New Roman" w:hAnsi="Times New Roman" w:cs="Times New Roman"/>
          <w:color w:val="auto"/>
          <w:highlight w:val="none"/>
        </w:rPr>
        <w:t>应当严格按照采购文件、响应文件以及经磋商小组审核确认的评审活动过程记录签订合同，采购代理机构依照相关规定，对于合同当事人依据前面所述的材料签订的合同的真实性予以核对盖章、确认。</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合同生效后一切行为均适用于《中华人民共和国</w:t>
      </w:r>
      <w:r>
        <w:rPr>
          <w:rFonts w:hint="eastAsia" w:ascii="Times New Roman" w:hAnsi="Times New Roman" w:cs="Times New Roman"/>
          <w:color w:val="auto"/>
          <w:highlight w:val="none"/>
          <w:lang w:eastAsia="zh-CN"/>
        </w:rPr>
        <w:t>民法典</w:t>
      </w:r>
      <w:r>
        <w:rPr>
          <w:rFonts w:hint="default" w:ascii="Times New Roman" w:hAnsi="Times New Roman" w:cs="Times New Roman"/>
          <w:color w:val="auto"/>
          <w:highlight w:val="none"/>
        </w:rPr>
        <w:t>》，履约期间有违约过错的一方，须承担相应的责任。</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bookmarkStart w:id="299" w:name="_Toc136662934"/>
      <w:bookmarkStart w:id="300" w:name="_Toc136682910"/>
      <w:bookmarkStart w:id="301" w:name="_Toc119321145"/>
      <w:bookmarkStart w:id="302" w:name="_Toc159385069"/>
      <w:r>
        <w:rPr>
          <w:rFonts w:hint="default" w:ascii="Times New Roman" w:hAnsi="Times New Roman" w:cs="Times New Roman"/>
          <w:b/>
          <w:color w:val="auto"/>
          <w:sz w:val="24"/>
          <w:szCs w:val="24"/>
          <w:highlight w:val="none"/>
        </w:rPr>
        <w:t>质疑与</w:t>
      </w:r>
      <w:bookmarkEnd w:id="299"/>
      <w:bookmarkEnd w:id="300"/>
      <w:bookmarkEnd w:id="301"/>
      <w:r>
        <w:rPr>
          <w:rFonts w:hint="default" w:ascii="Times New Roman" w:hAnsi="Times New Roman" w:cs="Times New Roman"/>
          <w:b/>
          <w:color w:val="auto"/>
          <w:sz w:val="24"/>
          <w:szCs w:val="24"/>
          <w:highlight w:val="none"/>
        </w:rPr>
        <w:t>处理</w:t>
      </w:r>
      <w:bookmarkEnd w:id="302"/>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在参与本次采购活动过程中确认自己的权益受到损害的，可以在知道或者应知其权益受损之日起7个工作日内，以实名书面形式当面向采购代理机构提交质疑申诉，质疑内容不得含有虚假、恶意成份。依照谁主张谁举证的原则，提出质疑者必须提出明确的请求，并提交必要的证明材料。对捏造事实、滥用维权扰乱采购秩序的恶意质疑者或举证不全查无实据被驳回次数在一年内达三次以上，将纳入不良行为记录并承担相应的法律责任。</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bCs/>
          <w:color w:val="auto"/>
          <w:highlight w:val="none"/>
        </w:rPr>
        <w:t>若对采购文件存有质疑的，可</w:t>
      </w:r>
      <w:r>
        <w:rPr>
          <w:rFonts w:hint="default" w:ascii="Times New Roman" w:hAnsi="Times New Roman" w:cs="Times New Roman"/>
          <w:color w:val="auto"/>
          <w:highlight w:val="none"/>
        </w:rPr>
        <w:t>在递交响应文件截止前</w:t>
      </w:r>
      <w:r>
        <w:rPr>
          <w:rFonts w:hint="default" w:ascii="Times New Roman" w:hAnsi="Times New Roman" w:cs="Times New Roman"/>
          <w:bCs/>
          <w:color w:val="auto"/>
          <w:highlight w:val="none"/>
        </w:rPr>
        <w:t>以书面（原件）形式当面向采购人或者采购代理机构提出。</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未成交的供应商对中标（成交）供应商提出质疑时，质疑函及相关质疑内容的举证材料将转递予被质疑者，被质疑者对举证材料须给予书面澄清回复和接受质询，其响应文件可公开的内容须接受任何形式的审查核实。</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未成交的供应商对成交结果提出的合法质疑，采购代理机构及采购人将进行审查答复；质疑者对质疑问题未获完全解决的，可向立项审批的财政管理部门反映。</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不予退还磋商保证金</w:t>
      </w:r>
      <w:r>
        <w:rPr>
          <w:rFonts w:hint="eastAsia" w:cs="Times New Roman"/>
          <w:b/>
          <w:color w:val="auto"/>
          <w:sz w:val="24"/>
          <w:szCs w:val="24"/>
          <w:highlight w:val="none"/>
          <w:lang w:eastAsia="zh-CN"/>
        </w:rPr>
        <w:t>（如有）</w:t>
      </w:r>
      <w:r>
        <w:rPr>
          <w:rFonts w:hint="default" w:ascii="Times New Roman" w:hAnsi="Times New Roman" w:cs="Times New Roman"/>
          <w:b/>
          <w:color w:val="auto"/>
          <w:sz w:val="24"/>
          <w:szCs w:val="24"/>
          <w:highlight w:val="none"/>
        </w:rPr>
        <w:t>、列入不良行为记录或违规处罚适用情形</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在递交响应文件截止时间之后，响应文件有效期满之前，撤回响应文件、退出磋商（磋商文件中约定的可退还磋商保证金的情形除外）或放弃磋商；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响应文件中提供伪造、虚假的材料或信息；</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在评审期间，使用不正当手段试图影响、改变评审结果；</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恶意串通或捏造事实，对其竞争对手进行诋毁、排挤、攻击；</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供应商之间互相串通磋商或与采购人串通磋商；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未按磋商文件要求交纳成交服务费的；</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除因不可抗力或磋商文件认可的情形以外，不按期签订合同，违背磋商承诺和拒绝、拖延履行合同义务；</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擅自将合同项目或主体关键性合同义务分包转让他人；小型、微型企业将合同项目分包或转包给大型、中型企业；中型企业将合同项目分包或转包给大型企业。</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获成交候选通知或公示后，无法如期按采购方要求履行承诺并提供合法有效的重要证明材料；</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违反政府采购法规，违反了诚实信用、公平竞争和如实告知原则，扰乱了采购程序；</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b/>
          <w:bCs/>
          <w:color w:val="auto"/>
          <w:highlight w:val="none"/>
        </w:rPr>
      </w:pPr>
      <w:r>
        <w:rPr>
          <w:rFonts w:hint="default" w:ascii="Times New Roman" w:hAnsi="Times New Roman" w:cs="Times New Roman"/>
          <w:color w:val="auto"/>
          <w:highlight w:val="none"/>
        </w:rPr>
        <w:t>提供虚假、恶意质疑投诉材料或在一年内有三次以上查无实据的质疑投诉记录。</w:t>
      </w:r>
    </w:p>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sectPr>
          <w:pgSz w:w="11906" w:h="16838"/>
          <w:pgMar w:top="1440" w:right="1080" w:bottom="1440" w:left="1080" w:header="567" w:footer="737" w:gutter="0"/>
          <w:pgNumType w:fmt="decimal"/>
          <w:cols w:space="720" w:num="1"/>
          <w:docGrid w:linePitch="312" w:charSpace="0"/>
        </w:sectPr>
      </w:pPr>
    </w:p>
    <w:p>
      <w:pPr>
        <w:pStyle w:val="3"/>
        <w:pageBreakBefore/>
        <w:spacing w:line="360" w:lineRule="auto"/>
        <w:ind w:left="0" w:firstLine="0"/>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第四部分   合同书范本</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pageBreakBefore/>
        <w:spacing w:line="360" w:lineRule="auto"/>
        <w:rPr>
          <w:rFonts w:hint="default" w:ascii="Times New Roman" w:hAnsi="Times New Roman" w:cs="Times New Roman" w:eastAsiaTheme="minorEastAsia"/>
          <w:color w:val="auto"/>
          <w:kern w:val="0"/>
          <w:sz w:val="28"/>
          <w:szCs w:val="28"/>
          <w:highlight w:val="none"/>
        </w:rPr>
        <w:sectPr>
          <w:pgSz w:w="11906" w:h="16838"/>
          <w:pgMar w:top="1134" w:right="1134" w:bottom="1134" w:left="1587" w:header="567" w:footer="737" w:gutter="0"/>
          <w:pgNumType w:fmt="decimal"/>
          <w:cols w:space="720" w:num="1"/>
          <w:docGrid w:linePitch="312" w:charSpace="0"/>
        </w:sectPr>
      </w:pPr>
    </w:p>
    <w:p>
      <w:pPr>
        <w:tabs>
          <w:tab w:val="left" w:pos="1440"/>
        </w:tabs>
        <w:spacing w:line="480" w:lineRule="auto"/>
        <w:jc w:val="center"/>
        <w:rPr>
          <w:rFonts w:ascii="黑体" w:hAnsi="黑体" w:eastAsia="黑体" w:cs="黑体"/>
          <w:b/>
          <w:sz w:val="56"/>
          <w:szCs w:val="56"/>
        </w:rPr>
      </w:pPr>
      <w:bookmarkStart w:id="303" w:name="_Toc416771357"/>
      <w:bookmarkStart w:id="304" w:name="_Toc416770247"/>
      <w:bookmarkStart w:id="305" w:name="_Toc410738971"/>
      <w:bookmarkStart w:id="306" w:name="_Toc410736171"/>
      <w:r>
        <w:rPr>
          <w:rFonts w:hint="eastAsia" w:ascii="黑体" w:hAnsi="黑体" w:eastAsia="黑体" w:cs="黑体"/>
          <w:b/>
          <w:sz w:val="56"/>
          <w:szCs w:val="56"/>
        </w:rPr>
        <w:t>佛山市政府采购项目</w:t>
      </w:r>
    </w:p>
    <w:p>
      <w:pPr>
        <w:tabs>
          <w:tab w:val="left" w:pos="1440"/>
        </w:tabs>
        <w:spacing w:line="480" w:lineRule="auto"/>
        <w:jc w:val="center"/>
        <w:rPr>
          <w:sz w:val="36"/>
          <w:szCs w:val="36"/>
        </w:rPr>
      </w:pPr>
    </w:p>
    <w:p>
      <w:pPr>
        <w:tabs>
          <w:tab w:val="left" w:pos="1440"/>
        </w:tabs>
        <w:spacing w:line="480" w:lineRule="auto"/>
        <w:jc w:val="center"/>
        <w:rPr>
          <w:rFonts w:ascii="黑体" w:hAnsi="黑体" w:eastAsia="黑体" w:cs="黑体"/>
          <w:b/>
          <w:sz w:val="52"/>
          <w:szCs w:val="52"/>
        </w:rPr>
      </w:pPr>
      <w:r>
        <w:rPr>
          <w:rFonts w:hint="eastAsia" w:ascii="黑体" w:hAnsi="黑体" w:eastAsia="黑体" w:cs="黑体"/>
          <w:b/>
          <w:sz w:val="52"/>
          <w:szCs w:val="52"/>
        </w:rPr>
        <w:t>合同书</w:t>
      </w:r>
    </w:p>
    <w:p>
      <w:pPr>
        <w:tabs>
          <w:tab w:val="left" w:pos="1440"/>
        </w:tabs>
        <w:spacing w:line="480" w:lineRule="auto"/>
        <w:jc w:val="center"/>
        <w:rPr>
          <w:rFonts w:ascii="黑体" w:hAnsi="黑体" w:eastAsia="黑体" w:cs="黑体"/>
          <w:b/>
          <w:sz w:val="24"/>
          <w:szCs w:val="24"/>
        </w:rPr>
      </w:pPr>
    </w:p>
    <w:p>
      <w:pPr>
        <w:spacing w:line="360" w:lineRule="auto"/>
        <w:rPr>
          <w:b/>
          <w:bCs/>
          <w:sz w:val="24"/>
        </w:rPr>
      </w:pPr>
    </w:p>
    <w:p>
      <w:pPr>
        <w:spacing w:line="360" w:lineRule="auto"/>
        <w:rPr>
          <w:b/>
          <w:bCs/>
          <w:sz w:val="24"/>
        </w:rPr>
      </w:pPr>
    </w:p>
    <w:p>
      <w:pPr>
        <w:spacing w:line="360" w:lineRule="auto"/>
        <w:rPr>
          <w:b/>
          <w:bCs/>
          <w:sz w:val="24"/>
        </w:rPr>
      </w:pPr>
    </w:p>
    <w:p>
      <w:pPr>
        <w:spacing w:line="360" w:lineRule="auto"/>
        <w:ind w:left="2125" w:leftChars="1012"/>
        <w:rPr>
          <w:rFonts w:ascii="黑体" w:hAnsi="黑体" w:eastAsia="黑体" w:cs="黑体"/>
          <w:b/>
          <w:bCs/>
          <w:sz w:val="28"/>
          <w:szCs w:val="28"/>
          <w:u w:val="single"/>
        </w:rPr>
      </w:pPr>
      <w:r>
        <w:rPr>
          <w:rFonts w:hint="eastAsia" w:ascii="黑体" w:hAnsi="黑体" w:eastAsia="黑体" w:cs="黑体"/>
          <w:b/>
          <w:bCs/>
          <w:sz w:val="28"/>
          <w:szCs w:val="28"/>
        </w:rPr>
        <w:t>合同编号：</w:t>
      </w:r>
    </w:p>
    <w:p>
      <w:pPr>
        <w:spacing w:line="360" w:lineRule="auto"/>
        <w:ind w:left="2125" w:leftChars="1012"/>
        <w:rPr>
          <w:rFonts w:ascii="黑体" w:hAnsi="黑体" w:eastAsia="黑体" w:cs="黑体"/>
          <w:b/>
          <w:bCs/>
          <w:sz w:val="28"/>
          <w:szCs w:val="28"/>
          <w:u w:val="single"/>
        </w:rPr>
      </w:pPr>
      <w:r>
        <w:rPr>
          <w:rFonts w:hint="eastAsia" w:ascii="黑体" w:hAnsi="黑体" w:eastAsia="黑体" w:cs="黑体"/>
          <w:b/>
          <w:bCs/>
          <w:sz w:val="28"/>
          <w:szCs w:val="28"/>
        </w:rPr>
        <w:t>项目编号：</w:t>
      </w:r>
      <w:r>
        <w:rPr>
          <w:rFonts w:ascii="黑体" w:hAnsi="黑体" w:eastAsia="黑体" w:cs="黑体"/>
          <w:b/>
          <w:bCs/>
          <w:sz w:val="28"/>
          <w:szCs w:val="28"/>
          <w:u w:val="single"/>
        </w:rPr>
        <w:t xml:space="preserve">                           </w:t>
      </w:r>
    </w:p>
    <w:p>
      <w:pPr>
        <w:spacing w:line="360" w:lineRule="auto"/>
        <w:ind w:left="2125" w:leftChars="1012"/>
        <w:rPr>
          <w:rFonts w:hint="eastAsia" w:ascii="黑体" w:hAnsi="黑体" w:eastAsia="黑体" w:cs="黑体"/>
          <w:b/>
          <w:bCs/>
          <w:sz w:val="28"/>
          <w:szCs w:val="28"/>
          <w:u w:val="single"/>
        </w:rPr>
      </w:pPr>
      <w:r>
        <w:rPr>
          <w:rFonts w:hint="eastAsia" w:ascii="黑体" w:hAnsi="黑体" w:eastAsia="黑体" w:cs="黑体"/>
          <w:b/>
          <w:bCs/>
          <w:sz w:val="28"/>
          <w:szCs w:val="28"/>
        </w:rPr>
        <w:t>项目名称：佛山市消防救援支队购买团体意外伤害保险项目</w:t>
      </w:r>
    </w:p>
    <w:p>
      <w:pPr>
        <w:spacing w:line="360" w:lineRule="auto"/>
        <w:ind w:firstLine="2400" w:firstLineChars="1000"/>
        <w:rPr>
          <w:sz w:val="24"/>
        </w:rPr>
      </w:pPr>
    </w:p>
    <w:p>
      <w:pPr>
        <w:spacing w:line="360" w:lineRule="auto"/>
        <w:ind w:firstLine="2400" w:firstLineChars="1000"/>
        <w:rPr>
          <w:sz w:val="24"/>
        </w:rPr>
      </w:pPr>
    </w:p>
    <w:p>
      <w:pPr>
        <w:spacing w:line="360" w:lineRule="auto"/>
        <w:ind w:firstLine="2400" w:firstLineChars="1000"/>
        <w:rPr>
          <w:sz w:val="24"/>
        </w:rPr>
      </w:pPr>
    </w:p>
    <w:p>
      <w:pPr>
        <w:spacing w:line="360" w:lineRule="auto"/>
        <w:ind w:firstLine="2400" w:firstLineChars="1000"/>
        <w:rPr>
          <w:sz w:val="24"/>
        </w:rPr>
      </w:pPr>
    </w:p>
    <w:p>
      <w:pPr>
        <w:spacing w:line="360" w:lineRule="auto"/>
        <w:ind w:firstLine="2400" w:firstLineChars="1000"/>
        <w:rPr>
          <w:sz w:val="24"/>
        </w:rPr>
      </w:pPr>
    </w:p>
    <w:p>
      <w:pPr>
        <w:spacing w:line="360" w:lineRule="auto"/>
        <w:rPr>
          <w:sz w:val="24"/>
        </w:rPr>
      </w:pPr>
    </w:p>
    <w:p>
      <w:pPr>
        <w:spacing w:line="360" w:lineRule="auto"/>
        <w:rPr>
          <w:rFonts w:ascii="宋体"/>
          <w:sz w:val="24"/>
        </w:rPr>
      </w:pPr>
    </w:p>
    <w:p>
      <w:pPr>
        <w:tabs>
          <w:tab w:val="left" w:pos="1985"/>
          <w:tab w:val="left" w:pos="2268"/>
        </w:tabs>
        <w:spacing w:line="360" w:lineRule="auto"/>
        <w:ind w:left="2125" w:leftChars="1012"/>
        <w:rPr>
          <w:rFonts w:ascii="黑体" w:hAnsi="黑体" w:eastAsia="黑体" w:cs="黑体"/>
          <w:b/>
          <w:sz w:val="28"/>
          <w:szCs w:val="28"/>
          <w:u w:val="single"/>
        </w:rPr>
      </w:pPr>
      <w:r>
        <w:rPr>
          <w:rFonts w:hint="eastAsia" w:ascii="黑体" w:hAnsi="黑体" w:eastAsia="黑体" w:cs="黑体"/>
          <w:b/>
          <w:sz w:val="28"/>
          <w:szCs w:val="28"/>
        </w:rPr>
        <w:t>采购人：</w:t>
      </w:r>
      <w:r>
        <w:rPr>
          <w:rFonts w:hint="eastAsia" w:ascii="黑体" w:hAnsi="黑体" w:eastAsia="黑体" w:cs="黑体"/>
          <w:b/>
          <w:sz w:val="28"/>
          <w:szCs w:val="28"/>
          <w:u w:val="single"/>
        </w:rPr>
        <w:t>佛山市消防救援支队</w:t>
      </w:r>
    </w:p>
    <w:p>
      <w:pPr>
        <w:spacing w:line="360" w:lineRule="auto"/>
        <w:ind w:left="2125" w:leftChars="1012"/>
        <w:rPr>
          <w:rFonts w:ascii="黑体" w:hAnsi="黑体" w:eastAsia="黑体" w:cs="黑体"/>
          <w:b/>
          <w:sz w:val="28"/>
          <w:szCs w:val="28"/>
          <w:u w:val="single"/>
        </w:rPr>
      </w:pPr>
      <w:r>
        <w:rPr>
          <w:rFonts w:hint="eastAsia" w:ascii="黑体" w:hAnsi="黑体" w:eastAsia="黑体" w:cs="黑体"/>
          <w:b/>
          <w:sz w:val="28"/>
          <w:szCs w:val="28"/>
        </w:rPr>
        <w:t>供应商：</w:t>
      </w:r>
      <w:r>
        <w:rPr>
          <w:rFonts w:hint="eastAsia" w:ascii="黑体" w:hAnsi="黑体" w:eastAsia="黑体" w:cs="黑体"/>
          <w:b/>
          <w:sz w:val="28"/>
          <w:szCs w:val="28"/>
          <w:u w:val="single"/>
        </w:rPr>
        <w:t xml:space="preserve"> </w:t>
      </w:r>
      <w:r>
        <w:rPr>
          <w:rFonts w:ascii="黑体" w:hAnsi="黑体" w:eastAsia="黑体" w:cs="黑体"/>
          <w:b/>
          <w:sz w:val="28"/>
          <w:szCs w:val="28"/>
          <w:u w:val="single"/>
        </w:rPr>
        <w:t xml:space="preserve">                         </w:t>
      </w:r>
    </w:p>
    <w:p>
      <w:pPr>
        <w:spacing w:line="360" w:lineRule="auto"/>
        <w:ind w:left="2125" w:leftChars="1012"/>
        <w:rPr>
          <w:rFonts w:ascii="黑体" w:hAnsi="黑体" w:eastAsia="黑体" w:cs="黑体"/>
          <w:b/>
          <w:sz w:val="28"/>
          <w:szCs w:val="28"/>
        </w:rPr>
      </w:pPr>
      <w:r>
        <w:rPr>
          <w:rFonts w:hint="eastAsia" w:ascii="黑体" w:hAnsi="黑体" w:eastAsia="黑体" w:cs="黑体"/>
          <w:b/>
          <w:sz w:val="28"/>
          <w:szCs w:val="28"/>
        </w:rPr>
        <w:t xml:space="preserve">签订日期： </w:t>
      </w:r>
      <w:r>
        <w:rPr>
          <w:rFonts w:ascii="黑体" w:hAnsi="黑体" w:eastAsia="黑体" w:cs="黑体"/>
          <w:b/>
          <w:sz w:val="28"/>
          <w:szCs w:val="28"/>
        </w:rPr>
        <w:t xml:space="preserve">   </w:t>
      </w:r>
      <w:r>
        <w:rPr>
          <w:rFonts w:hint="eastAsia" w:ascii="黑体" w:hAnsi="黑体" w:eastAsia="黑体" w:cs="黑体"/>
          <w:b/>
          <w:sz w:val="28"/>
          <w:szCs w:val="28"/>
        </w:rPr>
        <w:t xml:space="preserve">年 </w:t>
      </w:r>
      <w:r>
        <w:rPr>
          <w:rFonts w:ascii="黑体" w:hAnsi="黑体" w:eastAsia="黑体" w:cs="黑体"/>
          <w:b/>
          <w:sz w:val="28"/>
          <w:szCs w:val="28"/>
        </w:rPr>
        <w:t xml:space="preserve">  </w:t>
      </w:r>
      <w:r>
        <w:rPr>
          <w:rFonts w:hint="eastAsia" w:ascii="黑体" w:hAnsi="黑体" w:eastAsia="黑体" w:cs="黑体"/>
          <w:b/>
          <w:sz w:val="28"/>
          <w:szCs w:val="28"/>
        </w:rPr>
        <w:t>月</w:t>
      </w:r>
    </w:p>
    <w:p>
      <w:pPr>
        <w:pageBreakBefore/>
        <w:spacing w:line="360" w:lineRule="auto"/>
        <w:rPr>
          <w:rFonts w:ascii="黑体" w:hAnsi="黑体" w:eastAsia="黑体" w:cs="黑体"/>
          <w:b/>
          <w:sz w:val="24"/>
        </w:rPr>
      </w:pPr>
      <w:r>
        <w:rPr>
          <w:rFonts w:hint="eastAsia" w:ascii="黑体" w:hAnsi="黑体" w:eastAsia="黑体" w:cs="黑体"/>
          <w:b/>
          <w:sz w:val="24"/>
        </w:rPr>
        <w:t>甲方：</w:t>
      </w:r>
      <w:r>
        <w:rPr>
          <w:rFonts w:hint="eastAsia" w:ascii="黑体" w:hAnsi="黑体" w:eastAsia="黑体" w:cs="黑体"/>
          <w:b/>
          <w:sz w:val="24"/>
          <w:u w:val="single"/>
        </w:rPr>
        <w:t>佛山市消防救援支队</w:t>
      </w:r>
    </w:p>
    <w:p>
      <w:pPr>
        <w:spacing w:line="360" w:lineRule="auto"/>
        <w:rPr>
          <w:rFonts w:ascii="黑体" w:hAnsi="黑体" w:eastAsia="黑体" w:cs="黑体"/>
          <w:b/>
          <w:sz w:val="24"/>
        </w:rPr>
      </w:pPr>
      <w:r>
        <w:rPr>
          <w:rFonts w:hint="eastAsia" w:ascii="黑体" w:hAnsi="黑体" w:eastAsia="黑体" w:cs="黑体"/>
          <w:b/>
          <w:sz w:val="24"/>
        </w:rPr>
        <w:t>乙方：</w:t>
      </w:r>
      <w:r>
        <w:rPr>
          <w:rFonts w:hint="eastAsia" w:ascii="黑体" w:hAnsi="黑体" w:eastAsia="黑体" w:cs="黑体"/>
          <w:b/>
          <w:sz w:val="24"/>
          <w:u w:val="single"/>
        </w:rPr>
        <w:t xml:space="preserve"> </w:t>
      </w:r>
      <w:r>
        <w:rPr>
          <w:rFonts w:ascii="黑体" w:hAnsi="黑体" w:eastAsia="黑体" w:cs="黑体"/>
          <w:b/>
          <w:sz w:val="24"/>
          <w:u w:val="single"/>
        </w:rPr>
        <w:t xml:space="preserve">                </w:t>
      </w:r>
    </w:p>
    <w:p>
      <w:pPr>
        <w:spacing w:line="360" w:lineRule="auto"/>
        <w:ind w:firstLine="480" w:firstLineChars="200"/>
        <w:rPr>
          <w:sz w:val="24"/>
        </w:rPr>
      </w:pPr>
      <w:r>
        <w:rPr>
          <w:rFonts w:hint="eastAsia"/>
          <w:sz w:val="24"/>
        </w:rPr>
        <w:t>根据《中华人民共和国政府采购法》、《中华人民共和国民法典》、华联世纪工程咨询股份有限公司磋商文件的要求，</w:t>
      </w:r>
      <w:r>
        <w:rPr>
          <w:rFonts w:hint="eastAsia"/>
          <w:kern w:val="28"/>
          <w:sz w:val="24"/>
        </w:rPr>
        <w:t>经双方协商，</w:t>
      </w:r>
      <w:r>
        <w:rPr>
          <w:rFonts w:hint="eastAsia"/>
          <w:sz w:val="24"/>
        </w:rPr>
        <w:t>本着平等互利和诚实信用的原则，</w:t>
      </w:r>
      <w:r>
        <w:rPr>
          <w:rFonts w:hint="eastAsia"/>
          <w:kern w:val="28"/>
          <w:sz w:val="24"/>
        </w:rPr>
        <w:t>一致同意签订本合同如下。</w:t>
      </w:r>
    </w:p>
    <w:p>
      <w:pPr>
        <w:pStyle w:val="46"/>
        <w:numPr>
          <w:ilvl w:val="0"/>
          <w:numId w:val="0"/>
        </w:numPr>
        <w:tabs>
          <w:tab w:val="left" w:pos="510"/>
        </w:tabs>
        <w:adjustRightInd w:val="0"/>
        <w:snapToGrid w:val="0"/>
        <w:spacing w:line="360" w:lineRule="auto"/>
        <w:ind w:left="0" w:firstLine="0" w:firstLineChars="0"/>
        <w:rPr>
          <w:rFonts w:ascii="宋体" w:hAnsi="宋体" w:cs="黑体"/>
          <w:b/>
          <w:bCs/>
          <w:sz w:val="24"/>
        </w:rPr>
      </w:pPr>
      <w:r>
        <w:rPr>
          <w:rFonts w:hint="eastAsia" w:ascii="宋体" w:hAnsi="宋体" w:cs="黑体"/>
          <w:b/>
          <w:bCs/>
          <w:sz w:val="24"/>
          <w:lang w:val="en-US" w:eastAsia="zh-CN"/>
        </w:rPr>
        <w:t>1.</w:t>
      </w:r>
      <w:r>
        <w:rPr>
          <w:rFonts w:hint="eastAsia" w:ascii="宋体" w:hAnsi="宋体" w:cs="黑体"/>
          <w:b/>
          <w:bCs/>
          <w:sz w:val="24"/>
        </w:rPr>
        <w:t>项目名称：</w:t>
      </w:r>
      <w:r>
        <w:rPr>
          <w:rFonts w:hint="eastAsia" w:ascii="宋体" w:hAnsi="宋体" w:cs="黑体"/>
          <w:bCs/>
          <w:sz w:val="24"/>
          <w:szCs w:val="24"/>
        </w:rPr>
        <w:t>佛山市消防救援支队购买团体意外伤害保险项目</w:t>
      </w:r>
    </w:p>
    <w:p>
      <w:pPr>
        <w:pStyle w:val="46"/>
        <w:tabs>
          <w:tab w:val="left" w:pos="510"/>
        </w:tabs>
        <w:adjustRightInd w:val="0"/>
        <w:snapToGrid w:val="0"/>
        <w:spacing w:line="360" w:lineRule="auto"/>
        <w:ind w:firstLine="241" w:firstLineChars="100"/>
        <w:rPr>
          <w:rFonts w:ascii="宋体" w:hAnsi="宋体" w:cs="黑体"/>
          <w:b/>
          <w:bCs/>
          <w:sz w:val="24"/>
        </w:rPr>
      </w:pPr>
      <w:r>
        <w:rPr>
          <w:rFonts w:hint="eastAsia" w:ascii="宋体" w:hAnsi="宋体" w:cs="黑体"/>
          <w:b/>
          <w:sz w:val="24"/>
        </w:rPr>
        <w:t>项目编号：</w:t>
      </w:r>
    </w:p>
    <w:p>
      <w:pPr>
        <w:pStyle w:val="46"/>
        <w:numPr>
          <w:ilvl w:val="0"/>
          <w:numId w:val="0"/>
        </w:numPr>
        <w:tabs>
          <w:tab w:val="left" w:pos="510"/>
        </w:tabs>
        <w:adjustRightInd w:val="0"/>
        <w:snapToGrid w:val="0"/>
        <w:spacing w:line="360" w:lineRule="auto"/>
        <w:ind w:left="0" w:leftChars="0" w:firstLine="0" w:firstLineChars="0"/>
        <w:rPr>
          <w:rFonts w:ascii="宋体" w:hAnsi="宋体" w:cs="黑体"/>
          <w:b/>
          <w:bCs/>
          <w:sz w:val="24"/>
        </w:rPr>
      </w:pPr>
      <w:r>
        <w:rPr>
          <w:rFonts w:hint="eastAsia" w:ascii="宋体" w:hAnsi="宋体" w:cs="黑体"/>
          <w:b/>
          <w:bCs/>
          <w:sz w:val="24"/>
          <w:lang w:val="en-US" w:eastAsia="zh-CN"/>
        </w:rPr>
        <w:t>2.</w:t>
      </w:r>
      <w:r>
        <w:rPr>
          <w:rFonts w:hint="eastAsia" w:ascii="宋体" w:hAnsi="宋体" w:cs="黑体"/>
          <w:b/>
          <w:bCs/>
          <w:sz w:val="24"/>
        </w:rPr>
        <w:t>合同金额及期限合同金额：</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649"/>
        <w:gridCol w:w="1702"/>
        <w:gridCol w:w="758"/>
        <w:gridCol w:w="788"/>
        <w:gridCol w:w="1682"/>
        <w:gridCol w:w="168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45"/>
              <w:tabs>
                <w:tab w:val="left" w:pos="0"/>
              </w:tabs>
              <w:spacing w:before="0" w:beforeLines="0"/>
              <w:outlineLvl w:val="2"/>
              <w:rPr>
                <w:rFonts w:hint="eastAsia" w:ascii="宋体" w:hAnsi="宋体" w:cs="仿宋_GB2312"/>
                <w:bCs w:val="0"/>
                <w:sz w:val="24"/>
                <w:szCs w:val="24"/>
              </w:rPr>
            </w:pPr>
            <w:bookmarkStart w:id="307" w:name="_Toc22852553"/>
            <w:bookmarkStart w:id="308" w:name="_Toc21599977"/>
            <w:bookmarkStart w:id="309" w:name="_Toc21600085"/>
            <w:r>
              <w:rPr>
                <w:rFonts w:hint="eastAsia" w:ascii="宋体" w:hAnsi="宋体" w:cs="仿宋_GB2312"/>
                <w:bCs w:val="0"/>
                <w:sz w:val="24"/>
                <w:szCs w:val="24"/>
              </w:rPr>
              <w:t>序号</w:t>
            </w:r>
          </w:p>
        </w:tc>
        <w:tc>
          <w:tcPr>
            <w:tcW w:w="1674" w:type="dxa"/>
            <w:noWrap w:val="0"/>
            <w:vAlign w:val="top"/>
          </w:tcPr>
          <w:p>
            <w:pPr>
              <w:pStyle w:val="45"/>
              <w:tabs>
                <w:tab w:val="left" w:pos="0"/>
              </w:tabs>
              <w:spacing w:before="0" w:beforeLines="0"/>
              <w:outlineLvl w:val="2"/>
              <w:rPr>
                <w:rFonts w:hint="eastAsia" w:ascii="宋体" w:hAnsi="宋体" w:cs="仿宋_GB2312"/>
                <w:bCs w:val="0"/>
                <w:sz w:val="24"/>
                <w:szCs w:val="24"/>
              </w:rPr>
            </w:pPr>
            <w:r>
              <w:rPr>
                <w:rFonts w:hint="eastAsia" w:ascii="宋体" w:hAnsi="宋体" w:cs="仿宋_GB2312"/>
                <w:bCs w:val="0"/>
                <w:sz w:val="24"/>
                <w:szCs w:val="24"/>
              </w:rPr>
              <w:t>分项名称</w:t>
            </w:r>
          </w:p>
        </w:tc>
        <w:tc>
          <w:tcPr>
            <w:tcW w:w="1728" w:type="dxa"/>
            <w:noWrap w:val="0"/>
            <w:vAlign w:val="top"/>
          </w:tcPr>
          <w:p>
            <w:pPr>
              <w:pStyle w:val="45"/>
              <w:tabs>
                <w:tab w:val="left" w:pos="0"/>
              </w:tabs>
              <w:spacing w:before="0" w:beforeLines="0"/>
              <w:outlineLvl w:val="2"/>
              <w:rPr>
                <w:rFonts w:hint="eastAsia" w:ascii="宋体" w:hAnsi="宋体" w:cs="仿宋_GB2312"/>
                <w:bCs w:val="0"/>
                <w:sz w:val="24"/>
                <w:szCs w:val="24"/>
              </w:rPr>
            </w:pPr>
            <w:r>
              <w:rPr>
                <w:rFonts w:hint="eastAsia" w:ascii="宋体" w:hAnsi="宋体" w:cs="仿宋_GB2312"/>
                <w:bCs w:val="0"/>
                <w:sz w:val="24"/>
                <w:szCs w:val="24"/>
              </w:rPr>
              <w:t>服务说明</w:t>
            </w:r>
          </w:p>
        </w:tc>
        <w:tc>
          <w:tcPr>
            <w:tcW w:w="764" w:type="dxa"/>
            <w:noWrap w:val="0"/>
            <w:vAlign w:val="top"/>
          </w:tcPr>
          <w:p>
            <w:pPr>
              <w:pStyle w:val="45"/>
              <w:tabs>
                <w:tab w:val="left" w:pos="0"/>
              </w:tabs>
              <w:spacing w:before="0" w:beforeLines="0"/>
              <w:outlineLvl w:val="2"/>
              <w:rPr>
                <w:rFonts w:hint="eastAsia" w:ascii="宋体" w:hAnsi="宋体" w:cs="仿宋_GB2312"/>
                <w:bCs w:val="0"/>
                <w:sz w:val="24"/>
                <w:szCs w:val="24"/>
              </w:rPr>
            </w:pPr>
            <w:r>
              <w:rPr>
                <w:rFonts w:hint="eastAsia" w:ascii="宋体" w:hAnsi="宋体" w:cs="仿宋_GB2312"/>
                <w:bCs w:val="0"/>
                <w:sz w:val="24"/>
                <w:szCs w:val="24"/>
              </w:rPr>
              <w:t>单位</w:t>
            </w:r>
          </w:p>
        </w:tc>
        <w:tc>
          <w:tcPr>
            <w:tcW w:w="795" w:type="dxa"/>
            <w:noWrap w:val="0"/>
            <w:vAlign w:val="top"/>
          </w:tcPr>
          <w:p>
            <w:pPr>
              <w:pStyle w:val="45"/>
              <w:tabs>
                <w:tab w:val="left" w:pos="0"/>
              </w:tabs>
              <w:spacing w:before="0" w:beforeLines="0"/>
              <w:outlineLvl w:val="2"/>
              <w:rPr>
                <w:rFonts w:hint="eastAsia" w:ascii="宋体" w:hAnsi="宋体" w:cs="仿宋_GB2312"/>
                <w:bCs w:val="0"/>
                <w:sz w:val="24"/>
                <w:szCs w:val="24"/>
              </w:rPr>
            </w:pPr>
            <w:r>
              <w:rPr>
                <w:rFonts w:hint="eastAsia" w:ascii="宋体" w:hAnsi="宋体" w:cs="仿宋_GB2312"/>
                <w:bCs w:val="0"/>
                <w:sz w:val="24"/>
                <w:szCs w:val="24"/>
              </w:rPr>
              <w:t>数量</w:t>
            </w:r>
          </w:p>
        </w:tc>
        <w:tc>
          <w:tcPr>
            <w:tcW w:w="1697" w:type="dxa"/>
            <w:noWrap w:val="0"/>
            <w:vAlign w:val="top"/>
          </w:tcPr>
          <w:p>
            <w:pPr>
              <w:pStyle w:val="45"/>
              <w:tabs>
                <w:tab w:val="left" w:pos="0"/>
              </w:tabs>
              <w:spacing w:before="0" w:beforeLines="0"/>
              <w:outlineLvl w:val="2"/>
              <w:rPr>
                <w:rFonts w:hint="eastAsia" w:ascii="宋体" w:hAnsi="宋体" w:cs="仿宋_GB2312"/>
                <w:bCs w:val="0"/>
                <w:sz w:val="24"/>
                <w:szCs w:val="24"/>
              </w:rPr>
            </w:pPr>
            <w:r>
              <w:rPr>
                <w:rFonts w:hint="eastAsia" w:ascii="宋体" w:hAnsi="宋体" w:cs="仿宋_GB2312"/>
                <w:bCs w:val="0"/>
                <w:sz w:val="24"/>
                <w:szCs w:val="24"/>
              </w:rPr>
              <w:t>单价（元）</w:t>
            </w:r>
          </w:p>
        </w:tc>
        <w:tc>
          <w:tcPr>
            <w:tcW w:w="1705" w:type="dxa"/>
            <w:noWrap w:val="0"/>
            <w:vAlign w:val="top"/>
          </w:tcPr>
          <w:p>
            <w:pPr>
              <w:pStyle w:val="45"/>
              <w:tabs>
                <w:tab w:val="left" w:pos="0"/>
              </w:tabs>
              <w:spacing w:before="0" w:beforeLines="0"/>
              <w:outlineLvl w:val="2"/>
              <w:rPr>
                <w:rFonts w:hint="eastAsia" w:ascii="宋体" w:hAnsi="宋体" w:cs="仿宋_GB2312"/>
                <w:bCs w:val="0"/>
                <w:sz w:val="24"/>
                <w:szCs w:val="24"/>
              </w:rPr>
            </w:pPr>
            <w:r>
              <w:rPr>
                <w:rFonts w:hint="eastAsia" w:ascii="宋体" w:hAnsi="宋体" w:cs="仿宋_GB2312"/>
                <w:bCs w:val="0"/>
                <w:sz w:val="24"/>
                <w:szCs w:val="24"/>
              </w:rPr>
              <w:t>小计（元</w:t>
            </w:r>
          </w:p>
        </w:tc>
        <w:tc>
          <w:tcPr>
            <w:tcW w:w="787" w:type="dxa"/>
            <w:noWrap w:val="0"/>
            <w:vAlign w:val="top"/>
          </w:tcPr>
          <w:p>
            <w:pPr>
              <w:pStyle w:val="45"/>
              <w:tabs>
                <w:tab w:val="left" w:pos="0"/>
              </w:tabs>
              <w:spacing w:before="0" w:beforeLines="0"/>
              <w:outlineLvl w:val="2"/>
              <w:rPr>
                <w:rFonts w:hint="eastAsia" w:ascii="宋体" w:hAnsi="宋体" w:cs="仿宋_GB2312"/>
                <w:bCs w:val="0"/>
                <w:sz w:val="24"/>
                <w:szCs w:val="24"/>
              </w:rPr>
            </w:pPr>
            <w:r>
              <w:rPr>
                <w:rFonts w:hint="eastAsia" w:ascii="宋体" w:hAnsi="宋体" w:cs="仿宋_GB2312"/>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674"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728"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764"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795"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697"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705"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787"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674"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728"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764"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795"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697"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705"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787"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7" w:type="dxa"/>
            <w:gridSpan w:val="8"/>
            <w:noWrap w:val="0"/>
            <w:vAlign w:val="top"/>
          </w:tcPr>
          <w:p>
            <w:pPr>
              <w:pStyle w:val="45"/>
              <w:tabs>
                <w:tab w:val="left" w:pos="0"/>
              </w:tabs>
              <w:spacing w:before="0" w:beforeLines="0"/>
              <w:outlineLvl w:val="2"/>
              <w:rPr>
                <w:rFonts w:hint="eastAsia" w:ascii="宋体" w:hAnsi="宋体" w:cs="仿宋_GB2312"/>
                <w:b w:val="0"/>
                <w:bCs w:val="0"/>
                <w:sz w:val="24"/>
                <w:szCs w:val="24"/>
              </w:rPr>
            </w:pPr>
            <w:r>
              <w:rPr>
                <w:rFonts w:hint="eastAsia" w:ascii="宋体" w:hAnsi="宋体" w:cs="仿宋_GB2312"/>
                <w:b w:val="0"/>
                <w:bCs w:val="0"/>
                <w:sz w:val="24"/>
                <w:szCs w:val="24"/>
              </w:rPr>
              <w:t>合同总额：（小写）￥</w:t>
            </w:r>
            <w:r>
              <w:rPr>
                <w:rFonts w:hint="eastAsia" w:ascii="宋体" w:hAnsi="宋体" w:cs="仿宋_GB2312"/>
                <w:b w:val="0"/>
                <w:bCs w:val="0"/>
                <w:sz w:val="24"/>
                <w:szCs w:val="24"/>
                <w:u w:val="single"/>
              </w:rPr>
              <w:t xml:space="preserve">          </w:t>
            </w:r>
            <w:r>
              <w:rPr>
                <w:rFonts w:hint="eastAsia" w:ascii="宋体" w:hAnsi="宋体" w:cs="仿宋_GB2312"/>
                <w:b w:val="0"/>
                <w:bCs w:val="0"/>
                <w:sz w:val="24"/>
                <w:szCs w:val="24"/>
              </w:rPr>
              <w:t xml:space="preserve">元； 大写：         </w:t>
            </w:r>
            <w:r>
              <w:rPr>
                <w:rFonts w:hint="eastAsia" w:ascii="宋体" w:hAnsi="宋体" w:cs="仿宋_GB2312"/>
                <w:b w:val="0"/>
                <w:bCs w:val="0"/>
                <w:sz w:val="24"/>
                <w:szCs w:val="24"/>
                <w:u w:val="single"/>
              </w:rPr>
              <w:t xml:space="preserve"> </w:t>
            </w:r>
          </w:p>
        </w:tc>
      </w:tr>
    </w:tbl>
    <w:p>
      <w:pPr>
        <w:pStyle w:val="45"/>
        <w:numPr>
          <w:ilvl w:val="0"/>
          <w:numId w:val="17"/>
        </w:numPr>
        <w:tabs>
          <w:tab w:val="left" w:pos="0"/>
        </w:tabs>
        <w:spacing w:before="0" w:beforeLines="0"/>
        <w:ind w:left="0" w:firstLine="0"/>
        <w:outlineLvl w:val="2"/>
        <w:rPr>
          <w:rFonts w:hint="eastAsia" w:ascii="宋体" w:hAnsi="宋体" w:cs="仿宋_GB2312"/>
          <w:b w:val="0"/>
          <w:bCs w:val="0"/>
          <w:sz w:val="24"/>
          <w:szCs w:val="24"/>
        </w:rPr>
      </w:pPr>
      <w:r>
        <w:rPr>
          <w:rFonts w:hint="eastAsia" w:ascii="宋体" w:hAnsi="宋体" w:cs="仿宋_GB2312"/>
          <w:b w:val="0"/>
          <w:bCs w:val="0"/>
          <w:sz w:val="24"/>
          <w:szCs w:val="24"/>
        </w:rPr>
        <w:t>成交下浮率为（大写）：百分之</w:t>
      </w:r>
      <w:r>
        <w:rPr>
          <w:rFonts w:hint="eastAsia" w:ascii="宋体" w:hAnsi="宋体" w:cs="仿宋_GB2312"/>
          <w:b w:val="0"/>
          <w:bCs w:val="0"/>
          <w:sz w:val="24"/>
          <w:szCs w:val="24"/>
          <w:u w:val="single"/>
        </w:rPr>
        <w:t xml:space="preserve"> ________</w:t>
      </w:r>
      <w:r>
        <w:rPr>
          <w:rFonts w:hint="eastAsia" w:ascii="宋体" w:hAnsi="宋体" w:cs="仿宋_GB2312"/>
          <w:b w:val="0"/>
          <w:bCs w:val="0"/>
          <w:sz w:val="24"/>
          <w:szCs w:val="24"/>
        </w:rPr>
        <w:t>_（</w:t>
      </w:r>
      <w:r>
        <w:rPr>
          <w:rFonts w:hint="eastAsia" w:ascii="宋体" w:hAnsi="宋体" w:cs="仿宋_GB2312"/>
          <w:b w:val="0"/>
          <w:bCs w:val="0"/>
          <w:sz w:val="24"/>
          <w:szCs w:val="24"/>
          <w:u w:val="single"/>
        </w:rPr>
        <w:t>_________</w:t>
      </w:r>
      <w:r>
        <w:rPr>
          <w:rFonts w:hint="eastAsia" w:ascii="宋体" w:hAnsi="宋体" w:cs="仿宋_GB2312"/>
          <w:b w:val="0"/>
          <w:bCs w:val="0"/>
          <w:sz w:val="24"/>
          <w:szCs w:val="24"/>
        </w:rPr>
        <w:t>_%）；</w:t>
      </w:r>
    </w:p>
    <w:p>
      <w:pPr>
        <w:pStyle w:val="45"/>
        <w:numPr>
          <w:ilvl w:val="0"/>
          <w:numId w:val="17"/>
        </w:numPr>
        <w:tabs>
          <w:tab w:val="left" w:pos="0"/>
        </w:tabs>
        <w:spacing w:before="0" w:beforeLines="0"/>
        <w:ind w:left="0" w:firstLine="0"/>
        <w:outlineLvl w:val="2"/>
        <w:rPr>
          <w:rFonts w:hint="eastAsia" w:ascii="宋体" w:hAnsi="宋体" w:cs="仿宋_GB2312"/>
          <w:b w:val="0"/>
          <w:bCs w:val="0"/>
          <w:sz w:val="24"/>
          <w:szCs w:val="24"/>
        </w:rPr>
      </w:pPr>
      <w:r>
        <w:rPr>
          <w:rFonts w:hint="eastAsia" w:ascii="宋体" w:hAnsi="宋体" w:cs="仿宋_GB2312"/>
          <w:b w:val="0"/>
          <w:bCs w:val="0"/>
          <w:sz w:val="24"/>
          <w:szCs w:val="24"/>
        </w:rPr>
        <w:t>成交单价＝保费标准×（1-成交下浮率）；</w:t>
      </w:r>
    </w:p>
    <w:p>
      <w:pPr>
        <w:pStyle w:val="45"/>
        <w:numPr>
          <w:ilvl w:val="0"/>
          <w:numId w:val="17"/>
        </w:numPr>
        <w:tabs>
          <w:tab w:val="left" w:pos="0"/>
        </w:tabs>
        <w:spacing w:before="0" w:beforeLines="0"/>
        <w:ind w:left="0" w:firstLine="0"/>
        <w:outlineLvl w:val="2"/>
        <w:rPr>
          <w:rFonts w:hint="eastAsia" w:ascii="宋体" w:hAnsi="宋体" w:cs="仿宋_GB2312"/>
          <w:b w:val="0"/>
          <w:bCs w:val="0"/>
          <w:sz w:val="24"/>
          <w:szCs w:val="24"/>
        </w:rPr>
      </w:pPr>
      <w:r>
        <w:rPr>
          <w:rFonts w:hint="eastAsia" w:ascii="宋体" w:hAnsi="宋体" w:cs="仿宋_GB2312"/>
          <w:b w:val="0"/>
          <w:bCs w:val="0"/>
          <w:sz w:val="24"/>
          <w:szCs w:val="24"/>
        </w:rPr>
        <w:t>投保人数为暂定数量，实际支付金额=实际投保人数×成交单价；</w:t>
      </w:r>
    </w:p>
    <w:p>
      <w:pPr>
        <w:pStyle w:val="45"/>
        <w:numPr>
          <w:ilvl w:val="0"/>
          <w:numId w:val="17"/>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合同金额包含了保险费用、服务人员的工资、管理费用、售后服务、合理利润等所有已知及不可预见费用，乙方不得以任何理由要求改变价格</w:t>
      </w:r>
      <w:r>
        <w:rPr>
          <w:rFonts w:hint="eastAsia" w:ascii="宋体" w:hAnsi="宋体"/>
          <w:b w:val="0"/>
          <w:sz w:val="24"/>
          <w:szCs w:val="24"/>
        </w:rPr>
        <w:t>。</w:t>
      </w:r>
      <w:bookmarkEnd w:id="307"/>
      <w:bookmarkEnd w:id="308"/>
      <w:bookmarkEnd w:id="309"/>
    </w:p>
    <w:p>
      <w:pPr>
        <w:pStyle w:val="45"/>
        <w:numPr>
          <w:ilvl w:val="0"/>
          <w:numId w:val="17"/>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服务期限：本项目保险生效期以保单为准，保险期限为1年</w:t>
      </w:r>
      <w:bookmarkStart w:id="310" w:name="_Toc6925361"/>
      <w:bookmarkStart w:id="311" w:name="_Toc22852555"/>
      <w:bookmarkStart w:id="312" w:name="_Toc7443267"/>
      <w:bookmarkStart w:id="313" w:name="_Toc21600087"/>
      <w:bookmarkStart w:id="314" w:name="_Toc7364207"/>
      <w:bookmarkStart w:id="315" w:name="_Toc21599979"/>
      <w:r>
        <w:rPr>
          <w:rFonts w:hint="eastAsia" w:ascii="宋体" w:hAnsi="宋体" w:cs="仿宋_GB2312"/>
          <w:b w:val="0"/>
          <w:bCs w:val="0"/>
          <w:sz w:val="24"/>
          <w:szCs w:val="24"/>
        </w:rPr>
        <w:t>。</w:t>
      </w:r>
    </w:p>
    <w:bookmarkEnd w:id="310"/>
    <w:bookmarkEnd w:id="311"/>
    <w:bookmarkEnd w:id="312"/>
    <w:bookmarkEnd w:id="313"/>
    <w:bookmarkEnd w:id="314"/>
    <w:bookmarkEnd w:id="315"/>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rPr>
      </w:pPr>
      <w:r>
        <w:rPr>
          <w:rFonts w:hint="eastAsia" w:ascii="宋体" w:hAnsi="宋体" w:cs="黑体"/>
          <w:b/>
          <w:bCs/>
          <w:sz w:val="24"/>
          <w:lang w:val="en-US" w:eastAsia="zh-CN"/>
        </w:rPr>
        <w:t>3.</w:t>
      </w:r>
      <w:r>
        <w:rPr>
          <w:rFonts w:hint="eastAsia" w:ascii="宋体" w:hAnsi="宋体" w:cs="黑体"/>
          <w:b/>
          <w:bCs/>
          <w:sz w:val="24"/>
        </w:rPr>
        <w:t>保险责任</w:t>
      </w:r>
      <w:r>
        <w:rPr>
          <w:rFonts w:hint="eastAsia" w:ascii="宋体" w:hAnsi="宋体" w:cs="黑体"/>
          <w:b/>
          <w:bCs/>
          <w:sz w:val="24"/>
          <w:lang w:eastAsia="zh-CN"/>
        </w:rPr>
        <w:t>、</w:t>
      </w:r>
      <w:r>
        <w:rPr>
          <w:rFonts w:hint="eastAsia" w:ascii="宋体" w:hAnsi="宋体" w:cs="黑体"/>
          <w:b/>
          <w:bCs/>
          <w:sz w:val="24"/>
          <w:lang w:val="en-US" w:eastAsia="zh-CN"/>
        </w:rPr>
        <w:t>定损与理赔</w:t>
      </w:r>
    </w:p>
    <w:p>
      <w:pPr>
        <w:pStyle w:val="46"/>
        <w:tabs>
          <w:tab w:val="left" w:pos="510"/>
        </w:tabs>
        <w:adjustRightInd w:val="0"/>
        <w:snapToGrid w:val="0"/>
        <w:spacing w:line="360" w:lineRule="auto"/>
        <w:ind w:firstLine="480"/>
        <w:rPr>
          <w:rFonts w:ascii="宋体" w:hAnsi="宋体" w:cs="黑体"/>
          <w:b/>
          <w:bCs/>
          <w:sz w:val="24"/>
        </w:rPr>
      </w:pPr>
      <w:r>
        <w:rPr>
          <w:rFonts w:hint="eastAsia" w:ascii="宋体" w:hAnsi="宋体" w:cs="仿宋_GB2312"/>
          <w:sz w:val="24"/>
          <w:szCs w:val="24"/>
        </w:rPr>
        <w:t>以保单为准</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rPr>
      </w:pPr>
      <w:r>
        <w:rPr>
          <w:rFonts w:hint="eastAsia" w:ascii="宋体" w:hAnsi="宋体" w:cs="黑体"/>
          <w:b/>
          <w:bCs/>
          <w:sz w:val="24"/>
          <w:lang w:val="en-US" w:eastAsia="zh-CN"/>
        </w:rPr>
        <w:t>4.</w:t>
      </w:r>
      <w:r>
        <w:rPr>
          <w:rFonts w:hint="eastAsia" w:ascii="宋体" w:hAnsi="宋体" w:cs="黑体"/>
          <w:b/>
          <w:bCs/>
          <w:sz w:val="24"/>
        </w:rPr>
        <w:t>付款方式</w:t>
      </w:r>
    </w:p>
    <w:p>
      <w:pPr>
        <w:tabs>
          <w:tab w:val="left" w:pos="0"/>
        </w:tabs>
        <w:autoSpaceDE/>
        <w:autoSpaceDN/>
        <w:snapToGrid w:val="0"/>
        <w:spacing w:line="360" w:lineRule="auto"/>
        <w:ind w:firstLine="0" w:firstLineChars="0"/>
        <w:jc w:val="both"/>
        <w:rPr>
          <w:rFonts w:hint="eastAsia" w:ascii="宋体" w:hAnsi="宋体"/>
          <w:sz w:val="24"/>
          <w:szCs w:val="24"/>
          <w:lang w:eastAsia="zh-CN"/>
        </w:rPr>
      </w:pPr>
      <w:r>
        <w:rPr>
          <w:rFonts w:hint="eastAsia" w:ascii="宋体" w:hAnsi="宋体"/>
          <w:sz w:val="24"/>
          <w:szCs w:val="24"/>
          <w:lang w:val="en-US" w:eastAsia="zh-CN"/>
        </w:rPr>
        <w:t>4.1</w:t>
      </w:r>
      <w:r>
        <w:rPr>
          <w:rFonts w:hint="eastAsia" w:ascii="宋体" w:hAnsi="宋体"/>
          <w:sz w:val="24"/>
          <w:szCs w:val="24"/>
        </w:rPr>
        <w:t>甲方与乙方签订投保合同，乙方出具保单或付款通知书后，甲方</w:t>
      </w:r>
      <w:r>
        <w:rPr>
          <w:rFonts w:hint="eastAsia" w:ascii="宋体" w:hAnsi="宋体"/>
          <w:sz w:val="24"/>
          <w:szCs w:val="24"/>
          <w:lang w:eastAsia="zh-CN"/>
        </w:rPr>
        <w:t>按实际</w:t>
      </w:r>
      <w:r>
        <w:rPr>
          <w:rFonts w:hint="eastAsia" w:ascii="宋体" w:hAnsi="宋体"/>
          <w:sz w:val="24"/>
          <w:szCs w:val="24"/>
        </w:rPr>
        <w:t>保费</w:t>
      </w:r>
      <w:r>
        <w:rPr>
          <w:rFonts w:hint="eastAsia" w:ascii="宋体" w:hAnsi="宋体"/>
          <w:sz w:val="24"/>
          <w:szCs w:val="24"/>
          <w:lang w:eastAsia="zh-CN"/>
        </w:rPr>
        <w:t>一次性</w:t>
      </w:r>
      <w:r>
        <w:rPr>
          <w:rFonts w:hint="eastAsia" w:ascii="宋体" w:hAnsi="宋体"/>
          <w:sz w:val="24"/>
          <w:szCs w:val="24"/>
        </w:rPr>
        <w:t>支付给乙方</w:t>
      </w:r>
      <w:r>
        <w:rPr>
          <w:rFonts w:hint="eastAsia" w:ascii="宋体" w:hAnsi="宋体"/>
          <w:sz w:val="24"/>
          <w:szCs w:val="24"/>
          <w:lang w:eastAsia="zh-CN"/>
        </w:rPr>
        <w:t>。</w:t>
      </w:r>
    </w:p>
    <w:p>
      <w:pPr>
        <w:tabs>
          <w:tab w:val="left" w:pos="0"/>
        </w:tabs>
        <w:autoSpaceDE/>
        <w:autoSpaceDN/>
        <w:snapToGrid w:val="0"/>
        <w:spacing w:line="360" w:lineRule="auto"/>
        <w:ind w:firstLine="0" w:firstLineChars="0"/>
        <w:jc w:val="both"/>
        <w:rPr>
          <w:rFonts w:hint="eastAsia" w:ascii="宋体" w:hAnsi="宋体"/>
          <w:sz w:val="24"/>
          <w:szCs w:val="24"/>
          <w:lang w:val="en-US" w:eastAsia="zh-CN"/>
        </w:rPr>
      </w:pPr>
      <w:r>
        <w:rPr>
          <w:rFonts w:hint="eastAsia" w:ascii="宋体" w:hAnsi="宋体"/>
          <w:sz w:val="24"/>
          <w:szCs w:val="24"/>
          <w:lang w:val="en-US" w:eastAsia="zh-CN"/>
        </w:rPr>
        <w:t>4.2乙方应先向甲方开具同等金额有效的增值税发票，且收款方、出具发票方必须与乙方名称一致，如乙方未能按时提交合法有效发票，甲方有权拒绝付款，且乙方仍需按本合同约定履行各项义务。</w:t>
      </w:r>
    </w:p>
    <w:p>
      <w:pPr>
        <w:tabs>
          <w:tab w:val="left" w:pos="0"/>
        </w:tabs>
        <w:autoSpaceDE/>
        <w:autoSpaceDN/>
        <w:snapToGrid w:val="0"/>
        <w:spacing w:line="360" w:lineRule="auto"/>
        <w:ind w:firstLine="0" w:firstLineChars="0"/>
        <w:jc w:val="both"/>
        <w:rPr>
          <w:rFonts w:hint="eastAsia" w:ascii="宋体" w:hAnsi="宋体"/>
          <w:sz w:val="24"/>
          <w:szCs w:val="24"/>
          <w:lang w:val="en-US" w:eastAsia="zh-CN"/>
        </w:rPr>
      </w:pPr>
      <w:r>
        <w:rPr>
          <w:rFonts w:hint="eastAsia" w:ascii="宋体" w:hAnsi="宋体"/>
          <w:sz w:val="24"/>
          <w:szCs w:val="24"/>
          <w:lang w:val="en-US" w:eastAsia="zh-CN"/>
        </w:rPr>
        <w:t>4.3乙方对其向甲方提供的收款银行账户信息的真实性、合法性、有效性、准确性、完整性负责。乙方需变更其银行账户的，应当提前3日以书面方式通知甲方。如因乙方提供的银行账户原因（包括但不限于账号错误、被注销、被冻结等）或乙方不适当、不及时通知甲方，导致费用的支付发生任何不利后果的，由乙方承担全部责任。</w:t>
      </w:r>
    </w:p>
    <w:p>
      <w:pPr>
        <w:tabs>
          <w:tab w:val="left" w:pos="0"/>
        </w:tabs>
        <w:autoSpaceDE/>
        <w:autoSpaceDN/>
        <w:snapToGrid w:val="0"/>
        <w:spacing w:line="360" w:lineRule="auto"/>
        <w:ind w:firstLine="0" w:firstLineChars="0"/>
        <w:jc w:val="both"/>
        <w:rPr>
          <w:rFonts w:ascii="宋体" w:hAnsi="宋体"/>
          <w:sz w:val="24"/>
          <w:szCs w:val="24"/>
        </w:rPr>
      </w:pPr>
      <w:r>
        <w:rPr>
          <w:rFonts w:hint="eastAsia" w:ascii="宋体" w:hAnsi="宋体"/>
          <w:sz w:val="24"/>
          <w:szCs w:val="24"/>
          <w:lang w:val="en-US" w:eastAsia="zh-CN"/>
        </w:rPr>
        <w:t>4.4因甲方使用财政资金付款，需执行财政国库集中支付制度及单位内部资金支付管理审批等有关规定，乙方同意如因财政支付审查、财政支付管理流程、预算下达及单位内部支付审批流程等非甲方主观原因导致合同价款实际到达乙方账户时间延迟的，甲方不承担延迟付款的违约责任，乙方亦不得以此为由迟延履行或不履行合同义务</w:t>
      </w:r>
      <w:r>
        <w:rPr>
          <w:rFonts w:hint="eastAsia" w:ascii="宋体" w:hAnsi="宋体"/>
          <w:sz w:val="24"/>
          <w:szCs w:val="24"/>
        </w:rPr>
        <w:t>。</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5.</w:t>
      </w:r>
      <w:r>
        <w:rPr>
          <w:rFonts w:hint="eastAsia" w:ascii="宋体" w:hAnsi="宋体" w:cs="黑体"/>
          <w:b/>
          <w:bCs/>
          <w:sz w:val="24"/>
          <w:szCs w:val="20"/>
        </w:rPr>
        <w:t>保密要求:</w:t>
      </w:r>
    </w:p>
    <w:p>
      <w:pPr>
        <w:pStyle w:val="45"/>
        <w:numPr>
          <w:ilvl w:val="0"/>
          <w:numId w:val="18"/>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甲乙双方保证对履行本合同过程中所知悉的属于对方的</w:t>
      </w:r>
      <w:r>
        <w:rPr>
          <w:rFonts w:hint="eastAsia" w:ascii="宋体" w:hAnsi="宋体" w:cs="仿宋_GB2312"/>
          <w:b w:val="0"/>
          <w:bCs w:val="0"/>
          <w:sz w:val="24"/>
          <w:szCs w:val="24"/>
          <w:lang w:val="en-US" w:eastAsia="zh-CN"/>
        </w:rPr>
        <w:t>商务</w:t>
      </w:r>
      <w:r>
        <w:rPr>
          <w:rFonts w:hint="eastAsia" w:ascii="宋体" w:hAnsi="宋体" w:cs="仿宋_GB2312"/>
          <w:b w:val="0"/>
          <w:bCs w:val="0"/>
          <w:sz w:val="24"/>
          <w:szCs w:val="24"/>
        </w:rPr>
        <w:t>秘密、</w:t>
      </w:r>
      <w:r>
        <w:rPr>
          <w:rFonts w:hint="eastAsia" w:ascii="宋体" w:hAnsi="宋体" w:cs="仿宋_GB2312"/>
          <w:b w:val="0"/>
          <w:bCs w:val="0"/>
          <w:sz w:val="24"/>
          <w:szCs w:val="24"/>
          <w:lang w:val="en-US" w:eastAsia="zh-CN"/>
        </w:rPr>
        <w:t>被保险人信息、</w:t>
      </w:r>
      <w:r>
        <w:rPr>
          <w:rFonts w:hint="eastAsia" w:ascii="宋体" w:hAnsi="宋体" w:cs="仿宋_GB2312"/>
          <w:b w:val="0"/>
          <w:bCs w:val="0"/>
          <w:sz w:val="24"/>
          <w:szCs w:val="24"/>
        </w:rPr>
        <w:t xml:space="preserve">相关资料所记载的信息，以及其他管理信息严加保密。除非接受法律监管机构的检查或经一方同意，另一方不得以任何方式向任何第三方泄露其知悉的秘密和双方未公开的资料和信息。 </w:t>
      </w:r>
    </w:p>
    <w:p>
      <w:pPr>
        <w:pStyle w:val="45"/>
        <w:numPr>
          <w:ilvl w:val="0"/>
          <w:numId w:val="18"/>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在未经协议各方书面同意前，任何一方不得就本协议的主要内容向协议方以外的任何第三方公布。</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6.</w:t>
      </w:r>
      <w:r>
        <w:rPr>
          <w:rFonts w:hint="eastAsia" w:ascii="宋体" w:hAnsi="宋体" w:cs="黑体"/>
          <w:b/>
          <w:bCs/>
          <w:sz w:val="24"/>
          <w:szCs w:val="20"/>
        </w:rPr>
        <w:t>联系方式</w:t>
      </w:r>
    </w:p>
    <w:p>
      <w:pPr>
        <w:snapToGrid w:val="0"/>
        <w:spacing w:line="360" w:lineRule="auto"/>
        <w:ind w:left="0"/>
        <w:rPr>
          <w:rFonts w:ascii="宋体" w:hAnsi="宋体"/>
          <w:sz w:val="24"/>
          <w:u w:val="single"/>
        </w:rPr>
      </w:pPr>
      <w:r>
        <w:rPr>
          <w:rFonts w:hint="eastAsia" w:ascii="宋体" w:hAnsi="宋体"/>
          <w:sz w:val="24"/>
        </w:rPr>
        <w:t>乙方服务机构名称：</w:t>
      </w:r>
      <w:r>
        <w:rPr>
          <w:rFonts w:ascii="宋体" w:hAnsi="宋体"/>
          <w:sz w:val="24"/>
          <w:u w:val="single"/>
        </w:rPr>
        <w:t xml:space="preserve"> </w:t>
      </w:r>
    </w:p>
    <w:p>
      <w:pPr>
        <w:snapToGrid w:val="0"/>
        <w:spacing w:line="360" w:lineRule="auto"/>
        <w:ind w:left="0"/>
        <w:rPr>
          <w:rFonts w:ascii="宋体" w:hAnsi="宋体"/>
          <w:sz w:val="24"/>
        </w:rPr>
      </w:pPr>
      <w:r>
        <w:rPr>
          <w:rFonts w:hint="eastAsia" w:ascii="宋体" w:hAnsi="宋体"/>
          <w:sz w:val="24"/>
        </w:rPr>
        <w:t>地址：</w:t>
      </w:r>
      <w:r>
        <w:rPr>
          <w:rFonts w:ascii="宋体" w:hAnsi="宋体"/>
          <w:sz w:val="24"/>
        </w:rPr>
        <w:t xml:space="preserve"> </w:t>
      </w:r>
    </w:p>
    <w:p>
      <w:pPr>
        <w:snapToGrid w:val="0"/>
        <w:spacing w:line="360" w:lineRule="auto"/>
        <w:ind w:left="0"/>
        <w:rPr>
          <w:rFonts w:ascii="宋体" w:hAnsi="宋体"/>
          <w:sz w:val="24"/>
          <w:u w:val="single"/>
        </w:rPr>
      </w:pPr>
      <w:r>
        <w:rPr>
          <w:rFonts w:hint="eastAsia" w:ascii="宋体" w:hAnsi="宋体"/>
          <w:sz w:val="24"/>
        </w:rPr>
        <w:t xml:space="preserve">联系人1： </w:t>
      </w:r>
      <w:r>
        <w:rPr>
          <w:rFonts w:ascii="宋体" w:hAnsi="宋体"/>
          <w:sz w:val="24"/>
        </w:rPr>
        <w:t xml:space="preserve">               </w:t>
      </w:r>
      <w:r>
        <w:rPr>
          <w:rFonts w:hint="eastAsia" w:ascii="宋体" w:hAnsi="宋体"/>
          <w:sz w:val="24"/>
        </w:rPr>
        <w:t xml:space="preserve">，联系电话： </w:t>
      </w:r>
      <w:r>
        <w:rPr>
          <w:rFonts w:ascii="宋体" w:hAnsi="宋体"/>
          <w:sz w:val="24"/>
        </w:rPr>
        <w:t xml:space="preserve">       </w:t>
      </w:r>
      <w:r>
        <w:rPr>
          <w:rFonts w:hint="eastAsia" w:ascii="宋体" w:hAnsi="宋体"/>
          <w:sz w:val="24"/>
        </w:rPr>
        <w:t>，手机：</w:t>
      </w:r>
    </w:p>
    <w:p>
      <w:pPr>
        <w:snapToGrid w:val="0"/>
        <w:spacing w:line="360" w:lineRule="auto"/>
        <w:ind w:left="0"/>
        <w:rPr>
          <w:rFonts w:ascii="宋体" w:hAnsi="宋体"/>
          <w:sz w:val="24"/>
          <w:u w:val="single"/>
        </w:rPr>
      </w:pPr>
      <w:r>
        <w:rPr>
          <w:rFonts w:hint="eastAsia" w:ascii="宋体" w:hAnsi="宋体"/>
          <w:sz w:val="24"/>
        </w:rPr>
        <w:t xml:space="preserve">联系人2： </w:t>
      </w:r>
      <w:r>
        <w:rPr>
          <w:rFonts w:ascii="宋体" w:hAnsi="宋体"/>
          <w:sz w:val="24"/>
        </w:rPr>
        <w:t xml:space="preserve">               </w:t>
      </w:r>
      <w:r>
        <w:rPr>
          <w:rFonts w:hint="eastAsia" w:ascii="宋体" w:hAnsi="宋体"/>
          <w:sz w:val="24"/>
        </w:rPr>
        <w:t xml:space="preserve">，联系电话： </w:t>
      </w:r>
      <w:r>
        <w:rPr>
          <w:rFonts w:ascii="宋体" w:hAnsi="宋体"/>
          <w:sz w:val="24"/>
        </w:rPr>
        <w:t xml:space="preserve">       </w:t>
      </w:r>
      <w:r>
        <w:rPr>
          <w:rFonts w:hint="eastAsia" w:ascii="宋体" w:hAnsi="宋体"/>
          <w:sz w:val="24"/>
        </w:rPr>
        <w:t>，手机：</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7.</w:t>
      </w:r>
      <w:r>
        <w:rPr>
          <w:rFonts w:hint="eastAsia" w:ascii="宋体" w:hAnsi="宋体" w:cs="黑体"/>
          <w:b/>
          <w:bCs/>
          <w:sz w:val="24"/>
          <w:szCs w:val="20"/>
        </w:rPr>
        <w:t>违约责任及处罚措施</w:t>
      </w:r>
    </w:p>
    <w:p>
      <w:pPr>
        <w:pStyle w:val="45"/>
        <w:numPr>
          <w:ilvl w:val="0"/>
          <w:numId w:val="19"/>
        </w:numPr>
        <w:tabs>
          <w:tab w:val="left" w:pos="0"/>
        </w:tabs>
        <w:autoSpaceDE/>
        <w:autoSpaceDN/>
        <w:snapToGrid w:val="0"/>
        <w:spacing w:before="0" w:beforeLines="0" w:line="360" w:lineRule="auto"/>
        <w:ind w:left="0" w:firstLine="0" w:firstLineChars="0"/>
        <w:jc w:val="both"/>
        <w:outlineLvl w:val="2"/>
        <w:rPr>
          <w:rFonts w:hint="eastAsia" w:ascii="宋体" w:hAnsi="宋体" w:cs="仿宋_GB2312"/>
          <w:b w:val="0"/>
          <w:bCs w:val="0"/>
          <w:sz w:val="24"/>
          <w:szCs w:val="24"/>
        </w:rPr>
      </w:pPr>
      <w:r>
        <w:rPr>
          <w:rFonts w:hint="eastAsia" w:ascii="宋体" w:hAnsi="宋体" w:cs="仿宋_GB2312"/>
          <w:b w:val="0"/>
          <w:bCs w:val="0"/>
          <w:sz w:val="24"/>
          <w:szCs w:val="24"/>
        </w:rPr>
        <w:t>合同期内，乙方未及时履行赔偿或者给付保险金的，除支付保险金外，应当赔偿被保险人或者受益人因此受到的损失。</w:t>
      </w:r>
    </w:p>
    <w:p>
      <w:pPr>
        <w:pStyle w:val="45"/>
        <w:numPr>
          <w:ilvl w:val="0"/>
          <w:numId w:val="19"/>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本协议一方的违约行为或本协议的解除、终止，均不影响双方向被保险人提供约定服务，双方均有责任确保被保险人的权益不受损害。</w:t>
      </w:r>
    </w:p>
    <w:p>
      <w:pPr>
        <w:pStyle w:val="45"/>
        <w:numPr>
          <w:ilvl w:val="0"/>
          <w:numId w:val="19"/>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如因国家相关政策发生变化，应以最新的国家相关政策为准并进行执行，如因国家相关政策发生变化而导致本次项目的合同无法继续执行，甲方不承担任何责任，乙方自行承担由此带来的任何风险及后果。</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8.</w:t>
      </w:r>
      <w:r>
        <w:rPr>
          <w:rFonts w:hint="eastAsia" w:ascii="宋体" w:hAnsi="宋体" w:cs="黑体"/>
          <w:b/>
          <w:bCs/>
          <w:sz w:val="24"/>
          <w:szCs w:val="20"/>
        </w:rPr>
        <w:t>争议的解决</w:t>
      </w:r>
    </w:p>
    <w:p>
      <w:pPr>
        <w:pStyle w:val="45"/>
        <w:numPr>
          <w:ilvl w:val="0"/>
          <w:numId w:val="20"/>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合同履行过程中发生的任何争议，如双方未能通过友好协商解决，应向甲方所在地有管辖权的人民法院提起诉讼。守约方为解决纠纷、争议而产生的维权费用，包括且不限于律师费、诉讼费、保全费、鉴定费、交通费等，均由违约方承担。</w:t>
      </w:r>
    </w:p>
    <w:p>
      <w:pPr>
        <w:pStyle w:val="45"/>
        <w:numPr>
          <w:ilvl w:val="0"/>
          <w:numId w:val="20"/>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法院审理期间，除提交法院审理的事项外，合同其它事项和条款仍应继续履行。</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9.</w:t>
      </w:r>
      <w:r>
        <w:rPr>
          <w:rFonts w:hint="eastAsia" w:ascii="宋体" w:hAnsi="宋体" w:cs="黑体"/>
          <w:b/>
          <w:bCs/>
          <w:sz w:val="24"/>
          <w:szCs w:val="20"/>
        </w:rPr>
        <w:t>不可抗力</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合同任何一方由于不可抗力的原因不能履行合同时，应在不可抗力事件结束后1日内向对方通报，并尽最大努力积极采取必要措施，以减轻可能给对方造成的损失，在取得有关机构的不可抗力证明或双方谅解确认后，允许延期履行或修订合同，并根据情况可部分或全部免于承担违约责任。没有采取适当措施致使损失扩大的，该方不得就扩大损失的部分要求免责或赔偿。因合同一方迟延履行合同后发生不可抗力的，不能免除迟延履行方的相应责任。</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10.</w:t>
      </w:r>
      <w:r>
        <w:rPr>
          <w:rFonts w:hint="eastAsia" w:ascii="宋体" w:hAnsi="宋体" w:cs="黑体"/>
          <w:b/>
          <w:bCs/>
          <w:sz w:val="24"/>
          <w:szCs w:val="20"/>
        </w:rPr>
        <w:t>税费</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在中国境内、外发生的与本合同执行有关的一切税费均由乙方负担。</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11.</w:t>
      </w:r>
      <w:r>
        <w:rPr>
          <w:rFonts w:hint="eastAsia" w:ascii="宋体" w:hAnsi="宋体" w:cs="黑体"/>
          <w:b/>
          <w:bCs/>
          <w:sz w:val="24"/>
          <w:szCs w:val="20"/>
        </w:rPr>
        <w:t>合同生效</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本合同在甲乙双方法人代表或其授权代表签字盖章后生效。</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bookmarkStart w:id="316" w:name="_Toc78604619"/>
      <w:r>
        <w:rPr>
          <w:rFonts w:hint="eastAsia" w:ascii="宋体" w:hAnsi="宋体" w:cs="黑体"/>
          <w:b/>
          <w:bCs/>
          <w:sz w:val="24"/>
          <w:szCs w:val="20"/>
          <w:lang w:val="en-US" w:eastAsia="zh-CN"/>
        </w:rPr>
        <w:t>12.</w:t>
      </w:r>
      <w:r>
        <w:rPr>
          <w:rFonts w:hint="eastAsia" w:ascii="宋体" w:hAnsi="宋体" w:cs="黑体"/>
          <w:b/>
          <w:bCs/>
          <w:sz w:val="24"/>
          <w:szCs w:val="20"/>
        </w:rPr>
        <w:t>其它</w:t>
      </w:r>
      <w:bookmarkEnd w:id="316"/>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.1</w:t>
      </w:r>
      <w:r>
        <w:rPr>
          <w:sz w:val="24"/>
          <w:szCs w:val="24"/>
        </w:rPr>
        <w:t>双方在该项业务中，如因国家政策调整而影响一方或双方未能履行协议条款的，双方应在国家政策、制度允许的范围内协商解决办法。双方在代收款工作中如有未尽事宜，应不断补充和完善，对于因不可抗力或第三方原因，致使一方虽经努力仍无法履行相关义务的，双方应本着友好协商的原则，积极进行协调，并减轻或免除追究该方的责任。</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.2</w:t>
      </w:r>
      <w:r>
        <w:rPr>
          <w:rFonts w:hint="eastAsia"/>
          <w:sz w:val="24"/>
          <w:szCs w:val="24"/>
        </w:rPr>
        <w:t>所有经甲方或双方签署确认的文件（包括会议纪要、补充协议、往来信函）、采购文件、要约文件和响应承诺文件、合同附件及《成交通知书》均为本合同不可分割的有效组成部分，与本合同具有同等的法律效力和履约义务，其缔约生效日期为有效签署或盖章确认之日期。</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.3</w:t>
      </w:r>
      <w:r>
        <w:rPr>
          <w:rFonts w:hint="eastAsia"/>
          <w:sz w:val="24"/>
          <w:szCs w:val="24"/>
        </w:rPr>
        <w:t>如一方地址、电话、传真号码有变更，应在变更当日内书面通知对方，否则，应对由此造成</w:t>
      </w:r>
      <w:r>
        <w:rPr>
          <w:rFonts w:hint="eastAsia"/>
          <w:sz w:val="24"/>
          <w:szCs w:val="24"/>
          <w:lang w:val="en-US" w:eastAsia="zh-CN"/>
        </w:rPr>
        <w:t>另一方</w:t>
      </w:r>
      <w:r>
        <w:rPr>
          <w:rFonts w:hint="eastAsia"/>
          <w:sz w:val="24"/>
          <w:szCs w:val="24"/>
        </w:rPr>
        <w:t>的损失承担相应责任。</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.4</w:t>
      </w:r>
      <w:r>
        <w:rPr>
          <w:rFonts w:hint="eastAsia"/>
          <w:sz w:val="24"/>
          <w:szCs w:val="24"/>
        </w:rPr>
        <w:t>除甲方书面同意外，乙方不得外包、分包、部分或全部转让本合同项下的合同义务。</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.5</w:t>
      </w:r>
      <w:r>
        <w:rPr>
          <w:rFonts w:hint="eastAsia"/>
          <w:sz w:val="24"/>
          <w:szCs w:val="24"/>
        </w:rPr>
        <w:t>本合同一式陆份，甲方执叁份、乙方执叁份</w:t>
      </w:r>
      <w:r>
        <w:rPr>
          <w:sz w:val="24"/>
          <w:szCs w:val="24"/>
        </w:rPr>
        <w:t xml:space="preserve"> </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.6</w:t>
      </w:r>
      <w:r>
        <w:rPr>
          <w:rFonts w:hint="eastAsia"/>
          <w:sz w:val="24"/>
          <w:szCs w:val="24"/>
        </w:rPr>
        <w:t>本合同共计</w:t>
      </w:r>
      <w:r>
        <w:rPr>
          <w:sz w:val="24"/>
          <w:szCs w:val="24"/>
          <w:u w:val="single"/>
        </w:rPr>
        <w:t xml:space="preserve">  </w:t>
      </w:r>
      <w:r>
        <w:rPr>
          <w:rFonts w:hint="eastAsia"/>
          <w:sz w:val="24"/>
          <w:szCs w:val="24"/>
        </w:rPr>
        <w:t>页A4纸张，缺页之合同为无效合同。</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.7</w:t>
      </w:r>
      <w:r>
        <w:rPr>
          <w:rFonts w:hint="eastAsia"/>
          <w:sz w:val="24"/>
          <w:szCs w:val="24"/>
        </w:rPr>
        <w:t>本合同签约履约地点：广东省佛山市顺德区乐从镇新城消防救援支队。</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.8</w:t>
      </w:r>
      <w:r>
        <w:rPr>
          <w:rFonts w:hint="eastAsia"/>
          <w:sz w:val="24"/>
          <w:szCs w:val="24"/>
        </w:rPr>
        <w:t>双方均已对以上各条款及附件作充分了解，并明确理解由此而产生的相关权责。</w:t>
      </w:r>
    </w:p>
    <w:p>
      <w:pPr>
        <w:snapToGrid w:val="0"/>
        <w:spacing w:line="360" w:lineRule="auto"/>
        <w:rPr>
          <w:rFonts w:ascii="黑体" w:hAnsi="黑体" w:eastAsia="黑体" w:cs="黑体"/>
          <w:sz w:val="24"/>
        </w:rPr>
      </w:pPr>
      <w:r>
        <w:rPr>
          <w:rFonts w:hint="eastAsia" w:ascii="黑体" w:hAnsi="黑体" w:eastAsia="黑体" w:cs="黑体"/>
          <w:sz w:val="24"/>
        </w:rPr>
        <w:t>（以下无正文）</w:t>
      </w: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left="4578" w:hanging="4578" w:hangingChars="1900"/>
        <w:rPr>
          <w:rFonts w:ascii="黑体" w:hAnsi="黑体" w:eastAsia="黑体"/>
          <w:b/>
          <w:sz w:val="24"/>
          <w:szCs w:val="24"/>
        </w:rPr>
      </w:pPr>
      <w:r>
        <w:rPr>
          <w:rFonts w:hint="eastAsia" w:ascii="黑体" w:hAnsi="黑体" w:eastAsia="黑体" w:cs="黑体"/>
          <w:b/>
          <w:sz w:val="24"/>
        </w:rPr>
        <w:t>甲方（代章）：佛山市消防救援支队           乙方（盖章）：</w:t>
      </w:r>
      <w:r>
        <w:rPr>
          <w:rFonts w:ascii="黑体" w:hAnsi="黑体" w:eastAsia="黑体"/>
          <w:b/>
          <w:sz w:val="24"/>
          <w:szCs w:val="24"/>
        </w:rPr>
        <w:t xml:space="preserve"> </w:t>
      </w:r>
    </w:p>
    <w:p>
      <w:pPr>
        <w:snapToGrid w:val="0"/>
        <w:spacing w:line="360" w:lineRule="auto"/>
        <w:rPr>
          <w:sz w:val="24"/>
          <w:u w:val="single"/>
        </w:rPr>
      </w:pPr>
      <w:r>
        <w:rPr>
          <w:sz w:val="24"/>
        </w:rPr>
        <w:t>代表：                                     代表：</w:t>
      </w:r>
    </w:p>
    <w:p>
      <w:pPr>
        <w:snapToGrid w:val="0"/>
        <w:spacing w:line="360" w:lineRule="auto"/>
        <w:ind w:left="5760" w:hanging="5760" w:hangingChars="2400"/>
        <w:rPr>
          <w:sz w:val="24"/>
        </w:rPr>
      </w:pPr>
      <w:r>
        <w:rPr>
          <w:sz w:val="24"/>
        </w:rPr>
        <w:t xml:space="preserve">地址：                                     地址： </w:t>
      </w:r>
    </w:p>
    <w:p>
      <w:pPr>
        <w:snapToGrid w:val="0"/>
        <w:spacing w:line="360" w:lineRule="auto"/>
        <w:rPr>
          <w:sz w:val="24"/>
        </w:rPr>
      </w:pPr>
      <w:r>
        <w:rPr>
          <w:sz w:val="24"/>
        </w:rPr>
        <w:t>电话：                                     电话：</w:t>
      </w:r>
    </w:p>
    <w:p>
      <w:pPr>
        <w:snapToGrid w:val="0"/>
        <w:spacing w:line="360" w:lineRule="auto"/>
        <w:rPr>
          <w:sz w:val="24"/>
        </w:rPr>
      </w:pPr>
      <w:r>
        <w:rPr>
          <w:sz w:val="24"/>
        </w:rPr>
        <w:t>传真：                                     传真：</w:t>
      </w:r>
    </w:p>
    <w:p>
      <w:pPr>
        <w:snapToGrid w:val="0"/>
        <w:spacing w:line="360" w:lineRule="auto"/>
        <w:rPr>
          <w:sz w:val="24"/>
        </w:rPr>
      </w:pPr>
      <w:r>
        <w:rPr>
          <w:sz w:val="24"/>
        </w:rPr>
        <w:t>日期：        年     月    日            日期：        年     月     日</w:t>
      </w:r>
    </w:p>
    <w:p>
      <w:pPr>
        <w:snapToGrid w:val="0"/>
        <w:spacing w:line="360" w:lineRule="auto"/>
        <w:ind w:firstLine="5160" w:firstLineChars="2150"/>
        <w:rPr>
          <w:sz w:val="24"/>
        </w:rPr>
      </w:pPr>
      <w:r>
        <w:rPr>
          <w:sz w:val="24"/>
        </w:rPr>
        <w:t>收款方、开票方须与乙方一致；</w:t>
      </w:r>
    </w:p>
    <w:p>
      <w:pPr>
        <w:snapToGrid w:val="0"/>
        <w:spacing w:line="360" w:lineRule="auto"/>
        <w:ind w:left="5385" w:leftChars="2450" w:hanging="240" w:hangingChars="100"/>
        <w:rPr>
          <w:sz w:val="24"/>
        </w:rPr>
      </w:pPr>
      <w:r>
        <w:rPr>
          <w:sz w:val="24"/>
        </w:rPr>
        <w:t xml:space="preserve">专户为： </w:t>
      </w:r>
    </w:p>
    <w:p>
      <w:pPr>
        <w:snapToGrid w:val="0"/>
        <w:spacing w:line="360" w:lineRule="auto"/>
        <w:ind w:left="6345" w:leftChars="2450" w:hanging="1200" w:hangingChars="500"/>
        <w:rPr>
          <w:b/>
          <w:sz w:val="24"/>
        </w:rPr>
      </w:pPr>
      <w:r>
        <w:rPr>
          <w:sz w:val="24"/>
        </w:rPr>
        <w:t>开户名称：</w:t>
      </w:r>
      <w:r>
        <w:rPr>
          <w:b/>
          <w:sz w:val="24"/>
        </w:rPr>
        <w:t xml:space="preserve"> </w:t>
      </w:r>
    </w:p>
    <w:p>
      <w:pPr>
        <w:tabs>
          <w:tab w:val="left" w:pos="5166"/>
        </w:tabs>
        <w:snapToGrid w:val="0"/>
        <w:spacing w:line="360" w:lineRule="auto"/>
        <w:rPr>
          <w:b/>
          <w:sz w:val="24"/>
        </w:rPr>
      </w:pPr>
      <w:r>
        <w:rPr>
          <w:b/>
          <w:sz w:val="24"/>
        </w:rPr>
        <w:tab/>
      </w:r>
      <w:r>
        <w:rPr>
          <w:sz w:val="24"/>
        </w:rPr>
        <w:t>银行帐号：</w:t>
      </w:r>
    </w:p>
    <w:p>
      <w:pPr>
        <w:tabs>
          <w:tab w:val="left" w:pos="5166"/>
        </w:tabs>
        <w:snapToGrid w:val="0"/>
        <w:spacing w:line="360" w:lineRule="auto"/>
        <w:rPr>
          <w:b/>
          <w:sz w:val="24"/>
        </w:rPr>
      </w:pPr>
      <w:r>
        <w:rPr>
          <w:b/>
          <w:sz w:val="24"/>
        </w:rPr>
        <w:tab/>
      </w:r>
      <w:r>
        <w:rPr>
          <w:sz w:val="24"/>
        </w:rPr>
        <w:t>开 户 行</w:t>
      </w:r>
      <w:r>
        <w:rPr>
          <w:rFonts w:hint="eastAsia"/>
          <w:sz w:val="24"/>
        </w:rPr>
        <w:t>：</w:t>
      </w:r>
    </w:p>
    <w:bookmarkEnd w:id="303"/>
    <w:bookmarkEnd w:id="304"/>
    <w:bookmarkEnd w:id="305"/>
    <w:bookmarkEnd w:id="306"/>
    <w:p>
      <w:pPr>
        <w:pStyle w:val="9"/>
      </w:pPr>
    </w:p>
    <w:p/>
    <w:p>
      <w:pPr>
        <w:spacing w:line="360" w:lineRule="auto"/>
        <w:rPr>
          <w:rFonts w:hint="eastAsia" w:ascii="Times New Roman" w:hAnsi="Times New Roman" w:cs="Times New Roman" w:eastAsiaTheme="minorEastAsia"/>
          <w:b/>
          <w:color w:val="auto"/>
          <w:highlight w:val="none"/>
          <w:lang w:eastAsia="zh-CN"/>
        </w:rPr>
      </w:pPr>
      <w:bookmarkStart w:id="317" w:name="_Toc49329263"/>
      <w:bookmarkStart w:id="318" w:name="_Toc113157428"/>
    </w:p>
    <w:p>
      <w:pPr>
        <w:rPr>
          <w:rFonts w:hint="default" w:ascii="Times New Roman" w:hAnsi="Times New Roman" w:cs="Times New Roman" w:eastAsiaTheme="minorEastAsia"/>
          <w:color w:val="auto"/>
          <w:highlight w:val="none"/>
        </w:rPr>
        <w:sectPr>
          <w:headerReference r:id="rId19" w:type="first"/>
          <w:footerReference r:id="rId22" w:type="first"/>
          <w:headerReference r:id="rId17" w:type="default"/>
          <w:footerReference r:id="rId20" w:type="default"/>
          <w:headerReference r:id="rId18" w:type="even"/>
          <w:footerReference r:id="rId21" w:type="even"/>
          <w:pgSz w:w="11906" w:h="16838"/>
          <w:pgMar w:top="1134" w:right="1134" w:bottom="1134" w:left="1134" w:header="567" w:footer="737" w:gutter="0"/>
          <w:pgNumType w:fmt="decimal"/>
          <w:cols w:space="720" w:num="1"/>
          <w:docGrid w:linePitch="312" w:charSpace="0"/>
        </w:sectPr>
      </w:pPr>
    </w:p>
    <w:p>
      <w:pPr>
        <w:pStyle w:val="3"/>
        <w:pageBreakBefore/>
        <w:spacing w:line="360" w:lineRule="auto"/>
        <w:ind w:left="0" w:firstLine="0"/>
        <w:rPr>
          <w:rFonts w:hint="default" w:ascii="Times New Roman" w:hAnsi="Times New Roman" w:cs="Times New Roman" w:eastAsiaTheme="minorEastAsia"/>
          <w:b w:val="0"/>
          <w:bCs/>
          <w:color w:val="auto"/>
          <w:highlight w:val="none"/>
        </w:rPr>
        <w:sectPr>
          <w:pgSz w:w="11906" w:h="16838"/>
          <w:pgMar w:top="1134" w:right="1134" w:bottom="1134" w:left="1587" w:header="567" w:footer="737" w:gutter="0"/>
          <w:pgNumType w:fmt="decimal"/>
          <w:cols w:space="720" w:num="1"/>
          <w:docGrid w:linePitch="312" w:charSpace="0"/>
        </w:sectPr>
      </w:pPr>
      <w:bookmarkStart w:id="319" w:name="_Toc259803668"/>
      <w:bookmarkStart w:id="320" w:name="_Toc419106562"/>
      <w:bookmarkStart w:id="321" w:name="_Toc525312049"/>
      <w:bookmarkStart w:id="322" w:name="_Toc26775"/>
      <w:bookmarkStart w:id="323" w:name="_Toc310519885"/>
      <w:bookmarkStart w:id="324" w:name="_Toc325031941"/>
      <w:bookmarkStart w:id="325" w:name="_Toc12025"/>
      <w:bookmarkStart w:id="326" w:name="_Toc373767198"/>
      <w:bookmarkStart w:id="327" w:name="_Toc11753"/>
      <w:bookmarkStart w:id="328" w:name="_Toc2681"/>
      <w:bookmarkStart w:id="329" w:name="_Toc29460"/>
      <w:bookmarkStart w:id="330" w:name="_Toc23326"/>
      <w:r>
        <w:rPr>
          <w:rFonts w:hint="default" w:ascii="Times New Roman" w:hAnsi="Times New Roman" w:cs="Times New Roman" w:eastAsiaTheme="minorEastAsia"/>
          <w:b w:val="0"/>
          <w:bCs/>
          <w:color w:val="auto"/>
          <w:highlight w:val="none"/>
        </w:rPr>
        <w:t>第五部分   响应文件格式</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pStyle w:val="6"/>
        <w:pageBreakBefore/>
        <w:spacing w:after="120" w:afterLines="0"/>
        <w:ind w:left="-6"/>
        <w:rPr>
          <w:rFonts w:hint="default" w:ascii="Times New Roman" w:hAnsi="Times New Roman" w:cs="Times New Roman" w:eastAsiaTheme="minorEastAsia"/>
          <w:b w:val="0"/>
          <w:color w:val="auto"/>
          <w:sz w:val="48"/>
          <w:szCs w:val="48"/>
          <w:highlight w:val="none"/>
        </w:rPr>
      </w:pPr>
      <w:bookmarkStart w:id="331" w:name="_投标文件目录"/>
      <w:bookmarkEnd w:id="331"/>
      <w:bookmarkStart w:id="332" w:name="_Toc419106563"/>
      <w:bookmarkStart w:id="333" w:name="_Toc200168795"/>
      <w:bookmarkStart w:id="334" w:name="_Toc25312"/>
      <w:bookmarkStart w:id="335" w:name="_Toc24433"/>
      <w:bookmarkStart w:id="336" w:name="_Toc373767199"/>
      <w:bookmarkStart w:id="337" w:name="_Toc325031942"/>
      <w:bookmarkStart w:id="338" w:name="_Toc310519886"/>
      <w:bookmarkStart w:id="339" w:name="_Toc18006"/>
      <w:bookmarkStart w:id="340" w:name="_Toc29817726"/>
      <w:bookmarkStart w:id="341" w:name="_Toc37670363"/>
      <w:bookmarkStart w:id="342" w:name="_Toc49329265"/>
      <w:bookmarkStart w:id="343" w:name="_Toc26261460"/>
      <w:bookmarkStart w:id="344" w:name="_Toc25726413"/>
      <w:bookmarkStart w:id="345" w:name="_Hlt113163463"/>
      <w:bookmarkStart w:id="346" w:name="_Hlt113175082"/>
      <w:bookmarkStart w:id="347" w:name="_Hlt113175081"/>
      <w:bookmarkStart w:id="348" w:name="_Toc34980753"/>
      <w:bookmarkStart w:id="349" w:name="_Hlt113163462"/>
      <w:r>
        <w:rPr>
          <w:rFonts w:hint="default" w:ascii="Times New Roman" w:hAnsi="Times New Roman" w:cs="Times New Roman" w:eastAsiaTheme="minorEastAsia"/>
          <w:b w:val="0"/>
          <w:color w:val="auto"/>
          <w:sz w:val="48"/>
          <w:szCs w:val="48"/>
          <w:highlight w:val="none"/>
        </w:rPr>
        <w:t>响应文件目录</w:t>
      </w:r>
      <w:bookmarkEnd w:id="332"/>
      <w:bookmarkEnd w:id="333"/>
      <w:bookmarkEnd w:id="334"/>
      <w:bookmarkEnd w:id="335"/>
      <w:bookmarkEnd w:id="336"/>
      <w:bookmarkEnd w:id="337"/>
      <w:bookmarkEnd w:id="338"/>
      <w:bookmarkEnd w:id="339"/>
    </w:p>
    <w:p>
      <w:pPr>
        <w:spacing w:line="360" w:lineRule="auto"/>
        <w:jc w:val="center"/>
        <w:rPr>
          <w:rFonts w:hint="default" w:ascii="Times New Roman" w:hAnsi="Times New Roman" w:cs="Times New Roman" w:eastAsiaTheme="minorEastAsia"/>
          <w:b/>
          <w:color w:val="auto"/>
          <w:sz w:val="32"/>
          <w:szCs w:val="32"/>
          <w:highlight w:val="none"/>
        </w:rPr>
      </w:pPr>
      <w:bookmarkStart w:id="350" w:name="_Toc286240891"/>
      <w:bookmarkStart w:id="351" w:name="_Toc224094430"/>
      <w:bookmarkStart w:id="352" w:name="_Toc217623813"/>
      <w:r>
        <w:rPr>
          <w:rFonts w:hint="default" w:ascii="Times New Roman" w:hAnsi="Times New Roman" w:cs="Times New Roman" w:eastAsiaTheme="minorEastAsia"/>
          <w:b/>
          <w:color w:val="auto"/>
          <w:sz w:val="32"/>
          <w:szCs w:val="32"/>
          <w:highlight w:val="none"/>
          <w:lang w:eastAsia="zh-CN"/>
        </w:rPr>
        <w:t>响应文件</w:t>
      </w:r>
      <w:r>
        <w:rPr>
          <w:rFonts w:hint="default" w:ascii="Times New Roman" w:hAnsi="Times New Roman" w:cs="Times New Roman" w:eastAsiaTheme="minorEastAsia"/>
          <w:b/>
          <w:color w:val="auto"/>
          <w:sz w:val="32"/>
          <w:szCs w:val="32"/>
          <w:highlight w:val="none"/>
        </w:rPr>
        <w:t>封面及目录部分</w:t>
      </w:r>
      <w:bookmarkEnd w:id="350"/>
      <w:bookmarkEnd w:id="351"/>
      <w:bookmarkEnd w:id="352"/>
    </w:p>
    <w:p>
      <w:pPr>
        <w:rPr>
          <w:rFonts w:hint="default" w:ascii="Times New Roman" w:hAnsi="Times New Roman" w:cs="Times New Roman" w:eastAsiaTheme="minorEastAsia"/>
          <w:color w:val="auto"/>
          <w:highlight w:val="none"/>
        </w:rPr>
      </w:pPr>
    </w:p>
    <w:p>
      <w:pPr>
        <w:pStyle w:val="29"/>
        <w:rPr>
          <w:rFonts w:hint="default" w:ascii="Times New Roman" w:hAnsi="Times New Roman" w:cs="Times New Roman" w:eastAsiaTheme="minorEastAsia"/>
          <w:color w:val="auto"/>
          <w:highlight w:val="none"/>
        </w:rPr>
      </w:pPr>
    </w:p>
    <w:p>
      <w:pPr>
        <w:numPr>
          <w:ilvl w:val="0"/>
          <w:numId w:val="0"/>
        </w:numPr>
        <w:tabs>
          <w:tab w:val="left" w:pos="720"/>
        </w:tabs>
        <w:spacing w:line="480" w:lineRule="auto"/>
        <w:ind w:left="720" w:hanging="540"/>
        <w:jc w:val="left"/>
        <w:rPr>
          <w:rFonts w:hint="default" w:ascii="Times New Roman" w:hAnsi="Times New Roman" w:cs="Times New Roman" w:eastAsiaTheme="minorEastAsia"/>
          <w:b/>
          <w:color w:val="auto"/>
          <w:sz w:val="28"/>
          <w:szCs w:val="28"/>
          <w:highlight w:val="none"/>
        </w:rPr>
      </w:pPr>
      <w:bookmarkStart w:id="353" w:name="_法定代表人授权书"/>
      <w:bookmarkEnd w:id="353"/>
      <w:bookmarkStart w:id="354" w:name="_投标资格文件清单"/>
      <w:bookmarkEnd w:id="354"/>
      <w:bookmarkStart w:id="355" w:name="_资格性文件清单"/>
      <w:bookmarkEnd w:id="355"/>
      <w:bookmarkStart w:id="356" w:name="_初审文件清单"/>
      <w:bookmarkEnd w:id="356"/>
      <w:bookmarkStart w:id="357" w:name="_Toc16555"/>
      <w:bookmarkStart w:id="358" w:name="_Toc10327"/>
      <w:bookmarkStart w:id="359" w:name="_Toc136662939"/>
      <w:bookmarkStart w:id="360" w:name="_Toc159385074"/>
      <w:bookmarkStart w:id="361" w:name="_Toc136682915"/>
      <w:r>
        <w:rPr>
          <w:rFonts w:hint="default" w:ascii="Wingdings" w:hAnsi="Wingdings" w:cs="Times New Roman" w:eastAsiaTheme="minorEastAsia"/>
          <w:b/>
          <w:color w:val="auto"/>
          <w:kern w:val="2"/>
          <w:sz w:val="28"/>
          <w:szCs w:val="28"/>
          <w:lang w:val="en-US" w:eastAsia="zh-CN" w:bidi="ar-SA"/>
        </w:rPr>
        <w:t></w:t>
      </w:r>
      <w:r>
        <w:rPr>
          <w:rFonts w:hint="eastAsia" w:ascii="Times New Roman" w:hAnsi="Times New Roman" w:cs="Times New Roman" w:eastAsiaTheme="minorEastAsia"/>
          <w:b/>
          <w:color w:val="auto"/>
          <w:sz w:val="28"/>
          <w:szCs w:val="28"/>
          <w:highlight w:val="none"/>
          <w:lang w:eastAsia="zh-CN"/>
        </w:rPr>
        <w:t>供应商</w:t>
      </w:r>
      <w:r>
        <w:rPr>
          <w:rFonts w:hint="default" w:ascii="Times New Roman" w:hAnsi="Times New Roman" w:cs="Times New Roman" w:eastAsiaTheme="minorEastAsia"/>
          <w:b/>
          <w:color w:val="auto"/>
          <w:sz w:val="28"/>
          <w:szCs w:val="28"/>
          <w:highlight w:val="none"/>
        </w:rPr>
        <w:t>应按本《</w:t>
      </w:r>
      <w:r>
        <w:rPr>
          <w:rFonts w:hint="default" w:ascii="Times New Roman" w:hAnsi="Times New Roman" w:cs="Times New Roman" w:eastAsiaTheme="minorEastAsia"/>
          <w:b/>
          <w:color w:val="auto"/>
          <w:sz w:val="28"/>
          <w:szCs w:val="28"/>
          <w:highlight w:val="none"/>
          <w:lang w:eastAsia="zh-CN"/>
        </w:rPr>
        <w:t>采购文件</w:t>
      </w:r>
      <w:r>
        <w:rPr>
          <w:rFonts w:hint="default" w:ascii="Times New Roman" w:hAnsi="Times New Roman" w:cs="Times New Roman" w:eastAsiaTheme="minorEastAsia"/>
          <w:b/>
          <w:color w:val="auto"/>
          <w:sz w:val="28"/>
          <w:szCs w:val="28"/>
          <w:highlight w:val="none"/>
        </w:rPr>
        <w:t>》要求，自行设计和编制</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的封面和目录部分。</w:t>
      </w:r>
    </w:p>
    <w:p>
      <w:pPr>
        <w:numPr>
          <w:ilvl w:val="0"/>
          <w:numId w:val="0"/>
        </w:numPr>
        <w:tabs>
          <w:tab w:val="left" w:pos="720"/>
        </w:tabs>
        <w:spacing w:line="480" w:lineRule="auto"/>
        <w:ind w:left="900" w:hanging="720"/>
        <w:jc w:val="left"/>
        <w:rPr>
          <w:rFonts w:hint="default" w:ascii="Times New Roman" w:hAnsi="Times New Roman" w:cs="Times New Roman" w:eastAsiaTheme="minorEastAsia"/>
          <w:b/>
          <w:color w:val="auto"/>
          <w:sz w:val="28"/>
          <w:szCs w:val="28"/>
          <w:highlight w:val="none"/>
        </w:rPr>
      </w:pPr>
      <w:r>
        <w:rPr>
          <w:rFonts w:hint="default" w:ascii="Wingdings" w:hAnsi="Wingdings" w:cs="Times New Roman" w:eastAsiaTheme="minorEastAsia"/>
          <w:b/>
          <w:color w:val="auto"/>
          <w:kern w:val="2"/>
          <w:sz w:val="28"/>
          <w:szCs w:val="28"/>
          <w:lang w:val="en-US" w:eastAsia="zh-CN" w:bidi="ar-SA"/>
        </w:rPr>
        <w:t></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封面上须包含但不限于以下内容：</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kern w:val="2"/>
          <w:sz w:val="24"/>
          <w:szCs w:val="22"/>
          <w:lang w:val="en-GB" w:eastAsia="zh-CN" w:bidi="ar-SA"/>
        </w:rPr>
        <w:t>1)</w:t>
      </w:r>
      <w:r>
        <w:rPr>
          <w:rFonts w:hint="default" w:ascii="Times New Roman" w:hAnsi="Times New Roman" w:cs="Times New Roman" w:eastAsiaTheme="minorEastAsia"/>
          <w:color w:val="auto"/>
          <w:sz w:val="24"/>
          <w:highlight w:val="none"/>
          <w:lang w:val="en-GB"/>
        </w:rPr>
        <w:t>项目名称和项目编号；</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kern w:val="2"/>
          <w:sz w:val="24"/>
          <w:szCs w:val="22"/>
          <w:lang w:val="en-GB" w:eastAsia="zh-CN" w:bidi="ar-SA"/>
        </w:rPr>
        <w:t>2)</w:t>
      </w:r>
      <w:r>
        <w:rPr>
          <w:rFonts w:hint="eastAsia" w:ascii="Times New Roman" w:hAnsi="Times New Roman" w:cs="Times New Roman" w:eastAsiaTheme="minorEastAsia"/>
          <w:color w:val="auto"/>
          <w:sz w:val="24"/>
          <w:highlight w:val="none"/>
          <w:lang w:val="en-GB" w:eastAsia="zh-CN"/>
        </w:rPr>
        <w:t>供应商</w:t>
      </w:r>
      <w:r>
        <w:rPr>
          <w:rFonts w:hint="default" w:ascii="Times New Roman" w:hAnsi="Times New Roman" w:cs="Times New Roman" w:eastAsiaTheme="minorEastAsia"/>
          <w:color w:val="auto"/>
          <w:sz w:val="24"/>
          <w:highlight w:val="none"/>
          <w:lang w:val="en-GB"/>
        </w:rPr>
        <w:t>名称；</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kern w:val="2"/>
          <w:sz w:val="24"/>
          <w:szCs w:val="22"/>
          <w:lang w:val="en-GB" w:eastAsia="zh-CN" w:bidi="ar-SA"/>
        </w:rPr>
        <w:t>3)</w:t>
      </w:r>
      <w:r>
        <w:rPr>
          <w:rFonts w:hint="default" w:ascii="Times New Roman" w:hAnsi="Times New Roman" w:cs="Times New Roman" w:eastAsiaTheme="minorEastAsia"/>
          <w:color w:val="auto"/>
          <w:sz w:val="24"/>
          <w:highlight w:val="none"/>
          <w:lang w:val="en-GB"/>
        </w:rPr>
        <w:t>授权代表姓名及联系电话（含传真号码）</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kern w:val="2"/>
          <w:sz w:val="24"/>
          <w:szCs w:val="22"/>
          <w:lang w:val="en-GB" w:eastAsia="zh-CN" w:bidi="ar-SA"/>
        </w:rPr>
        <w:t>4)</w:t>
      </w:r>
      <w:r>
        <w:rPr>
          <w:rFonts w:hint="default" w:ascii="Times New Roman" w:hAnsi="Times New Roman" w:cs="Times New Roman" w:eastAsiaTheme="minorEastAsia"/>
          <w:color w:val="auto"/>
          <w:sz w:val="24"/>
          <w:highlight w:val="none"/>
          <w:lang w:val="en-GB"/>
        </w:rPr>
        <w:t>注明“正本”或“副本”字样。</w:t>
      </w:r>
    </w:p>
    <w:p>
      <w:pPr>
        <w:numPr>
          <w:ilvl w:val="0"/>
          <w:numId w:val="0"/>
        </w:numPr>
        <w:tabs>
          <w:tab w:val="left" w:pos="720"/>
        </w:tabs>
        <w:spacing w:line="480" w:lineRule="auto"/>
        <w:ind w:left="720" w:hanging="540"/>
        <w:jc w:val="left"/>
        <w:rPr>
          <w:rFonts w:hint="default" w:ascii="Times New Roman" w:hAnsi="Times New Roman" w:cs="Times New Roman" w:eastAsiaTheme="minorEastAsia"/>
          <w:color w:val="auto"/>
          <w:highlight w:val="none"/>
        </w:rPr>
      </w:pPr>
      <w:r>
        <w:rPr>
          <w:rFonts w:hint="default" w:ascii="Wingdings" w:hAnsi="Wingdings" w:cs="Times New Roman" w:eastAsiaTheme="minorEastAsia"/>
          <w:color w:val="auto"/>
          <w:kern w:val="2"/>
          <w:sz w:val="28"/>
          <w:szCs w:val="28"/>
          <w:lang w:val="en-US" w:eastAsia="zh-CN" w:bidi="ar-SA"/>
        </w:rPr>
        <w:t></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必须编制目录，且目录必须清晰、准确，与</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中的每页所加注的页码相对应。</w:t>
      </w:r>
    </w:p>
    <w:p>
      <w:pPr>
        <w:numPr>
          <w:ilvl w:val="0"/>
          <w:numId w:val="0"/>
        </w:numPr>
        <w:tabs>
          <w:tab w:val="left" w:pos="720"/>
        </w:tabs>
        <w:spacing w:line="480" w:lineRule="auto"/>
        <w:ind w:left="720" w:hanging="540"/>
        <w:jc w:val="left"/>
        <w:rPr>
          <w:rFonts w:hint="default" w:ascii="Times New Roman" w:hAnsi="Times New Roman" w:cs="Times New Roman" w:eastAsiaTheme="minorEastAsia"/>
          <w:b/>
          <w:color w:val="auto"/>
          <w:sz w:val="28"/>
          <w:szCs w:val="28"/>
          <w:highlight w:val="none"/>
        </w:rPr>
      </w:pPr>
      <w:r>
        <w:rPr>
          <w:rFonts w:hint="default" w:ascii="Wingdings" w:hAnsi="Wingdings" w:cs="Times New Roman" w:eastAsiaTheme="minorEastAsia"/>
          <w:b/>
          <w:color w:val="auto"/>
          <w:kern w:val="2"/>
          <w:sz w:val="28"/>
          <w:szCs w:val="28"/>
          <w:lang w:val="en-US" w:eastAsia="zh-CN" w:bidi="ar-SA"/>
        </w:rPr>
        <w:t></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的【正本】及所有【副本】的封面及骑缝均须加盖</w:t>
      </w:r>
      <w:r>
        <w:rPr>
          <w:rFonts w:hint="eastAsia" w:ascii="Times New Roman" w:hAnsi="Times New Roman" w:cs="Times New Roman" w:eastAsiaTheme="minorEastAsia"/>
          <w:b/>
          <w:color w:val="auto"/>
          <w:sz w:val="28"/>
          <w:szCs w:val="28"/>
          <w:highlight w:val="none"/>
          <w:lang w:eastAsia="zh-CN"/>
        </w:rPr>
        <w:t>供应商</w:t>
      </w:r>
      <w:r>
        <w:rPr>
          <w:rFonts w:hint="default" w:ascii="Times New Roman" w:hAnsi="Times New Roman" w:cs="Times New Roman" w:eastAsiaTheme="minorEastAsia"/>
          <w:b/>
          <w:color w:val="auto"/>
          <w:sz w:val="28"/>
          <w:szCs w:val="28"/>
          <w:highlight w:val="none"/>
        </w:rPr>
        <w:t>公章。</w:t>
      </w:r>
    </w:p>
    <w:p>
      <w:pPr>
        <w:spacing w:line="480" w:lineRule="auto"/>
        <w:ind w:left="180"/>
        <w:jc w:val="left"/>
        <w:rPr>
          <w:rFonts w:hint="default" w:ascii="Times New Roman" w:hAnsi="Times New Roman" w:cs="Times New Roman" w:eastAsiaTheme="minorEastAsia"/>
          <w:color w:val="auto"/>
          <w:highlight w:val="none"/>
        </w:rPr>
      </w:pPr>
    </w:p>
    <w:p>
      <w:pPr>
        <w:spacing w:line="312" w:lineRule="auto"/>
        <w:ind w:firstLine="600" w:firstLineChars="250"/>
        <w:jc w:val="left"/>
        <w:rPr>
          <w:rFonts w:hint="default" w:ascii="Times New Roman" w:hAnsi="Times New Roman" w:cs="Times New Roman" w:eastAsiaTheme="minorEastAsia"/>
          <w:color w:val="auto"/>
          <w:sz w:val="24"/>
          <w:highlight w:val="none"/>
        </w:rPr>
      </w:pPr>
    </w:p>
    <w:p>
      <w:pPr>
        <w:spacing w:line="312" w:lineRule="auto"/>
        <w:ind w:firstLine="600" w:firstLineChars="250"/>
        <w:jc w:val="left"/>
        <w:rPr>
          <w:rFonts w:hint="default" w:ascii="Times New Roman" w:hAnsi="Times New Roman" w:cs="Times New Roman" w:eastAsiaTheme="minorEastAsia"/>
          <w:color w:val="auto"/>
          <w:sz w:val="24"/>
          <w:highlight w:val="none"/>
        </w:rPr>
      </w:pPr>
    </w:p>
    <w:p>
      <w:pPr>
        <w:pStyle w:val="35"/>
        <w:spacing w:line="360" w:lineRule="auto"/>
        <w:ind w:left="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bCs/>
          <w:color w:val="auto"/>
          <w:sz w:val="28"/>
          <w:szCs w:val="28"/>
          <w:highlight w:val="none"/>
        </w:rPr>
        <w:t>注：</w:t>
      </w:r>
      <w:r>
        <w:rPr>
          <w:rFonts w:hint="eastAsia" w:ascii="Times New Roman" w:hAnsi="Times New Roman" w:cs="Times New Roman" w:eastAsiaTheme="minorEastAsia"/>
          <w:b/>
          <w:bCs/>
          <w:color w:val="auto"/>
          <w:sz w:val="28"/>
          <w:szCs w:val="28"/>
          <w:highlight w:val="none"/>
          <w:lang w:eastAsia="zh-CN"/>
        </w:rPr>
        <w:t>供应商</w:t>
      </w:r>
      <w:r>
        <w:rPr>
          <w:rFonts w:hint="default" w:ascii="Times New Roman" w:hAnsi="Times New Roman" w:cs="Times New Roman" w:eastAsiaTheme="minorEastAsia"/>
          <w:b/>
          <w:bCs/>
          <w:color w:val="auto"/>
          <w:sz w:val="28"/>
          <w:szCs w:val="28"/>
          <w:highlight w:val="none"/>
        </w:rPr>
        <w:t>须按本部分的格式内容进行排版和编制《</w:t>
      </w:r>
      <w:r>
        <w:rPr>
          <w:rFonts w:hint="default" w:ascii="Times New Roman" w:hAnsi="Times New Roman" w:cs="Times New Roman" w:eastAsiaTheme="minorEastAsia"/>
          <w:b/>
          <w:bCs/>
          <w:color w:val="auto"/>
          <w:sz w:val="28"/>
          <w:szCs w:val="28"/>
          <w:highlight w:val="none"/>
          <w:lang w:eastAsia="zh-CN"/>
        </w:rPr>
        <w:t>响应文件</w:t>
      </w:r>
      <w:r>
        <w:rPr>
          <w:rFonts w:hint="default" w:ascii="Times New Roman" w:hAnsi="Times New Roman" w:cs="Times New Roman" w:eastAsiaTheme="minorEastAsia"/>
          <w:b/>
          <w:bCs/>
          <w:color w:val="auto"/>
          <w:sz w:val="28"/>
          <w:szCs w:val="28"/>
          <w:highlight w:val="none"/>
        </w:rPr>
        <w:t>》，如属于格式外的，或本部分未提供具体格式的，</w:t>
      </w:r>
      <w:r>
        <w:rPr>
          <w:rFonts w:hint="eastAsia" w:ascii="Times New Roman" w:hAnsi="Times New Roman" w:cs="Times New Roman" w:eastAsiaTheme="minorEastAsia"/>
          <w:b/>
          <w:bCs/>
          <w:color w:val="auto"/>
          <w:sz w:val="28"/>
          <w:szCs w:val="28"/>
          <w:highlight w:val="none"/>
          <w:lang w:eastAsia="zh-CN"/>
        </w:rPr>
        <w:t>供应商</w:t>
      </w:r>
      <w:r>
        <w:rPr>
          <w:rFonts w:hint="default" w:ascii="Times New Roman" w:hAnsi="Times New Roman" w:cs="Times New Roman" w:eastAsiaTheme="minorEastAsia"/>
          <w:b/>
          <w:bCs/>
          <w:color w:val="auto"/>
          <w:sz w:val="28"/>
          <w:szCs w:val="28"/>
          <w:highlight w:val="none"/>
        </w:rPr>
        <w:t>可根据投标方案或内容，针对评审子项要求，自行拟定具体格式和设计排版。</w:t>
      </w:r>
    </w:p>
    <w:p>
      <w:pPr>
        <w:spacing w:line="360" w:lineRule="auto"/>
        <w:rPr>
          <w:rFonts w:hint="default" w:ascii="Times New Roman" w:hAnsi="Times New Roman" w:cs="Times New Roman" w:eastAsiaTheme="minorEastAsia"/>
          <w:color w:val="auto"/>
          <w:highlight w:val="none"/>
          <w:shd w:val="clear" w:color="auto" w:fill="FFFF99"/>
        </w:rPr>
        <w:sectPr>
          <w:pgSz w:w="11906" w:h="16838"/>
          <w:pgMar w:top="1440" w:right="1080" w:bottom="1440" w:left="1080" w:header="567" w:footer="737" w:gutter="0"/>
          <w:pgNumType w:fmt="decimal"/>
          <w:cols w:space="720" w:num="1"/>
          <w:docGrid w:linePitch="312" w:charSpace="0"/>
        </w:sectPr>
      </w:pPr>
    </w:p>
    <w:p>
      <w:pPr>
        <w:pStyle w:val="4"/>
        <w:pageBreakBefore/>
        <w:ind w:left="425"/>
        <w:rPr>
          <w:rFonts w:hint="default" w:ascii="Times New Roman" w:hAnsi="Times New Roman" w:cs="Times New Roman" w:eastAsiaTheme="minorEastAsia"/>
          <w:b w:val="0"/>
          <w:bCs/>
          <w:color w:val="auto"/>
          <w:sz w:val="52"/>
          <w:highlight w:val="none"/>
        </w:rPr>
      </w:pPr>
      <w:bookmarkStart w:id="362" w:name="_Toc16804"/>
      <w:r>
        <w:rPr>
          <w:rFonts w:hint="default" w:ascii="Times New Roman" w:hAnsi="Times New Roman" w:cs="Times New Roman" w:eastAsiaTheme="minorEastAsia"/>
          <w:b w:val="0"/>
          <w:bCs/>
          <w:color w:val="auto"/>
          <w:sz w:val="52"/>
          <w:highlight w:val="none"/>
        </w:rPr>
        <w:fldChar w:fldCharType="begin"/>
      </w:r>
      <w:r>
        <w:rPr>
          <w:rFonts w:hint="default" w:ascii="Times New Roman" w:hAnsi="Times New Roman" w:cs="Times New Roman" w:eastAsiaTheme="minorEastAsia"/>
          <w:b w:val="0"/>
          <w:bCs/>
          <w:color w:val="auto"/>
          <w:sz w:val="52"/>
          <w:highlight w:val="none"/>
        </w:rPr>
        <w:instrText xml:space="preserve">HYPERLINK  \l "_投标文件目录"</w:instrText>
      </w:r>
      <w:r>
        <w:rPr>
          <w:rFonts w:hint="default" w:ascii="Times New Roman" w:hAnsi="Times New Roman" w:cs="Times New Roman" w:eastAsiaTheme="minorEastAsia"/>
          <w:b w:val="0"/>
          <w:bCs/>
          <w:color w:val="auto"/>
          <w:sz w:val="52"/>
          <w:highlight w:val="none"/>
        </w:rPr>
        <w:fldChar w:fldCharType="separate"/>
      </w:r>
      <w:bookmarkStart w:id="363" w:name="_Toc200168796"/>
      <w:bookmarkStart w:id="364" w:name="_Toc113157429"/>
      <w:bookmarkStart w:id="365" w:name="_Toc259803669"/>
      <w:bookmarkStart w:id="366" w:name="_Toc159385073"/>
      <w:bookmarkStart w:id="367" w:name="_Toc419106564"/>
      <w:bookmarkStart w:id="368" w:name="_Toc240108116"/>
      <w:r>
        <w:rPr>
          <w:rFonts w:hint="default" w:ascii="Times New Roman" w:hAnsi="Times New Roman" w:cs="Times New Roman" w:eastAsiaTheme="minorEastAsia"/>
          <w:b w:val="0"/>
          <w:bCs/>
          <w:color w:val="auto"/>
          <w:sz w:val="52"/>
          <w:highlight w:val="none"/>
        </w:rPr>
        <w:t>第一</w:t>
      </w:r>
      <w:bookmarkStart w:id="369" w:name="_Hlt112738827"/>
      <w:r>
        <w:rPr>
          <w:rFonts w:hint="default" w:ascii="Times New Roman" w:hAnsi="Times New Roman" w:cs="Times New Roman" w:eastAsiaTheme="minorEastAsia"/>
          <w:b w:val="0"/>
          <w:bCs/>
          <w:color w:val="auto"/>
          <w:sz w:val="52"/>
          <w:highlight w:val="none"/>
        </w:rPr>
        <w:t xml:space="preserve">章 </w:t>
      </w:r>
      <w:bookmarkEnd w:id="369"/>
      <w:r>
        <w:rPr>
          <w:rFonts w:hint="default" w:ascii="Times New Roman" w:hAnsi="Times New Roman" w:cs="Times New Roman" w:eastAsiaTheme="minorEastAsia"/>
          <w:b w:val="0"/>
          <w:bCs/>
          <w:color w:val="auto"/>
          <w:sz w:val="52"/>
          <w:highlight w:val="none"/>
        </w:rPr>
        <w:t xml:space="preserve"> </w:t>
      </w:r>
      <w:bookmarkStart w:id="370" w:name="_Hlt112738975"/>
      <w:r>
        <w:rPr>
          <w:rFonts w:hint="default" w:ascii="Times New Roman" w:hAnsi="Times New Roman" w:cs="Times New Roman" w:eastAsiaTheme="minorEastAsia"/>
          <w:b w:val="0"/>
          <w:bCs/>
          <w:color w:val="auto"/>
          <w:sz w:val="52"/>
          <w:highlight w:val="none"/>
        </w:rPr>
        <w:t>资格性文</w:t>
      </w:r>
      <w:bookmarkEnd w:id="370"/>
      <w:bookmarkStart w:id="371" w:name="_Hlt112738761"/>
      <w:r>
        <w:rPr>
          <w:rFonts w:hint="default" w:ascii="Times New Roman" w:hAnsi="Times New Roman" w:cs="Times New Roman" w:eastAsiaTheme="minorEastAsia"/>
          <w:b w:val="0"/>
          <w:bCs/>
          <w:color w:val="auto"/>
          <w:sz w:val="52"/>
          <w:highlight w:val="none"/>
        </w:rPr>
        <w:t>件</w:t>
      </w:r>
      <w:bookmarkEnd w:id="363"/>
      <w:bookmarkEnd w:id="364"/>
      <w:bookmarkEnd w:id="365"/>
      <w:bookmarkEnd w:id="366"/>
      <w:bookmarkEnd w:id="367"/>
      <w:bookmarkEnd w:id="368"/>
      <w:bookmarkEnd w:id="371"/>
      <w:r>
        <w:rPr>
          <w:rFonts w:hint="default" w:ascii="Times New Roman" w:hAnsi="Times New Roman" w:cs="Times New Roman" w:eastAsiaTheme="minorEastAsia"/>
          <w:b w:val="0"/>
          <w:bCs/>
          <w:color w:val="auto"/>
          <w:sz w:val="52"/>
          <w:highlight w:val="none"/>
        </w:rPr>
        <w:fldChar w:fldCharType="end"/>
      </w:r>
      <w:bookmarkEnd w:id="357"/>
      <w:bookmarkEnd w:id="358"/>
      <w:bookmarkEnd w:id="362"/>
    </w:p>
    <w:p>
      <w:pPr>
        <w:jc w:val="center"/>
        <w:rPr>
          <w:rFonts w:hint="default" w:ascii="Times New Roman" w:hAnsi="Times New Roman" w:cs="Times New Roman" w:eastAsiaTheme="minorEastAsia"/>
          <w:color w:val="auto"/>
          <w:highlight w:val="none"/>
          <w:shd w:val="clear" w:color="auto" w:fill="FFFF99"/>
        </w:rPr>
        <w:sectPr>
          <w:pgSz w:w="11906" w:h="16838"/>
          <w:pgMar w:top="1134" w:right="1134" w:bottom="1134" w:left="1587" w:header="567" w:footer="737" w:gutter="0"/>
          <w:pgNumType w:fmt="decimal"/>
          <w:cols w:space="720" w:num="1"/>
          <w:docGrid w:linePitch="312" w:charSpace="0"/>
        </w:sectPr>
      </w:pPr>
    </w:p>
    <w:bookmarkEnd w:id="340"/>
    <w:bookmarkEnd w:id="341"/>
    <w:bookmarkEnd w:id="342"/>
    <w:bookmarkEnd w:id="343"/>
    <w:bookmarkEnd w:id="344"/>
    <w:bookmarkEnd w:id="359"/>
    <w:bookmarkEnd w:id="360"/>
    <w:bookmarkEnd w:id="361"/>
    <w:p>
      <w:pPr>
        <w:pStyle w:val="6"/>
        <w:spacing w:after="120" w:afterLines="0"/>
        <w:rPr>
          <w:rFonts w:hint="default" w:ascii="Times New Roman" w:hAnsi="Times New Roman" w:cs="Times New Roman" w:eastAsiaTheme="minorEastAsia"/>
          <w:b w:val="0"/>
          <w:color w:val="auto"/>
          <w:sz w:val="48"/>
          <w:szCs w:val="48"/>
          <w:highlight w:val="none"/>
        </w:rPr>
      </w:pPr>
      <w:bookmarkStart w:id="372" w:name="_资格性文件清单_1"/>
      <w:bookmarkEnd w:id="372"/>
      <w:bookmarkStart w:id="373" w:name="_Toc12540"/>
      <w:bookmarkStart w:id="374" w:name="_Toc419106565"/>
      <w:bookmarkStart w:id="375" w:name="_Toc28192"/>
      <w:bookmarkStart w:id="376" w:name="_Toc1449"/>
      <w:bookmarkStart w:id="377" w:name="_Toc325031944"/>
      <w:bookmarkStart w:id="378" w:name="_Toc14873255"/>
      <w:bookmarkStart w:id="379" w:name="_Toc4542"/>
      <w:bookmarkStart w:id="380" w:name="_Toc310519888"/>
      <w:bookmarkStart w:id="381" w:name="_Toc24938"/>
      <w:bookmarkStart w:id="382" w:name="_Toc27708"/>
      <w:bookmarkStart w:id="383" w:name="_Toc22048"/>
      <w:bookmarkStart w:id="384" w:name="_Toc18142"/>
      <w:bookmarkStart w:id="385" w:name="_Toc419106572"/>
      <w:bookmarkStart w:id="386" w:name="_Toc24232"/>
      <w:bookmarkStart w:id="387" w:name="_Toc259803670"/>
      <w:bookmarkStart w:id="388" w:name="_Toc22745"/>
      <w:bookmarkStart w:id="389" w:name="_Toc240108117"/>
      <w:r>
        <w:rPr>
          <w:rFonts w:hint="default" w:ascii="Times New Roman" w:hAnsi="Times New Roman" w:cs="Times New Roman" w:eastAsiaTheme="minorEastAsia"/>
          <w:b w:val="0"/>
          <w:color w:val="auto"/>
          <w:sz w:val="48"/>
          <w:szCs w:val="48"/>
          <w:highlight w:val="none"/>
        </w:rPr>
        <w:t>资格性文件清单</w:t>
      </w:r>
      <w:bookmarkEnd w:id="373"/>
      <w:bookmarkEnd w:id="374"/>
      <w:bookmarkEnd w:id="375"/>
      <w:bookmarkEnd w:id="376"/>
      <w:bookmarkEnd w:id="377"/>
      <w:bookmarkEnd w:id="378"/>
      <w:bookmarkEnd w:id="379"/>
      <w:bookmarkEnd w:id="380"/>
      <w:bookmarkEnd w:id="381"/>
      <w:bookmarkEnd w:id="382"/>
      <w:bookmarkEnd w:id="383"/>
      <w:bookmarkEnd w:id="384"/>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
        <w:gridCol w:w="1788"/>
        <w:gridCol w:w="4976"/>
        <w:gridCol w:w="857"/>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1788" w:type="dxa"/>
            <w:tcBorders>
              <w:right w:val="single" w:color="auto" w:sz="4" w:space="0"/>
            </w:tcBorders>
            <w:shd w:val="clear" w:color="auto" w:fill="F3F3F3"/>
            <w:noWrap w:val="0"/>
            <w:vAlign w:val="center"/>
          </w:tcPr>
          <w:p>
            <w:pPr>
              <w:pStyle w:val="36"/>
              <w:keepNext w:val="0"/>
              <w:adjustRightInd/>
              <w:spacing w:before="0" w:after="0" w:line="240" w:lineRule="auto"/>
              <w:textAlignment w:val="auto"/>
              <w:rPr>
                <w:rFonts w:hint="default" w:ascii="Times New Roman" w:hAnsi="Times New Roman" w:cs="Times New Roman" w:eastAsiaTheme="minorEastAsia"/>
                <w:b/>
                <w:bCs/>
                <w:snapToGrid/>
                <w:color w:val="auto"/>
                <w:spacing w:val="0"/>
                <w:kern w:val="2"/>
                <w:sz w:val="21"/>
                <w:szCs w:val="21"/>
                <w:highlight w:val="none"/>
              </w:rPr>
            </w:pPr>
            <w:r>
              <w:rPr>
                <w:rFonts w:hint="default" w:ascii="Times New Roman" w:hAnsi="Times New Roman" w:cs="Times New Roman" w:eastAsiaTheme="minorEastAsia"/>
                <w:b/>
                <w:bCs/>
                <w:snapToGrid/>
                <w:color w:val="auto"/>
                <w:spacing w:val="0"/>
                <w:kern w:val="2"/>
                <w:sz w:val="21"/>
                <w:szCs w:val="21"/>
                <w:highlight w:val="none"/>
              </w:rPr>
              <w:t>文件名称</w:t>
            </w:r>
          </w:p>
        </w:tc>
        <w:tc>
          <w:tcPr>
            <w:tcW w:w="4976" w:type="dxa"/>
            <w:tcBorders>
              <w:left w:val="single" w:color="auto" w:sz="4" w:space="0"/>
            </w:tcBorders>
            <w:shd w:val="clear" w:color="auto" w:fill="F3F3F3"/>
            <w:noWrap w:val="0"/>
            <w:vAlign w:val="center"/>
          </w:tcPr>
          <w:p>
            <w:pPr>
              <w:pStyle w:val="36"/>
              <w:keepNext w:val="0"/>
              <w:adjustRightInd/>
              <w:spacing w:before="0" w:after="0" w:line="240" w:lineRule="auto"/>
              <w:textAlignment w:val="auto"/>
              <w:rPr>
                <w:rFonts w:hint="default" w:ascii="Times New Roman" w:hAnsi="Times New Roman" w:cs="Times New Roman" w:eastAsiaTheme="minorEastAsia"/>
                <w:b/>
                <w:bCs/>
                <w:snapToGrid/>
                <w:color w:val="auto"/>
                <w:spacing w:val="0"/>
                <w:kern w:val="2"/>
                <w:sz w:val="21"/>
                <w:szCs w:val="21"/>
                <w:highlight w:val="none"/>
              </w:rPr>
            </w:pPr>
            <w:r>
              <w:rPr>
                <w:rFonts w:hint="default" w:ascii="Times New Roman" w:hAnsi="Times New Roman" w:cs="Times New Roman" w:eastAsiaTheme="minorEastAsia"/>
                <w:b/>
                <w:bCs/>
                <w:snapToGrid/>
                <w:color w:val="auto"/>
                <w:spacing w:val="0"/>
                <w:kern w:val="2"/>
                <w:sz w:val="21"/>
                <w:szCs w:val="21"/>
                <w:highlight w:val="none"/>
              </w:rPr>
              <w:t>文件内容要求</w:t>
            </w:r>
          </w:p>
        </w:tc>
        <w:tc>
          <w:tcPr>
            <w:tcW w:w="857"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数量</w:t>
            </w:r>
          </w:p>
        </w:tc>
        <w:tc>
          <w:tcPr>
            <w:tcW w:w="1387"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文件属性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21"/>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响应承诺函</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21"/>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eastAsia="zh-CN"/>
              </w:rPr>
              <w:t>法定代表人</w:t>
            </w:r>
            <w:r>
              <w:rPr>
                <w:rFonts w:hint="default" w:ascii="Times New Roman" w:hAnsi="Times New Roman" w:cs="Times New Roman" w:eastAsiaTheme="minorEastAsia"/>
                <w:color w:val="auto"/>
                <w:highlight w:val="none"/>
                <w:lang w:val="en-US" w:eastAsia="zh-CN"/>
              </w:rPr>
              <w:t>/负责人证明书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21"/>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法</w:t>
            </w:r>
            <w:r>
              <w:rPr>
                <w:rFonts w:hint="default" w:ascii="Times New Roman" w:hAnsi="Times New Roman" w:cs="Times New Roman" w:eastAsiaTheme="minorEastAsia"/>
                <w:color w:val="auto"/>
                <w:highlight w:val="none"/>
                <w:lang w:eastAsia="zh-CN"/>
              </w:rPr>
              <w:t>定代表人</w:t>
            </w:r>
            <w:r>
              <w:rPr>
                <w:rFonts w:hint="default" w:ascii="Times New Roman" w:hAnsi="Times New Roman" w:cs="Times New Roman" w:eastAsiaTheme="minorEastAsia"/>
                <w:color w:val="auto"/>
                <w:highlight w:val="none"/>
              </w:rPr>
              <w:t>（负责人）授权书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21"/>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lang w:val="en-US"/>
              </w:rPr>
              <w:t>守法经营声明书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Cs w:val="21"/>
                <w:highlight w:val="none"/>
              </w:rPr>
              <w:t>复印件</w:t>
            </w:r>
            <w:r>
              <w:rPr>
                <w:rFonts w:hint="default" w:ascii="Times New Roman" w:hAnsi="Times New Roman" w:cs="Times New Roman" w:eastAsiaTheme="minorEastAsia"/>
                <w:color w:val="auto"/>
                <w:szCs w:val="21"/>
                <w:highlight w:val="none"/>
                <w:lang w:eastAsia="zh-CN"/>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21"/>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申请人的资格要求</w:t>
            </w:r>
          </w:p>
        </w:tc>
        <w:tc>
          <w:tcPr>
            <w:tcW w:w="4976" w:type="dxa"/>
            <w:tcBorders>
              <w:left w:val="single" w:color="auto" w:sz="4" w:space="0"/>
            </w:tcBorders>
            <w:noWrap w:val="0"/>
            <w:vAlign w:val="center"/>
          </w:tcPr>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1.供应商应具备《中华人民共和国政府采购法》第二十二条规定的条件，提供下列材料：</w:t>
            </w:r>
          </w:p>
          <w:p>
            <w:pPr>
              <w:pStyle w:val="2"/>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1）具有独立承担民事责任的能力</w:t>
            </w:r>
            <w:r>
              <w:rPr>
                <w:rFonts w:hint="eastAsia" w:ascii="Times New Roman" w:hAnsi="Times New Roman" w:cs="Times New Roman" w:eastAsiaTheme="minorEastAsia"/>
                <w:color w:val="auto"/>
                <w:kern w:val="2"/>
                <w:sz w:val="21"/>
                <w:szCs w:val="22"/>
                <w:highlight w:val="none"/>
                <w:lang w:val="en-US" w:eastAsia="zh-CN" w:bidi="ar-SA"/>
              </w:rPr>
              <w:t>；</w:t>
            </w:r>
          </w:p>
          <w:p>
            <w:pPr>
              <w:pStyle w:val="2"/>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2）有依法缴纳税收和社会保障资金的良好记录</w:t>
            </w:r>
            <w:r>
              <w:rPr>
                <w:rFonts w:hint="eastAsia" w:ascii="Times New Roman" w:hAnsi="Times New Roman" w:cs="Times New Roman" w:eastAsiaTheme="minorEastAsia"/>
                <w:color w:val="auto"/>
                <w:kern w:val="2"/>
                <w:sz w:val="21"/>
                <w:szCs w:val="22"/>
                <w:highlight w:val="none"/>
                <w:lang w:val="en-US" w:eastAsia="zh-CN" w:bidi="ar-SA"/>
              </w:rPr>
              <w:t>；</w:t>
            </w:r>
          </w:p>
          <w:p>
            <w:pPr>
              <w:pStyle w:val="2"/>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3）具有良好的商业信誉和健全的财务会计制度</w:t>
            </w:r>
            <w:r>
              <w:rPr>
                <w:rFonts w:hint="eastAsia" w:ascii="Times New Roman" w:hAnsi="Times New Roman" w:cs="Times New Roman" w:eastAsiaTheme="minorEastAsia"/>
                <w:color w:val="auto"/>
                <w:kern w:val="2"/>
                <w:sz w:val="21"/>
                <w:szCs w:val="22"/>
                <w:highlight w:val="none"/>
                <w:lang w:val="en-US" w:eastAsia="zh-CN" w:bidi="ar-SA"/>
              </w:rPr>
              <w:t>；</w:t>
            </w:r>
          </w:p>
          <w:p>
            <w:pPr>
              <w:pStyle w:val="2"/>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4）履行合同所必需的设备和专业技术能力</w:t>
            </w:r>
            <w:r>
              <w:rPr>
                <w:rFonts w:hint="eastAsia" w:ascii="Times New Roman" w:hAnsi="Times New Roman" w:cs="Times New Roman" w:eastAsiaTheme="minorEastAsia"/>
                <w:color w:val="auto"/>
                <w:kern w:val="2"/>
                <w:sz w:val="21"/>
                <w:szCs w:val="22"/>
                <w:highlight w:val="none"/>
                <w:lang w:val="en-US" w:eastAsia="zh-CN" w:bidi="ar-SA"/>
              </w:rPr>
              <w:t>；</w:t>
            </w:r>
          </w:p>
          <w:p>
            <w:pPr>
              <w:pStyle w:val="2"/>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5）参加采购活动前3年内，在经营活动中没有重大违法记录</w:t>
            </w:r>
            <w:r>
              <w:rPr>
                <w:rFonts w:hint="eastAsia" w:ascii="Times New Roman" w:hAnsi="Times New Roman" w:cs="Times New Roman" w:eastAsiaTheme="minorEastAsia"/>
                <w:color w:val="auto"/>
                <w:kern w:val="2"/>
                <w:sz w:val="21"/>
                <w:szCs w:val="22"/>
                <w:highlight w:val="none"/>
                <w:lang w:val="en-US" w:eastAsia="zh-CN" w:bidi="ar-SA"/>
              </w:rPr>
              <w:t>；</w:t>
            </w:r>
          </w:p>
          <w:p>
            <w:pPr>
              <w:pStyle w:val="2"/>
              <w:rPr>
                <w:rFonts w:hint="eastAsia"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kern w:val="2"/>
                <w:sz w:val="21"/>
                <w:szCs w:val="22"/>
                <w:highlight w:val="none"/>
                <w:lang w:val="en-US" w:eastAsia="zh-CN" w:bidi="ar-SA"/>
              </w:rPr>
              <w:t>6）法律、行政法规规定的其他条件</w:t>
            </w:r>
            <w:r>
              <w:rPr>
                <w:rFonts w:hint="eastAsia" w:ascii="Times New Roman" w:hAnsi="Times New Roman" w:cs="Times New Roman" w:eastAsiaTheme="minorEastAsia"/>
                <w:color w:val="auto"/>
                <w:kern w:val="2"/>
                <w:sz w:val="21"/>
                <w:szCs w:val="22"/>
                <w:highlight w:val="none"/>
                <w:lang w:val="en-US" w:eastAsia="zh-CN" w:bidi="ar-SA"/>
              </w:rPr>
              <w:t>。</w:t>
            </w:r>
          </w:p>
        </w:tc>
        <w:tc>
          <w:tcPr>
            <w:tcW w:w="85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复印件</w:t>
            </w:r>
            <w:r>
              <w:rPr>
                <w:rFonts w:hint="default" w:ascii="Times New Roman" w:hAnsi="Times New Roman" w:cs="Times New Roman" w:eastAsiaTheme="minorEastAsia"/>
                <w:color w:val="auto"/>
                <w:szCs w:val="21"/>
                <w:highlight w:val="none"/>
                <w:lang w:eastAsia="zh-CN"/>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21"/>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特定的资格要求</w:t>
            </w:r>
          </w:p>
        </w:tc>
        <w:tc>
          <w:tcPr>
            <w:tcW w:w="4976" w:type="dxa"/>
            <w:tcBorders>
              <w:left w:val="single" w:color="auto" w:sz="4" w:space="0"/>
            </w:tcBorders>
            <w:noWrap w:val="0"/>
            <w:vAlign w:val="center"/>
          </w:tcPr>
          <w:p>
            <w:pPr>
              <w:pStyle w:val="2"/>
              <w:jc w:val="left"/>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pStyle w:val="2"/>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2）单位负责人为同一人或者存在直接控股、管理关系的不同供应商，不得同时参加本采购项目（或采购包）投标（响应）。为本项目提供整体设计、规范编制或者项目管理、监理、检测等服务的供应商，不得再参与本项目投标（响应），提供守法经营声明书。</w:t>
            </w:r>
          </w:p>
          <w:p>
            <w:pPr>
              <w:pStyle w:val="2"/>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3）本项目不接受联合体投标。</w:t>
            </w:r>
          </w:p>
          <w:p>
            <w:pPr>
              <w:pStyle w:val="2"/>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4）供应商须是经国家保险监督管理机构批准在中华人民共和国境内设立和营业的，并依法被核定许可经营责任保险和意外伤害保险业务的保险机构</w:t>
            </w:r>
            <w:r>
              <w:rPr>
                <w:rFonts w:hint="eastAsia" w:ascii="Times New Roman" w:hAnsi="Times New Roman" w:cs="Times New Roman" w:eastAsiaTheme="minorEastAsia"/>
                <w:color w:val="auto"/>
                <w:kern w:val="2"/>
                <w:sz w:val="21"/>
                <w:szCs w:val="22"/>
                <w:highlight w:val="none"/>
                <w:lang w:val="en-US" w:eastAsia="zh-CN" w:bidi="ar-SA"/>
              </w:rPr>
              <w:t>。</w:t>
            </w:r>
            <w:r>
              <w:rPr>
                <w:rFonts w:hint="default" w:ascii="Times New Roman" w:hAnsi="Times New Roman" w:cs="Times New Roman" w:eastAsiaTheme="minorEastAsia"/>
                <w:color w:val="auto"/>
                <w:kern w:val="2"/>
                <w:sz w:val="21"/>
                <w:szCs w:val="22"/>
                <w:highlight w:val="none"/>
                <w:lang w:val="en-US" w:eastAsia="zh-CN" w:bidi="ar-SA"/>
              </w:rPr>
              <w:t>提供有效期内的《经营保险业务许可证》并加盖投标人公章。供应商可以是保险总公司或者保险分支机构（分支机构须获得总部授权）。</w:t>
            </w:r>
          </w:p>
        </w:tc>
        <w:tc>
          <w:tcPr>
            <w:tcW w:w="85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复印件</w:t>
            </w:r>
            <w:r>
              <w:rPr>
                <w:rFonts w:hint="default" w:ascii="Times New Roman" w:hAnsi="Times New Roman" w:cs="Times New Roman" w:eastAsiaTheme="minorEastAsia"/>
                <w:color w:val="auto"/>
                <w:szCs w:val="21"/>
                <w:highlight w:val="none"/>
                <w:lang w:eastAsia="zh-CN"/>
              </w:rPr>
              <w:t>（加盖公章）</w:t>
            </w:r>
          </w:p>
        </w:tc>
      </w:tr>
    </w:tbl>
    <w:p>
      <w:pPr>
        <w:pStyle w:val="37"/>
        <w:spacing w:line="360" w:lineRule="auto"/>
        <w:ind w:left="420" w:hanging="420"/>
        <w:jc w:val="center"/>
        <w:rPr>
          <w:rFonts w:hint="default" w:ascii="Times New Roman" w:hAnsi="Times New Roman" w:cs="Times New Roman" w:eastAsiaTheme="minorEastAsia"/>
          <w:b/>
          <w:bCs/>
          <w:color w:val="auto"/>
          <w:sz w:val="30"/>
          <w:highlight w:val="none"/>
        </w:rPr>
      </w:pPr>
      <w:r>
        <w:rPr>
          <w:rFonts w:hint="default" w:ascii="Times New Roman" w:hAnsi="Times New Roman" w:cs="Times New Roman" w:eastAsiaTheme="minorEastAsia"/>
          <w:b/>
          <w:bCs/>
          <w:color w:val="auto"/>
          <w:sz w:val="30"/>
          <w:highlight w:val="none"/>
        </w:rPr>
        <w:t>特别提示与要求！</w:t>
      </w:r>
    </w:p>
    <w:p>
      <w:pPr>
        <w:pStyle w:val="37"/>
        <w:spacing w:line="360" w:lineRule="exact"/>
        <w:ind w:firstLine="40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以上材料将作为供应商资格性审查的重要内容之一，供应商必须严格按照其内容及序列要求在响应文件中对应如实提供，对缺漏和不符合项将会直接导致无效响应！</w:t>
      </w:r>
    </w:p>
    <w:p>
      <w:pPr>
        <w:pStyle w:val="6"/>
        <w:pageBreakBefore/>
        <w:numPr>
          <w:ilvl w:val="0"/>
          <w:numId w:val="21"/>
        </w:numPr>
        <w:spacing w:after="120" w:afterLines="0"/>
        <w:rPr>
          <w:rFonts w:hint="default" w:ascii="Times New Roman" w:hAnsi="Times New Roman" w:cs="Times New Roman" w:eastAsiaTheme="minorEastAsia"/>
          <w:color w:val="auto"/>
          <w:szCs w:val="21"/>
          <w:highlight w:val="none"/>
        </w:rPr>
        <w:sectPr>
          <w:pgSz w:w="11906" w:h="16838"/>
          <w:pgMar w:top="1440" w:right="1080" w:bottom="1440" w:left="1080" w:header="567" w:footer="737" w:gutter="0"/>
          <w:pgNumType w:fmt="decimal"/>
          <w:cols w:space="720" w:num="1"/>
          <w:docGrid w:linePitch="312" w:charSpace="0"/>
        </w:sectPr>
      </w:pPr>
      <w:bookmarkStart w:id="390" w:name="_法定代表人授权书_1"/>
      <w:bookmarkEnd w:id="390"/>
      <w:bookmarkStart w:id="391" w:name="_Toc136682916"/>
      <w:bookmarkStart w:id="392" w:name="_Toc136662940"/>
      <w:bookmarkStart w:id="393" w:name="_Toc119321151"/>
      <w:bookmarkStart w:id="394" w:name="_Toc159385075"/>
    </w:p>
    <w:p>
      <w:pPr>
        <w:pStyle w:val="6"/>
        <w:pageBreakBefore/>
        <w:numPr>
          <w:ilvl w:val="0"/>
          <w:numId w:val="22"/>
        </w:numPr>
        <w:spacing w:after="120" w:afterLines="0"/>
        <w:rPr>
          <w:rFonts w:hint="default" w:ascii="Times New Roman" w:hAnsi="Times New Roman" w:cs="Times New Roman" w:eastAsiaTheme="minorEastAsia"/>
          <w:color w:val="auto"/>
          <w:sz w:val="36"/>
          <w:szCs w:val="36"/>
          <w:highlight w:val="none"/>
        </w:rPr>
      </w:pPr>
      <w:bookmarkStart w:id="395" w:name="_投标承诺函_1"/>
      <w:bookmarkEnd w:id="395"/>
      <w:bookmarkStart w:id="396" w:name="_Toc7738"/>
      <w:bookmarkStart w:id="397" w:name="_Toc9168"/>
      <w:bookmarkStart w:id="398" w:name="_Toc3733"/>
      <w:bookmarkStart w:id="399" w:name="_Toc6666"/>
      <w:bookmarkStart w:id="400" w:name="_Toc14237"/>
      <w:bookmarkStart w:id="401" w:name="_Toc419106566"/>
      <w:bookmarkStart w:id="402" w:name="_Toc14873256"/>
      <w:bookmarkStart w:id="403" w:name="_Toc13454"/>
      <w:bookmarkStart w:id="404" w:name="_Toc14146"/>
      <w:r>
        <w:rPr>
          <w:rFonts w:hint="default" w:ascii="Times New Roman" w:hAnsi="Times New Roman" w:cs="Times New Roman" w:eastAsiaTheme="minorEastAsia"/>
          <w:color w:val="auto"/>
          <w:sz w:val="36"/>
          <w:szCs w:val="36"/>
          <w:highlight w:val="none"/>
          <w:lang w:val="en-US" w:eastAsia="zh-CN"/>
        </w:rPr>
        <w:t xml:space="preserve"> </w:t>
      </w:r>
      <w:bookmarkStart w:id="405" w:name="_Toc28958"/>
      <w:r>
        <w:rPr>
          <w:rFonts w:hint="default" w:ascii="Times New Roman" w:hAnsi="Times New Roman" w:cs="Times New Roman" w:eastAsiaTheme="minorEastAsia"/>
          <w:color w:val="auto"/>
          <w:sz w:val="36"/>
          <w:szCs w:val="36"/>
          <w:highlight w:val="none"/>
        </w:rPr>
        <w:t>响应承诺函</w:t>
      </w:r>
      <w:bookmarkEnd w:id="391"/>
      <w:bookmarkEnd w:id="392"/>
      <w:bookmarkEnd w:id="393"/>
      <w:bookmarkEnd w:id="394"/>
      <w:bookmarkEnd w:id="396"/>
      <w:bookmarkEnd w:id="397"/>
      <w:bookmarkEnd w:id="398"/>
      <w:bookmarkEnd w:id="399"/>
      <w:bookmarkEnd w:id="400"/>
      <w:bookmarkEnd w:id="401"/>
      <w:bookmarkEnd w:id="402"/>
      <w:bookmarkEnd w:id="403"/>
      <w:bookmarkEnd w:id="404"/>
      <w:bookmarkEnd w:id="405"/>
    </w:p>
    <w:p>
      <w:pPr>
        <w:spacing w:after="120" w:afterLines="50" w:line="360" w:lineRule="auto"/>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b/>
          <w:color w:val="auto"/>
          <w:sz w:val="24"/>
          <w:highlight w:val="none"/>
        </w:rPr>
        <w:t>致：</w:t>
      </w:r>
      <w:r>
        <w:rPr>
          <w:rFonts w:hint="default" w:ascii="Times New Roman" w:hAnsi="Times New Roman" w:cs="Times New Roman" w:eastAsiaTheme="minorEastAsia"/>
          <w:b/>
          <w:color w:val="auto"/>
          <w:sz w:val="24"/>
          <w:highlight w:val="none"/>
          <w:u w:val="single"/>
          <w:lang w:eastAsia="zh-CN"/>
        </w:rPr>
        <w:t>佛山市消防救援支队</w:t>
      </w:r>
      <w:r>
        <w:rPr>
          <w:rFonts w:hint="default" w:ascii="Times New Roman" w:hAnsi="Times New Roman" w:cs="Times New Roman" w:eastAsiaTheme="minorEastAsia"/>
          <w:b/>
          <w:color w:val="auto"/>
          <w:sz w:val="24"/>
          <w:highlight w:val="none"/>
          <w:u w:val="single"/>
        </w:rPr>
        <w:t>、</w:t>
      </w:r>
      <w:r>
        <w:rPr>
          <w:rFonts w:hint="default" w:ascii="Times New Roman" w:hAnsi="Times New Roman" w:cs="Times New Roman" w:eastAsiaTheme="minorEastAsia"/>
          <w:b/>
          <w:color w:val="auto"/>
          <w:sz w:val="24"/>
          <w:highlight w:val="none"/>
          <w:u w:val="single"/>
          <w:lang w:eastAsia="zh-CN"/>
        </w:rPr>
        <w:t>广东远东招标代理有限公司</w:t>
      </w:r>
    </w:p>
    <w:p>
      <w:pPr>
        <w:spacing w:line="360" w:lineRule="auto"/>
        <w:ind w:firstLine="42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我方根据《竞争性磋商文件》的要求，通过委任的全权代表，向贵方递交密封册装的全套响应文件参与下列项目的响应，现为我方的一切响应行为作</w:t>
      </w:r>
      <w:r>
        <w:rPr>
          <w:rFonts w:hint="default" w:ascii="Times New Roman" w:hAnsi="Times New Roman" w:cs="Times New Roman" w:eastAsiaTheme="minorEastAsia"/>
          <w:bCs/>
          <w:color w:val="auto"/>
          <w:sz w:val="24"/>
          <w:szCs w:val="24"/>
          <w:highlight w:val="none"/>
        </w:rPr>
        <w:t>郑重承诺及声明如下：</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项目名称：</w:t>
      </w:r>
      <w:r>
        <w:rPr>
          <w:rFonts w:hint="eastAsia" w:cs="Times New Roman" w:eastAsiaTheme="minorEastAsia"/>
          <w:color w:val="auto"/>
          <w:sz w:val="24"/>
          <w:szCs w:val="24"/>
          <w:highlight w:val="none"/>
          <w:lang w:eastAsia="zh-CN"/>
        </w:rPr>
        <w:t>佛山市消防救援支队购买团体意外伤害保险项目</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sz w:val="24"/>
          <w:szCs w:val="24"/>
          <w:highlight w:val="none"/>
        </w:rPr>
        <w:t>；</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项目编号：</w:t>
      </w:r>
      <w:r>
        <w:rPr>
          <w:rFonts w:hint="eastAsia" w:cs="Times New Roman" w:eastAsiaTheme="minorEastAsia"/>
          <w:color w:val="auto"/>
          <w:sz w:val="24"/>
          <w:szCs w:val="24"/>
          <w:highlight w:val="none"/>
          <w:lang w:eastAsia="zh-CN"/>
        </w:rPr>
        <w:t>2023XFCG-09</w:t>
      </w: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DOCVARIABLE  采购编号  \* MERGEFORMAT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fldChar w:fldCharType="end"/>
      </w:r>
    </w:p>
    <w:p>
      <w:pPr>
        <w:numPr>
          <w:ilvl w:val="0"/>
          <w:numId w:val="23"/>
        </w:numPr>
        <w:tabs>
          <w:tab w:val="left" w:pos="9000"/>
        </w:tabs>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我方已认真阅读了全部采购文件及其相关文件，完全清楚理解其内容要求及规约，对文件的合理性、公正性和程序安排均没有任何异议、质疑和误解之处。</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我方没有为本项目提供整体设计、规范编制或者项目管理、监理、检测等服务。</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响应有效期自递交响应文件起至确定正式成交供应商止，若我方获成交资格，响应有效期则相应延长至项目最终验收合格之日，不论在任何时候，定将按贵方的要求在规定时间内如实提供一切补充材料。</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完全服从和尊重磋商小组所作的评审结果，同时清楚理解到仅凭报价或单一竞争优势并非是决定成交资格的唯一重要依据。</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同意按采购文件的要求认真履行成交供应商应尽的义务，若我方行为不当而损害了采购方的合法权益，我方愿在任何时候无条件承担相应的缔约过失责任和经济赔偿。</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我方已依法缴纳了各项税费及社会保险费用，如有需要，可随时向采购方提交近三个月内的相关缴费证明，以便核查。</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我方已依法建立健全的财务会计制度，如有需要，可随时向采购方提交相关证明材料，以便核查。</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本承诺函效力及范围均涵盖我方整套响应文件和一切补充文件。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供应商名称：</w:t>
      </w:r>
      <w:r>
        <w:rPr>
          <w:rFonts w:hint="default" w:ascii="Times New Roman" w:hAnsi="Times New Roman" w:cs="Times New Roman" w:eastAsiaTheme="minorEastAsia"/>
          <w:color w:val="auto"/>
          <w:sz w:val="24"/>
          <w:szCs w:val="24"/>
          <w:highlight w:val="none"/>
          <w:u w:val="dotted"/>
        </w:rPr>
        <w:t xml:space="preserve">           （全称）                </w:t>
      </w:r>
      <w:r>
        <w:rPr>
          <w:rFonts w:hint="default" w:ascii="Times New Roman" w:hAnsi="Times New Roman" w:cs="Times New Roman" w:eastAsiaTheme="minorEastAsia"/>
          <w:color w:val="auto"/>
          <w:sz w:val="24"/>
          <w:szCs w:val="24"/>
          <w:highlight w:val="none"/>
        </w:rPr>
        <w:t xml:space="preserve"> （公章）</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承诺日期：</w:t>
      </w:r>
      <w:r>
        <w:rPr>
          <w:rFonts w:hint="default" w:ascii="Times New Roman" w:hAnsi="Times New Roman" w:cs="Times New Roman" w:eastAsiaTheme="minorEastAsia"/>
          <w:color w:val="auto"/>
          <w:sz w:val="24"/>
          <w:szCs w:val="24"/>
          <w:highlight w:val="none"/>
          <w:lang w:val="en-US" w:eastAsia="zh-CN"/>
        </w:rPr>
        <w:t>202</w:t>
      </w:r>
      <w:r>
        <w:rPr>
          <w:rFonts w:hint="eastAsia"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年    月    日。</w:t>
      </w:r>
    </w:p>
    <w:p>
      <w:pPr>
        <w:keepNext w:val="0"/>
        <w:keepLines w:val="0"/>
        <w:pageBreakBefore w:val="0"/>
        <w:widowControl w:val="0"/>
        <w:kinsoku/>
        <w:wordWrap/>
        <w:overflowPunct/>
        <w:topLinePunct w:val="0"/>
        <w:autoSpaceDE/>
        <w:autoSpaceDN/>
        <w:bidi w:val="0"/>
        <w:adjustRightInd/>
        <w:snapToGrid/>
        <w:spacing w:line="360" w:lineRule="auto"/>
        <w:ind w:left="420" w:leftChars="200" w:right="363" w:rightChars="173"/>
        <w:textAlignment w:val="auto"/>
        <w:rPr>
          <w:rFonts w:hint="default" w:ascii="Times New Roman" w:hAnsi="Times New Roman" w:cs="Times New Roman" w:eastAsiaTheme="minorEastAsia"/>
          <w:color w:val="auto"/>
          <w:highlight w:val="none"/>
        </w:rPr>
      </w:pPr>
      <w:bookmarkStart w:id="406" w:name="_法人代表授权书"/>
      <w:bookmarkEnd w:id="406"/>
      <w:bookmarkStart w:id="407" w:name="_投标承诺函"/>
      <w:bookmarkEnd w:id="407"/>
      <w:bookmarkStart w:id="408" w:name="_Toc119321152"/>
      <w:bookmarkStart w:id="409" w:name="_Toc136682917"/>
      <w:bookmarkStart w:id="410" w:name="_Toc136662941"/>
      <w:bookmarkStart w:id="411" w:name="_Toc37670364"/>
      <w:bookmarkStart w:id="412" w:name="_Toc49329266"/>
      <w:r>
        <w:rPr>
          <w:rFonts w:hint="default" w:ascii="Times New Roman" w:hAnsi="Times New Roman" w:cs="Times New Roman" w:eastAsiaTheme="minorEastAsia"/>
          <w:color w:val="auto"/>
          <w:highlight w:val="none"/>
        </w:rPr>
        <w:t>说明：</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ind w:left="420" w:left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1、本承诺函内容不得擅自删改。</w:t>
      </w:r>
    </w:p>
    <w:p>
      <w:pPr>
        <w:pStyle w:val="6"/>
        <w:pageBreakBefore/>
        <w:numPr>
          <w:ilvl w:val="0"/>
          <w:numId w:val="6"/>
        </w:numPr>
        <w:spacing w:after="120" w:afterLines="0"/>
        <w:ind w:left="414"/>
        <w:rPr>
          <w:rFonts w:hint="default" w:ascii="Times New Roman" w:hAnsi="Times New Roman" w:cs="Times New Roman" w:eastAsiaTheme="minorEastAsia"/>
          <w:color w:val="auto"/>
          <w:sz w:val="36"/>
          <w:szCs w:val="36"/>
          <w:highlight w:val="none"/>
        </w:rPr>
        <w:sectPr>
          <w:pgSz w:w="11906" w:h="16838"/>
          <w:pgMar w:top="1440" w:right="1080" w:bottom="1440" w:left="1080" w:header="567" w:footer="737" w:gutter="0"/>
          <w:pgNumType w:fmt="decimal"/>
          <w:cols w:space="720" w:num="1"/>
          <w:docGrid w:linePitch="312" w:charSpace="0"/>
        </w:sectPr>
      </w:pPr>
      <w:bookmarkStart w:id="413" w:name="_法人授权书"/>
      <w:bookmarkEnd w:id="413"/>
      <w:bookmarkStart w:id="414" w:name="_Toc159385076"/>
    </w:p>
    <w:p>
      <w:pPr>
        <w:pStyle w:val="6"/>
        <w:pageBreakBefore/>
        <w:spacing w:after="120" w:afterLines="0"/>
        <w:ind w:left="0"/>
        <w:rPr>
          <w:rFonts w:hint="default" w:ascii="Times New Roman" w:hAnsi="Times New Roman" w:cs="Times New Roman" w:eastAsiaTheme="minorEastAsia"/>
          <w:color w:val="auto"/>
          <w:sz w:val="36"/>
          <w:szCs w:val="36"/>
          <w:highlight w:val="none"/>
        </w:rPr>
      </w:pPr>
      <w:bookmarkStart w:id="415" w:name="_法人授权书_1"/>
      <w:bookmarkEnd w:id="415"/>
      <w:bookmarkStart w:id="416" w:name="_Toc11842"/>
      <w:bookmarkStart w:id="417" w:name="_Toc14873257"/>
      <w:bookmarkStart w:id="418" w:name="_Toc3230"/>
      <w:bookmarkStart w:id="419" w:name="_Toc22939"/>
      <w:bookmarkStart w:id="420" w:name="_Toc12876"/>
      <w:bookmarkStart w:id="421" w:name="_Toc4275"/>
      <w:bookmarkStart w:id="422" w:name="_Toc17786"/>
      <w:bookmarkStart w:id="423" w:name="_Toc25532"/>
      <w:bookmarkStart w:id="424" w:name="_Toc24149"/>
      <w:bookmarkStart w:id="425" w:name="_Toc419106567"/>
      <w:r>
        <w:rPr>
          <w:rFonts w:hint="default" w:ascii="Times New Roman" w:hAnsi="Times New Roman" w:cs="Times New Roman" w:eastAsiaTheme="minorEastAsia"/>
          <w:color w:val="auto"/>
          <w:sz w:val="36"/>
          <w:szCs w:val="36"/>
          <w:highlight w:val="none"/>
          <w:lang w:val="en-US"/>
        </w:rPr>
        <w:t>1.2 法定代表人/负责人</w:t>
      </w:r>
      <w:r>
        <w:rPr>
          <w:rFonts w:hint="default" w:ascii="Times New Roman" w:hAnsi="Times New Roman" w:cs="Times New Roman" w:eastAsiaTheme="minorEastAsia"/>
          <w:color w:val="auto"/>
          <w:sz w:val="36"/>
          <w:szCs w:val="36"/>
          <w:highlight w:val="none"/>
          <w:lang w:eastAsia="zh-CN"/>
        </w:rPr>
        <w:t>证明</w:t>
      </w:r>
      <w:r>
        <w:rPr>
          <w:rFonts w:hint="default" w:ascii="Times New Roman" w:hAnsi="Times New Roman" w:cs="Times New Roman" w:eastAsiaTheme="minorEastAsia"/>
          <w:color w:val="auto"/>
          <w:sz w:val="36"/>
          <w:szCs w:val="36"/>
          <w:highlight w:val="none"/>
        </w:rPr>
        <w:t>书</w:t>
      </w:r>
      <w:bookmarkEnd w:id="416"/>
      <w:bookmarkEnd w:id="417"/>
      <w:bookmarkEnd w:id="418"/>
      <w:bookmarkEnd w:id="419"/>
      <w:bookmarkEnd w:id="420"/>
      <w:bookmarkEnd w:id="421"/>
      <w:bookmarkEnd w:id="422"/>
      <w:bookmarkEnd w:id="423"/>
      <w:bookmarkEnd w:id="424"/>
      <w:bookmarkEnd w:id="425"/>
    </w:p>
    <w:p>
      <w:pPr>
        <w:spacing w:line="360" w:lineRule="auto"/>
        <w:ind w:left="316" w:hanging="316" w:hangingChars="150"/>
        <w:rPr>
          <w:rFonts w:hint="default" w:ascii="Times New Roman" w:hAnsi="Times New Roman" w:cs="Times New Roman" w:eastAsiaTheme="minorEastAsia"/>
          <w:b/>
          <w:bCs/>
          <w:color w:val="auto"/>
          <w:highlight w:val="none"/>
        </w:rPr>
      </w:pPr>
    </w:p>
    <w:p>
      <w:pPr>
        <w:spacing w:after="120" w:afterLines="50" w:line="360" w:lineRule="auto"/>
        <w:jc w:val="left"/>
        <w:rPr>
          <w:rFonts w:hint="default" w:ascii="Times New Roman" w:hAnsi="Times New Roman" w:cs="Times New Roman" w:eastAsiaTheme="minorEastAsia"/>
          <w:color w:val="auto"/>
          <w:sz w:val="24"/>
          <w:highlight w:val="none"/>
          <w:lang w:eastAsia="zh-CN"/>
        </w:rPr>
      </w:pPr>
      <w:bookmarkStart w:id="426" w:name="_Toc310519891"/>
      <w:bookmarkStart w:id="427" w:name="_Ref266198344"/>
      <w:bookmarkStart w:id="428" w:name="_Toc325031947"/>
      <w:bookmarkStart w:id="429" w:name="_Toc304886140"/>
      <w:bookmarkStart w:id="430" w:name="_Toc14873258"/>
      <w:bookmarkStart w:id="431" w:name="_Toc419106568"/>
      <w:bookmarkStart w:id="432" w:name="_Toc304304969"/>
      <w:bookmarkStart w:id="433" w:name="_Toc3157"/>
      <w:r>
        <w:rPr>
          <w:rFonts w:hint="default" w:ascii="Times New Roman" w:hAnsi="Times New Roman" w:cs="Times New Roman" w:eastAsiaTheme="minorEastAsia"/>
          <w:b/>
          <w:color w:val="auto"/>
          <w:sz w:val="24"/>
          <w:highlight w:val="none"/>
        </w:rPr>
        <w:t>致：</w:t>
      </w:r>
      <w:r>
        <w:rPr>
          <w:rFonts w:hint="default" w:ascii="Times New Roman" w:hAnsi="Times New Roman" w:cs="Times New Roman" w:eastAsiaTheme="minorEastAsia"/>
          <w:b/>
          <w:color w:val="auto"/>
          <w:sz w:val="24"/>
          <w:highlight w:val="none"/>
          <w:u w:val="single"/>
          <w:lang w:eastAsia="zh-CN"/>
        </w:rPr>
        <w:t>佛山市消防救援支队</w:t>
      </w:r>
      <w:r>
        <w:rPr>
          <w:rFonts w:hint="default" w:ascii="Times New Roman" w:hAnsi="Times New Roman" w:cs="Times New Roman" w:eastAsiaTheme="minorEastAsia"/>
          <w:b/>
          <w:color w:val="auto"/>
          <w:sz w:val="24"/>
          <w:highlight w:val="none"/>
          <w:u w:val="single"/>
        </w:rPr>
        <w:t>、</w:t>
      </w:r>
      <w:r>
        <w:rPr>
          <w:rFonts w:hint="default" w:ascii="Times New Roman" w:hAnsi="Times New Roman" w:cs="Times New Roman" w:eastAsiaTheme="minorEastAsia"/>
          <w:b/>
          <w:color w:val="auto"/>
          <w:sz w:val="24"/>
          <w:highlight w:val="none"/>
          <w:u w:val="single"/>
          <w:lang w:eastAsia="zh-CN"/>
        </w:rPr>
        <w:t>广东远东招标代理有限公司</w:t>
      </w:r>
    </w:p>
    <w:p>
      <w:pPr>
        <w:spacing w:line="44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同志，现任我单位</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职务，为法定代表人/负责人，特此证明。</w:t>
      </w:r>
    </w:p>
    <w:p>
      <w:pPr>
        <w:spacing w:line="440" w:lineRule="exact"/>
        <w:ind w:firstLine="240" w:firstLine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签发日期：</w:t>
      </w:r>
      <w:r>
        <w:rPr>
          <w:rFonts w:hint="default" w:ascii="Times New Roman" w:hAnsi="Times New Roman" w:cs="Times New Roman" w:eastAsiaTheme="minorEastAsia"/>
          <w:color w:val="auto"/>
          <w:sz w:val="24"/>
          <w:highlight w:val="none"/>
          <w:lang w:eastAsia="zh-CN"/>
        </w:rPr>
        <w:t>202</w:t>
      </w:r>
      <w:r>
        <w:rPr>
          <w:rFonts w:hint="eastAsia"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 xml:space="preserve">年  月  日 </w:t>
      </w:r>
    </w:p>
    <w:p>
      <w:pPr>
        <w:spacing w:line="440" w:lineRule="exact"/>
        <w:ind w:firstLine="240" w:firstLine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单位名称：</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lang w:val="zh-CN"/>
        </w:rPr>
        <w:t>加盖供应商公章</w:t>
      </w:r>
      <w:r>
        <w:rPr>
          <w:rFonts w:hint="default" w:ascii="Times New Roman" w:hAnsi="Times New Roman" w:cs="Times New Roman" w:eastAsiaTheme="minorEastAsia"/>
          <w:color w:val="auto"/>
          <w:sz w:val="24"/>
          <w:highlight w:val="none"/>
        </w:rPr>
        <w:t>）</w:t>
      </w:r>
    </w:p>
    <w:p>
      <w:pPr>
        <w:spacing w:line="440" w:lineRule="exact"/>
        <w:ind w:firstLine="240" w:firstLineChars="100"/>
        <w:rPr>
          <w:rFonts w:hint="default" w:ascii="Times New Roman" w:hAnsi="Times New Roman" w:cs="Times New Roman" w:eastAsiaTheme="minorEastAsia"/>
          <w:color w:val="auto"/>
          <w:sz w:val="24"/>
          <w:highlight w:val="none"/>
        </w:rPr>
      </w:pPr>
    </w:p>
    <w:p>
      <w:pPr>
        <w:spacing w:line="440" w:lineRule="exact"/>
        <w:ind w:firstLine="240" w:firstLineChars="1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附：法定代表人性别：</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 xml:space="preserve">    年龄：</w:t>
      </w:r>
      <w:r>
        <w:rPr>
          <w:rFonts w:hint="default" w:ascii="Times New Roman" w:hAnsi="Times New Roman" w:cs="Times New Roman" w:eastAsiaTheme="minorEastAsia"/>
          <w:color w:val="auto"/>
          <w:sz w:val="24"/>
          <w:highlight w:val="none"/>
          <w:u w:val="single"/>
        </w:rPr>
        <w:t xml:space="preserve">           </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身份证号码：</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联系电话：</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营业执照号码：                       单位性质：</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成立时间：</w:t>
      </w:r>
    </w:p>
    <w:p>
      <w:pPr>
        <w:spacing w:line="440" w:lineRule="exact"/>
        <w:rPr>
          <w:rFonts w:hint="default" w:ascii="Times New Roman" w:hAnsi="Times New Roman" w:cs="Times New Roman" w:eastAsiaTheme="minorEastAsia"/>
          <w:color w:val="auto"/>
          <w:sz w:val="24"/>
          <w:highlight w:val="none"/>
        </w:rPr>
      </w:pPr>
    </w:p>
    <w:p>
      <w:pPr>
        <w:spacing w:line="44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说明：1.法定代表人为企业事业单位、国家机关、社会团体的主要行政负责人。</w:t>
      </w:r>
    </w:p>
    <w:p>
      <w:pPr>
        <w:spacing w:line="44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      2.内容必须填写真实、清楚、涂改无效，不得转让、买卖。</w:t>
      </w:r>
    </w:p>
    <w:p>
      <w:pPr>
        <w:spacing w:line="440" w:lineRule="exact"/>
        <w:ind w:firstLine="720" w:firstLineChars="300"/>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3.将此证明书提交对方作为合同附件</w:t>
      </w:r>
      <w:r>
        <w:rPr>
          <w:rFonts w:hint="default" w:ascii="Times New Roman" w:hAnsi="Times New Roman" w:cs="Times New Roman" w:eastAsiaTheme="minorEastAsia"/>
          <w:b/>
          <w:color w:val="auto"/>
          <w:sz w:val="24"/>
          <w:highlight w:val="none"/>
        </w:rPr>
        <w:t>。</w:t>
      </w:r>
    </w:p>
    <w:p>
      <w:pPr>
        <w:rPr>
          <w:rFonts w:hint="default" w:ascii="Times New Roman" w:hAnsi="Times New Roman" w:cs="Times New Roman" w:eastAsiaTheme="minorEastAsia"/>
          <w:color w:val="auto"/>
          <w:sz w:val="24"/>
          <w:highlight w:val="none"/>
        </w:rPr>
      </w:pPr>
    </w:p>
    <w:p>
      <w:pPr>
        <w:spacing w:after="120" w:afterLines="50"/>
        <w:ind w:left="2" w:leftChars="-85" w:hanging="180" w:hangingChars="75"/>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 xml:space="preserve"> </w:t>
      </w:r>
      <w:r>
        <w:rPr>
          <w:rFonts w:hint="default" w:ascii="Times New Roman" w:hAnsi="Times New Roman" w:cs="Times New Roman" w:eastAsiaTheme="minorEastAsia"/>
          <w:b/>
          <w:color w:val="auto"/>
          <w:sz w:val="24"/>
          <w:highlight w:val="none"/>
        </w:rPr>
        <w:t xml:space="preserve"> 附：法定代表人的身份证复印件：</w:t>
      </w:r>
    </w:p>
    <w:bookmarkEnd w:id="426"/>
    <w:bookmarkEnd w:id="427"/>
    <w:bookmarkEnd w:id="428"/>
    <w:bookmarkEnd w:id="429"/>
    <w:bookmarkEnd w:id="430"/>
    <w:bookmarkEnd w:id="431"/>
    <w:bookmarkEnd w:id="432"/>
    <w:bookmarkEnd w:id="433"/>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noWrap w:val="0"/>
            <w:vAlign w:val="center"/>
          </w:tcPr>
          <w:p>
            <w:pPr>
              <w:spacing w:line="36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此处粘贴法定代表人身份证复印件（双面） </w:t>
            </w:r>
            <w:r>
              <w:rPr>
                <w:rFonts w:hint="default" w:ascii="Times New Roman" w:hAnsi="Times New Roman" w:cs="Times New Roman" w:eastAsiaTheme="minorEastAsia"/>
                <w:b/>
                <w:color w:val="auto"/>
                <w:sz w:val="24"/>
                <w:highlight w:val="none"/>
              </w:rPr>
              <w:t>或</w:t>
            </w:r>
            <w:r>
              <w:rPr>
                <w:rFonts w:hint="default" w:ascii="Times New Roman" w:hAnsi="Times New Roman" w:cs="Times New Roman" w:eastAsiaTheme="minorEastAsia"/>
                <w:color w:val="auto"/>
                <w:sz w:val="24"/>
                <w:highlight w:val="none"/>
              </w:rPr>
              <w:t xml:space="preserve"> 直接扫描到此张纸上，并加盖供应商法人公章</w:t>
            </w:r>
          </w:p>
          <w:p>
            <w:pPr>
              <w:spacing w:line="360" w:lineRule="auto"/>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注：若页面不够位置的，可另行附页，但须紧接此页</w:t>
            </w:r>
          </w:p>
        </w:tc>
      </w:tr>
    </w:tbl>
    <w:p>
      <w:pPr>
        <w:ind w:left="420" w:leftChars="200" w:right="363" w:rightChars="173"/>
        <w:rPr>
          <w:rFonts w:hint="default" w:ascii="Times New Roman" w:hAnsi="Times New Roman" w:cs="Times New Roman" w:eastAsiaTheme="minorEastAsia"/>
          <w:color w:val="auto"/>
          <w:highlight w:val="none"/>
        </w:rPr>
      </w:pPr>
    </w:p>
    <w:bookmarkEnd w:id="408"/>
    <w:bookmarkEnd w:id="409"/>
    <w:bookmarkEnd w:id="410"/>
    <w:bookmarkEnd w:id="411"/>
    <w:bookmarkEnd w:id="412"/>
    <w:bookmarkEnd w:id="414"/>
    <w:p>
      <w:pPr>
        <w:pStyle w:val="6"/>
        <w:pageBreakBefore/>
        <w:spacing w:after="120" w:afterLines="0"/>
        <w:ind w:left="0"/>
        <w:rPr>
          <w:rFonts w:hint="default" w:ascii="Times New Roman" w:hAnsi="Times New Roman" w:cs="Times New Roman" w:eastAsiaTheme="minorEastAsia"/>
          <w:color w:val="auto"/>
          <w:sz w:val="36"/>
          <w:szCs w:val="36"/>
          <w:highlight w:val="none"/>
          <w:lang w:val="en-US"/>
        </w:rPr>
      </w:pPr>
      <w:bookmarkStart w:id="434" w:name="_企业资质、资格性证明"/>
      <w:bookmarkEnd w:id="434"/>
      <w:bookmarkStart w:id="435" w:name="_Toc13036"/>
      <w:bookmarkStart w:id="436" w:name="_Toc25633"/>
      <w:bookmarkStart w:id="437" w:name="_Toc18311"/>
      <w:bookmarkStart w:id="438" w:name="_Toc145"/>
      <w:bookmarkStart w:id="439" w:name="_Toc3986"/>
      <w:bookmarkStart w:id="440" w:name="_Toc1089"/>
      <w:bookmarkStart w:id="441" w:name="_Toc31199"/>
      <w:bookmarkStart w:id="442" w:name="_Toc16815"/>
      <w:bookmarkStart w:id="443" w:name="_Toc14873259"/>
      <w:bookmarkStart w:id="444" w:name="_Toc438547162"/>
      <w:bookmarkStart w:id="445" w:name="_Toc419106569"/>
      <w:r>
        <w:rPr>
          <w:rFonts w:hint="default" w:ascii="Times New Roman" w:hAnsi="Times New Roman" w:cs="Times New Roman" w:eastAsiaTheme="minorEastAsia"/>
          <w:color w:val="auto"/>
          <w:sz w:val="36"/>
          <w:szCs w:val="36"/>
          <w:highlight w:val="none"/>
          <w:lang w:val="en-US"/>
        </w:rPr>
        <w:t>1.3</w:t>
      </w:r>
      <w:bookmarkStart w:id="446" w:name="_Toc17628"/>
      <w:bookmarkStart w:id="447" w:name="_Toc1549"/>
      <w:bookmarkStart w:id="448" w:name="_Toc27685"/>
      <w:r>
        <w:rPr>
          <w:rFonts w:hint="default" w:ascii="Times New Roman" w:hAnsi="Times New Roman" w:cs="Times New Roman" w:eastAsiaTheme="minorEastAsia"/>
          <w:color w:val="auto"/>
          <w:sz w:val="36"/>
          <w:szCs w:val="36"/>
          <w:highlight w:val="none"/>
          <w:lang w:val="en-US"/>
        </w:rPr>
        <w:t xml:space="preserve"> 法</w:t>
      </w:r>
      <w:r>
        <w:rPr>
          <w:rFonts w:hint="default" w:ascii="Times New Roman" w:hAnsi="Times New Roman" w:cs="Times New Roman" w:eastAsiaTheme="minorEastAsia"/>
          <w:color w:val="auto"/>
          <w:sz w:val="36"/>
          <w:szCs w:val="36"/>
          <w:highlight w:val="none"/>
          <w:lang w:val="en-US" w:eastAsia="zh-CN"/>
        </w:rPr>
        <w:t>定代表人</w:t>
      </w:r>
      <w:r>
        <w:rPr>
          <w:rFonts w:hint="default" w:ascii="Times New Roman" w:hAnsi="Times New Roman" w:cs="Times New Roman" w:eastAsiaTheme="minorEastAsia"/>
          <w:color w:val="auto"/>
          <w:sz w:val="36"/>
          <w:szCs w:val="36"/>
          <w:highlight w:val="none"/>
          <w:lang w:val="en-US"/>
        </w:rPr>
        <w:t>（负责人）授权书</w:t>
      </w:r>
      <w:bookmarkEnd w:id="435"/>
      <w:bookmarkEnd w:id="436"/>
      <w:bookmarkEnd w:id="437"/>
      <w:bookmarkEnd w:id="438"/>
      <w:bookmarkEnd w:id="439"/>
      <w:bookmarkEnd w:id="440"/>
      <w:bookmarkEnd w:id="441"/>
      <w:bookmarkEnd w:id="446"/>
      <w:bookmarkEnd w:id="447"/>
      <w:bookmarkEnd w:id="448"/>
    </w:p>
    <w:p>
      <w:pPr>
        <w:spacing w:after="120" w:afterLines="50" w:line="360" w:lineRule="auto"/>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b/>
          <w:color w:val="auto"/>
          <w:sz w:val="24"/>
          <w:highlight w:val="none"/>
        </w:rPr>
        <w:t>致：</w:t>
      </w:r>
      <w:r>
        <w:rPr>
          <w:rFonts w:hint="default" w:ascii="Times New Roman" w:hAnsi="Times New Roman" w:cs="Times New Roman" w:eastAsiaTheme="minorEastAsia"/>
          <w:b/>
          <w:color w:val="auto"/>
          <w:sz w:val="24"/>
          <w:highlight w:val="none"/>
          <w:u w:val="single"/>
          <w:lang w:eastAsia="zh-CN"/>
        </w:rPr>
        <w:t>佛山市消防救援支队</w:t>
      </w:r>
      <w:r>
        <w:rPr>
          <w:rFonts w:hint="default" w:ascii="Times New Roman" w:hAnsi="Times New Roman" w:cs="Times New Roman" w:eastAsiaTheme="minorEastAsia"/>
          <w:b/>
          <w:color w:val="auto"/>
          <w:sz w:val="24"/>
          <w:highlight w:val="none"/>
          <w:u w:val="single"/>
        </w:rPr>
        <w:t>、</w:t>
      </w:r>
      <w:r>
        <w:rPr>
          <w:rFonts w:hint="default" w:ascii="Times New Roman" w:hAnsi="Times New Roman" w:cs="Times New Roman" w:eastAsiaTheme="minorEastAsia"/>
          <w:b/>
          <w:color w:val="auto"/>
          <w:sz w:val="24"/>
          <w:highlight w:val="none"/>
          <w:u w:val="single"/>
          <w:lang w:eastAsia="zh-CN"/>
        </w:rPr>
        <w:t>广东远东招标代理有限公司</w:t>
      </w:r>
    </w:p>
    <w:p>
      <w:pPr>
        <w:spacing w:line="324"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我单位特授权委任以下之现职员工，作为我方于本项目投标的唯一全权代表，亲自出席参与贵方承办的政府采购项目投标，对该代表人所提供、签署的一切文书均视为符合我方的合法利益和真实意愿，我方愿为其投标行为承担全部责任。</w:t>
      </w:r>
    </w:p>
    <w:p>
      <w:pPr>
        <w:spacing w:line="324" w:lineRule="auto"/>
        <w:ind w:left="1727" w:leftChars="251" w:hanging="1200" w:hangingChars="500"/>
        <w:jc w:val="left"/>
        <w:rPr>
          <w:rFonts w:hint="default" w:ascii="Times New Roman" w:hAnsi="Times New Roman" w:cs="Times New Roman" w:eastAsiaTheme="minorEastAsia"/>
          <w:color w:val="auto"/>
          <w:sz w:val="24"/>
          <w:highlight w:val="none"/>
          <w:lang w:val="en-GB" w:eastAsia="zh-CN"/>
        </w:rPr>
      </w:pPr>
      <w:r>
        <w:rPr>
          <w:rFonts w:hint="default" w:ascii="Times New Roman" w:hAnsi="Times New Roman" w:cs="Times New Roman" w:eastAsiaTheme="minorEastAsia"/>
          <w:color w:val="auto"/>
          <w:sz w:val="24"/>
          <w:highlight w:val="none"/>
        </w:rPr>
        <w:t>项目名称：</w:t>
      </w:r>
      <w:r>
        <w:rPr>
          <w:rFonts w:hint="eastAsia" w:cs="Times New Roman" w:eastAsiaTheme="minorEastAsia"/>
          <w:color w:val="auto"/>
          <w:sz w:val="24"/>
          <w:highlight w:val="none"/>
          <w:lang w:eastAsia="zh-CN"/>
        </w:rPr>
        <w:t>佛山市消防救援支队购买团体意外伤害保险项目</w:t>
      </w:r>
    </w:p>
    <w:p>
      <w:pPr>
        <w:spacing w:line="324" w:lineRule="auto"/>
        <w:ind w:firstLine="528" w:firstLineChars="22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项目编号：</w:t>
      </w:r>
      <w:r>
        <w:rPr>
          <w:rFonts w:hint="eastAsia" w:cs="Times New Roman" w:eastAsiaTheme="minorEastAsia"/>
          <w:color w:val="auto"/>
          <w:sz w:val="24"/>
          <w:highlight w:val="none"/>
          <w:lang w:val="en-GB" w:eastAsia="zh-CN"/>
        </w:rPr>
        <w:t>2023XFCG-09</w:t>
      </w:r>
      <w:r>
        <w:rPr>
          <w:rFonts w:hint="default" w:ascii="Times New Roman" w:hAnsi="Times New Roman" w:cs="Times New Roman" w:eastAsiaTheme="minorEastAsia"/>
          <w:color w:val="auto"/>
          <w:sz w:val="24"/>
          <w:highlight w:val="none"/>
          <w:lang w:val="en-GB"/>
        </w:rPr>
        <w:fldChar w:fldCharType="begin"/>
      </w:r>
      <w:r>
        <w:rPr>
          <w:rFonts w:hint="default" w:ascii="Times New Roman" w:hAnsi="Times New Roman" w:cs="Times New Roman" w:eastAsiaTheme="minorEastAsia"/>
          <w:color w:val="auto"/>
          <w:sz w:val="24"/>
          <w:highlight w:val="none"/>
          <w:lang w:val="en-GB"/>
        </w:rPr>
        <w:instrText xml:space="preserve"> DOCVARIABLE  项目名称  \* MERGEFORMAT </w:instrText>
      </w:r>
      <w:r>
        <w:rPr>
          <w:rFonts w:hint="default" w:ascii="Times New Roman" w:hAnsi="Times New Roman" w:cs="Times New Roman" w:eastAsiaTheme="minorEastAsia"/>
          <w:color w:val="auto"/>
          <w:sz w:val="24"/>
          <w:highlight w:val="none"/>
          <w:lang w:val="en-GB"/>
        </w:rPr>
        <w:fldChar w:fldCharType="separate"/>
      </w:r>
      <w:r>
        <w:rPr>
          <w:rFonts w:hint="default" w:ascii="Times New Roman" w:hAnsi="Times New Roman" w:cs="Times New Roman" w:eastAsiaTheme="minorEastAsia"/>
          <w:color w:val="auto"/>
          <w:sz w:val="24"/>
          <w:highlight w:val="none"/>
          <w:lang w:val="en-GB"/>
        </w:rPr>
        <w:fldChar w:fldCharType="end"/>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委任授权代表姓名：</w:t>
      </w:r>
      <w:r>
        <w:rPr>
          <w:rFonts w:hint="default" w:ascii="Times New Roman" w:hAnsi="Times New Roman" w:cs="Times New Roman" w:eastAsiaTheme="minorEastAsia"/>
          <w:color w:val="auto"/>
          <w:sz w:val="24"/>
          <w:highlight w:val="none"/>
          <w:u w:val="single"/>
        </w:rPr>
        <w:t xml:space="preserve">   （印刷体）    </w:t>
      </w:r>
      <w:r>
        <w:rPr>
          <w:rFonts w:hint="default" w:ascii="Times New Roman" w:hAnsi="Times New Roman" w:cs="Times New Roman" w:eastAsiaTheme="minorEastAsia"/>
          <w:color w:val="auto"/>
          <w:sz w:val="24"/>
          <w:highlight w:val="none"/>
        </w:rPr>
        <w:t xml:space="preserve"> ，身份证号码：</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联系电话（手机）：</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，现职务：</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 xml:space="preserve">； </w:t>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授权权限：全权代表本单位参与上述项目的投标、</w:t>
      </w:r>
      <w:r>
        <w:rPr>
          <w:rFonts w:hint="default" w:ascii="Times New Roman" w:hAnsi="Times New Roman" w:cs="Times New Roman" w:eastAsiaTheme="minorEastAsia"/>
          <w:color w:val="auto"/>
          <w:sz w:val="24"/>
          <w:highlight w:val="none"/>
          <w:lang w:val="en-GB"/>
        </w:rPr>
        <w:t>递交</w:t>
      </w:r>
      <w:r>
        <w:rPr>
          <w:rFonts w:hint="default" w:ascii="Times New Roman" w:hAnsi="Times New Roman" w:cs="Times New Roman" w:eastAsiaTheme="minorEastAsia"/>
          <w:color w:val="auto"/>
          <w:sz w:val="24"/>
          <w:highlight w:val="none"/>
          <w:lang w:val="en-GB" w:eastAsia="zh-CN"/>
        </w:rPr>
        <w:t>响应</w:t>
      </w:r>
      <w:r>
        <w:rPr>
          <w:rFonts w:hint="default" w:ascii="Times New Roman" w:hAnsi="Times New Roman" w:cs="Times New Roman" w:eastAsiaTheme="minorEastAsia"/>
          <w:color w:val="auto"/>
          <w:sz w:val="24"/>
          <w:highlight w:val="none"/>
          <w:lang w:val="en-GB"/>
        </w:rPr>
        <w:t>文件、出席开标全程、响应评委会临时召唤而出席评标现场；按照采购方和评委会的要求现场处理投标相关事宜；</w:t>
      </w:r>
      <w:r>
        <w:rPr>
          <w:rFonts w:hint="default" w:ascii="Times New Roman" w:hAnsi="Times New Roman" w:cs="Times New Roman" w:eastAsiaTheme="minorEastAsia"/>
          <w:color w:val="auto"/>
          <w:sz w:val="24"/>
          <w:highlight w:val="none"/>
        </w:rPr>
        <w:t>负责提供与签署确认一切文书资料，以及向贵方递交的任何补充承诺。</w:t>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有效期限：与本项目</w:t>
      </w:r>
      <w:r>
        <w:rPr>
          <w:rFonts w:hint="default" w:ascii="Times New Roman" w:hAnsi="Times New Roman" w:cs="Times New Roman" w:eastAsiaTheme="minorEastAsia"/>
          <w:color w:val="auto"/>
          <w:sz w:val="24"/>
          <w:highlight w:val="none"/>
          <w:lang w:eastAsia="zh-CN"/>
        </w:rPr>
        <w:t>磋商</w:t>
      </w:r>
      <w:r>
        <w:rPr>
          <w:rFonts w:hint="default" w:ascii="Times New Roman" w:hAnsi="Times New Roman" w:cs="Times New Roman" w:eastAsiaTheme="minorEastAsia"/>
          <w:color w:val="auto"/>
          <w:sz w:val="24"/>
          <w:highlight w:val="none"/>
        </w:rPr>
        <w:t>文件要求的投标有效期相同，自本单位盖章之日起生效。</w:t>
      </w:r>
    </w:p>
    <w:p>
      <w:pPr>
        <w:spacing w:after="120" w:afterLines="50"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特此授权证明。</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eastAsia" w:ascii="Times New Roman" w:hAnsi="Times New Roman" w:cs="Times New Roman" w:eastAsiaTheme="minorEastAsia"/>
          <w:color w:val="auto"/>
          <w:sz w:val="24"/>
          <w:highlight w:val="none"/>
          <w:lang w:val="en-GB" w:eastAsia="zh-CN"/>
        </w:rPr>
        <w:t>供应商</w:t>
      </w:r>
      <w:r>
        <w:rPr>
          <w:rFonts w:hint="default" w:ascii="Times New Roman" w:hAnsi="Times New Roman" w:cs="Times New Roman" w:eastAsiaTheme="minorEastAsia"/>
          <w:color w:val="auto"/>
          <w:sz w:val="24"/>
          <w:highlight w:val="none"/>
          <w:lang w:val="en-GB"/>
        </w:rPr>
        <w:t>名称：</w:t>
      </w:r>
      <w:r>
        <w:rPr>
          <w:rFonts w:hint="default" w:ascii="Times New Roman" w:hAnsi="Times New Roman" w:cs="Times New Roman" w:eastAsiaTheme="minorEastAsia"/>
          <w:color w:val="auto"/>
          <w:sz w:val="24"/>
          <w:highlight w:val="none"/>
          <w:u w:val="dotted"/>
          <w:lang w:val="en-GB"/>
        </w:rPr>
        <w:t xml:space="preserve">       （全称）             </w:t>
      </w:r>
      <w:r>
        <w:rPr>
          <w:rFonts w:hint="default" w:ascii="Times New Roman" w:hAnsi="Times New Roman" w:cs="Times New Roman" w:eastAsiaTheme="minorEastAsia"/>
          <w:color w:val="auto"/>
          <w:sz w:val="24"/>
          <w:highlight w:val="none"/>
          <w:lang w:val="en-GB"/>
        </w:rPr>
        <w:t xml:space="preserve"> （公章）</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法定代表人（或事业单位负责人）：</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（亲笔签名）</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职    务：</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；联系电话：</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 传真号码：</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生 效 日 期 ：</w:t>
      </w:r>
      <w:r>
        <w:rPr>
          <w:rFonts w:hint="default" w:ascii="Times New Roman" w:hAnsi="Times New Roman" w:cs="Times New Roman" w:eastAsiaTheme="minorEastAsia"/>
          <w:color w:val="auto"/>
          <w:sz w:val="24"/>
          <w:highlight w:val="none"/>
          <w:lang w:val="en-GB" w:eastAsia="zh-CN"/>
        </w:rPr>
        <w:t>202</w:t>
      </w:r>
      <w:r>
        <w:rPr>
          <w:rFonts w:hint="eastAsia"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lang w:val="en-GB"/>
        </w:rPr>
        <w:t>年   月   日。</w:t>
      </w:r>
    </w:p>
    <w:p>
      <w:pPr>
        <w:spacing w:line="264" w:lineRule="auto"/>
        <w:ind w:left="420" w:leftChars="200" w:right="363" w:rightChars="173"/>
        <w:jc w:val="left"/>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GB"/>
        </w:rPr>
        <w:t>说明：</w:t>
      </w:r>
    </w:p>
    <w:p>
      <w:pPr>
        <w:spacing w:line="264" w:lineRule="auto"/>
        <w:ind w:left="735" w:leftChars="200" w:right="363" w:rightChars="173" w:hanging="315" w:hangingChars="150"/>
        <w:jc w:val="left"/>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GB"/>
        </w:rPr>
        <w:t>1、</w:t>
      </w:r>
      <w:r>
        <w:rPr>
          <w:rFonts w:hint="default" w:ascii="Times New Roman" w:hAnsi="Times New Roman" w:cs="Times New Roman" w:eastAsiaTheme="minorEastAsia"/>
          <w:color w:val="auto"/>
          <w:szCs w:val="21"/>
          <w:highlight w:val="none"/>
          <w:u w:val="single"/>
          <w:lang w:val="en-GB"/>
        </w:rPr>
        <w:t>法定代表人 或 授权代表人在递交</w:t>
      </w:r>
      <w:r>
        <w:rPr>
          <w:rFonts w:hint="eastAsia" w:ascii="Times New Roman" w:hAnsi="Times New Roman" w:cs="Times New Roman" w:eastAsiaTheme="minorEastAsia"/>
          <w:color w:val="auto"/>
          <w:szCs w:val="21"/>
          <w:highlight w:val="none"/>
          <w:u w:val="single"/>
          <w:lang w:val="en-GB" w:eastAsia="zh-CN"/>
        </w:rPr>
        <w:t>响应文件</w:t>
      </w:r>
      <w:r>
        <w:rPr>
          <w:rFonts w:hint="default" w:ascii="Times New Roman" w:hAnsi="Times New Roman" w:cs="Times New Roman" w:eastAsiaTheme="minorEastAsia"/>
          <w:color w:val="auto"/>
          <w:szCs w:val="21"/>
          <w:highlight w:val="none"/>
          <w:u w:val="single"/>
          <w:lang w:val="en-GB"/>
        </w:rPr>
        <w:t>时，须向采购代理机构人员出示此份证明书的原件，否则，采购代理机构将拒收其</w:t>
      </w:r>
      <w:r>
        <w:rPr>
          <w:rFonts w:hint="eastAsia" w:ascii="Times New Roman" w:hAnsi="Times New Roman" w:cs="Times New Roman" w:eastAsiaTheme="minorEastAsia"/>
          <w:color w:val="auto"/>
          <w:szCs w:val="21"/>
          <w:highlight w:val="none"/>
          <w:u w:val="single"/>
          <w:lang w:val="en-GB" w:eastAsia="zh-CN"/>
        </w:rPr>
        <w:t>响应文件</w:t>
      </w:r>
      <w:r>
        <w:rPr>
          <w:rFonts w:hint="default" w:ascii="Times New Roman" w:hAnsi="Times New Roman" w:cs="Times New Roman" w:eastAsiaTheme="minorEastAsia"/>
          <w:color w:val="auto"/>
          <w:szCs w:val="21"/>
          <w:highlight w:val="none"/>
          <w:u w:val="single"/>
          <w:lang w:val="en-GB"/>
        </w:rPr>
        <w:t>。</w:t>
      </w:r>
    </w:p>
    <w:p>
      <w:pPr>
        <w:spacing w:line="264" w:lineRule="auto"/>
        <w:ind w:left="735" w:leftChars="200" w:hanging="315" w:hangingChars="150"/>
        <w:jc w:val="left"/>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GB"/>
        </w:rPr>
        <w:t>2、本授权书内容不得擅自删改。</w:t>
      </w:r>
      <w:r>
        <w:rPr>
          <w:rFonts w:hint="default" w:ascii="Times New Roman" w:hAnsi="Times New Roman" w:cs="Times New Roman" w:eastAsiaTheme="minorEastAsia"/>
          <w:color w:val="auto"/>
          <w:highlight w:val="none"/>
          <w:lang w:val="en-GB"/>
        </w:rPr>
        <w:t>如法定代表人（或事业单位负责人）亲临现场参与投标、决策、签字的，则不需此函。</w:t>
      </w:r>
    </w:p>
    <w:p>
      <w:pPr>
        <w:jc w:val="left"/>
        <w:rPr>
          <w:rFonts w:hint="default" w:ascii="Times New Roman" w:hAnsi="Times New Roman" w:cs="Times New Roman" w:eastAsiaTheme="minorEastAsia"/>
          <w:b/>
          <w:color w:val="auto"/>
          <w:highlight w:val="none"/>
          <w:lang w:val="en-GB"/>
        </w:rPr>
      </w:pPr>
      <w:r>
        <w:rPr>
          <w:rFonts w:hint="default" w:ascii="Times New Roman" w:hAnsi="Times New Roman" w:cs="Times New Roman" w:eastAsiaTheme="minorEastAsia"/>
          <w:b/>
          <w:color w:val="auto"/>
          <w:highlight w:val="none"/>
          <w:lang w:val="en-GB"/>
        </w:rPr>
        <w:t>附：被授权人的身份证复印件：</w:t>
      </w:r>
    </w:p>
    <w:tbl>
      <w:tblPr>
        <w:tblStyle w:val="22"/>
        <w:tblW w:w="0" w:type="auto"/>
        <w:tblInd w:w="0" w:type="dxa"/>
        <w:tblLayout w:type="fixed"/>
        <w:tblCellMar>
          <w:top w:w="0" w:type="dxa"/>
          <w:left w:w="108" w:type="dxa"/>
          <w:bottom w:w="0" w:type="dxa"/>
          <w:right w:w="108" w:type="dxa"/>
        </w:tblCellMar>
      </w:tblPr>
      <w:tblGrid>
        <w:gridCol w:w="9396"/>
      </w:tblGrid>
      <w:tr>
        <w:tblPrEx>
          <w:tblCellMar>
            <w:top w:w="0" w:type="dxa"/>
            <w:left w:w="108" w:type="dxa"/>
            <w:bottom w:w="0" w:type="dxa"/>
            <w:right w:w="108" w:type="dxa"/>
          </w:tblCellMar>
        </w:tblPrEx>
        <w:trPr>
          <w:trHeight w:val="2794" w:hRule="atLeast"/>
        </w:trPr>
        <w:tc>
          <w:tcPr>
            <w:tcW w:w="9396" w:type="dxa"/>
            <w:noWrap w:val="0"/>
            <w:vAlign w:val="center"/>
          </w:tcPr>
          <w:p>
            <w:pPr>
              <w:spacing w:line="30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此处粘贴全权代表（被授权人）的身份证复印件（双面）</w:t>
            </w:r>
          </w:p>
          <w:p>
            <w:pPr>
              <w:spacing w:line="30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或 直接扫描到此张纸上，并加盖</w:t>
            </w:r>
            <w:r>
              <w:rPr>
                <w:rFonts w:hint="eastAsia" w:ascii="Times New Roman" w:hAnsi="Times New Roman" w:cs="Times New Roman" w:eastAsiaTheme="minorEastAsia"/>
                <w:color w:val="auto"/>
                <w:sz w:val="24"/>
                <w:highlight w:val="none"/>
                <w:lang w:eastAsia="zh-CN"/>
              </w:rPr>
              <w:t>供应商</w:t>
            </w:r>
            <w:r>
              <w:rPr>
                <w:rFonts w:hint="default" w:ascii="Times New Roman" w:hAnsi="Times New Roman" w:cs="Times New Roman" w:eastAsiaTheme="minorEastAsia"/>
                <w:color w:val="auto"/>
                <w:sz w:val="24"/>
                <w:highlight w:val="none"/>
              </w:rPr>
              <w:t>公章</w:t>
            </w:r>
          </w:p>
          <w:p>
            <w:pPr>
              <w:spacing w:line="30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注：若页面不够位置的，可另行附页，但须紧接此页</w:t>
            </w:r>
          </w:p>
        </w:tc>
      </w:tr>
    </w:tbl>
    <w:p>
      <w:pPr>
        <w:rPr>
          <w:rFonts w:hint="default" w:ascii="Times New Roman" w:hAnsi="Times New Roman" w:cs="Times New Roman" w:eastAsiaTheme="minorEastAsia"/>
          <w:color w:val="auto"/>
          <w:highlight w:val="none"/>
        </w:rPr>
      </w:pPr>
    </w:p>
    <w:bookmarkEnd w:id="442"/>
    <w:bookmarkEnd w:id="443"/>
    <w:bookmarkEnd w:id="444"/>
    <w:p>
      <w:pPr>
        <w:jc w:val="center"/>
        <w:outlineLvl w:val="2"/>
        <w:rPr>
          <w:rFonts w:hint="default" w:ascii="Times New Roman" w:hAnsi="Times New Roman" w:cs="Times New Roman" w:eastAsiaTheme="minorEastAsia"/>
          <w:b/>
          <w:color w:val="auto"/>
          <w:kern w:val="0"/>
          <w:sz w:val="36"/>
          <w:szCs w:val="36"/>
          <w:highlight w:val="none"/>
        </w:rPr>
        <w:sectPr>
          <w:pgSz w:w="11906" w:h="16838"/>
          <w:pgMar w:top="1440" w:right="1080" w:bottom="1440" w:left="1080" w:header="567" w:footer="737" w:gutter="0"/>
          <w:pgNumType w:fmt="decimal"/>
          <w:cols w:space="720" w:num="1"/>
          <w:docGrid w:linePitch="312" w:charSpace="0"/>
        </w:sectPr>
      </w:pPr>
      <w:bookmarkStart w:id="449" w:name="_Toc30050"/>
      <w:bookmarkStart w:id="450" w:name="_Toc11212"/>
      <w:bookmarkStart w:id="451" w:name="_Toc3832"/>
      <w:bookmarkStart w:id="452" w:name="_Toc17094"/>
      <w:bookmarkStart w:id="453" w:name="_Toc4945"/>
      <w:bookmarkStart w:id="454" w:name="_Toc16412"/>
    </w:p>
    <w:p>
      <w:pPr>
        <w:pStyle w:val="6"/>
        <w:pageBreakBefore/>
        <w:spacing w:after="120" w:afterLines="0"/>
        <w:ind w:left="0"/>
        <w:rPr>
          <w:rFonts w:hint="default" w:ascii="Times New Roman" w:hAnsi="Times New Roman" w:cs="Times New Roman" w:eastAsiaTheme="minorEastAsia"/>
          <w:color w:val="auto"/>
          <w:sz w:val="36"/>
          <w:szCs w:val="36"/>
          <w:highlight w:val="none"/>
        </w:rPr>
      </w:pPr>
      <w:bookmarkStart w:id="455" w:name="_Toc14873260"/>
      <w:bookmarkStart w:id="456" w:name="_Toc21513"/>
      <w:bookmarkStart w:id="457" w:name="_Toc18052"/>
      <w:bookmarkStart w:id="458" w:name="_Toc22046"/>
      <w:bookmarkStart w:id="459" w:name="_Toc17121"/>
      <w:bookmarkStart w:id="460" w:name="_Toc25073"/>
      <w:bookmarkStart w:id="461" w:name="_Toc13905"/>
      <w:bookmarkStart w:id="462" w:name="_Toc4666"/>
      <w:bookmarkStart w:id="463" w:name="_Toc26113"/>
      <w:r>
        <w:rPr>
          <w:rFonts w:hint="default" w:ascii="Times New Roman" w:hAnsi="Times New Roman" w:cs="Times New Roman" w:eastAsiaTheme="minorEastAsia"/>
          <w:color w:val="auto"/>
          <w:sz w:val="36"/>
          <w:szCs w:val="36"/>
          <w:highlight w:val="none"/>
          <w:lang w:val="en-US"/>
        </w:rPr>
        <w:t>1.</w:t>
      </w:r>
      <w:r>
        <w:rPr>
          <w:rFonts w:hint="default" w:ascii="Times New Roman" w:hAnsi="Times New Roman" w:cs="Times New Roman" w:eastAsiaTheme="minorEastAsia"/>
          <w:color w:val="auto"/>
          <w:sz w:val="36"/>
          <w:szCs w:val="36"/>
          <w:highlight w:val="none"/>
          <w:lang w:val="en-US" w:eastAsia="zh-CN"/>
        </w:rPr>
        <w:t>4</w:t>
      </w:r>
      <w:r>
        <w:rPr>
          <w:rFonts w:hint="default" w:ascii="Times New Roman" w:hAnsi="Times New Roman" w:cs="Times New Roman" w:eastAsiaTheme="minorEastAsia"/>
          <w:color w:val="auto"/>
          <w:sz w:val="36"/>
          <w:szCs w:val="36"/>
          <w:highlight w:val="none"/>
          <w:lang w:val="en-US"/>
        </w:rPr>
        <w:t xml:space="preserve"> 守法经营声明书</w:t>
      </w:r>
      <w:bookmarkEnd w:id="455"/>
      <w:bookmarkEnd w:id="456"/>
      <w:bookmarkEnd w:id="457"/>
      <w:bookmarkEnd w:id="458"/>
      <w:bookmarkEnd w:id="459"/>
      <w:bookmarkEnd w:id="460"/>
      <w:bookmarkEnd w:id="461"/>
      <w:bookmarkEnd w:id="462"/>
      <w:bookmarkEnd w:id="463"/>
    </w:p>
    <w:p>
      <w:pPr>
        <w:pStyle w:val="2"/>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color w:val="auto"/>
          <w:sz w:val="24"/>
          <w:szCs w:val="24"/>
          <w:highlight w:val="none"/>
        </w:rPr>
        <w:t>致：</w:t>
      </w:r>
      <w:r>
        <w:rPr>
          <w:rFonts w:hint="default" w:ascii="Times New Roman" w:hAnsi="Times New Roman" w:cs="Times New Roman" w:eastAsiaTheme="minorEastAsia"/>
          <w:b/>
          <w:color w:val="auto"/>
          <w:sz w:val="24"/>
          <w:szCs w:val="24"/>
          <w:highlight w:val="none"/>
          <w:u w:val="single"/>
          <w:lang w:eastAsia="zh-CN"/>
        </w:rPr>
        <w:t>佛山市消防救援支队</w:t>
      </w:r>
      <w:r>
        <w:rPr>
          <w:rFonts w:hint="default" w:ascii="Times New Roman" w:hAnsi="Times New Roman" w:cs="Times New Roman" w:eastAsiaTheme="minorEastAsia"/>
          <w:b/>
          <w:color w:val="auto"/>
          <w:sz w:val="24"/>
          <w:szCs w:val="24"/>
          <w:highlight w:val="none"/>
          <w:u w:val="single"/>
        </w:rPr>
        <w:t>、</w:t>
      </w:r>
      <w:r>
        <w:rPr>
          <w:rFonts w:hint="default" w:ascii="Times New Roman" w:hAnsi="Times New Roman" w:cs="Times New Roman" w:eastAsiaTheme="minorEastAsia"/>
          <w:b/>
          <w:color w:val="auto"/>
          <w:sz w:val="24"/>
          <w:szCs w:val="24"/>
          <w:highlight w:val="none"/>
          <w:u w:val="single"/>
          <w:lang w:eastAsia="zh-CN"/>
        </w:rPr>
        <w:t>广东远东招标代理有限公司</w:t>
      </w:r>
    </w:p>
    <w:p>
      <w:pPr>
        <w:pStyle w:val="2"/>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为响应你方组织的</w:t>
      </w:r>
      <w:r>
        <w:rPr>
          <w:rFonts w:hint="default" w:ascii="Times New Roman" w:hAnsi="Times New Roman" w:cs="Times New Roman" w:eastAsiaTheme="minorEastAsia"/>
          <w:color w:val="auto"/>
          <w:sz w:val="24"/>
          <w:szCs w:val="24"/>
          <w:highlight w:val="none"/>
          <w:u w:val="single"/>
        </w:rPr>
        <w:t>“</w:t>
      </w:r>
      <w:r>
        <w:rPr>
          <w:rFonts w:hint="eastAsia" w:ascii="Times New Roman" w:hAnsi="Times New Roman" w:cs="Times New Roman" w:eastAsiaTheme="minorEastAsia"/>
          <w:color w:val="auto"/>
          <w:sz w:val="24"/>
          <w:szCs w:val="24"/>
          <w:highlight w:val="none"/>
          <w:u w:val="single"/>
          <w:lang w:eastAsia="zh-CN"/>
        </w:rPr>
        <w:t>佛山市消防救援支队购买团体意外伤害保险项目</w:t>
      </w:r>
      <w:r>
        <w:rPr>
          <w:rFonts w:hint="default" w:ascii="Times New Roman" w:hAnsi="Times New Roman" w:cs="Times New Roman" w:eastAsiaTheme="minorEastAsia"/>
          <w:color w:val="auto"/>
          <w:sz w:val="24"/>
          <w:szCs w:val="24"/>
          <w:highlight w:val="none"/>
          <w:u w:val="single"/>
        </w:rPr>
        <w:t>”</w:t>
      </w:r>
      <w:r>
        <w:rPr>
          <w:rFonts w:hint="default" w:ascii="Times New Roman" w:hAnsi="Times New Roman" w:cs="Times New Roman" w:eastAsiaTheme="minorEastAsia"/>
          <w:color w:val="auto"/>
          <w:kern w:val="28"/>
          <w:sz w:val="24"/>
          <w:szCs w:val="24"/>
          <w:highlight w:val="none"/>
        </w:rPr>
        <w:t>的</w:t>
      </w:r>
      <w:r>
        <w:rPr>
          <w:rFonts w:hint="default" w:ascii="Times New Roman" w:hAnsi="Times New Roman" w:cs="Times New Roman" w:eastAsiaTheme="minorEastAsia"/>
          <w:color w:val="auto"/>
          <w:sz w:val="24"/>
          <w:szCs w:val="24"/>
          <w:highlight w:val="none"/>
        </w:rPr>
        <w:t>招标[项目编号为：</w:t>
      </w:r>
      <w:r>
        <w:rPr>
          <w:rFonts w:hint="eastAsia" w:ascii="Times New Roman" w:hAnsi="Times New Roman" w:cs="Times New Roman" w:eastAsiaTheme="minorEastAsia"/>
          <w:color w:val="auto"/>
          <w:sz w:val="24"/>
          <w:szCs w:val="24"/>
          <w:highlight w:val="none"/>
          <w:lang w:eastAsia="zh-CN"/>
        </w:rPr>
        <w:t>2023XFCG-09</w:t>
      </w:r>
      <w:r>
        <w:rPr>
          <w:rFonts w:hint="default" w:ascii="Times New Roman" w:hAnsi="Times New Roman" w:cs="Times New Roman" w:eastAsiaTheme="minorEastAsia"/>
          <w:color w:val="auto"/>
          <w:sz w:val="24"/>
          <w:szCs w:val="24"/>
          <w:highlight w:val="none"/>
        </w:rPr>
        <w:t>]，我方愿参与投标并作出如下声明：</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一、我方作为</w:t>
      </w:r>
      <w:r>
        <w:rPr>
          <w:rFonts w:hint="default" w:ascii="Times New Roman" w:hAnsi="Times New Roman" w:cs="Times New Roman" w:eastAsiaTheme="minorEastAsia"/>
          <w:color w:val="auto"/>
          <w:sz w:val="24"/>
          <w:szCs w:val="24"/>
          <w:highlight w:val="none"/>
          <w:u w:val="single"/>
        </w:rPr>
        <w:t xml:space="preserve">   （</w:t>
      </w:r>
      <w:r>
        <w:rPr>
          <w:rFonts w:hint="eastAsia" w:ascii="Times New Roman" w:hAnsi="Times New Roman" w:cs="Times New Roman" w:eastAsiaTheme="minorEastAsia"/>
          <w:color w:val="auto"/>
          <w:sz w:val="24"/>
          <w:szCs w:val="24"/>
          <w:highlight w:val="none"/>
          <w:u w:val="single"/>
          <w:lang w:eastAsia="zh-CN"/>
        </w:rPr>
        <w:t>供应商</w:t>
      </w:r>
      <w:r>
        <w:rPr>
          <w:rFonts w:hint="default" w:ascii="Times New Roman" w:hAnsi="Times New Roman" w:cs="Times New Roman" w:eastAsiaTheme="minorEastAsia"/>
          <w:color w:val="auto"/>
          <w:sz w:val="24"/>
          <w:szCs w:val="24"/>
          <w:highlight w:val="none"/>
          <w:u w:val="single"/>
        </w:rPr>
        <w:t xml:space="preserve">名称）   </w:t>
      </w:r>
      <w:r>
        <w:rPr>
          <w:rFonts w:hint="default" w:ascii="Times New Roman" w:hAnsi="Times New Roman" w:cs="Times New Roman" w:eastAsiaTheme="minorEastAsia"/>
          <w:color w:val="auto"/>
          <w:sz w:val="24"/>
          <w:szCs w:val="24"/>
          <w:highlight w:val="none"/>
        </w:rPr>
        <w:t>是在法律、财务和运作上独立于采购人、采购代理机构的</w:t>
      </w: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rPr>
        <w:t>，提交所有文件和全部说明是真实的和正确的。</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二、本公司（企业）具备《中华人民共和国政府采购法》第二十二条规定的条件：</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（一）具有独立承担民事责任的能力；</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（二）具有良好的商业信誉和健全的财务会计制度；</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三</w:t>
      </w:r>
      <w:r>
        <w:rPr>
          <w:rFonts w:hint="default" w:ascii="Times New Roman" w:hAnsi="Times New Roman" w:cs="Times New Roman" w:eastAsiaTheme="minorEastAsia"/>
          <w:color w:val="auto"/>
          <w:sz w:val="24"/>
          <w:szCs w:val="24"/>
          <w:highlight w:val="none"/>
        </w:rPr>
        <w:t>）有依法缴纳税收和社会保障资金的良好记录；</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四</w:t>
      </w:r>
      <w:r>
        <w:rPr>
          <w:rFonts w:hint="default" w:ascii="Times New Roman" w:hAnsi="Times New Roman" w:cs="Times New Roman" w:eastAsiaTheme="minorEastAsia"/>
          <w:color w:val="auto"/>
          <w:sz w:val="24"/>
          <w:szCs w:val="24"/>
          <w:highlight w:val="none"/>
        </w:rPr>
        <w:t>）具有履行合同所必需的设备和专业技术能力；</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（五）参加政府采购活动前三年内，在经营活动中没有重大违法记录；</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三、本公司（企业）的单位负责人与所参投的本采购项目的其他</w:t>
      </w: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lang w:eastAsia="zh-CN"/>
        </w:rPr>
        <w:t>的单位负责人不为同一人且与其他</w:t>
      </w: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lang w:eastAsia="zh-CN"/>
        </w:rPr>
        <w:t>之间不存在直接控股、管理关系。</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四、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五</w:t>
      </w:r>
      <w:r>
        <w:rPr>
          <w:rFonts w:hint="default" w:ascii="Times New Roman" w:hAnsi="Times New Roman" w:cs="Times New Roman" w:eastAsiaTheme="minorEastAsia"/>
          <w:color w:val="auto"/>
          <w:sz w:val="24"/>
          <w:szCs w:val="24"/>
          <w:highlight w:val="none"/>
        </w:rPr>
        <w:t>、本公司（企业）承诺在本次招标采购活动中，如有违法、违规、弄虚作假行为，所造成的损失、不良后果及法律责任，一律由我公司（企业）承担。</w:t>
      </w:r>
    </w:p>
    <w:p>
      <w:pPr>
        <w:pStyle w:val="2"/>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六</w:t>
      </w:r>
      <w:r>
        <w:rPr>
          <w:rFonts w:hint="default" w:ascii="Times New Roman" w:hAnsi="Times New Roman" w:cs="Times New Roman" w:eastAsiaTheme="minorEastAsia"/>
          <w:color w:val="auto"/>
          <w:sz w:val="24"/>
          <w:szCs w:val="24"/>
          <w:highlight w:val="none"/>
        </w:rPr>
        <w:t>、我方理解你方可能还要求提供更进一步的资格资料，并愿意应你方的要求提交。</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zh-CN"/>
        </w:rPr>
        <w:t>加盖</w:t>
      </w:r>
      <w:r>
        <w:rPr>
          <w:rFonts w:hint="eastAsia" w:ascii="Times New Roman" w:hAnsi="Times New Roman" w:cs="Times New Roman" w:eastAsiaTheme="minorEastAsia"/>
          <w:color w:val="auto"/>
          <w:sz w:val="24"/>
          <w:szCs w:val="24"/>
          <w:highlight w:val="none"/>
          <w:lang w:val="zh-CN"/>
        </w:rPr>
        <w:t>供应商</w:t>
      </w:r>
      <w:r>
        <w:rPr>
          <w:rFonts w:hint="default" w:ascii="Times New Roman" w:hAnsi="Times New Roman" w:cs="Times New Roman" w:eastAsiaTheme="minorEastAsia"/>
          <w:color w:val="auto"/>
          <w:sz w:val="24"/>
          <w:szCs w:val="24"/>
          <w:highlight w:val="none"/>
          <w:lang w:val="zh-CN"/>
        </w:rPr>
        <w:t>公章</w:t>
      </w:r>
      <w:r>
        <w:rPr>
          <w:rFonts w:hint="default" w:ascii="Times New Roman" w:hAnsi="Times New Roman" w:cs="Times New Roman" w:eastAsiaTheme="minorEastAsia"/>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GB"/>
        </w:rPr>
        <w:t>法定代表人（或授权代表）</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（亲笔签字）</w:t>
      </w:r>
    </w:p>
    <w:p>
      <w:pPr>
        <w:keepNext w:val="0"/>
        <w:keepLines w:val="0"/>
        <w:pageBreakBefore w:val="0"/>
        <w:widowControl w:val="0"/>
        <w:kinsoku/>
        <w:wordWrap/>
        <w:overflowPunct/>
        <w:topLinePunct w:val="0"/>
        <w:autoSpaceDE/>
        <w:autoSpaceDN/>
        <w:bidi w:val="0"/>
        <w:adjustRightInd/>
        <w:snapToGrid/>
        <w:spacing w:line="360" w:lineRule="auto"/>
        <w:ind w:left="420" w:leftChars="200" w:right="363" w:rightChars="173" w:firstLine="420" w:firstLineChars="200"/>
        <w:textAlignment w:val="auto"/>
        <w:rPr>
          <w:rFonts w:hint="default" w:ascii="Times New Roman" w:hAnsi="Times New Roman" w:cs="Times New Roman" w:eastAsiaTheme="minor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63" w:rightChars="173"/>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说明：</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1、本声明书内容不得擅自删改。</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cs="Times New Roman" w:eastAsiaTheme="minorEastAsia"/>
          <w:b/>
          <w:color w:val="auto"/>
          <w:kern w:val="0"/>
          <w:sz w:val="36"/>
          <w:szCs w:val="36"/>
          <w:highlight w:val="none"/>
          <w:lang w:val="en-US" w:eastAsia="zh-CN"/>
        </w:rPr>
        <w:sectPr>
          <w:pgSz w:w="11906" w:h="16838"/>
          <w:pgMar w:top="1440" w:right="1080" w:bottom="1440" w:left="1080" w:header="567" w:footer="737" w:gutter="0"/>
          <w:pgNumType w:fmt="decimal"/>
          <w:cols w:space="720" w:num="1"/>
          <w:docGrid w:linePitch="312" w:charSpace="0"/>
        </w:sectPr>
      </w:pPr>
      <w:r>
        <w:rPr>
          <w:rFonts w:hint="default" w:ascii="Times New Roman" w:hAnsi="Times New Roman" w:cs="Times New Roman" w:eastAsiaTheme="minorEastAsia"/>
          <w:color w:val="auto"/>
          <w:highlight w:val="none"/>
        </w:rPr>
        <w:t>2、后附证明材料</w:t>
      </w:r>
      <w:r>
        <w:rPr>
          <w:rFonts w:hint="default" w:ascii="Times New Roman" w:hAnsi="Times New Roman" w:cs="Times New Roman" w:eastAsiaTheme="minorEastAsia"/>
          <w:color w:val="auto"/>
          <w:highlight w:val="none"/>
          <w:lang w:eastAsia="zh-CN"/>
        </w:rPr>
        <w:t>。</w:t>
      </w:r>
    </w:p>
    <w:bookmarkEnd w:id="445"/>
    <w:bookmarkEnd w:id="449"/>
    <w:bookmarkEnd w:id="450"/>
    <w:bookmarkEnd w:id="451"/>
    <w:bookmarkEnd w:id="452"/>
    <w:bookmarkEnd w:id="453"/>
    <w:bookmarkEnd w:id="454"/>
    <w:p>
      <w:pPr>
        <w:pStyle w:val="6"/>
        <w:pageBreakBefore/>
        <w:spacing w:after="120" w:afterLines="0"/>
        <w:ind w:left="0"/>
        <w:rPr>
          <w:rFonts w:hint="default" w:ascii="Times New Roman" w:hAnsi="Times New Roman" w:cs="Times New Roman" w:eastAsiaTheme="minorEastAsia"/>
          <w:color w:val="auto"/>
          <w:sz w:val="36"/>
          <w:szCs w:val="36"/>
          <w:highlight w:val="none"/>
          <w:lang w:val="en-US"/>
        </w:rPr>
      </w:pPr>
      <w:bookmarkStart w:id="464" w:name="_Toc13685"/>
      <w:bookmarkStart w:id="465" w:name="_Toc14873261"/>
      <w:bookmarkStart w:id="466" w:name="_Toc1958"/>
      <w:bookmarkStart w:id="467" w:name="_Toc8977"/>
      <w:bookmarkStart w:id="468" w:name="_Toc14708"/>
      <w:bookmarkStart w:id="469" w:name="_Toc26899"/>
      <w:bookmarkStart w:id="470" w:name="_Toc438547164"/>
      <w:bookmarkStart w:id="471" w:name="_Toc30824"/>
      <w:bookmarkStart w:id="472" w:name="_Toc29522"/>
      <w:bookmarkStart w:id="473" w:name="_Toc24426"/>
      <w:r>
        <w:rPr>
          <w:rFonts w:hint="default" w:ascii="Times New Roman" w:hAnsi="Times New Roman" w:cs="Times New Roman" w:eastAsiaTheme="minorEastAsia"/>
          <w:color w:val="auto"/>
          <w:sz w:val="36"/>
          <w:szCs w:val="36"/>
          <w:highlight w:val="none"/>
          <w:lang w:val="en-US"/>
        </w:rPr>
        <w:t>1.</w:t>
      </w:r>
      <w:r>
        <w:rPr>
          <w:rFonts w:hint="default" w:ascii="Times New Roman" w:hAnsi="Times New Roman" w:cs="Times New Roman" w:eastAsiaTheme="minorEastAsia"/>
          <w:color w:val="auto"/>
          <w:sz w:val="36"/>
          <w:szCs w:val="36"/>
          <w:highlight w:val="none"/>
          <w:lang w:val="en-US" w:eastAsia="zh-CN"/>
        </w:rPr>
        <w:t>5</w:t>
      </w:r>
      <w:r>
        <w:rPr>
          <w:rFonts w:hint="default" w:ascii="Times New Roman" w:hAnsi="Times New Roman" w:cs="Times New Roman" w:eastAsiaTheme="minorEastAsia"/>
          <w:color w:val="auto"/>
          <w:sz w:val="36"/>
          <w:szCs w:val="36"/>
          <w:highlight w:val="none"/>
          <w:lang w:val="en-US"/>
        </w:rPr>
        <w:t xml:space="preserve"> 其他证明材料</w:t>
      </w:r>
      <w:bookmarkEnd w:id="464"/>
      <w:bookmarkEnd w:id="465"/>
      <w:bookmarkEnd w:id="466"/>
      <w:bookmarkEnd w:id="467"/>
      <w:bookmarkEnd w:id="468"/>
      <w:bookmarkEnd w:id="469"/>
      <w:bookmarkEnd w:id="470"/>
      <w:bookmarkEnd w:id="471"/>
      <w:bookmarkEnd w:id="472"/>
      <w:bookmarkEnd w:id="473"/>
    </w:p>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sz w:val="28"/>
          <w:szCs w:val="28"/>
          <w:highlight w:val="none"/>
        </w:rPr>
        <w:t>以下材料须按照资格性文件清单所列述的要求提供：</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具有独立承担民事责任的能力：在中华人民共和国境内注册的法人或其他组织或自然人，投标（响应）时提交有效的营业执照（或事业法人登记证或身份证等相关证明）副本复印件</w:t>
      </w:r>
      <w:r>
        <w:rPr>
          <w:rFonts w:hint="eastAsia" w:cs="Times New Roman" w:eastAsiaTheme="minorEastAsia"/>
          <w:b w:val="0"/>
          <w:bCs/>
          <w:color w:val="auto"/>
          <w:highlight w:val="none"/>
          <w:lang w:eastAsia="zh-CN"/>
        </w:rPr>
        <w:t>。</w:t>
      </w:r>
      <w:r>
        <w:rPr>
          <w:rFonts w:hint="default" w:ascii="Times New Roman" w:hAnsi="Times New Roman" w:cs="Times New Roman" w:eastAsiaTheme="minorEastAsia"/>
          <w:b w:val="0"/>
          <w:bCs/>
          <w:color w:val="auto"/>
          <w:highlight w:val="none"/>
          <w:lang w:eastAsia="zh-CN"/>
        </w:rPr>
        <w:t>；</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有依法缴纳税收和社会保障资金的良好记录：提供下列材料之一即可：（1）提供投标截止日前6个月内任意1个月依法缴纳税收和社会保障资金的相关材料。如依法免税或不需要缴纳社会保障资金的，提供相应证明材料。（2）提供《政府采购供应商资格信用承诺函》</w:t>
      </w:r>
      <w:r>
        <w:rPr>
          <w:rFonts w:hint="default" w:ascii="Times New Roman" w:hAnsi="Times New Roman" w:cs="Times New Roman" w:eastAsiaTheme="minorEastAsia"/>
          <w:b w:val="0"/>
          <w:bCs/>
          <w:color w:val="auto"/>
          <w:highlight w:val="none"/>
          <w:lang w:eastAsia="zh-CN"/>
        </w:rPr>
        <w:t>；</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具有良好的商业信誉和健全的财务会计制度：提供以下三种证明材料之一：1、按要求填写《政府采购供应商资格信用承诺函》；2、提供经第三方审计的2022年度财务状况报告；3、提供投标截止日前6个月内基本开户银行出具的资信证明，并同时提交开户（基本户）许可证扫描件，开户（基本户）许可证已取消的，应提供能体现基本开户银行的“基本存款账户编号”的相关证明</w:t>
      </w:r>
      <w:r>
        <w:rPr>
          <w:rFonts w:hint="default" w:ascii="Times New Roman" w:hAnsi="Times New Roman" w:cs="Times New Roman" w:eastAsiaTheme="minorEastAsia"/>
          <w:b w:val="0"/>
          <w:bCs/>
          <w:color w:val="auto"/>
          <w:highlight w:val="none"/>
          <w:lang w:eastAsia="zh-CN"/>
        </w:rPr>
        <w:t>；</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履行合同所必需的设备和专业技术能力：提供履行合同所必须的设备和专业技术能力的声明</w:t>
      </w:r>
      <w:r>
        <w:rPr>
          <w:rFonts w:hint="default" w:ascii="Times New Roman" w:hAnsi="Times New Roman" w:cs="Times New Roman" w:eastAsiaTheme="minorEastAsia"/>
          <w:b w:val="0"/>
          <w:bCs/>
          <w:color w:val="auto"/>
          <w:highlight w:val="none"/>
          <w:lang w:eastAsia="zh-CN"/>
        </w:rPr>
        <w:t>；</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参加采购活动前3年内，在经营活动中没有重大违法记录：提供以下两种证明材料之一：1、按要求填写《政府采购供应商资格信用承诺函》；2、参照投标（报价）函相关承诺格式内容。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default" w:ascii="Times New Roman" w:hAnsi="Times New Roman" w:cs="Times New Roman" w:eastAsiaTheme="minorEastAsia"/>
          <w:b w:val="0"/>
          <w:bCs/>
          <w:color w:val="auto"/>
          <w:highlight w:val="none"/>
          <w:lang w:eastAsia="zh-CN"/>
        </w:rPr>
        <w:t>；</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法律、行政法规规定的其他条件（提供守法经营声明书）</w:t>
      </w:r>
      <w:r>
        <w:rPr>
          <w:rFonts w:hint="default" w:ascii="Times New Roman" w:hAnsi="Times New Roman" w:cs="Times New Roman" w:eastAsiaTheme="minorEastAsia"/>
          <w:b w:val="0"/>
          <w:bCs/>
          <w:color w:val="auto"/>
          <w:highlight w:val="none"/>
          <w:lang w:eastAsia="zh-CN"/>
        </w:rPr>
        <w:t>；</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供应商未被列入“信用中国”网站(www.creditchina.gov.cn)“记录失信被执行人或重大税收违法案件当事人名单或政府采购严重违法失信行为”记录名单；不处于中国政府采购网(www.ccgp.gov.cn) “政府采购严重违法失信行为信息记录”中的禁止参加政府采购活动期间；提供“信用中国”网站（www.creditchina.gov.cn）以及中国政府采购网(www.ccgp.gov.cn)查询结果网页打印件，如相关失信记录已失效，供应商需提供相关证明资料；（以采购代理机构于投标截止日当天在“信用中国”网站及中国政府采购网查询结果为准）</w:t>
      </w:r>
    </w:p>
    <w:p>
      <w:pPr>
        <w:numPr>
          <w:ilvl w:val="0"/>
          <w:numId w:val="24"/>
        </w:numPr>
        <w:spacing w:line="360" w:lineRule="auto"/>
        <w:jc w:val="left"/>
        <w:rPr>
          <w:rFonts w:hint="default" w:ascii="Times New Roman" w:hAnsi="Times New Roman" w:cs="Times New Roman" w:eastAsiaTheme="minorEastAsia"/>
          <w:color w:val="auto"/>
          <w:highlight w:val="none"/>
          <w:lang w:val="hr-HR"/>
        </w:rPr>
      </w:pPr>
      <w:r>
        <w:rPr>
          <w:rFonts w:hint="default" w:ascii="Times New Roman" w:hAnsi="Times New Roman" w:cs="Times New Roman" w:eastAsiaTheme="minorEastAsia"/>
          <w:color w:val="auto"/>
          <w:highlight w:val="none"/>
          <w:lang w:val="hr-HR"/>
        </w:rPr>
        <w:t>供应商须是经国家保险监督管理机构批准在中华人民共和国境内设立和营业的，并依法被核定许可经营责任保险和意外伤害保险业务的保险机构。提供有效期内的《经营保险业务许可证》并加盖投标人公章。供应商可以是保险总公司或者保险分支机构（分支机构须获得总部授权）。</w:t>
      </w:r>
    </w:p>
    <w:p>
      <w:pPr>
        <w:numPr>
          <w:ilvl w:val="0"/>
          <w:numId w:val="24"/>
        </w:numPr>
        <w:spacing w:line="360" w:lineRule="auto"/>
        <w:jc w:val="left"/>
        <w:rPr>
          <w:rFonts w:hint="default" w:ascii="Times New Roman" w:hAnsi="Times New Roman" w:cs="Times New Roman" w:eastAsiaTheme="minorEastAsia"/>
          <w:color w:val="auto"/>
          <w:highlight w:val="none"/>
          <w:lang w:val="hr-HR"/>
        </w:rPr>
      </w:pPr>
      <w:r>
        <w:rPr>
          <w:rFonts w:hint="default" w:ascii="Times New Roman" w:hAnsi="Times New Roman" w:cs="Times New Roman" w:eastAsiaTheme="minorEastAsia"/>
          <w:color w:val="auto"/>
          <w:highlight w:val="none"/>
          <w:lang w:val="hr-HR"/>
        </w:rPr>
        <w:t>其他</w:t>
      </w:r>
      <w:r>
        <w:rPr>
          <w:rFonts w:hint="eastAsia" w:ascii="Times New Roman" w:hAnsi="Times New Roman" w:cs="Times New Roman" w:eastAsiaTheme="minorEastAsia"/>
          <w:color w:val="auto"/>
          <w:highlight w:val="none"/>
          <w:lang w:val="hr-HR" w:eastAsia="zh-CN"/>
        </w:rPr>
        <w:t>供应商</w:t>
      </w:r>
      <w:r>
        <w:rPr>
          <w:rFonts w:hint="default" w:ascii="Times New Roman" w:hAnsi="Times New Roman" w:cs="Times New Roman" w:eastAsiaTheme="minorEastAsia"/>
          <w:color w:val="auto"/>
          <w:highlight w:val="none"/>
          <w:lang w:val="hr-HR"/>
        </w:rPr>
        <w:t>认为有必要提供的材料。</w:t>
      </w:r>
    </w:p>
    <w:p>
      <w:pPr>
        <w:pStyle w:val="13"/>
        <w:rPr>
          <w:rFonts w:hint="default" w:ascii="Times New Roman" w:hAnsi="Times New Roman" w:cs="Times New Roman" w:eastAsiaTheme="minorEastAsia"/>
          <w:color w:val="auto"/>
          <w:highlight w:val="none"/>
          <w:lang w:val="hr-HR"/>
        </w:rPr>
      </w:pPr>
    </w:p>
    <w:p>
      <w:pPr>
        <w:pStyle w:val="13"/>
        <w:rPr>
          <w:rFonts w:hint="default" w:ascii="Times New Roman" w:hAnsi="Times New Roman" w:cs="Times New Roman" w:eastAsiaTheme="minorEastAsia"/>
          <w:color w:val="auto"/>
          <w:sz w:val="21"/>
          <w:szCs w:val="21"/>
          <w:highlight w:val="none"/>
          <w:lang w:val="hr-HR" w:eastAsia="zh-CN"/>
        </w:rPr>
      </w:pPr>
      <w:r>
        <w:rPr>
          <w:rFonts w:hint="default" w:ascii="Times New Roman" w:hAnsi="Times New Roman" w:cs="Times New Roman" w:eastAsiaTheme="minorEastAsia"/>
          <w:color w:val="auto"/>
          <w:sz w:val="21"/>
          <w:szCs w:val="21"/>
          <w:highlight w:val="none"/>
          <w:lang w:val="hr-HR" w:eastAsia="zh-CN"/>
        </w:rPr>
        <w:t>注：以上材料均须加盖</w:t>
      </w:r>
      <w:r>
        <w:rPr>
          <w:rFonts w:hint="eastAsia" w:ascii="Times New Roman" w:hAnsi="Times New Roman" w:cs="Times New Roman" w:eastAsiaTheme="minorEastAsia"/>
          <w:color w:val="auto"/>
          <w:sz w:val="21"/>
          <w:szCs w:val="21"/>
          <w:highlight w:val="none"/>
          <w:lang w:val="hr-HR" w:eastAsia="zh-CN"/>
        </w:rPr>
        <w:t>供应商</w:t>
      </w:r>
      <w:r>
        <w:rPr>
          <w:rFonts w:hint="default" w:ascii="Times New Roman" w:hAnsi="Times New Roman" w:cs="Times New Roman" w:eastAsiaTheme="minorEastAsia"/>
          <w:color w:val="auto"/>
          <w:sz w:val="21"/>
          <w:szCs w:val="21"/>
          <w:highlight w:val="none"/>
          <w:lang w:val="hr-HR" w:eastAsia="zh-CN"/>
        </w:rPr>
        <w:t>公章。</w:t>
      </w:r>
    </w:p>
    <w:p>
      <w:pPr>
        <w:rPr>
          <w:rFonts w:hint="default" w:ascii="Times New Roman" w:hAnsi="Times New Roman" w:cs="Times New Roman" w:eastAsiaTheme="minorEastAsia"/>
          <w:color w:val="auto"/>
          <w:sz w:val="21"/>
          <w:szCs w:val="21"/>
          <w:highlight w:val="none"/>
          <w:lang w:val="hr-HR" w:eastAsia="zh-CN"/>
        </w:rPr>
      </w:pPr>
      <w:r>
        <w:rPr>
          <w:rFonts w:hint="default" w:ascii="Times New Roman" w:hAnsi="Times New Roman" w:cs="Times New Roman" w:eastAsiaTheme="minorEastAsia"/>
          <w:color w:val="auto"/>
          <w:sz w:val="21"/>
          <w:szCs w:val="21"/>
          <w:highlight w:val="none"/>
          <w:lang w:val="hr-HR" w:eastAsia="zh-CN"/>
        </w:rPr>
        <w:br w:type="page"/>
      </w:r>
    </w:p>
    <w:p>
      <w:pPr>
        <w:jc w:val="center"/>
        <w:outlineLvl w:val="2"/>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政府采购供应商资格信用承诺函</w:t>
      </w:r>
    </w:p>
    <w:p>
      <w:pPr>
        <w:rPr>
          <w:rFonts w:hint="eastAsia" w:ascii="仿宋_GB2312" w:hAnsi="仿宋_GB2312" w:eastAsia="仿宋_GB2312" w:cs="仿宋_GB2312"/>
          <w:sz w:val="32"/>
          <w:szCs w:val="32"/>
          <w:lang w:eastAsia="zh-CN"/>
        </w:rPr>
      </w:pPr>
    </w:p>
    <w:p>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致：</w:t>
      </w:r>
      <w:r>
        <w:rPr>
          <w:rFonts w:hint="eastAsia" w:ascii="仿宋_GB2312" w:hAnsi="仿宋_GB2312" w:eastAsia="仿宋_GB2312" w:cs="仿宋_GB2312"/>
          <w:sz w:val="28"/>
          <w:szCs w:val="28"/>
        </w:rPr>
        <w:t>佛山市消防救援支队、广东远东招标代理有限公司</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我方参与</w:t>
      </w:r>
      <w:r>
        <w:rPr>
          <w:rFonts w:hint="eastAsia" w:ascii="仿宋_GB2312" w:hAnsi="仿宋_GB2312" w:eastAsia="仿宋_GB2312" w:cs="仿宋_GB2312"/>
          <w:sz w:val="28"/>
          <w:szCs w:val="28"/>
          <w:u w:val="single"/>
        </w:rPr>
        <w:t>佛山市消防救援支队购买团体意外伤害保险项目</w:t>
      </w:r>
      <w:r>
        <w:rPr>
          <w:rFonts w:hint="eastAsia" w:ascii="仿宋_GB2312" w:hAnsi="仿宋_GB2312" w:eastAsia="仿宋_GB2312" w:cs="仿宋_GB2312"/>
          <w:sz w:val="28"/>
          <w:szCs w:val="28"/>
          <w:u w:val="single"/>
          <w:lang w:eastAsia="zh-CN"/>
        </w:rPr>
        <w:t>（项目编号：</w:t>
      </w:r>
      <w:r>
        <w:rPr>
          <w:rFonts w:hint="eastAsia" w:ascii="仿宋" w:hAnsi="仿宋" w:eastAsia="仿宋" w:cs="仿宋"/>
          <w:sz w:val="28"/>
          <w:szCs w:val="28"/>
          <w:u w:val="single"/>
        </w:rPr>
        <w:t>2023XFCG-09</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lang w:eastAsia="zh-CN"/>
        </w:rPr>
        <w:t>的政府采购活动，现承诺如下：</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若我方以上承诺不实，自愿承担提供虚假材料谋取中标、成交的法律责任。</w:t>
      </w:r>
    </w:p>
    <w:p>
      <w:pPr>
        <w:spacing w:line="360" w:lineRule="auto"/>
        <w:ind w:firstLine="560" w:firstLineChars="200"/>
        <w:rPr>
          <w:rFonts w:hint="eastAsia" w:ascii="仿宋_GB2312" w:hAnsi="仿宋_GB2312" w:eastAsia="仿宋_GB2312" w:cs="仿宋_GB2312"/>
          <w:sz w:val="28"/>
          <w:szCs w:val="28"/>
          <w:lang w:eastAsia="zh-CN"/>
        </w:rPr>
      </w:pPr>
    </w:p>
    <w:p>
      <w:pPr>
        <w:spacing w:line="360" w:lineRule="auto"/>
        <w:ind w:firstLine="1120" w:firstLineChars="4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承诺供应商（全称并加盖公章）：</w:t>
      </w:r>
      <w:r>
        <w:rPr>
          <w:rFonts w:hint="eastAsia" w:ascii="仿宋_GB2312" w:hAnsi="仿宋_GB2312" w:eastAsia="仿宋_GB2312" w:cs="仿宋_GB2312"/>
          <w:sz w:val="28"/>
          <w:szCs w:val="28"/>
          <w:u w:val="single"/>
          <w:lang w:val="en-US" w:eastAsia="zh-CN"/>
        </w:rPr>
        <w:t xml:space="preserve">               </w:t>
      </w:r>
    </w:p>
    <w:p>
      <w:pPr>
        <w:spacing w:line="360" w:lineRule="auto"/>
        <w:ind w:firstLine="1120" w:firstLineChars="4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日期：</w:t>
      </w:r>
      <w:r>
        <w:rPr>
          <w:rFonts w:hint="eastAsia" w:ascii="仿宋_GB2312" w:hAnsi="仿宋_GB2312" w:eastAsia="仿宋_GB2312" w:cs="仿宋_GB2312"/>
          <w:sz w:val="28"/>
          <w:szCs w:val="28"/>
          <w:u w:val="single"/>
          <w:lang w:val="en-US" w:eastAsia="zh-CN"/>
        </w:rPr>
        <w:t xml:space="preserve">                                      </w:t>
      </w:r>
    </w:p>
    <w:p>
      <w:pPr>
        <w:spacing w:line="360" w:lineRule="auto"/>
        <w:rPr>
          <w:rFonts w:hint="eastAsia" w:ascii="仿宋_GB2312" w:hAnsi="仿宋_GB2312" w:eastAsia="仿宋_GB2312" w:cs="仿宋_GB2312"/>
          <w:sz w:val="28"/>
          <w:szCs w:val="28"/>
          <w:u w:val="none"/>
          <w:lang w:val="en-US" w:eastAsia="zh-CN"/>
        </w:rPr>
      </w:pPr>
    </w:p>
    <w:p>
      <w:pPr>
        <w:pStyle w:val="13"/>
        <w:spacing w:line="360" w:lineRule="auto"/>
        <w:rPr>
          <w:rFonts w:hint="default" w:ascii="Times New Roman" w:hAnsi="Times New Roman" w:cs="Times New Roman" w:eastAsiaTheme="minorEastAsia"/>
          <w:color w:val="auto"/>
          <w:sz w:val="21"/>
          <w:szCs w:val="21"/>
          <w:highlight w:val="none"/>
          <w:lang w:val="hr-HR" w:eastAsia="zh-CN"/>
        </w:rPr>
      </w:pPr>
      <w:r>
        <w:rPr>
          <w:rFonts w:hint="eastAsia" w:ascii="仿宋_GB2312" w:hAnsi="仿宋_GB2312" w:eastAsia="仿宋_GB2312" w:cs="仿宋_GB2312"/>
          <w:sz w:val="28"/>
          <w:szCs w:val="28"/>
          <w:u w:val="none"/>
          <w:lang w:val="en-US" w:eastAsia="zh-CN"/>
        </w:rPr>
        <w:t>说明：供应商可自行选择是否提供本承诺函，若不提供本承诺函，应按</w:t>
      </w:r>
      <w:r>
        <w:rPr>
          <w:rFonts w:hint="eastAsia" w:ascii="仿宋_GB2312" w:hAnsi="仿宋_GB2312" w:eastAsia="仿宋_GB2312" w:cs="仿宋_GB2312"/>
          <w:sz w:val="28"/>
          <w:szCs w:val="28"/>
          <w:lang w:eastAsia="zh-CN"/>
        </w:rPr>
        <w:t>《中华人民共和国政府采购法》《中华人民共和国政府采购法实施条例》及采购文件资格要求提供相应的证明材料。</w:t>
      </w:r>
    </w:p>
    <w:p>
      <w:pPr>
        <w:pStyle w:val="4"/>
        <w:pageBreakBefore/>
        <w:rPr>
          <w:rFonts w:hint="default" w:ascii="Times New Roman" w:hAnsi="Times New Roman" w:cs="Times New Roman" w:eastAsiaTheme="minorEastAsia"/>
          <w:b w:val="0"/>
          <w:bCs/>
          <w:color w:val="auto"/>
          <w:sz w:val="52"/>
          <w:highlight w:val="none"/>
        </w:rPr>
        <w:sectPr>
          <w:pgSz w:w="11906" w:h="16838"/>
          <w:pgMar w:top="1134" w:right="1134" w:bottom="1134" w:left="1587" w:header="567" w:footer="737" w:gutter="0"/>
          <w:pgNumType w:fmt="decimal"/>
          <w:cols w:space="720" w:num="1"/>
          <w:docGrid w:linePitch="312" w:charSpace="0"/>
        </w:sectPr>
      </w:pPr>
      <w:bookmarkStart w:id="474" w:name="_Toc6029"/>
      <w:r>
        <w:rPr>
          <w:rFonts w:hint="default" w:ascii="Times New Roman" w:hAnsi="Times New Roman" w:cs="Times New Roman" w:eastAsiaTheme="minorEastAsia"/>
          <w:b w:val="0"/>
          <w:bCs/>
          <w:color w:val="auto"/>
          <w:sz w:val="52"/>
          <w:highlight w:val="none"/>
        </w:rPr>
        <w:t>第二章  评审内容索引</w:t>
      </w:r>
      <w:bookmarkEnd w:id="385"/>
      <w:bookmarkEnd w:id="386"/>
      <w:bookmarkEnd w:id="387"/>
      <w:bookmarkEnd w:id="388"/>
      <w:bookmarkEnd w:id="389"/>
      <w:bookmarkEnd w:id="474"/>
    </w:p>
    <w:p>
      <w:pPr>
        <w:pStyle w:val="6"/>
        <w:pageBreakBefore/>
        <w:numPr>
          <w:ilvl w:val="0"/>
          <w:numId w:val="25"/>
        </w:numPr>
        <w:spacing w:after="120" w:afterLines="0"/>
        <w:rPr>
          <w:rFonts w:hint="default" w:ascii="Times New Roman" w:hAnsi="Times New Roman" w:cs="Times New Roman" w:eastAsiaTheme="minorEastAsia"/>
          <w:color w:val="auto"/>
          <w:sz w:val="36"/>
          <w:szCs w:val="36"/>
          <w:highlight w:val="none"/>
        </w:rPr>
      </w:pPr>
      <w:bookmarkStart w:id="475" w:name="_评审内容索引表"/>
      <w:bookmarkEnd w:id="475"/>
      <w:bookmarkStart w:id="476" w:name="_Toc3785"/>
      <w:bookmarkStart w:id="477" w:name="_Toc419106573"/>
      <w:bookmarkStart w:id="478" w:name="_Toc11522"/>
      <w:bookmarkStart w:id="479" w:name="_Toc3608"/>
      <w:r>
        <w:rPr>
          <w:rFonts w:hint="default" w:ascii="Times New Roman" w:hAnsi="Times New Roman" w:cs="Times New Roman" w:eastAsiaTheme="minorEastAsia"/>
          <w:color w:val="auto"/>
          <w:sz w:val="36"/>
          <w:szCs w:val="36"/>
          <w:highlight w:val="none"/>
        </w:rPr>
        <w:t>评审内容索引表</w:t>
      </w:r>
      <w:bookmarkEnd w:id="476"/>
      <w:bookmarkEnd w:id="477"/>
      <w:bookmarkEnd w:id="478"/>
      <w:bookmarkEnd w:id="479"/>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464"/>
        <w:gridCol w:w="3401"/>
        <w:gridCol w:w="972"/>
        <w:gridCol w:w="1254"/>
        <w:gridCol w:w="14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3" w:hRule="exact"/>
          <w:tblHeader/>
          <w:jc w:val="center"/>
        </w:trPr>
        <w:tc>
          <w:tcPr>
            <w:tcW w:w="15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评审内容</w:t>
            </w:r>
          </w:p>
        </w:tc>
        <w:tc>
          <w:tcPr>
            <w:tcW w:w="3865"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ind w:left="0" w:leftChars="0" w:firstLine="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  审  因 素</w:t>
            </w:r>
          </w:p>
        </w:tc>
        <w:tc>
          <w:tcPr>
            <w:tcW w:w="972"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分值</w:t>
            </w:r>
          </w:p>
        </w:tc>
        <w:tc>
          <w:tcPr>
            <w:tcW w:w="12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自评分</w:t>
            </w:r>
          </w:p>
          <w:p>
            <w:pPr>
              <w:ind w:left="-99" w:leftChars="-47" w:right="-122" w:rightChars="-58"/>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（仅供参考）</w:t>
            </w:r>
          </w:p>
        </w:tc>
        <w:tc>
          <w:tcPr>
            <w:tcW w:w="148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资料所在</w:t>
            </w:r>
          </w:p>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页码范围</w:t>
            </w:r>
          </w:p>
          <w:p>
            <w:pPr>
              <w:pStyle w:val="8"/>
              <w:ind w:firstLine="195"/>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b/>
                <w:color w:val="auto"/>
                <w:sz w:val="18"/>
                <w:szCs w:val="18"/>
                <w:highlight w:val="none"/>
              </w:rPr>
              <w:t>（必填项）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pPr>
              <w:spacing w:line="360" w:lineRule="auto"/>
              <w:ind w:left="-134" w:leftChars="-64" w:right="-105" w:rightChars="-5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商务部分</w:t>
            </w: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22" w:line="278" w:lineRule="auto"/>
              <w:ind w:right="84"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line="278" w:lineRule="auto"/>
              <w:ind w:right="188"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43"/>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43"/>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pPr>
              <w:spacing w:line="360" w:lineRule="auto"/>
              <w:ind w:left="-134" w:leftChars="-64" w:right="-105" w:rightChars="-50"/>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技术部分</w:t>
            </w: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bl>
    <w:p>
      <w:pPr>
        <w:rPr>
          <w:rFonts w:hint="default" w:ascii="Times New Roman" w:hAnsi="Times New Roman" w:cs="Times New Roman" w:eastAsiaTheme="minorEastAsia"/>
          <w:color w:val="auto"/>
          <w:highlight w:val="none"/>
        </w:rPr>
        <w:sectPr>
          <w:pgSz w:w="11906" w:h="16838"/>
          <w:pgMar w:top="1134" w:right="1134" w:bottom="1134" w:left="1587" w:header="567" w:footer="737" w:gutter="0"/>
          <w:pgNumType w:fmt="decimal"/>
          <w:cols w:space="720" w:num="1"/>
          <w:docGrid w:linePitch="312" w:charSpace="0"/>
        </w:sectPr>
      </w:pPr>
    </w:p>
    <w:p>
      <w:pPr>
        <w:pStyle w:val="4"/>
        <w:pageBreakBefore/>
        <w:rPr>
          <w:rFonts w:hint="default" w:ascii="Times New Roman" w:hAnsi="Times New Roman" w:cs="Times New Roman" w:eastAsiaTheme="minorEastAsia"/>
          <w:b w:val="0"/>
          <w:bCs/>
          <w:color w:val="auto"/>
          <w:sz w:val="52"/>
          <w:highlight w:val="none"/>
        </w:rPr>
        <w:sectPr>
          <w:pgSz w:w="11906" w:h="16838"/>
          <w:pgMar w:top="1134" w:right="1134" w:bottom="1134" w:left="1587" w:header="567" w:footer="737" w:gutter="0"/>
          <w:pgNumType w:fmt="decimal"/>
          <w:cols w:space="720" w:num="1"/>
          <w:docGrid w:linePitch="312" w:charSpace="0"/>
        </w:sectPr>
      </w:pPr>
      <w:bookmarkStart w:id="480" w:name="_Toc4234"/>
      <w:bookmarkStart w:id="481" w:name="_Toc17720"/>
      <w:bookmarkStart w:id="482" w:name="_Toc14556"/>
      <w:r>
        <w:rPr>
          <w:rFonts w:hint="default" w:ascii="Times New Roman" w:hAnsi="Times New Roman" w:cs="Times New Roman" w:eastAsiaTheme="minorEastAsia"/>
          <w:b w:val="0"/>
          <w:bCs/>
          <w:color w:val="auto"/>
          <w:sz w:val="52"/>
          <w:highlight w:val="none"/>
        </w:rPr>
        <w:fldChar w:fldCharType="begin"/>
      </w:r>
      <w:r>
        <w:rPr>
          <w:rFonts w:hint="default" w:ascii="Times New Roman" w:hAnsi="Times New Roman" w:cs="Times New Roman" w:eastAsiaTheme="minorEastAsia"/>
          <w:b w:val="0"/>
          <w:bCs/>
          <w:color w:val="auto"/>
          <w:sz w:val="52"/>
          <w:highlight w:val="none"/>
        </w:rPr>
        <w:instrText xml:space="preserve"> HYPERLINK  \l "_投标文件目录" </w:instrText>
      </w:r>
      <w:r>
        <w:rPr>
          <w:rFonts w:hint="default" w:ascii="Times New Roman" w:hAnsi="Times New Roman" w:cs="Times New Roman" w:eastAsiaTheme="minorEastAsia"/>
          <w:b w:val="0"/>
          <w:bCs/>
          <w:color w:val="auto"/>
          <w:sz w:val="52"/>
          <w:highlight w:val="none"/>
        </w:rPr>
        <w:fldChar w:fldCharType="separate"/>
      </w:r>
      <w:bookmarkStart w:id="483" w:name="_Toc240108118"/>
      <w:bookmarkStart w:id="484" w:name="_Toc419106574"/>
      <w:bookmarkStart w:id="485" w:name="_Toc113157430"/>
      <w:bookmarkStart w:id="486" w:name="_Toc259803671"/>
      <w:r>
        <w:rPr>
          <w:rFonts w:hint="default" w:ascii="Times New Roman" w:hAnsi="Times New Roman" w:cs="Times New Roman" w:eastAsiaTheme="minorEastAsia"/>
          <w:b w:val="0"/>
          <w:bCs/>
          <w:color w:val="auto"/>
          <w:sz w:val="52"/>
          <w:highlight w:val="none"/>
        </w:rPr>
        <w:t xml:space="preserve">第三章  </w:t>
      </w:r>
      <w:bookmarkStart w:id="487" w:name="_Hlt113156969"/>
      <w:r>
        <w:rPr>
          <w:rFonts w:hint="default" w:ascii="Times New Roman" w:hAnsi="Times New Roman" w:cs="Times New Roman" w:eastAsiaTheme="minorEastAsia"/>
          <w:b w:val="0"/>
          <w:bCs/>
          <w:color w:val="auto"/>
          <w:sz w:val="52"/>
          <w:highlight w:val="none"/>
        </w:rPr>
        <w:t>商</w:t>
      </w:r>
      <w:bookmarkEnd w:id="487"/>
      <w:r>
        <w:rPr>
          <w:rFonts w:hint="default" w:ascii="Times New Roman" w:hAnsi="Times New Roman" w:cs="Times New Roman" w:eastAsiaTheme="minorEastAsia"/>
          <w:b w:val="0"/>
          <w:bCs/>
          <w:color w:val="auto"/>
          <w:sz w:val="52"/>
          <w:highlight w:val="none"/>
        </w:rPr>
        <w:t>务部</w:t>
      </w:r>
      <w:bookmarkStart w:id="488" w:name="_Hlt112738997"/>
      <w:r>
        <w:rPr>
          <w:rFonts w:hint="default" w:ascii="Times New Roman" w:hAnsi="Times New Roman" w:cs="Times New Roman" w:eastAsiaTheme="minorEastAsia"/>
          <w:b w:val="0"/>
          <w:bCs/>
          <w:color w:val="auto"/>
          <w:sz w:val="52"/>
          <w:highlight w:val="none"/>
        </w:rPr>
        <w:t>分</w:t>
      </w:r>
      <w:bookmarkEnd w:id="483"/>
      <w:bookmarkEnd w:id="484"/>
      <w:bookmarkEnd w:id="485"/>
      <w:bookmarkEnd w:id="486"/>
      <w:bookmarkEnd w:id="488"/>
      <w:r>
        <w:rPr>
          <w:rFonts w:hint="default" w:ascii="Times New Roman" w:hAnsi="Times New Roman" w:cs="Times New Roman" w:eastAsiaTheme="minorEastAsia"/>
          <w:b w:val="0"/>
          <w:bCs/>
          <w:color w:val="auto"/>
          <w:sz w:val="52"/>
          <w:highlight w:val="none"/>
        </w:rPr>
        <w:fldChar w:fldCharType="end"/>
      </w:r>
      <w:bookmarkEnd w:id="480"/>
      <w:bookmarkEnd w:id="481"/>
      <w:bookmarkEnd w:id="482"/>
    </w:p>
    <w:p>
      <w:pPr>
        <w:pStyle w:val="6"/>
        <w:pageBreakBefore/>
        <w:numPr>
          <w:ilvl w:val="0"/>
          <w:numId w:val="26"/>
        </w:numPr>
        <w:spacing w:after="120" w:afterLines="0"/>
        <w:rPr>
          <w:rFonts w:hint="default" w:ascii="Times New Roman" w:hAnsi="Times New Roman" w:cs="Times New Roman" w:eastAsiaTheme="minorEastAsia"/>
          <w:color w:val="auto"/>
          <w:sz w:val="36"/>
          <w:szCs w:val="36"/>
          <w:highlight w:val="none"/>
        </w:rPr>
      </w:pPr>
      <w:bookmarkStart w:id="489" w:name="_企业综合概况"/>
      <w:bookmarkEnd w:id="489"/>
      <w:bookmarkStart w:id="490" w:name="_商务条款响应表"/>
      <w:bookmarkEnd w:id="490"/>
      <w:bookmarkStart w:id="491" w:name="_企业综合概况与计划"/>
      <w:bookmarkEnd w:id="491"/>
      <w:bookmarkStart w:id="492" w:name="_Toc25413"/>
      <w:bookmarkStart w:id="493" w:name="_Toc31818"/>
      <w:bookmarkStart w:id="494" w:name="_Toc11846"/>
      <w:bookmarkStart w:id="495" w:name="_Toc136662944"/>
      <w:bookmarkStart w:id="496" w:name="_Toc136682920"/>
      <w:bookmarkStart w:id="497" w:name="_Toc108234926"/>
      <w:bookmarkStart w:id="498" w:name="_Toc159385079"/>
      <w:bookmarkStart w:id="499" w:name="_Toc119321155"/>
      <w:r>
        <w:rPr>
          <w:rFonts w:hint="default" w:ascii="Times New Roman" w:hAnsi="Times New Roman" w:cs="Times New Roman" w:eastAsiaTheme="minorEastAsia"/>
          <w:color w:val="auto"/>
          <w:sz w:val="36"/>
          <w:szCs w:val="36"/>
          <w:highlight w:val="none"/>
        </w:rPr>
        <w:fldChar w:fldCharType="begin"/>
      </w:r>
      <w:r>
        <w:rPr>
          <w:rFonts w:hint="default" w:ascii="Times New Roman" w:hAnsi="Times New Roman" w:cs="Times New Roman" w:eastAsiaTheme="minorEastAsia"/>
          <w:color w:val="auto"/>
          <w:sz w:val="36"/>
          <w:szCs w:val="36"/>
          <w:highlight w:val="none"/>
        </w:rPr>
        <w:instrText xml:space="preserve"> DOCVARIABLE  商务条款响应表开始  \* MERGEFORMAT </w:instrText>
      </w:r>
      <w:r>
        <w:rPr>
          <w:rFonts w:hint="default" w:ascii="Times New Roman" w:hAnsi="Times New Roman" w:cs="Times New Roman" w:eastAsiaTheme="minorEastAsia"/>
          <w:color w:val="auto"/>
          <w:sz w:val="36"/>
          <w:szCs w:val="36"/>
          <w:highlight w:val="none"/>
        </w:rPr>
        <w:fldChar w:fldCharType="separate"/>
      </w:r>
      <w:r>
        <w:rPr>
          <w:rFonts w:hint="default" w:ascii="Times New Roman" w:hAnsi="Times New Roman" w:cs="Times New Roman" w:eastAsiaTheme="minorEastAsia"/>
          <w:color w:val="auto"/>
          <w:sz w:val="36"/>
          <w:szCs w:val="36"/>
          <w:highlight w:val="none"/>
        </w:rPr>
        <w:fldChar w:fldCharType="end"/>
      </w:r>
      <w:bookmarkStart w:id="500" w:name="_Toc419106575"/>
      <w:r>
        <w:rPr>
          <w:rFonts w:hint="default" w:ascii="Times New Roman" w:hAnsi="Times New Roman" w:cs="Times New Roman" w:eastAsiaTheme="minorEastAsia"/>
          <w:color w:val="auto"/>
          <w:sz w:val="36"/>
          <w:szCs w:val="36"/>
          <w:highlight w:val="none"/>
        </w:rPr>
        <w:t>商务条款响应表</w:t>
      </w:r>
      <w:bookmarkEnd w:id="492"/>
      <w:bookmarkEnd w:id="493"/>
      <w:bookmarkEnd w:id="494"/>
      <w:bookmarkEnd w:id="50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一、商务条款响应情况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主要商务条款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完全理解并接受对合格供应商要求</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完全理解并接受对供应商的各项须知、规约要求和责任义务</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同意接受合同范本所列述的各项条款</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同意按本项目要求缴付相关款项</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采购文件中的全部商务条款均能完全响应</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同意接受采购方发布的补充通知中各项商务要求（如有）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同意采购方以任何形式对我方提供的商务部分内容的真实性和有效性进行公开审查验证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二、商务条款偏离情况说明（如有）：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不同意公开的商务部分内容（如有）：</w:t>
            </w:r>
          </w:p>
        </w:tc>
      </w:tr>
    </w:tbl>
    <w:p>
      <w:pPr>
        <w:rPr>
          <w:rFonts w:hint="default" w:ascii="Times New Roman" w:hAnsi="Times New Roman" w:cs="Times New Roman" w:eastAsiaTheme="minorEastAsia"/>
          <w:b/>
          <w:color w:val="auto"/>
          <w:highlight w:val="none"/>
        </w:rPr>
      </w:pPr>
    </w:p>
    <w:p>
      <w:pPr>
        <w:rPr>
          <w:rFonts w:hint="default" w:ascii="Times New Roman" w:hAnsi="Times New Roman" w:cs="Times New Roman" w:eastAsiaTheme="minorEastAsia"/>
          <w:color w:val="auto"/>
          <w:highlight w:val="none"/>
        </w:rPr>
      </w:pPr>
    </w:p>
    <w:p>
      <w:pPr>
        <w:ind w:left="840" w:hanging="840" w:hangingChars="4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填表要求：</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1、响应栏内空白及打“√”表示完全响应；打“×”视为偏离，请在“商务条款偏离情况说明”栏中扼要说明偏离情况。</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2、本文件中有“★”标注项为不可负偏离(劣于)的重要项。</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3、若上述商务条款内容与“采购项目商务要求”列述不一致时，均以“采购项目商务要求”详细内容为准。</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4、本表内容不得擅自删改。</w:t>
      </w:r>
    </w:p>
    <w:p>
      <w:pPr>
        <w:rPr>
          <w:rFonts w:hint="default" w:ascii="Times New Roman" w:hAnsi="Times New Roman" w:cs="Times New Roman" w:eastAsiaTheme="minorEastAsia"/>
          <w:color w:val="auto"/>
          <w:highlight w:val="none"/>
        </w:rPr>
      </w:pPr>
    </w:p>
    <w:p>
      <w:pPr>
        <w:spacing w:line="48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供应商名称：</w:t>
      </w:r>
      <w:r>
        <w:rPr>
          <w:rFonts w:hint="default" w:ascii="Times New Roman" w:hAnsi="Times New Roman" w:cs="Times New Roman" w:eastAsiaTheme="minorEastAsia"/>
          <w:b/>
          <w:color w:val="auto"/>
          <w:sz w:val="24"/>
          <w:szCs w:val="24"/>
          <w:highlight w:val="none"/>
          <w:u w:val="single"/>
        </w:rPr>
        <w:t xml:space="preserve">        （全称）           </w:t>
      </w:r>
      <w:r>
        <w:rPr>
          <w:rFonts w:hint="default" w:ascii="Times New Roman" w:hAnsi="Times New Roman" w:cs="Times New Roman" w:eastAsiaTheme="minorEastAsia"/>
          <w:b/>
          <w:color w:val="auto"/>
          <w:sz w:val="24"/>
          <w:szCs w:val="24"/>
          <w:highlight w:val="none"/>
        </w:rPr>
        <w:t xml:space="preserve"> （公章）</w:t>
      </w:r>
    </w:p>
    <w:p>
      <w:pPr>
        <w:pStyle w:val="6"/>
        <w:pageBreakBefore/>
        <w:numPr>
          <w:ilvl w:val="0"/>
          <w:numId w:val="26"/>
        </w:numPr>
        <w:spacing w:after="120" w:afterLines="0"/>
        <w:rPr>
          <w:rFonts w:hint="default" w:ascii="Times New Roman" w:hAnsi="Times New Roman" w:cs="Times New Roman" w:eastAsiaTheme="minorEastAsia"/>
          <w:color w:val="auto"/>
          <w:sz w:val="36"/>
          <w:szCs w:val="36"/>
          <w:highlight w:val="none"/>
        </w:rPr>
      </w:pPr>
      <w:bookmarkStart w:id="501" w:name="_企业综合概况与实施方案"/>
      <w:bookmarkEnd w:id="501"/>
      <w:bookmarkStart w:id="502" w:name="_Toc23310"/>
      <w:bookmarkStart w:id="503" w:name="_Toc419106576"/>
      <w:bookmarkStart w:id="504" w:name="_Toc18968"/>
      <w:bookmarkStart w:id="505" w:name="_Toc31651"/>
      <w:r>
        <w:rPr>
          <w:rFonts w:hint="default" w:ascii="Times New Roman" w:hAnsi="Times New Roman" w:cs="Times New Roman" w:eastAsiaTheme="minorEastAsia"/>
          <w:color w:val="auto"/>
          <w:sz w:val="36"/>
          <w:szCs w:val="36"/>
          <w:highlight w:val="none"/>
        </w:rPr>
        <w:t>综合概况</w:t>
      </w:r>
      <w:bookmarkEnd w:id="495"/>
      <w:bookmarkEnd w:id="496"/>
      <w:bookmarkEnd w:id="497"/>
      <w:bookmarkEnd w:id="498"/>
      <w:bookmarkEnd w:id="499"/>
      <w:bookmarkEnd w:id="502"/>
      <w:bookmarkEnd w:id="503"/>
      <w:bookmarkEnd w:id="504"/>
      <w:bookmarkEnd w:id="505"/>
    </w:p>
    <w:p>
      <w:pPr>
        <w:pStyle w:val="39"/>
        <w:rPr>
          <w:rFonts w:hint="default" w:ascii="Times New Roman" w:hAnsi="Times New Roman" w:cs="Times New Roman" w:eastAsiaTheme="minorEastAsia"/>
          <w:color w:val="auto"/>
          <w:sz w:val="32"/>
          <w:szCs w:val="32"/>
          <w:highlight w:val="none"/>
        </w:rPr>
      </w:pPr>
    </w:p>
    <w:p>
      <w:pPr>
        <w:numPr>
          <w:ilvl w:val="0"/>
          <w:numId w:val="28"/>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eastAsia" w:cs="Times New Roman" w:eastAsiaTheme="minorEastAsia"/>
          <w:b/>
          <w:color w:val="auto"/>
          <w:sz w:val="32"/>
          <w:szCs w:val="32"/>
          <w:highlight w:val="none"/>
          <w:lang w:val="en-US" w:eastAsia="zh-CN"/>
        </w:rPr>
        <w:t>同类业绩</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58"/>
        <w:gridCol w:w="2327"/>
        <w:gridCol w:w="1524"/>
        <w:gridCol w:w="1139"/>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720"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1658"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客户单位名称</w:t>
            </w:r>
          </w:p>
        </w:tc>
        <w:tc>
          <w:tcPr>
            <w:tcW w:w="2327" w:type="dxa"/>
            <w:shd w:val="clear" w:color="auto" w:fill="F3F3F3"/>
            <w:noWrap w:val="0"/>
            <w:vAlign w:val="center"/>
          </w:tcPr>
          <w:p>
            <w:pPr>
              <w:jc w:val="center"/>
              <w:rPr>
                <w:rFonts w:hint="eastAsia" w:ascii="Times New Roman" w:hAnsi="Times New Roman" w:cs="Times New Roman" w:eastAsiaTheme="minorEastAsia"/>
                <w:b/>
                <w:bCs/>
                <w:color w:val="auto"/>
                <w:highlight w:val="none"/>
                <w:lang w:eastAsia="zh-CN"/>
              </w:rPr>
            </w:pPr>
            <w:r>
              <w:rPr>
                <w:rFonts w:hint="eastAsia" w:cs="Times New Roman" w:eastAsiaTheme="minorEastAsia"/>
                <w:b/>
                <w:bCs/>
                <w:color w:val="auto"/>
                <w:highlight w:val="none"/>
                <w:lang w:eastAsia="zh-CN"/>
              </w:rPr>
              <w:t>项目名称</w:t>
            </w:r>
          </w:p>
        </w:tc>
        <w:tc>
          <w:tcPr>
            <w:tcW w:w="1524"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合同金额（元）</w:t>
            </w:r>
          </w:p>
        </w:tc>
        <w:tc>
          <w:tcPr>
            <w:tcW w:w="1139"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完成时间</w:t>
            </w:r>
          </w:p>
        </w:tc>
        <w:tc>
          <w:tcPr>
            <w:tcW w:w="1712"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9"/>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9"/>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pStyle w:val="33"/>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9"/>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9"/>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9"/>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9"/>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080" w:type="dxa"/>
            <w:gridSpan w:val="6"/>
            <w:noWrap w:val="0"/>
            <w:vAlign w:val="center"/>
          </w:tcPr>
          <w:p>
            <w:pPr>
              <w:jc w:val="center"/>
              <w:rPr>
                <w:rFonts w:hint="default" w:ascii="Times New Roman" w:hAnsi="Times New Roman" w:cs="Times New Roman" w:eastAsiaTheme="minorEastAsia"/>
                <w:b/>
                <w:color w:val="auto"/>
                <w:highlight w:val="none"/>
              </w:rPr>
            </w:pPr>
          </w:p>
        </w:tc>
      </w:tr>
    </w:tbl>
    <w:p>
      <w:pPr>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：提供</w:t>
      </w:r>
      <w:r>
        <w:rPr>
          <w:rFonts w:hint="default" w:ascii="Times New Roman" w:hAnsi="Times New Roman" w:cs="Times New Roman" w:eastAsiaTheme="minorEastAsia"/>
          <w:b/>
          <w:bCs/>
          <w:color w:val="auto"/>
          <w:highlight w:val="none"/>
        </w:rPr>
        <w:t>评分标准中“商务部分”要求的证明资料</w:t>
      </w:r>
      <w:bookmarkStart w:id="506" w:name="_拟任本项目管理及技术人员情况"/>
      <w:bookmarkEnd w:id="506"/>
      <w:bookmarkStart w:id="507" w:name="_商务条款响应表_2"/>
      <w:bookmarkEnd w:id="507"/>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numPr>
          <w:ilvl w:val="0"/>
          <w:numId w:val="28"/>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eastAsia" w:cs="Times New Roman" w:eastAsiaTheme="minorEastAsia"/>
          <w:b/>
          <w:color w:val="auto"/>
          <w:sz w:val="32"/>
          <w:szCs w:val="32"/>
          <w:highlight w:val="none"/>
          <w:lang w:val="en-US" w:eastAsia="zh-CN"/>
        </w:rPr>
        <w:t>服务评级</w:t>
      </w:r>
    </w:p>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：提供</w:t>
      </w:r>
      <w:r>
        <w:rPr>
          <w:rFonts w:hint="default" w:ascii="Times New Roman" w:hAnsi="Times New Roman" w:cs="Times New Roman" w:eastAsiaTheme="minorEastAsia"/>
          <w:b/>
          <w:bCs/>
          <w:color w:val="auto"/>
          <w:highlight w:val="none"/>
        </w:rPr>
        <w:t>评分标准中“商务部分”要求的证明资料</w:t>
      </w:r>
    </w:p>
    <w:p>
      <w:pPr>
        <w:rPr>
          <w:rFonts w:hint="eastAsia" w:cs="Times New Roman" w:eastAsiaTheme="minorEastAsia"/>
          <w:b/>
          <w:color w:val="auto"/>
          <w:sz w:val="32"/>
          <w:szCs w:val="32"/>
          <w:highlight w:val="none"/>
          <w:lang w:eastAsia="zh-CN"/>
        </w:rPr>
      </w:pPr>
    </w:p>
    <w:p>
      <w:pPr>
        <w:rPr>
          <w:rFonts w:hint="eastAsia" w:cs="Times New Roman" w:eastAsiaTheme="minorEastAsia"/>
          <w:b/>
          <w:color w:val="auto"/>
          <w:sz w:val="32"/>
          <w:szCs w:val="32"/>
          <w:highlight w:val="none"/>
          <w:lang w:eastAsia="zh-CN"/>
        </w:rPr>
      </w:pPr>
    </w:p>
    <w:p>
      <w:pPr>
        <w:rPr>
          <w:rFonts w:hint="eastAsia" w:cs="Times New Roman" w:eastAsiaTheme="minorEastAsia"/>
          <w:b/>
          <w:color w:val="auto"/>
          <w:sz w:val="32"/>
          <w:szCs w:val="32"/>
          <w:highlight w:val="none"/>
          <w:lang w:eastAsia="zh-CN"/>
        </w:rPr>
      </w:pPr>
    </w:p>
    <w:p>
      <w:pPr>
        <w:numPr>
          <w:ilvl w:val="0"/>
          <w:numId w:val="28"/>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eastAsia" w:cs="Times New Roman" w:eastAsiaTheme="minorEastAsia"/>
          <w:b/>
          <w:color w:val="auto"/>
          <w:sz w:val="32"/>
          <w:szCs w:val="32"/>
          <w:highlight w:val="none"/>
          <w:lang w:val="en-US" w:eastAsia="zh-CN"/>
        </w:rPr>
        <w:t>综合偿付能力充足率</w:t>
      </w:r>
    </w:p>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：提供</w:t>
      </w:r>
      <w:r>
        <w:rPr>
          <w:rFonts w:hint="default" w:ascii="Times New Roman" w:hAnsi="Times New Roman" w:cs="Times New Roman" w:eastAsiaTheme="minorEastAsia"/>
          <w:b/>
          <w:bCs/>
          <w:color w:val="auto"/>
          <w:highlight w:val="none"/>
        </w:rPr>
        <w:t>评分标准中“商务部分”要求的证明资料</w:t>
      </w:r>
    </w:p>
    <w:p>
      <w:pPr>
        <w:rPr>
          <w:rFonts w:hint="eastAsia" w:cs="Times New Roman" w:eastAsiaTheme="minorEastAsia"/>
          <w:b/>
          <w:color w:val="auto"/>
          <w:sz w:val="32"/>
          <w:szCs w:val="32"/>
          <w:highlight w:val="none"/>
          <w:lang w:eastAsia="zh-CN"/>
        </w:rPr>
      </w:pPr>
    </w:p>
    <w:p>
      <w:pP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br w:type="page"/>
      </w:r>
    </w:p>
    <w:p>
      <w:pPr>
        <w:numPr>
          <w:ilvl w:val="0"/>
          <w:numId w:val="28"/>
        </w:numPr>
        <w:tabs>
          <w:tab w:val="left" w:pos="540"/>
        </w:tabs>
        <w:rPr>
          <w:rFonts w:hint="default" w:ascii="Times New Roman" w:hAnsi="Times New Roman" w:cs="Times New Roman" w:eastAsiaTheme="minorEastAsia"/>
          <w:b/>
          <w:color w:val="auto"/>
          <w:sz w:val="32"/>
          <w:szCs w:val="32"/>
          <w:highlight w:val="none"/>
        </w:rPr>
      </w:pPr>
      <w:r>
        <w:rPr>
          <w:rFonts w:hint="default" w:cs="Times New Roman" w:eastAsiaTheme="minorEastAsia"/>
          <w:b/>
          <w:color w:val="auto"/>
          <w:sz w:val="32"/>
          <w:szCs w:val="32"/>
          <w:highlight w:val="none"/>
        </w:rPr>
        <w:t>服务团队成员配备方案</w:t>
      </w:r>
    </w:p>
    <w:p>
      <w:pPr>
        <w:spacing w:line="400" w:lineRule="exact"/>
        <w:rPr>
          <w:rFonts w:hint="eastAsia" w:ascii="宋体" w:hAnsi="宋体" w:eastAsia="宋体"/>
          <w:sz w:val="24"/>
          <w:szCs w:val="28"/>
          <w:lang w:val="en-US" w:eastAsia="zh-CN"/>
        </w:rPr>
      </w:pPr>
      <w:r>
        <w:rPr>
          <w:rFonts w:hint="eastAsia" w:ascii="宋体" w:hAnsi="宋体"/>
          <w:sz w:val="24"/>
          <w:szCs w:val="28"/>
          <w:lang w:val="en-US" w:eastAsia="zh-CN"/>
        </w:rPr>
        <w:t>1、服务团队成员：</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5"/>
        <w:gridCol w:w="732"/>
        <w:gridCol w:w="728"/>
        <w:gridCol w:w="812"/>
        <w:gridCol w:w="1066"/>
        <w:gridCol w:w="1235"/>
        <w:gridCol w:w="1050"/>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37" w:type="dxa"/>
            <w:tcBorders>
              <w:top w:val="single" w:color="auto" w:sz="12" w:space="0"/>
              <w:bottom w:val="double" w:color="auto" w:sz="4" w:space="0"/>
            </w:tcBorders>
            <w:shd w:val="clear" w:color="auto" w:fill="EEECE1"/>
            <w:noWrap/>
            <w:vAlign w:val="center"/>
          </w:tcPr>
          <w:p>
            <w:pPr>
              <w:snapToGrid w:val="0"/>
              <w:ind w:left="-115" w:leftChars="-55" w:right="-122" w:rightChars="-58"/>
              <w:jc w:val="center"/>
              <w:rPr>
                <w:rFonts w:ascii="宋体" w:hAnsi="宋体"/>
              </w:rPr>
            </w:pPr>
            <w:r>
              <w:rPr>
                <w:rFonts w:hint="eastAsia" w:ascii="宋体" w:hAnsi="宋体"/>
              </w:rPr>
              <w:t>序号</w:t>
            </w:r>
          </w:p>
        </w:tc>
        <w:tc>
          <w:tcPr>
            <w:tcW w:w="1375" w:type="dxa"/>
            <w:tcBorders>
              <w:top w:val="single" w:color="auto" w:sz="12" w:space="0"/>
              <w:bottom w:val="double" w:color="auto" w:sz="4" w:space="0"/>
            </w:tcBorders>
            <w:shd w:val="clear" w:color="auto" w:fill="EEECE1"/>
            <w:noWrap/>
            <w:vAlign w:val="center"/>
          </w:tcPr>
          <w:p>
            <w:pPr>
              <w:pStyle w:val="36"/>
              <w:keepNext w:val="0"/>
              <w:snapToGrid w:val="0"/>
              <w:spacing w:before="0" w:after="0" w:line="240" w:lineRule="auto"/>
              <w:textAlignment w:val="auto"/>
              <w:rPr>
                <w:rFonts w:ascii="宋体" w:hAnsi="宋体"/>
                <w:snapToGrid/>
                <w:spacing w:val="0"/>
                <w:kern w:val="2"/>
                <w:sz w:val="21"/>
              </w:rPr>
            </w:pPr>
            <w:r>
              <w:rPr>
                <w:rFonts w:hint="eastAsia" w:ascii="宋体" w:hAnsi="宋体"/>
                <w:snapToGrid/>
                <w:spacing w:val="0"/>
                <w:kern w:val="2"/>
                <w:sz w:val="21"/>
              </w:rPr>
              <w:t>姓名</w:t>
            </w:r>
          </w:p>
        </w:tc>
        <w:tc>
          <w:tcPr>
            <w:tcW w:w="732" w:type="dxa"/>
            <w:tcBorders>
              <w:top w:val="single" w:color="auto" w:sz="12" w:space="0"/>
              <w:bottom w:val="double" w:color="auto" w:sz="4" w:space="0"/>
            </w:tcBorders>
            <w:shd w:val="clear" w:color="auto" w:fill="EEECE1"/>
            <w:noWrap/>
            <w:vAlign w:val="center"/>
          </w:tcPr>
          <w:p>
            <w:pPr>
              <w:snapToGrid w:val="0"/>
              <w:jc w:val="center"/>
              <w:rPr>
                <w:rFonts w:ascii="宋体" w:hAnsi="宋体"/>
              </w:rPr>
            </w:pPr>
            <w:r>
              <w:rPr>
                <w:rFonts w:hint="eastAsia" w:ascii="宋体" w:hAnsi="宋体"/>
              </w:rPr>
              <w:t>性别</w:t>
            </w:r>
          </w:p>
        </w:tc>
        <w:tc>
          <w:tcPr>
            <w:tcW w:w="728" w:type="dxa"/>
            <w:tcBorders>
              <w:top w:val="single" w:color="auto" w:sz="12" w:space="0"/>
              <w:bottom w:val="double" w:color="auto" w:sz="4" w:space="0"/>
            </w:tcBorders>
            <w:shd w:val="clear" w:color="auto" w:fill="EEECE1"/>
            <w:noWrap/>
            <w:vAlign w:val="center"/>
          </w:tcPr>
          <w:p>
            <w:pPr>
              <w:snapToGrid w:val="0"/>
              <w:jc w:val="center"/>
              <w:rPr>
                <w:rFonts w:ascii="宋体" w:hAnsi="宋体"/>
              </w:rPr>
            </w:pPr>
            <w:r>
              <w:rPr>
                <w:rFonts w:hint="eastAsia" w:ascii="宋体" w:hAnsi="宋体"/>
              </w:rPr>
              <w:t>年龄</w:t>
            </w:r>
          </w:p>
        </w:tc>
        <w:tc>
          <w:tcPr>
            <w:tcW w:w="812" w:type="dxa"/>
            <w:tcBorders>
              <w:top w:val="single" w:color="auto" w:sz="12" w:space="0"/>
              <w:bottom w:val="double" w:color="auto" w:sz="4" w:space="0"/>
            </w:tcBorders>
            <w:shd w:val="clear" w:color="auto" w:fill="EEECE1"/>
            <w:noWrap/>
            <w:vAlign w:val="center"/>
          </w:tcPr>
          <w:p>
            <w:pPr>
              <w:snapToGrid w:val="0"/>
              <w:jc w:val="center"/>
              <w:rPr>
                <w:rFonts w:ascii="宋体" w:hAnsi="宋体"/>
              </w:rPr>
            </w:pPr>
            <w:r>
              <w:rPr>
                <w:rFonts w:hint="eastAsia" w:ascii="宋体" w:hAnsi="宋体"/>
              </w:rPr>
              <w:t>学历</w:t>
            </w:r>
          </w:p>
        </w:tc>
        <w:tc>
          <w:tcPr>
            <w:tcW w:w="1066" w:type="dxa"/>
            <w:tcBorders>
              <w:top w:val="single" w:color="auto" w:sz="12" w:space="0"/>
              <w:bottom w:val="double" w:color="auto" w:sz="4" w:space="0"/>
            </w:tcBorders>
            <w:shd w:val="clear" w:color="auto" w:fill="EEECE1"/>
            <w:noWrap/>
            <w:vAlign w:val="center"/>
          </w:tcPr>
          <w:p>
            <w:pPr>
              <w:snapToGrid w:val="0"/>
              <w:jc w:val="center"/>
              <w:rPr>
                <w:rFonts w:ascii="宋体" w:hAnsi="宋体"/>
              </w:rPr>
            </w:pPr>
            <w:r>
              <w:rPr>
                <w:rFonts w:hint="eastAsia" w:ascii="宋体" w:hAnsi="宋体"/>
              </w:rPr>
              <w:t>职称</w:t>
            </w:r>
          </w:p>
        </w:tc>
        <w:tc>
          <w:tcPr>
            <w:tcW w:w="1235" w:type="dxa"/>
            <w:tcBorders>
              <w:top w:val="single" w:color="auto" w:sz="12" w:space="0"/>
              <w:bottom w:val="double" w:color="auto" w:sz="4" w:space="0"/>
            </w:tcBorders>
            <w:shd w:val="clear" w:color="auto" w:fill="EEECE1"/>
            <w:noWrap/>
            <w:vAlign w:val="center"/>
          </w:tcPr>
          <w:p>
            <w:pPr>
              <w:snapToGrid w:val="0"/>
              <w:jc w:val="center"/>
              <w:rPr>
                <w:rFonts w:ascii="宋体" w:hAnsi="宋体"/>
              </w:rPr>
            </w:pPr>
            <w:r>
              <w:rPr>
                <w:rFonts w:hint="eastAsia" w:ascii="宋体" w:hAnsi="宋体"/>
              </w:rPr>
              <w:t>专业</w:t>
            </w:r>
          </w:p>
        </w:tc>
        <w:tc>
          <w:tcPr>
            <w:tcW w:w="1050" w:type="dxa"/>
            <w:tcBorders>
              <w:top w:val="single" w:color="auto" w:sz="12" w:space="0"/>
              <w:bottom w:val="double" w:color="auto" w:sz="4" w:space="0"/>
            </w:tcBorders>
            <w:shd w:val="clear" w:color="auto" w:fill="EEECE1"/>
            <w:noWrap/>
            <w:vAlign w:val="center"/>
          </w:tcPr>
          <w:p>
            <w:pPr>
              <w:snapToGrid w:val="0"/>
              <w:ind w:left="-94" w:leftChars="-45" w:right="-105" w:rightChars="-50"/>
              <w:jc w:val="center"/>
              <w:rPr>
                <w:rFonts w:ascii="宋体" w:hAnsi="宋体"/>
              </w:rPr>
            </w:pPr>
            <w:r>
              <w:rPr>
                <w:rFonts w:hint="eastAsia" w:ascii="宋体" w:hAnsi="宋体"/>
              </w:rPr>
              <w:t>经验年限</w:t>
            </w:r>
          </w:p>
        </w:tc>
        <w:tc>
          <w:tcPr>
            <w:tcW w:w="1705" w:type="dxa"/>
            <w:tcBorders>
              <w:top w:val="single" w:color="auto" w:sz="12" w:space="0"/>
              <w:bottom w:val="double" w:color="auto" w:sz="4" w:space="0"/>
            </w:tcBorders>
            <w:shd w:val="clear" w:color="auto" w:fill="EEECE1"/>
            <w:noWrap/>
            <w:vAlign w:val="center"/>
          </w:tcPr>
          <w:p>
            <w:pPr>
              <w:snapToGrid w:val="0"/>
              <w:jc w:val="center"/>
              <w:rPr>
                <w:rFonts w:ascii="宋体" w:hAnsi="宋体"/>
              </w:rPr>
            </w:pPr>
            <w:r>
              <w:rPr>
                <w:rFonts w:hint="eastAsia" w:ascii="宋体" w:hAnsi="宋体"/>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tcBorders>
              <w:top w:val="double" w:color="auto" w:sz="4" w:space="0"/>
            </w:tcBorders>
            <w:noWrap/>
            <w:vAlign w:val="center"/>
          </w:tcPr>
          <w:p>
            <w:pPr>
              <w:spacing w:line="400" w:lineRule="exact"/>
              <w:ind w:right="-122" w:rightChars="-58"/>
              <w:jc w:val="center"/>
              <w:rPr>
                <w:rFonts w:ascii="宋体" w:hAnsi="宋体"/>
              </w:rPr>
            </w:pPr>
          </w:p>
        </w:tc>
        <w:tc>
          <w:tcPr>
            <w:tcW w:w="1375" w:type="dxa"/>
            <w:tcBorders>
              <w:top w:val="double" w:color="auto" w:sz="4" w:space="0"/>
            </w:tcBorders>
            <w:noWrap/>
            <w:vAlign w:val="center"/>
          </w:tcPr>
          <w:p>
            <w:pPr>
              <w:spacing w:line="400" w:lineRule="exact"/>
              <w:jc w:val="center"/>
              <w:rPr>
                <w:rFonts w:ascii="宋体" w:hAnsi="宋体"/>
              </w:rPr>
            </w:pPr>
          </w:p>
        </w:tc>
        <w:tc>
          <w:tcPr>
            <w:tcW w:w="732" w:type="dxa"/>
            <w:tcBorders>
              <w:top w:val="double" w:color="auto" w:sz="4" w:space="0"/>
            </w:tcBorders>
            <w:noWrap/>
            <w:vAlign w:val="center"/>
          </w:tcPr>
          <w:p>
            <w:pPr>
              <w:spacing w:line="400" w:lineRule="exact"/>
              <w:jc w:val="center"/>
              <w:rPr>
                <w:rFonts w:ascii="宋体" w:hAnsi="宋体"/>
              </w:rPr>
            </w:pPr>
          </w:p>
        </w:tc>
        <w:tc>
          <w:tcPr>
            <w:tcW w:w="728" w:type="dxa"/>
            <w:tcBorders>
              <w:top w:val="double" w:color="auto" w:sz="4" w:space="0"/>
            </w:tcBorders>
            <w:noWrap/>
            <w:vAlign w:val="center"/>
          </w:tcPr>
          <w:p>
            <w:pPr>
              <w:spacing w:line="400" w:lineRule="exact"/>
              <w:jc w:val="center"/>
              <w:rPr>
                <w:rFonts w:ascii="宋体" w:hAnsi="宋体"/>
              </w:rPr>
            </w:pPr>
          </w:p>
        </w:tc>
        <w:tc>
          <w:tcPr>
            <w:tcW w:w="812" w:type="dxa"/>
            <w:tcBorders>
              <w:top w:val="double" w:color="auto" w:sz="4" w:space="0"/>
            </w:tcBorders>
            <w:noWrap/>
            <w:vAlign w:val="center"/>
          </w:tcPr>
          <w:p>
            <w:pPr>
              <w:spacing w:line="400" w:lineRule="exact"/>
              <w:jc w:val="center"/>
              <w:rPr>
                <w:rFonts w:ascii="宋体" w:hAnsi="宋体"/>
              </w:rPr>
            </w:pPr>
          </w:p>
        </w:tc>
        <w:tc>
          <w:tcPr>
            <w:tcW w:w="1066" w:type="dxa"/>
            <w:tcBorders>
              <w:top w:val="double" w:color="auto" w:sz="4" w:space="0"/>
            </w:tcBorders>
            <w:noWrap/>
            <w:vAlign w:val="center"/>
          </w:tcPr>
          <w:p>
            <w:pPr>
              <w:spacing w:line="400" w:lineRule="exact"/>
              <w:jc w:val="center"/>
              <w:rPr>
                <w:rFonts w:ascii="宋体" w:hAnsi="宋体"/>
              </w:rPr>
            </w:pPr>
          </w:p>
        </w:tc>
        <w:tc>
          <w:tcPr>
            <w:tcW w:w="1235" w:type="dxa"/>
            <w:tcBorders>
              <w:top w:val="double" w:color="auto" w:sz="4" w:space="0"/>
            </w:tcBorders>
            <w:noWrap/>
            <w:vAlign w:val="center"/>
          </w:tcPr>
          <w:p>
            <w:pPr>
              <w:spacing w:line="400" w:lineRule="exact"/>
              <w:jc w:val="center"/>
              <w:rPr>
                <w:rFonts w:ascii="宋体" w:hAnsi="宋体"/>
              </w:rPr>
            </w:pPr>
          </w:p>
        </w:tc>
        <w:tc>
          <w:tcPr>
            <w:tcW w:w="1050" w:type="dxa"/>
            <w:tcBorders>
              <w:top w:val="double" w:color="auto" w:sz="4" w:space="0"/>
            </w:tcBorders>
            <w:noWrap/>
            <w:vAlign w:val="center"/>
          </w:tcPr>
          <w:p>
            <w:pPr>
              <w:spacing w:line="400" w:lineRule="exact"/>
              <w:jc w:val="center"/>
              <w:rPr>
                <w:rFonts w:ascii="宋体" w:hAnsi="宋体"/>
              </w:rPr>
            </w:pPr>
          </w:p>
        </w:tc>
        <w:tc>
          <w:tcPr>
            <w:tcW w:w="1705" w:type="dxa"/>
            <w:tcBorders>
              <w:top w:val="double" w:color="auto" w:sz="4" w:space="0"/>
            </w:tcBorders>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bl>
    <w:p>
      <w:pPr>
        <w:spacing w:line="500" w:lineRule="exact"/>
        <w:rPr>
          <w:rFonts w:ascii="宋体" w:hAnsi="宋体"/>
          <w:bCs/>
        </w:rPr>
      </w:pPr>
      <w:r>
        <w:rPr>
          <w:rFonts w:hint="eastAsia" w:ascii="宋体" w:hAnsi="宋体"/>
          <w:bCs/>
        </w:rPr>
        <w:t>备注</w:t>
      </w:r>
      <w:r>
        <w:rPr>
          <w:rFonts w:hint="eastAsia"/>
          <w:bCs/>
        </w:rPr>
        <w:t>：</w:t>
      </w:r>
      <w:r>
        <w:rPr>
          <w:rFonts w:hint="eastAsia" w:ascii="宋体" w:hAnsi="宋体"/>
        </w:rPr>
        <w:t>根据评分表的要求提交相应资料</w:t>
      </w:r>
      <w:r>
        <w:rPr>
          <w:rFonts w:hint="eastAsia" w:ascii="宋体" w:hAnsi="宋体"/>
          <w:bCs/>
        </w:rPr>
        <w:t>。</w:t>
      </w:r>
    </w:p>
    <w:p>
      <w:pPr>
        <w:numPr>
          <w:ilvl w:val="-1"/>
          <w:numId w:val="0"/>
        </w:numPr>
        <w:tabs>
          <w:tab w:val="left" w:pos="540"/>
        </w:tabs>
        <w:spacing w:line="360" w:lineRule="auto"/>
        <w:rPr>
          <w:rFonts w:hint="default" w:ascii="宋体" w:hAnsi="宋体"/>
          <w:spacing w:val="4"/>
          <w:u w:val="single"/>
        </w:rPr>
      </w:pPr>
    </w:p>
    <w:p>
      <w:pPr>
        <w:spacing w:line="360" w:lineRule="auto"/>
        <w:rPr>
          <w:rFonts w:hint="eastAsia" w:ascii="宋体" w:hAnsi="宋体" w:eastAsia="宋体"/>
          <w:sz w:val="24"/>
          <w:szCs w:val="28"/>
          <w:lang w:val="en-US" w:eastAsia="zh-CN"/>
        </w:rPr>
      </w:pPr>
      <w:r>
        <w:rPr>
          <w:rFonts w:hint="eastAsia" w:ascii="宋体" w:hAnsi="宋体"/>
          <w:sz w:val="24"/>
          <w:szCs w:val="28"/>
          <w:lang w:val="en-US" w:eastAsia="zh-CN"/>
        </w:rPr>
        <w:t>2、团队配备方案：</w:t>
      </w:r>
    </w:p>
    <w:p>
      <w:pPr>
        <w:numPr>
          <w:ilvl w:val="-1"/>
          <w:numId w:val="0"/>
        </w:numPr>
        <w:tabs>
          <w:tab w:val="left" w:pos="540"/>
        </w:tabs>
        <w:spacing w:line="360" w:lineRule="auto"/>
        <w:rPr>
          <w:rFonts w:hint="eastAsia" w:ascii="宋体" w:hAnsi="宋体"/>
          <w:spacing w:val="4"/>
          <w:u w:val="none"/>
          <w:lang w:eastAsia="zh-CN"/>
        </w:rPr>
      </w:pPr>
      <w:r>
        <w:rPr>
          <w:rFonts w:hint="eastAsia" w:ascii="宋体" w:hAnsi="宋体"/>
          <w:spacing w:val="4"/>
          <w:u w:val="none"/>
          <w:lang w:eastAsia="zh-CN"/>
        </w:rPr>
        <w:t>（</w:t>
      </w:r>
      <w:r>
        <w:rPr>
          <w:rFonts w:hint="eastAsia" w:ascii="宋体" w:hAnsi="宋体" w:eastAsia="宋体" w:cs="宋体"/>
          <w:sz w:val="21"/>
          <w:szCs w:val="21"/>
          <w:lang w:eastAsia="zh-CN"/>
        </w:rPr>
        <w:t>包括但不限于团队管理架构完善，团队的分工明确、合理，</w:t>
      </w:r>
      <w:r>
        <w:rPr>
          <w:rFonts w:hint="eastAsia" w:ascii="宋体" w:hAnsi="宋体" w:eastAsia="宋体" w:cs="宋体"/>
          <w:sz w:val="21"/>
          <w:szCs w:val="21"/>
        </w:rPr>
        <w:t>服务</w:t>
      </w:r>
      <w:r>
        <w:rPr>
          <w:rFonts w:hint="eastAsia" w:ascii="宋体" w:hAnsi="宋体" w:eastAsia="宋体" w:cs="宋体"/>
          <w:sz w:val="21"/>
          <w:szCs w:val="21"/>
          <w:lang w:eastAsia="zh-CN"/>
        </w:rPr>
        <w:t>团对成</w:t>
      </w:r>
      <w:r>
        <w:rPr>
          <w:rFonts w:hint="eastAsia" w:ascii="宋体" w:hAnsi="宋体" w:eastAsia="宋体" w:cs="宋体"/>
          <w:sz w:val="21"/>
          <w:szCs w:val="21"/>
        </w:rPr>
        <w:t>员稳定</w:t>
      </w:r>
      <w:r>
        <w:rPr>
          <w:rFonts w:hint="eastAsia" w:ascii="宋体" w:hAnsi="宋体" w:eastAsia="宋体" w:cs="宋体"/>
          <w:sz w:val="21"/>
          <w:szCs w:val="21"/>
          <w:lang w:eastAsia="zh-CN"/>
        </w:rPr>
        <w:t>性</w:t>
      </w:r>
      <w:r>
        <w:rPr>
          <w:rFonts w:hint="eastAsia" w:ascii="宋体" w:hAnsi="宋体"/>
          <w:spacing w:val="4"/>
          <w:u w:val="none"/>
          <w:lang w:eastAsia="zh-CN"/>
        </w:rPr>
        <w:t>）</w:t>
      </w:r>
    </w:p>
    <w:p>
      <w:pPr>
        <w:numPr>
          <w:ilvl w:val="-1"/>
          <w:numId w:val="0"/>
        </w:numPr>
        <w:tabs>
          <w:tab w:val="left" w:pos="540"/>
        </w:tabs>
        <w:spacing w:line="360" w:lineRule="auto"/>
        <w:rPr>
          <w:rFonts w:hint="eastAsia" w:ascii="宋体" w:hAnsi="宋体" w:eastAsia="宋体"/>
          <w:spacing w:val="4"/>
          <w:u w:val="none"/>
          <w:lang w:eastAsia="zh-CN"/>
        </w:rPr>
      </w:pPr>
    </w:p>
    <w:p>
      <w:pPr>
        <w:numPr>
          <w:ilvl w:val="0"/>
          <w:numId w:val="28"/>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其它重要事项说明及承诺</w:t>
      </w:r>
    </w:p>
    <w:p>
      <w:pPr>
        <w:tabs>
          <w:tab w:val="left" w:pos="540"/>
        </w:tabs>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（内容包括但不限于：需要向磋商小组如实告知的重要事项、重要补充承诺等</w:t>
      </w:r>
      <w:bookmarkStart w:id="508" w:name="_投标报价汇总表"/>
      <w:bookmarkEnd w:id="508"/>
    </w:p>
    <w:p>
      <w:pPr>
        <w:tabs>
          <w:tab w:val="left" w:pos="540"/>
        </w:tabs>
        <w:spacing w:line="360" w:lineRule="auto"/>
        <w:rPr>
          <w:rFonts w:hint="default" w:ascii="Times New Roman" w:hAnsi="Times New Roman" w:cs="Times New Roman" w:eastAsiaTheme="minorEastAsia"/>
          <w:color w:val="auto"/>
          <w:highlight w:val="none"/>
        </w:rPr>
      </w:pPr>
    </w:p>
    <w:p>
      <w:pPr>
        <w:tabs>
          <w:tab w:val="left" w:pos="540"/>
        </w:tabs>
        <w:spacing w:line="360" w:lineRule="auto"/>
        <w:rPr>
          <w:rFonts w:hint="default" w:ascii="Times New Roman" w:hAnsi="Times New Roman" w:cs="Times New Roman" w:eastAsiaTheme="minorEastAsia"/>
          <w:color w:val="auto"/>
          <w:highlight w:val="none"/>
        </w:rPr>
        <w:sectPr>
          <w:pgSz w:w="11906" w:h="16838"/>
          <w:pgMar w:top="1134" w:right="1134" w:bottom="1134" w:left="1587" w:header="567" w:footer="737" w:gutter="0"/>
          <w:pgNumType w:fmt="decimal"/>
          <w:cols w:space="720" w:num="1"/>
          <w:docGrid w:linePitch="312" w:charSpace="0"/>
        </w:sectPr>
      </w:pPr>
    </w:p>
    <w:p>
      <w:pPr>
        <w:pStyle w:val="6"/>
        <w:pageBreakBefore/>
        <w:numPr>
          <w:ilvl w:val="0"/>
          <w:numId w:val="26"/>
        </w:numPr>
        <w:spacing w:after="120" w:afterLines="0"/>
        <w:rPr>
          <w:rFonts w:hint="default" w:ascii="Times New Roman" w:hAnsi="Times New Roman" w:cs="Times New Roman" w:eastAsiaTheme="minorEastAsia"/>
          <w:color w:val="auto"/>
          <w:sz w:val="36"/>
          <w:szCs w:val="36"/>
          <w:highlight w:val="none"/>
        </w:rPr>
      </w:pPr>
      <w:bookmarkStart w:id="509" w:name="_投标报价汇总表_1"/>
      <w:bookmarkEnd w:id="509"/>
      <w:bookmarkStart w:id="510" w:name="_Toc13487"/>
      <w:bookmarkStart w:id="511" w:name="_Toc10979"/>
      <w:bookmarkStart w:id="512" w:name="_Toc14294"/>
      <w:r>
        <w:rPr>
          <w:rFonts w:hint="default" w:ascii="Times New Roman" w:hAnsi="Times New Roman" w:cs="Times New Roman" w:eastAsiaTheme="minorEastAsia"/>
          <w:color w:val="auto"/>
          <w:sz w:val="36"/>
          <w:szCs w:val="36"/>
          <w:highlight w:val="none"/>
        </w:rPr>
        <w:fldChar w:fldCharType="begin"/>
      </w:r>
      <w:r>
        <w:rPr>
          <w:rFonts w:hint="default" w:ascii="Times New Roman" w:hAnsi="Times New Roman" w:cs="Times New Roman" w:eastAsiaTheme="minorEastAsia"/>
          <w:color w:val="auto"/>
          <w:sz w:val="36"/>
          <w:szCs w:val="36"/>
          <w:highlight w:val="none"/>
        </w:rPr>
        <w:instrText xml:space="preserve"> DOCVARIABLE  报价一览表开始  \* MERGEFORMAT </w:instrText>
      </w:r>
      <w:r>
        <w:rPr>
          <w:rFonts w:hint="default" w:ascii="Times New Roman" w:hAnsi="Times New Roman" w:cs="Times New Roman" w:eastAsiaTheme="minorEastAsia"/>
          <w:color w:val="auto"/>
          <w:sz w:val="36"/>
          <w:szCs w:val="36"/>
          <w:highlight w:val="none"/>
        </w:rPr>
        <w:fldChar w:fldCharType="separate"/>
      </w:r>
      <w:r>
        <w:rPr>
          <w:rFonts w:hint="default" w:ascii="Times New Roman" w:hAnsi="Times New Roman" w:cs="Times New Roman" w:eastAsiaTheme="minorEastAsia"/>
          <w:color w:val="auto"/>
          <w:sz w:val="36"/>
          <w:szCs w:val="36"/>
          <w:highlight w:val="none"/>
        </w:rPr>
        <w:fldChar w:fldCharType="end"/>
      </w:r>
      <w:bookmarkStart w:id="513" w:name="_Toc419106577"/>
      <w:bookmarkStart w:id="514" w:name="_Toc159385082"/>
      <w:r>
        <w:rPr>
          <w:rFonts w:hint="default" w:ascii="Times New Roman" w:hAnsi="Times New Roman" w:cs="Times New Roman" w:eastAsiaTheme="minorEastAsia"/>
          <w:color w:val="auto"/>
          <w:sz w:val="36"/>
          <w:szCs w:val="36"/>
          <w:highlight w:val="none"/>
        </w:rPr>
        <w:t>报价汇总表</w:t>
      </w:r>
      <w:bookmarkEnd w:id="510"/>
      <w:bookmarkEnd w:id="511"/>
      <w:bookmarkEnd w:id="512"/>
      <w:bookmarkEnd w:id="513"/>
      <w:bookmarkEnd w:id="514"/>
    </w:p>
    <w:p>
      <w:pPr>
        <w:spacing w:line="360" w:lineRule="auto"/>
        <w:jc w:val="left"/>
        <w:rPr>
          <w:rFonts w:hint="default" w:ascii="Times New Roman" w:hAnsi="Times New Roman" w:cs="Times New Roman" w:eastAsiaTheme="minorEastAsia"/>
          <w:bCs/>
          <w:color w:val="auto"/>
          <w:highlight w:val="none"/>
        </w:rPr>
      </w:pPr>
    </w:p>
    <w:p>
      <w:pPr>
        <w:tabs>
          <w:tab w:val="left" w:pos="5940"/>
        </w:tabs>
        <w:spacing w:line="360" w:lineRule="auto"/>
        <w:jc w:val="left"/>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rPr>
        <w:t>项目名称：</w:t>
      </w:r>
      <w:r>
        <w:rPr>
          <w:rFonts w:hint="eastAsia" w:cs="Times New Roman" w:eastAsiaTheme="minorEastAsia"/>
          <w:bCs/>
          <w:color w:val="auto"/>
          <w:highlight w:val="none"/>
          <w:lang w:eastAsia="zh-CN"/>
        </w:rPr>
        <w:t>佛山市消防救援支队购买团体意外伤害保险项目</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t xml:space="preserve"> </w:t>
      </w:r>
      <w:r>
        <w:rPr>
          <w:rFonts w:hint="default" w:ascii="Times New Roman" w:hAnsi="Times New Roman" w:cs="Times New Roman" w:eastAsiaTheme="minorEastAsia"/>
          <w:bCs/>
          <w:color w:val="auto"/>
          <w:highlight w:val="none"/>
        </w:rPr>
        <w:t xml:space="preserve">        </w:t>
      </w:r>
    </w:p>
    <w:p>
      <w:pPr>
        <w:tabs>
          <w:tab w:val="left" w:pos="5940"/>
        </w:tabs>
        <w:spacing w:line="360" w:lineRule="auto"/>
        <w:jc w:val="left"/>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rPr>
        <w:t>项目编号：</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采购编号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eastAsia" w:cs="Times New Roman" w:eastAsiaTheme="minorEastAsia"/>
          <w:bCs/>
          <w:color w:val="auto"/>
          <w:highlight w:val="none"/>
          <w:lang w:eastAsia="zh-CN"/>
        </w:rPr>
        <w:t>2023XFCG-09</w:t>
      </w:r>
    </w:p>
    <w:p>
      <w:pPr>
        <w:tabs>
          <w:tab w:val="left" w:pos="5940"/>
        </w:tabs>
        <w:spacing w:line="360" w:lineRule="auto"/>
        <w:jc w:val="left"/>
        <w:rPr>
          <w:rFonts w:hint="default" w:ascii="Times New Roman" w:hAnsi="Times New Roman" w:cs="Times New Roman" w:eastAsiaTheme="minorEastAsia"/>
          <w:bCs/>
          <w:color w:val="auto"/>
          <w:highlight w:val="none"/>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1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710" w:type="dxa"/>
            <w:tcBorders>
              <w:top w:val="single" w:color="auto" w:sz="12" w:space="0"/>
              <w:bottom w:val="double" w:color="auto" w:sz="4" w:space="0"/>
            </w:tcBorders>
            <w:shd w:val="clear" w:color="auto" w:fill="EEECE1"/>
            <w:noWrap/>
            <w:vAlign w:val="center"/>
          </w:tcPr>
          <w:p>
            <w:pPr>
              <w:snapToGrid w:val="0"/>
              <w:jc w:val="center"/>
              <w:rPr>
                <w:rFonts w:ascii="宋体" w:hAnsi="宋体"/>
                <w:b/>
              </w:rPr>
            </w:pPr>
            <w:r>
              <w:rPr>
                <w:rFonts w:hint="eastAsia" w:ascii="宋体" w:hAnsi="宋体"/>
                <w:b/>
              </w:rPr>
              <w:t>项目名称</w:t>
            </w:r>
          </w:p>
        </w:tc>
        <w:tc>
          <w:tcPr>
            <w:tcW w:w="4196" w:type="dxa"/>
            <w:tcBorders>
              <w:top w:val="single" w:color="auto" w:sz="12" w:space="0"/>
              <w:bottom w:val="double" w:color="auto" w:sz="4" w:space="0"/>
            </w:tcBorders>
            <w:shd w:val="clear" w:color="auto" w:fill="EEECE1"/>
            <w:noWrap/>
            <w:vAlign w:val="center"/>
          </w:tcPr>
          <w:p>
            <w:pPr>
              <w:snapToGrid w:val="0"/>
              <w:jc w:val="center"/>
              <w:rPr>
                <w:rFonts w:ascii="宋体" w:hAnsi="宋体"/>
                <w:b/>
              </w:rPr>
            </w:pPr>
            <w:r>
              <w:rPr>
                <w:rFonts w:hint="eastAsia" w:ascii="宋体" w:hAnsi="宋体"/>
                <w:b/>
              </w:rPr>
              <w:t>投标下浮率（%）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4710" w:type="dxa"/>
            <w:tcBorders>
              <w:top w:val="double" w:color="auto" w:sz="4" w:space="0"/>
              <w:bottom w:val="single" w:color="auto" w:sz="4" w:space="0"/>
            </w:tcBorders>
            <w:noWrap/>
            <w:vAlign w:val="center"/>
          </w:tcPr>
          <w:p>
            <w:pPr>
              <w:snapToGrid w:val="0"/>
              <w:jc w:val="center"/>
              <w:rPr>
                <w:rFonts w:hint="eastAsia" w:ascii="宋体" w:hAnsi="宋体"/>
                <w:bCs/>
              </w:rPr>
            </w:pPr>
            <w:r>
              <w:rPr>
                <w:rFonts w:hint="eastAsia" w:ascii="宋体" w:hAnsi="宋体"/>
                <w:bCs/>
              </w:rPr>
              <w:t>佛山市消防救援支队购买团体意外伤害保险项目</w:t>
            </w:r>
          </w:p>
        </w:tc>
        <w:tc>
          <w:tcPr>
            <w:tcW w:w="4196" w:type="dxa"/>
            <w:tcBorders>
              <w:top w:val="double" w:color="auto" w:sz="4" w:space="0"/>
              <w:bottom w:val="single" w:color="auto" w:sz="4" w:space="0"/>
            </w:tcBorders>
            <w:noWrap/>
            <w:vAlign w:val="center"/>
          </w:tcPr>
          <w:p>
            <w:pPr>
              <w:spacing w:line="360" w:lineRule="auto"/>
              <w:rPr>
                <w:rFonts w:ascii="宋体" w:hAnsi="宋体"/>
                <w:szCs w:val="24"/>
                <w:u w:val="single"/>
              </w:rPr>
            </w:pPr>
            <w:r>
              <w:rPr>
                <w:rFonts w:hint="eastAsia" w:ascii="宋体" w:hAnsi="宋体"/>
                <w:szCs w:val="24"/>
              </w:rPr>
              <w:t>大写：百分之</w:t>
            </w:r>
            <w:r>
              <w:rPr>
                <w:rFonts w:hint="eastAsia" w:ascii="宋体" w:hAnsi="宋体"/>
                <w:szCs w:val="24"/>
                <w:u w:val="single"/>
              </w:rPr>
              <w:t xml:space="preserve">               </w:t>
            </w:r>
          </w:p>
          <w:p>
            <w:pPr>
              <w:snapToGrid w:val="0"/>
              <w:spacing w:line="360" w:lineRule="auto"/>
              <w:rPr>
                <w:rFonts w:ascii="宋体" w:hAnsi="宋体"/>
                <w:bCs/>
                <w:u w:val="single"/>
              </w:rPr>
            </w:pPr>
            <w:r>
              <w:rPr>
                <w:rFonts w:hint="eastAsia" w:ascii="宋体" w:hAnsi="宋体"/>
                <w:szCs w:val="24"/>
              </w:rPr>
              <w:t>小写：</w:t>
            </w:r>
            <w:r>
              <w:rPr>
                <w:rFonts w:hint="eastAsia" w:ascii="宋体" w:hAnsi="宋体"/>
                <w:szCs w:val="24"/>
                <w:u w:val="single"/>
              </w:rPr>
              <w:t xml:space="preserve">           </w:t>
            </w:r>
            <w:r>
              <w:rPr>
                <w:rFonts w:hint="eastAsia" w:ascii="宋体" w:hAnsi="宋体"/>
                <w:szCs w:val="24"/>
              </w:rPr>
              <w:t>%</w:t>
            </w:r>
          </w:p>
        </w:tc>
      </w:tr>
    </w:tbl>
    <w:p>
      <w:pPr>
        <w:spacing w:line="360" w:lineRule="auto"/>
        <w:jc w:val="left"/>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填表要求：</w:t>
      </w:r>
    </w:p>
    <w:p>
      <w:pPr>
        <w:numPr>
          <w:ilvl w:val="0"/>
          <w:numId w:val="30"/>
        </w:numPr>
        <w:autoSpaceDE/>
        <w:autoSpaceDN/>
        <w:adjustRightInd/>
        <w:snapToGrid w:val="0"/>
        <w:spacing w:line="360" w:lineRule="auto"/>
        <w:jc w:val="both"/>
        <w:rPr>
          <w:rFonts w:ascii="宋体" w:hAnsi="宋体"/>
          <w:b/>
        </w:rPr>
      </w:pPr>
      <w:r>
        <w:rPr>
          <w:rFonts w:hint="eastAsia" w:ascii="宋体" w:hAnsi="宋体"/>
          <w:b/>
        </w:rPr>
        <w:t>本项目的报价为整体下浮率报价，保留两位小数，需在0.00%≤投标下浮率≤100.00%范围内，且是固定唯一值的。</w:t>
      </w:r>
    </w:p>
    <w:p>
      <w:pPr>
        <w:numPr>
          <w:ilvl w:val="0"/>
          <w:numId w:val="30"/>
        </w:numPr>
        <w:autoSpaceDE/>
        <w:autoSpaceDN/>
        <w:adjustRightInd/>
        <w:snapToGrid w:val="0"/>
        <w:spacing w:line="360" w:lineRule="auto"/>
        <w:jc w:val="both"/>
        <w:rPr>
          <w:rFonts w:ascii="宋体" w:hAnsi="宋体"/>
          <w:b/>
        </w:rPr>
      </w:pPr>
      <w:r>
        <w:rPr>
          <w:rFonts w:ascii="宋体" w:hAnsi="宋体"/>
          <w:b/>
        </w:rPr>
        <w:t>此表须附在正、副本的响应文件中</w:t>
      </w:r>
      <w:r>
        <w:rPr>
          <w:rFonts w:hint="eastAsia" w:ascii="宋体" w:hAnsi="宋体"/>
          <w:b/>
        </w:rPr>
        <w:t>。</w:t>
      </w:r>
    </w:p>
    <w:p>
      <w:pPr>
        <w:numPr>
          <w:ilvl w:val="0"/>
          <w:numId w:val="30"/>
        </w:numPr>
        <w:tabs>
          <w:tab w:val="left" w:pos="360"/>
        </w:tabs>
        <w:autoSpaceDE/>
        <w:autoSpaceDN/>
        <w:adjustRightInd/>
        <w:snapToGrid w:val="0"/>
        <w:spacing w:line="360" w:lineRule="auto"/>
        <w:jc w:val="both"/>
        <w:rPr>
          <w:b/>
          <w:u w:val="double"/>
        </w:rPr>
      </w:pPr>
      <w:r>
        <w:rPr>
          <w:rFonts w:hint="eastAsia"/>
          <w:b/>
          <w:u w:val="double"/>
        </w:rPr>
        <w:t>各响应供应商可自行保留一份《</w:t>
      </w:r>
      <w:r>
        <w:rPr>
          <w:rFonts w:hint="eastAsia"/>
          <w:b/>
          <w:u w:val="double"/>
          <w:lang w:eastAsia="zh-CN"/>
        </w:rPr>
        <w:t>报价汇总表</w:t>
      </w:r>
      <w:r>
        <w:rPr>
          <w:rFonts w:hint="eastAsia"/>
          <w:b/>
          <w:u w:val="double"/>
        </w:rPr>
        <w:t>》，以便磋商报价时参考用。</w:t>
      </w:r>
    </w:p>
    <w:p>
      <w:pPr>
        <w:spacing w:line="360" w:lineRule="auto"/>
        <w:rPr>
          <w:rFonts w:hint="default" w:ascii="Times New Roman" w:hAnsi="Times New Roman" w:cs="Times New Roman" w:eastAsiaTheme="minorEastAsia"/>
          <w:b/>
          <w:color w:val="auto"/>
          <w:highlight w:val="none"/>
        </w:rPr>
      </w:pPr>
    </w:p>
    <w:p>
      <w:pPr>
        <w:spacing w:line="360" w:lineRule="auto"/>
        <w:rPr>
          <w:rFonts w:hint="default" w:ascii="Times New Roman" w:hAnsi="Times New Roman" w:cs="Times New Roman" w:eastAsiaTheme="minorEastAsia"/>
          <w:b/>
          <w:color w:val="auto"/>
          <w:highlight w:val="none"/>
        </w:rPr>
      </w:pPr>
    </w:p>
    <w:p>
      <w:pPr>
        <w:spacing w:line="480" w:lineRule="auto"/>
        <w:rPr>
          <w:rFonts w:hint="default" w:ascii="Times New Roman" w:hAnsi="Times New Roman" w:cs="Times New Roman" w:eastAsiaTheme="minorEastAsia"/>
          <w:b/>
          <w:color w:val="auto"/>
          <w:highlight w:val="none"/>
        </w:rPr>
      </w:pPr>
    </w:p>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供应商名称：</w:t>
      </w:r>
      <w:r>
        <w:rPr>
          <w:rFonts w:hint="default" w:ascii="Times New Roman" w:hAnsi="Times New Roman" w:cs="Times New Roman" w:eastAsiaTheme="minorEastAsia"/>
          <w:b/>
          <w:color w:val="auto"/>
          <w:highlight w:val="none"/>
          <w:u w:val="single"/>
        </w:rPr>
        <w:t xml:space="preserve">      （全称）             </w:t>
      </w:r>
      <w:r>
        <w:rPr>
          <w:rFonts w:hint="default" w:ascii="Times New Roman" w:hAnsi="Times New Roman" w:cs="Times New Roman" w:eastAsiaTheme="minorEastAsia"/>
          <w:b/>
          <w:color w:val="auto"/>
          <w:highlight w:val="none"/>
        </w:rPr>
        <w:t xml:space="preserve"> （公章）</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授权代表：</w:t>
      </w:r>
      <w:r>
        <w:rPr>
          <w:rFonts w:hint="default" w:ascii="Times New Roman" w:hAnsi="Times New Roman" w:cs="Times New Roman" w:eastAsiaTheme="minorEastAsia"/>
          <w:b/>
          <w:color w:val="auto"/>
          <w:highlight w:val="none"/>
          <w:u w:val="single"/>
        </w:rPr>
        <w:t xml:space="preserve">                              </w:t>
      </w:r>
      <w:r>
        <w:rPr>
          <w:rFonts w:hint="default" w:ascii="Times New Roman" w:hAnsi="Times New Roman" w:cs="Times New Roman" w:eastAsiaTheme="minorEastAsia"/>
          <w:b/>
          <w:color w:val="auto"/>
          <w:highlight w:val="none"/>
        </w:rPr>
        <w:t xml:space="preserve">（亲笔签名）     </w:t>
      </w:r>
    </w:p>
    <w:p>
      <w:pPr>
        <w:spacing w:line="360" w:lineRule="auto"/>
        <w:jc w:val="left"/>
        <w:rPr>
          <w:rFonts w:hint="default" w:ascii="Times New Roman" w:hAnsi="Times New Roman" w:cs="Times New Roman" w:eastAsiaTheme="minorEastAsia"/>
          <w:b/>
          <w:color w:val="auto"/>
          <w:highlight w:val="none"/>
        </w:rPr>
        <w:sectPr>
          <w:pgSz w:w="11906" w:h="16838"/>
          <w:pgMar w:top="1134" w:right="1134" w:bottom="1134" w:left="1587" w:header="567" w:footer="737" w:gutter="0"/>
          <w:pgNumType w:fmt="decimal"/>
          <w:cols w:space="720" w:num="1"/>
          <w:docGrid w:linePitch="312" w:charSpace="0"/>
        </w:sectPr>
      </w:pPr>
      <w:r>
        <w:rPr>
          <w:rFonts w:hint="default" w:ascii="Times New Roman" w:hAnsi="Times New Roman" w:cs="Times New Roman" w:eastAsiaTheme="minorEastAsia"/>
          <w:b/>
          <w:color w:val="auto"/>
          <w:highlight w:val="none"/>
        </w:rPr>
        <w:t>日期：    年    月    日</w:t>
      </w:r>
    </w:p>
    <w:bookmarkEnd w:id="345"/>
    <w:bookmarkEnd w:id="346"/>
    <w:bookmarkEnd w:id="347"/>
    <w:bookmarkEnd w:id="348"/>
    <w:bookmarkEnd w:id="349"/>
    <w:p>
      <w:pPr>
        <w:pStyle w:val="4"/>
        <w:pageBreakBefore/>
        <w:rPr>
          <w:rFonts w:hint="default" w:ascii="Times New Roman" w:hAnsi="Times New Roman" w:cs="Times New Roman" w:eastAsiaTheme="minorEastAsia"/>
          <w:b w:val="0"/>
          <w:bCs/>
          <w:color w:val="auto"/>
          <w:sz w:val="52"/>
          <w:highlight w:val="none"/>
        </w:rPr>
        <w:sectPr>
          <w:headerReference r:id="rId23" w:type="default"/>
          <w:pgSz w:w="11906" w:h="16838"/>
          <w:pgMar w:top="1134" w:right="1134" w:bottom="1134" w:left="1588" w:header="567" w:footer="737" w:gutter="0"/>
          <w:pgNumType w:fmt="decimal"/>
          <w:cols w:space="720" w:num="1"/>
          <w:docGrid w:linePitch="312" w:charSpace="0"/>
        </w:sectPr>
      </w:pPr>
      <w:bookmarkStart w:id="515" w:name="_报价清单明细表"/>
      <w:bookmarkEnd w:id="515"/>
      <w:bookmarkStart w:id="516" w:name="_详细配置及工程服务量报价清单"/>
      <w:bookmarkEnd w:id="516"/>
      <w:bookmarkStart w:id="517" w:name="_Toc23703"/>
      <w:bookmarkStart w:id="518" w:name="_Toc7183"/>
      <w:bookmarkStart w:id="519" w:name="_Toc310519907"/>
      <w:bookmarkStart w:id="520" w:name="_Toc10384"/>
      <w:bookmarkStart w:id="521" w:name="_Toc373767222"/>
      <w:bookmarkStart w:id="522" w:name="_Toc325031962"/>
      <w:bookmarkStart w:id="523" w:name="_Toc419106585"/>
      <w:bookmarkStart w:id="524" w:name="_Toc49329275"/>
      <w:bookmarkStart w:id="525" w:name="_Toc37670374"/>
      <w:r>
        <w:rPr>
          <w:rFonts w:hint="default" w:ascii="Times New Roman" w:hAnsi="Times New Roman" w:cs="Times New Roman" w:eastAsiaTheme="minorEastAsia"/>
          <w:b w:val="0"/>
          <w:bCs/>
          <w:color w:val="auto"/>
          <w:sz w:val="52"/>
          <w:highlight w:val="none"/>
        </w:rPr>
        <w:fldChar w:fldCharType="begin"/>
      </w:r>
      <w:r>
        <w:rPr>
          <w:rFonts w:hint="default" w:ascii="Times New Roman" w:hAnsi="Times New Roman" w:cs="Times New Roman" w:eastAsiaTheme="minorEastAsia"/>
          <w:b w:val="0"/>
          <w:bCs/>
          <w:color w:val="auto"/>
          <w:sz w:val="52"/>
          <w:highlight w:val="none"/>
        </w:rPr>
        <w:instrText xml:space="preserve"> HYPERLINK  \l "_投标文件目录" </w:instrText>
      </w:r>
      <w:r>
        <w:rPr>
          <w:rFonts w:hint="default" w:ascii="Times New Roman" w:hAnsi="Times New Roman" w:cs="Times New Roman" w:eastAsiaTheme="minorEastAsia"/>
          <w:b w:val="0"/>
          <w:bCs/>
          <w:color w:val="auto"/>
          <w:sz w:val="52"/>
          <w:highlight w:val="none"/>
        </w:rPr>
        <w:fldChar w:fldCharType="separate"/>
      </w:r>
      <w:bookmarkStart w:id="526" w:name="_Toc419106580"/>
      <w:bookmarkStart w:id="527" w:name="_Toc259803672"/>
      <w:bookmarkStart w:id="528" w:name="_Toc240108119"/>
      <w:r>
        <w:rPr>
          <w:rFonts w:hint="default" w:ascii="Times New Roman" w:hAnsi="Times New Roman" w:cs="Times New Roman" w:eastAsiaTheme="minorEastAsia"/>
          <w:b w:val="0"/>
          <w:bCs/>
          <w:color w:val="auto"/>
          <w:sz w:val="52"/>
          <w:highlight w:val="none"/>
        </w:rPr>
        <w:t>第四章  技术部分</w:t>
      </w:r>
      <w:bookmarkEnd w:id="526"/>
      <w:bookmarkEnd w:id="527"/>
      <w:bookmarkEnd w:id="528"/>
      <w:r>
        <w:rPr>
          <w:rFonts w:hint="default" w:ascii="Times New Roman" w:hAnsi="Times New Roman" w:cs="Times New Roman" w:eastAsiaTheme="minorEastAsia"/>
          <w:b w:val="0"/>
          <w:bCs/>
          <w:color w:val="auto"/>
          <w:sz w:val="52"/>
          <w:highlight w:val="none"/>
        </w:rPr>
        <w:fldChar w:fldCharType="end"/>
      </w:r>
      <w:bookmarkEnd w:id="517"/>
      <w:bookmarkEnd w:id="518"/>
    </w:p>
    <w:p>
      <w:pPr>
        <w:pStyle w:val="6"/>
        <w:pageBreakBefore/>
        <w:numPr>
          <w:ilvl w:val="0"/>
          <w:numId w:val="31"/>
        </w:numPr>
        <w:spacing w:after="120" w:afterLines="0"/>
        <w:rPr>
          <w:rFonts w:hint="default" w:ascii="Times New Roman" w:hAnsi="Times New Roman" w:cs="Times New Roman" w:eastAsiaTheme="minorEastAsia"/>
          <w:color w:val="auto"/>
          <w:sz w:val="36"/>
          <w:szCs w:val="36"/>
          <w:highlight w:val="none"/>
        </w:rPr>
      </w:pPr>
      <w:bookmarkStart w:id="529" w:name="_组织实施方案"/>
      <w:bookmarkEnd w:id="529"/>
      <w:bookmarkStart w:id="530" w:name="_方案设计与组织实施"/>
      <w:bookmarkEnd w:id="530"/>
      <w:bookmarkStart w:id="531" w:name="_Toc18535"/>
      <w:bookmarkStart w:id="532" w:name="_Toc119321159"/>
      <w:bookmarkStart w:id="533" w:name="_Toc136662948"/>
      <w:bookmarkStart w:id="534" w:name="_Toc136682924"/>
      <w:bookmarkStart w:id="535" w:name="_Toc20510"/>
      <w:bookmarkStart w:id="536" w:name="_Toc108234924"/>
      <w:bookmarkStart w:id="537" w:name="_Toc49329271"/>
      <w:bookmarkStart w:id="538" w:name="_Toc37670367"/>
      <w:r>
        <w:rPr>
          <w:rFonts w:hint="default" w:ascii="Times New Roman" w:hAnsi="Times New Roman" w:cs="Times New Roman" w:eastAsiaTheme="minorEastAsia"/>
          <w:color w:val="auto"/>
          <w:sz w:val="36"/>
          <w:szCs w:val="36"/>
          <w:highlight w:val="none"/>
        </w:rPr>
        <w:fldChar w:fldCharType="begin"/>
      </w:r>
      <w:r>
        <w:rPr>
          <w:rFonts w:hint="default" w:ascii="Times New Roman" w:hAnsi="Times New Roman" w:cs="Times New Roman" w:eastAsiaTheme="minorEastAsia"/>
          <w:color w:val="auto"/>
          <w:sz w:val="36"/>
          <w:szCs w:val="36"/>
          <w:highlight w:val="none"/>
        </w:rPr>
        <w:instrText xml:space="preserve"> DOCVARIABLE  设备技术响应表开始  \* MERGEFORMAT </w:instrText>
      </w:r>
      <w:r>
        <w:rPr>
          <w:rFonts w:hint="default" w:ascii="Times New Roman" w:hAnsi="Times New Roman" w:cs="Times New Roman" w:eastAsiaTheme="minorEastAsia"/>
          <w:color w:val="auto"/>
          <w:sz w:val="36"/>
          <w:szCs w:val="36"/>
          <w:highlight w:val="none"/>
        </w:rPr>
        <w:fldChar w:fldCharType="separate"/>
      </w:r>
      <w:r>
        <w:rPr>
          <w:rFonts w:hint="default" w:ascii="Times New Roman" w:hAnsi="Times New Roman" w:cs="Times New Roman" w:eastAsiaTheme="minorEastAsia"/>
          <w:color w:val="auto"/>
          <w:sz w:val="36"/>
          <w:szCs w:val="36"/>
          <w:highlight w:val="none"/>
        </w:rPr>
        <w:fldChar w:fldCharType="end"/>
      </w:r>
      <w:bookmarkStart w:id="539" w:name="_Toc419106581"/>
      <w:bookmarkStart w:id="540" w:name="_Toc159385085"/>
      <w:r>
        <w:rPr>
          <w:rFonts w:hint="default" w:ascii="Times New Roman" w:hAnsi="Times New Roman" w:cs="Times New Roman" w:eastAsiaTheme="minorEastAsia"/>
          <w:color w:val="auto"/>
          <w:sz w:val="36"/>
          <w:szCs w:val="36"/>
          <w:highlight w:val="none"/>
        </w:rPr>
        <w:t>技术条款响应表</w:t>
      </w:r>
      <w:bookmarkEnd w:id="531"/>
      <w:bookmarkEnd w:id="532"/>
      <w:bookmarkEnd w:id="533"/>
      <w:bookmarkEnd w:id="534"/>
      <w:bookmarkEnd w:id="535"/>
      <w:bookmarkEnd w:id="536"/>
      <w:bookmarkEnd w:id="539"/>
      <w:bookmarkEnd w:id="540"/>
    </w:p>
    <w:bookmarkEnd w:id="537"/>
    <w:bookmarkEnd w:id="538"/>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一、技术参数响应情况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主要技术条款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2"/>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完全理解对服务的各项要求、项目实施效果、实现目标等。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2"/>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采购文件中的全部技术条款均能完全响应（须注明对应方案）</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2"/>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采购方发布的补充通知中各项技术要求（如有）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2"/>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同意采购方以任何形式对我方提供的技术部分内容的真实性和有效性进行公开审查验证。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二、技术参数偏离情况说明（如有）：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2"/>
              </w:numPr>
              <w:jc w:val="center"/>
              <w:rPr>
                <w:rFonts w:hint="default" w:ascii="Times New Roman" w:hAnsi="Times New Roman" w:cs="Times New Roman" w:eastAsiaTheme="minorEastAsia"/>
                <w:color w:val="auto"/>
                <w:highlight w:val="none"/>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不同意公开的技术部分内容（如有）：</w:t>
            </w:r>
          </w:p>
        </w:tc>
      </w:tr>
    </w:tbl>
    <w:p>
      <w:pPr>
        <w:ind w:left="630" w:hanging="630" w:hangingChars="300"/>
        <w:rPr>
          <w:rFonts w:hint="default" w:ascii="Times New Roman" w:hAnsi="Times New Roman" w:cs="Times New Roman" w:eastAsiaTheme="minorEastAsia"/>
          <w:color w:val="auto"/>
          <w:highlight w:val="none"/>
        </w:rPr>
      </w:pPr>
    </w:p>
    <w:p>
      <w:pPr>
        <w:ind w:left="840" w:hanging="840" w:hangingChars="4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填表说明：</w:t>
      </w:r>
    </w:p>
    <w:p>
      <w:pPr>
        <w:ind w:left="840" w:leftChars="200" w:hanging="420" w:hanging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1、响应栏内空白或打“√”表示完全响应；对打“×”视为偏离，若技术参数存在偏离，请在“技术参数偏离情况说明栏”扼要描述。</w:t>
      </w:r>
    </w:p>
    <w:p>
      <w:pPr>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2、本文件中有“★”标注项为不可负偏离(劣于)的重要项。</w:t>
      </w:r>
    </w:p>
    <w:p>
      <w:pPr>
        <w:ind w:left="735" w:hanging="315"/>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3、若上述技术条款内容与“采购项目技术要求”列述不一致时，均以“采购项目技术要求”详细内容为准。</w:t>
      </w:r>
    </w:p>
    <w:p>
      <w:pPr>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4、本表内容不得擅自删改。</w:t>
      </w:r>
    </w:p>
    <w:p>
      <w:pPr>
        <w:spacing w:line="360" w:lineRule="auto"/>
        <w:rPr>
          <w:rFonts w:hint="default" w:ascii="Times New Roman" w:hAnsi="Times New Roman" w:cs="Times New Roman" w:eastAsiaTheme="minorEastAsia"/>
          <w:color w:val="auto"/>
          <w:highlight w:val="none"/>
        </w:rPr>
      </w:pPr>
    </w:p>
    <w:p>
      <w:pPr>
        <w:tabs>
          <w:tab w:val="left" w:pos="5103"/>
        </w:tabs>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供应商名称：</w:t>
      </w:r>
      <w:r>
        <w:rPr>
          <w:rFonts w:hint="default" w:ascii="Times New Roman" w:hAnsi="Times New Roman" w:cs="Times New Roman" w:eastAsiaTheme="minorEastAsia"/>
          <w:b/>
          <w:color w:val="auto"/>
          <w:highlight w:val="none"/>
          <w:u w:val="single"/>
        </w:rPr>
        <w:t xml:space="preserve">        （全称）           </w:t>
      </w:r>
      <w:r>
        <w:rPr>
          <w:rFonts w:hint="default" w:ascii="Times New Roman" w:hAnsi="Times New Roman" w:cs="Times New Roman" w:eastAsiaTheme="minorEastAsia"/>
          <w:b/>
          <w:color w:val="auto"/>
          <w:highlight w:val="none"/>
        </w:rPr>
        <w:t xml:space="preserve"> （公章）</w:t>
      </w:r>
    </w:p>
    <w:p>
      <w:pPr>
        <w:spacing w:line="360" w:lineRule="auto"/>
        <w:rPr>
          <w:rFonts w:hint="default" w:ascii="Times New Roman" w:hAnsi="Times New Roman" w:cs="Times New Roman" w:eastAsiaTheme="minorEastAsia"/>
          <w:b/>
          <w:color w:val="auto"/>
          <w:highlight w:val="none"/>
        </w:rPr>
        <w:sectPr>
          <w:headerReference r:id="rId25" w:type="first"/>
          <w:headerReference r:id="rId24" w:type="default"/>
          <w:pgSz w:w="11906" w:h="16838"/>
          <w:pgMar w:top="1134" w:right="1134" w:bottom="1134" w:left="1588" w:header="567" w:footer="737" w:gutter="0"/>
          <w:pgNumType w:fmt="decimal"/>
          <w:cols w:space="720" w:num="1"/>
          <w:docGrid w:linePitch="312" w:charSpace="0"/>
        </w:sectPr>
      </w:pPr>
    </w:p>
    <w:p>
      <w:pPr>
        <w:pStyle w:val="6"/>
        <w:pageBreakBefore/>
        <w:numPr>
          <w:ilvl w:val="0"/>
          <w:numId w:val="33"/>
        </w:numPr>
        <w:spacing w:after="120" w:afterLines="0"/>
        <w:rPr>
          <w:rFonts w:hint="default" w:ascii="Times New Roman" w:hAnsi="Times New Roman" w:cs="Times New Roman" w:eastAsiaTheme="minorEastAsia"/>
          <w:color w:val="auto"/>
          <w:sz w:val="36"/>
          <w:szCs w:val="36"/>
          <w:highlight w:val="none"/>
        </w:rPr>
      </w:pPr>
      <w:bookmarkStart w:id="541" w:name="_Toc419106582"/>
      <w:bookmarkStart w:id="542" w:name="_Toc23976"/>
      <w:bookmarkStart w:id="543" w:name="_Toc21633"/>
      <w:r>
        <w:rPr>
          <w:rFonts w:hint="default" w:ascii="Times New Roman" w:hAnsi="Times New Roman" w:cs="Times New Roman" w:eastAsiaTheme="minorEastAsia"/>
          <w:color w:val="auto"/>
          <w:sz w:val="36"/>
          <w:szCs w:val="36"/>
          <w:highlight w:val="none"/>
        </w:rPr>
        <w:t>技术方案总体内容</w:t>
      </w:r>
      <w:bookmarkEnd w:id="541"/>
      <w:bookmarkEnd w:id="542"/>
      <w:bookmarkEnd w:id="543"/>
    </w:p>
    <w:p>
      <w:pPr>
        <w:tabs>
          <w:tab w:val="left" w:pos="1322"/>
        </w:tabs>
        <w:spacing w:line="360" w:lineRule="auto"/>
        <w:ind w:firstLine="482" w:firstLineChars="20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技术方案必须科学合理、真实可行，能充分体现出自身技术和专业优势。技术方案必须对应评审方法中评审子项的顺序逐一进行描述，</w:t>
      </w:r>
      <w:r>
        <w:rPr>
          <w:rFonts w:hint="default" w:ascii="Times New Roman" w:hAnsi="Times New Roman" w:cs="Times New Roman" w:eastAsiaTheme="minorEastAsia"/>
          <w:b/>
          <w:color w:val="auto"/>
          <w:sz w:val="24"/>
          <w:szCs w:val="24"/>
          <w:highlight w:val="none"/>
          <w:lang w:eastAsia="zh-CN"/>
        </w:rPr>
        <w:t>包含但</w:t>
      </w:r>
      <w:r>
        <w:rPr>
          <w:rFonts w:hint="default" w:ascii="Times New Roman" w:hAnsi="Times New Roman" w:cs="Times New Roman" w:eastAsiaTheme="minorEastAsia"/>
          <w:b/>
          <w:color w:val="auto"/>
          <w:sz w:val="24"/>
          <w:szCs w:val="24"/>
          <w:highlight w:val="none"/>
        </w:rPr>
        <w:t>不限于以下内容要点：</w:t>
      </w:r>
    </w:p>
    <w:p>
      <w:pPr>
        <w:pStyle w:val="29"/>
        <w:numPr>
          <w:ilvl w:val="0"/>
          <w:numId w:val="34"/>
        </w:numPr>
        <w:spacing w:line="360" w:lineRule="auto"/>
        <w:ind w:left="425" w:leftChars="0" w:hanging="425" w:firstLineChars="0"/>
        <w:rPr>
          <w:rFonts w:hint="default" w:ascii="Times New Roman" w:hAnsi="Times New Roman" w:cs="Times New Roman" w:eastAsiaTheme="minorEastAsia"/>
          <w:color w:val="auto"/>
          <w:sz w:val="21"/>
          <w:szCs w:val="20"/>
          <w:highlight w:val="none"/>
          <w:lang w:eastAsia="zh-CN"/>
        </w:rPr>
      </w:pPr>
      <w:r>
        <w:rPr>
          <w:rFonts w:hint="default" w:ascii="Times New Roman" w:hAnsi="Times New Roman" w:cs="Times New Roman" w:eastAsiaTheme="minorEastAsia"/>
          <w:color w:val="auto"/>
          <w:sz w:val="21"/>
          <w:szCs w:val="20"/>
          <w:highlight w:val="none"/>
          <w:lang w:eastAsia="zh-CN"/>
        </w:rPr>
        <w:t>理赔时效方案；</w:t>
      </w:r>
    </w:p>
    <w:p>
      <w:pPr>
        <w:pStyle w:val="29"/>
        <w:numPr>
          <w:ilvl w:val="0"/>
          <w:numId w:val="34"/>
        </w:numPr>
        <w:spacing w:line="360" w:lineRule="auto"/>
        <w:ind w:left="425" w:leftChars="0" w:hanging="425" w:firstLineChars="0"/>
        <w:rPr>
          <w:rFonts w:hint="default" w:ascii="Times New Roman" w:hAnsi="Times New Roman" w:cs="Times New Roman" w:eastAsiaTheme="minorEastAsia"/>
          <w:color w:val="auto"/>
          <w:sz w:val="21"/>
          <w:szCs w:val="20"/>
          <w:highlight w:val="none"/>
          <w:lang w:eastAsia="zh-CN"/>
        </w:rPr>
      </w:pPr>
      <w:r>
        <w:rPr>
          <w:rFonts w:hint="default" w:ascii="Times New Roman" w:hAnsi="Times New Roman" w:cs="Times New Roman" w:eastAsiaTheme="minorEastAsia"/>
          <w:color w:val="auto"/>
          <w:sz w:val="21"/>
          <w:szCs w:val="20"/>
          <w:highlight w:val="none"/>
          <w:lang w:eastAsia="zh-CN"/>
        </w:rPr>
        <w:t>理赔服务方案；</w:t>
      </w:r>
    </w:p>
    <w:p>
      <w:pPr>
        <w:pStyle w:val="29"/>
        <w:numPr>
          <w:ilvl w:val="0"/>
          <w:numId w:val="34"/>
        </w:numPr>
        <w:spacing w:line="360" w:lineRule="auto"/>
        <w:ind w:left="425" w:leftChars="0" w:hanging="425" w:firstLineChars="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eastAsia="宋体" w:cs="Times New Roman"/>
          <w:b w:val="0"/>
          <w:bCs w:val="0"/>
          <w:snapToGrid w:val="0"/>
          <w:color w:val="auto"/>
          <w:kern w:val="0"/>
          <w:sz w:val="21"/>
          <w:szCs w:val="21"/>
          <w:highlight w:val="none"/>
          <w:lang w:val="en-US" w:eastAsia="zh-CN" w:bidi="zh-CN"/>
        </w:rPr>
        <w:t>理赔投诉处理方案</w:t>
      </w:r>
      <w:r>
        <w:rPr>
          <w:rFonts w:hint="default" w:ascii="Times New Roman" w:hAnsi="Times New Roman" w:cs="Times New Roman" w:eastAsiaTheme="minorEastAsia"/>
          <w:color w:val="auto"/>
          <w:sz w:val="24"/>
          <w:szCs w:val="24"/>
          <w:highlight w:val="none"/>
          <w:lang w:eastAsia="zh-CN"/>
        </w:rPr>
        <w:t>；</w:t>
      </w:r>
    </w:p>
    <w:p>
      <w:pPr>
        <w:pStyle w:val="40"/>
        <w:numPr>
          <w:ilvl w:val="0"/>
          <w:numId w:val="34"/>
        </w:numPr>
        <w:spacing w:before="21" w:line="360" w:lineRule="auto"/>
        <w:ind w:left="425" w:leftChars="0" w:right="99" w:hanging="425" w:firstLineChars="0"/>
        <w:jc w:val="both"/>
        <w:rPr>
          <w:rFonts w:hint="default" w:ascii="Times New Roman" w:hAnsi="Times New Roman" w:cs="Times New Roman" w:eastAsiaTheme="minorEastAsia"/>
          <w:bCs/>
          <w:color w:val="auto"/>
          <w:spacing w:val="10"/>
          <w:kern w:val="0"/>
          <w:sz w:val="21"/>
          <w:szCs w:val="20"/>
          <w:highlight w:val="none"/>
          <w:lang w:val="en-US" w:eastAsia="zh-CN" w:bidi="ar-SA"/>
        </w:rPr>
      </w:pPr>
      <w:r>
        <w:rPr>
          <w:rFonts w:hint="default" w:ascii="Times New Roman" w:hAnsi="Times New Roman" w:cs="Times New Roman" w:eastAsiaTheme="minorEastAsia"/>
          <w:bCs/>
          <w:color w:val="auto"/>
          <w:spacing w:val="10"/>
          <w:kern w:val="0"/>
          <w:sz w:val="21"/>
          <w:szCs w:val="20"/>
          <w:highlight w:val="none"/>
          <w:lang w:val="en-US" w:eastAsia="zh-CN" w:bidi="ar-SA"/>
        </w:rPr>
        <w:t>保险保障措施</w:t>
      </w:r>
      <w:r>
        <w:rPr>
          <w:rFonts w:hint="eastAsia" w:ascii="Times New Roman" w:hAnsi="Times New Roman" w:cs="Times New Roman" w:eastAsiaTheme="minorEastAsia"/>
          <w:bCs/>
          <w:color w:val="auto"/>
          <w:spacing w:val="10"/>
          <w:kern w:val="0"/>
          <w:sz w:val="21"/>
          <w:szCs w:val="20"/>
          <w:highlight w:val="none"/>
          <w:lang w:val="en-US" w:eastAsia="zh-CN" w:bidi="ar-SA"/>
        </w:rPr>
        <w:t>；</w:t>
      </w:r>
    </w:p>
    <w:p>
      <w:pPr>
        <w:pStyle w:val="40"/>
        <w:numPr>
          <w:ilvl w:val="0"/>
          <w:numId w:val="34"/>
        </w:numPr>
        <w:spacing w:before="21" w:line="360" w:lineRule="auto"/>
        <w:ind w:left="425" w:leftChars="0" w:right="99" w:hanging="425" w:firstLineChars="0"/>
        <w:jc w:val="both"/>
        <w:rPr>
          <w:rFonts w:hint="default" w:ascii="Times New Roman" w:hAnsi="Times New Roman" w:cs="Times New Roman" w:eastAsiaTheme="minorEastAsia"/>
          <w:bCs/>
          <w:color w:val="auto"/>
          <w:spacing w:val="10"/>
          <w:kern w:val="0"/>
          <w:sz w:val="21"/>
          <w:szCs w:val="20"/>
          <w:highlight w:val="none"/>
          <w:lang w:val="en-US" w:eastAsia="zh-CN" w:bidi="ar-SA"/>
        </w:rPr>
      </w:pPr>
      <w:r>
        <w:rPr>
          <w:rFonts w:hint="default" w:ascii="Times New Roman" w:hAnsi="Times New Roman" w:cs="Times New Roman" w:eastAsiaTheme="minorEastAsia"/>
          <w:bCs/>
          <w:color w:val="auto"/>
          <w:spacing w:val="10"/>
          <w:kern w:val="0"/>
          <w:sz w:val="21"/>
          <w:szCs w:val="20"/>
          <w:highlight w:val="none"/>
          <w:lang w:val="en-US" w:eastAsia="zh-CN" w:bidi="ar-SA"/>
        </w:rPr>
        <w:t>附加服务</w:t>
      </w:r>
    </w:p>
    <w:p>
      <w:pPr>
        <w:rPr>
          <w:rFonts w:hint="default" w:ascii="Times New Roman" w:hAnsi="Times New Roman" w:cs="Times New Roman" w:eastAsiaTheme="minorEastAsia"/>
          <w:bCs/>
          <w:color w:val="auto"/>
          <w:spacing w:val="10"/>
          <w:kern w:val="0"/>
          <w:sz w:val="21"/>
          <w:szCs w:val="20"/>
          <w:highlight w:val="none"/>
          <w:lang w:val="en-US" w:eastAsia="zh-CN" w:bidi="ar-SA"/>
        </w:rPr>
      </w:pPr>
      <w:r>
        <w:rPr>
          <w:rFonts w:hint="default" w:ascii="Times New Roman" w:hAnsi="Times New Roman" w:cs="Times New Roman" w:eastAsiaTheme="minorEastAsia"/>
          <w:bCs/>
          <w:color w:val="auto"/>
          <w:spacing w:val="10"/>
          <w:kern w:val="0"/>
          <w:sz w:val="21"/>
          <w:szCs w:val="20"/>
          <w:highlight w:val="none"/>
          <w:lang w:val="en-US" w:eastAsia="zh-CN" w:bidi="ar-SA"/>
        </w:rPr>
        <w:br w:type="page"/>
      </w:r>
    </w:p>
    <w:p>
      <w:pPr>
        <w:pStyle w:val="4"/>
        <w:pageBreakBefore/>
        <w:rPr>
          <w:rFonts w:hint="default" w:ascii="Times New Roman" w:hAnsi="Times New Roman" w:cs="Times New Roman" w:eastAsiaTheme="minorEastAsia"/>
          <w:b w:val="0"/>
          <w:bCs/>
          <w:color w:val="auto"/>
          <w:sz w:val="52"/>
          <w:highlight w:val="none"/>
        </w:rPr>
      </w:pPr>
      <w:bookmarkStart w:id="544" w:name="_保证金退付书"/>
      <w:bookmarkEnd w:id="544"/>
      <w:bookmarkStart w:id="545" w:name="_附__件"/>
      <w:bookmarkEnd w:id="545"/>
      <w:bookmarkStart w:id="546" w:name="_附__件__目__录"/>
      <w:bookmarkEnd w:id="546"/>
      <w:bookmarkStart w:id="547" w:name="_技术条款响应表"/>
      <w:bookmarkEnd w:id="547"/>
      <w:bookmarkStart w:id="548" w:name="_Toc13443"/>
      <w:bookmarkStart w:id="549" w:name="_Toc17684"/>
      <w:r>
        <w:rPr>
          <w:rFonts w:hint="default" w:ascii="Times New Roman" w:hAnsi="Times New Roman" w:cs="Times New Roman" w:eastAsiaTheme="minorEastAsia"/>
          <w:b w:val="0"/>
          <w:bCs/>
          <w:color w:val="auto"/>
          <w:sz w:val="52"/>
          <w:highlight w:val="none"/>
          <w:u w:val="none"/>
        </w:rPr>
        <w:fldChar w:fldCharType="begin"/>
      </w:r>
      <w:r>
        <w:rPr>
          <w:rFonts w:hint="default" w:ascii="Times New Roman" w:hAnsi="Times New Roman" w:cs="Times New Roman" w:eastAsiaTheme="minorEastAsia"/>
          <w:b w:val="0"/>
          <w:bCs/>
          <w:color w:val="auto"/>
          <w:sz w:val="52"/>
          <w:highlight w:val="none"/>
          <w:u w:val="none"/>
        </w:rPr>
        <w:instrText xml:space="preserve"> HYPERLINK  \l "_投标文件目录" </w:instrText>
      </w:r>
      <w:r>
        <w:rPr>
          <w:rFonts w:hint="default" w:ascii="Times New Roman" w:hAnsi="Times New Roman" w:cs="Times New Roman" w:eastAsiaTheme="minorEastAsia"/>
          <w:b w:val="0"/>
          <w:bCs/>
          <w:color w:val="auto"/>
          <w:sz w:val="52"/>
          <w:highlight w:val="none"/>
          <w:u w:val="none"/>
        </w:rPr>
        <w:fldChar w:fldCharType="separate"/>
      </w:r>
      <w:bookmarkStart w:id="550" w:name="_Toc240108120"/>
      <w:bookmarkStart w:id="551" w:name="_Toc113157431"/>
      <w:bookmarkStart w:id="552" w:name="_Toc419106583"/>
      <w:bookmarkStart w:id="553" w:name="_Toc259803673"/>
      <w:r>
        <w:rPr>
          <w:rStyle w:val="27"/>
          <w:rFonts w:hint="default" w:ascii="Times New Roman" w:hAnsi="Times New Roman" w:cs="Times New Roman" w:eastAsiaTheme="minorEastAsia"/>
          <w:b w:val="0"/>
          <w:bCs/>
          <w:color w:val="auto"/>
          <w:sz w:val="52"/>
          <w:highlight w:val="none"/>
          <w:u w:val="none"/>
        </w:rPr>
        <w:t xml:space="preserve">第五章  </w:t>
      </w:r>
      <w:bookmarkEnd w:id="550"/>
      <w:bookmarkEnd w:id="551"/>
      <w:r>
        <w:rPr>
          <w:rFonts w:hint="default" w:ascii="Times New Roman" w:hAnsi="Times New Roman" w:cs="Times New Roman" w:eastAsiaTheme="minorEastAsia"/>
          <w:b w:val="0"/>
          <w:bCs/>
          <w:color w:val="auto"/>
          <w:sz w:val="52"/>
          <w:highlight w:val="none"/>
          <w:u w:val="none"/>
        </w:rPr>
        <w:fldChar w:fldCharType="end"/>
      </w:r>
      <w:r>
        <w:rPr>
          <w:rFonts w:hint="default" w:ascii="Times New Roman" w:hAnsi="Times New Roman" w:cs="Times New Roman" w:eastAsiaTheme="minorEastAsia"/>
          <w:b w:val="0"/>
          <w:bCs/>
          <w:color w:val="auto"/>
          <w:sz w:val="52"/>
          <w:highlight w:val="none"/>
        </w:rPr>
        <w:t>其他文件</w:t>
      </w:r>
      <w:bookmarkEnd w:id="548"/>
      <w:bookmarkEnd w:id="549"/>
      <w:bookmarkEnd w:id="552"/>
      <w:bookmarkEnd w:id="553"/>
    </w:p>
    <w:p>
      <w:pPr>
        <w:pStyle w:val="5"/>
        <w:keepNext w:val="0"/>
        <w:keepLines w:val="0"/>
        <w:pageBreakBefore w:val="0"/>
        <w:widowControl w:val="0"/>
        <w:kinsoku/>
        <w:wordWrap/>
        <w:overflowPunct/>
        <w:topLinePunct w:val="0"/>
        <w:autoSpaceDE/>
        <w:autoSpaceDN/>
        <w:bidi w:val="0"/>
        <w:adjustRightInd/>
        <w:snapToGrid w:val="0"/>
        <w:spacing w:beforeLines="0" w:afterLines="0"/>
        <w:ind w:left="0" w:leftChars="0" w:firstLine="0" w:firstLineChars="0"/>
        <w:jc w:val="center"/>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供应商认为有必要提供的其它材料</w:t>
      </w:r>
    </w:p>
    <w:p>
      <w:pPr>
        <w:pStyle w:val="5"/>
        <w:rPr>
          <w:rFonts w:hint="default" w:ascii="Times New Roman" w:hAnsi="Times New Roman" w:cs="Times New Roman" w:eastAsiaTheme="minorEastAsia"/>
          <w:b/>
          <w:color w:val="auto"/>
          <w:sz w:val="24"/>
          <w:szCs w:val="24"/>
          <w:highlight w:val="none"/>
        </w:rPr>
      </w:pPr>
    </w:p>
    <w:p>
      <w:pPr>
        <w:pStyle w:val="5"/>
        <w:rPr>
          <w:rFonts w:hint="default" w:ascii="Times New Roman" w:hAnsi="Times New Roman" w:cs="Times New Roman" w:eastAsiaTheme="minorEastAsia"/>
          <w:b/>
          <w:color w:val="auto"/>
          <w:sz w:val="24"/>
          <w:szCs w:val="24"/>
          <w:highlight w:val="none"/>
        </w:rPr>
        <w:sectPr>
          <w:pgSz w:w="11906" w:h="16838"/>
          <w:pgMar w:top="1134" w:right="1134" w:bottom="1134" w:left="1588" w:header="567" w:footer="737" w:gutter="0"/>
          <w:pgNumType w:fmt="decimal"/>
          <w:cols w:space="720" w:num="1"/>
          <w:docGrid w:linePitch="312" w:charSpace="0"/>
        </w:sectPr>
      </w:pPr>
    </w:p>
    <w:p>
      <w:pPr>
        <w:spacing w:line="360" w:lineRule="auto"/>
        <w:jc w:val="center"/>
        <w:outlineLvl w:val="2"/>
        <w:rPr>
          <w:rFonts w:hint="default" w:ascii="Times New Roman" w:hAnsi="Times New Roman" w:cs="Times New Roman"/>
          <w:sz w:val="24"/>
          <w:szCs w:val="24"/>
        </w:rPr>
      </w:pPr>
      <w:bookmarkStart w:id="554" w:name="_Toc32324"/>
      <w:r>
        <w:rPr>
          <w:rFonts w:hint="default" w:ascii="Times New Roman" w:hAnsi="Times New Roman" w:cs="Times New Roman"/>
          <w:b/>
          <w:sz w:val="36"/>
          <w:szCs w:val="36"/>
        </w:rPr>
        <w:t>中小企业声明函（</w:t>
      </w:r>
      <w:r>
        <w:rPr>
          <w:rFonts w:hint="eastAsia" w:cs="Times New Roman"/>
          <w:b/>
          <w:sz w:val="36"/>
          <w:szCs w:val="36"/>
          <w:lang w:eastAsia="zh-CN"/>
        </w:rPr>
        <w:t>如有</w:t>
      </w:r>
      <w:r>
        <w:rPr>
          <w:rFonts w:hint="default" w:ascii="Times New Roman" w:hAnsi="Times New Roman" w:cs="Times New Roman"/>
          <w:b/>
          <w:sz w:val="36"/>
          <w:szCs w:val="36"/>
        </w:rPr>
        <w:t>）</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本公司（联合体）郑重声明，根据《政府采购促进中小企业发展管理办法》（财库﹝2020﹞46 号）的规定，本公司（联合体）参加</w:t>
      </w:r>
      <w:r>
        <w:rPr>
          <w:rFonts w:hint="default" w:ascii="Times New Roman" w:hAnsi="Times New Roman" w:cs="Times New Roman"/>
          <w:sz w:val="24"/>
          <w:szCs w:val="24"/>
          <w:u w:val="single"/>
        </w:rPr>
        <w:t>（单位名称）</w:t>
      </w:r>
      <w:r>
        <w:rPr>
          <w:rFonts w:hint="default" w:ascii="Times New Roman" w:hAnsi="Times New Roman" w:cs="Times New Roman"/>
          <w:sz w:val="24"/>
          <w:szCs w:val="24"/>
        </w:rPr>
        <w:t>的</w:t>
      </w:r>
      <w:r>
        <w:rPr>
          <w:rFonts w:hint="default" w:ascii="Times New Roman" w:hAnsi="Times New Roman" w:cs="Times New Roman"/>
          <w:sz w:val="24"/>
          <w:szCs w:val="24"/>
          <w:u w:val="single"/>
        </w:rPr>
        <w:t>（项目名称）</w:t>
      </w:r>
      <w:r>
        <w:rPr>
          <w:rFonts w:hint="default" w:ascii="Times New Roman" w:hAnsi="Times New Roman" w:cs="Times New Roman"/>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jc w:val="left"/>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u w:val="single"/>
        </w:rPr>
        <w:t>佛山市消防救援支队购买团体意外伤害保险项目</w:t>
      </w:r>
      <w:r>
        <w:rPr>
          <w:rFonts w:hint="default" w:ascii="Times New Roman" w:hAnsi="Times New Roman" w:cs="Times New Roman"/>
          <w:sz w:val="24"/>
          <w:szCs w:val="24"/>
        </w:rPr>
        <w:t>，属于</w:t>
      </w:r>
      <w:r>
        <w:rPr>
          <w:rFonts w:hint="default" w:ascii="Times New Roman" w:hAnsi="Times New Roman" w:cs="Times New Roman"/>
          <w:sz w:val="24"/>
          <w:szCs w:val="24"/>
          <w:u w:val="single"/>
        </w:rPr>
        <w:t>其他未列明</w:t>
      </w:r>
      <w:r>
        <w:rPr>
          <w:rFonts w:hint="default" w:ascii="Times New Roman" w:hAnsi="Times New Roman" w:cs="Times New Roman"/>
          <w:sz w:val="24"/>
          <w:szCs w:val="24"/>
        </w:rPr>
        <w:t>行业；承建（承接）企业为</w:t>
      </w:r>
      <w:r>
        <w:rPr>
          <w:rFonts w:hint="default" w:ascii="Times New Roman" w:hAnsi="Times New Roman" w:cs="Times New Roman"/>
          <w:sz w:val="24"/>
          <w:szCs w:val="24"/>
          <w:u w:val="single"/>
        </w:rPr>
        <w:t>（企业名称）</w:t>
      </w:r>
      <w:r>
        <w:rPr>
          <w:rFonts w:hint="default" w:ascii="Times New Roman" w:hAnsi="Times New Roman" w:cs="Times New Roman"/>
          <w:sz w:val="24"/>
          <w:szCs w:val="24"/>
        </w:rPr>
        <w:t>，从业人员__________________人，营业收入为_______________万元，资产总额为__________________万元，属于</w:t>
      </w:r>
      <w:r>
        <w:rPr>
          <w:rFonts w:hint="default" w:ascii="Times New Roman" w:hAnsi="Times New Roman" w:cs="Times New Roman"/>
          <w:sz w:val="24"/>
          <w:szCs w:val="24"/>
          <w:u w:val="single"/>
        </w:rPr>
        <w:t>（中型企业、小型企业、微型企业）</w:t>
      </w:r>
      <w:r>
        <w:rPr>
          <w:rFonts w:hint="default" w:ascii="Times New Roman" w:hAnsi="Times New Roman" w:cs="Times New Roman"/>
          <w:sz w:val="24"/>
          <w:szCs w:val="24"/>
        </w:rPr>
        <w:t>；</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u w:val="single"/>
        </w:rPr>
        <w:t>（标的名称）</w:t>
      </w:r>
      <w:r>
        <w:rPr>
          <w:rFonts w:hint="default" w:ascii="Times New Roman" w:hAnsi="Times New Roman" w:cs="Times New Roman"/>
          <w:sz w:val="24"/>
          <w:szCs w:val="24"/>
        </w:rPr>
        <w:t>，属于</w:t>
      </w:r>
      <w:r>
        <w:rPr>
          <w:rFonts w:hint="default" w:ascii="Times New Roman" w:hAnsi="Times New Roman" w:cs="Times New Roman"/>
          <w:sz w:val="24"/>
          <w:szCs w:val="24"/>
          <w:u w:val="single"/>
        </w:rPr>
        <w:t>（采购文件中明确的所属行业）</w:t>
      </w:r>
      <w:r>
        <w:rPr>
          <w:rFonts w:hint="default" w:ascii="Times New Roman" w:hAnsi="Times New Roman" w:cs="Times New Roman"/>
          <w:sz w:val="24"/>
          <w:szCs w:val="24"/>
        </w:rPr>
        <w:t>行业；承建（承接）企业为</w:t>
      </w:r>
      <w:r>
        <w:rPr>
          <w:rFonts w:hint="default" w:ascii="Times New Roman" w:hAnsi="Times New Roman" w:cs="Times New Roman"/>
          <w:sz w:val="24"/>
          <w:szCs w:val="24"/>
          <w:u w:val="single"/>
        </w:rPr>
        <w:t>（企业名称）</w:t>
      </w:r>
      <w:r>
        <w:rPr>
          <w:rFonts w:hint="default" w:ascii="Times New Roman" w:hAnsi="Times New Roman" w:cs="Times New Roman"/>
          <w:sz w:val="24"/>
          <w:szCs w:val="24"/>
        </w:rPr>
        <w:t>，从业人员__________________人，营业收入为__________________万元，资产总额为__________________万元1，属于</w:t>
      </w:r>
      <w:r>
        <w:rPr>
          <w:rFonts w:hint="default" w:ascii="Times New Roman" w:hAnsi="Times New Roman" w:cs="Times New Roman"/>
          <w:sz w:val="24"/>
          <w:szCs w:val="24"/>
          <w:u w:val="single"/>
        </w:rPr>
        <w:t>（中型企业、小型企业、微型企业）</w:t>
      </w:r>
      <w:r>
        <w:rPr>
          <w:rFonts w:hint="default" w:ascii="Times New Roman" w:hAnsi="Times New Roman" w:cs="Times New Roman"/>
          <w:sz w:val="24"/>
          <w:szCs w:val="24"/>
        </w:rPr>
        <w:t>；</w:t>
      </w:r>
    </w:p>
    <w:p>
      <w:pPr>
        <w:spacing w:line="360" w:lineRule="auto"/>
        <w:rPr>
          <w:rFonts w:hint="default" w:ascii="Times New Roman" w:hAnsi="Times New Roman" w:cs="Times New Roman"/>
          <w:sz w:val="24"/>
          <w:szCs w:val="24"/>
        </w:rPr>
      </w:pP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以上企业，不属于大企业的分支机构，不存在控股股东为大企业的情形，也不存在与大企业的负责人为同一人的情形。</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本企业对上述声明内容的真实性负责。如有虚假，将依法承担相应责任。</w:t>
      </w:r>
    </w:p>
    <w:p>
      <w:pPr>
        <w:spacing w:line="360" w:lineRule="auto"/>
        <w:jc w:val="right"/>
        <w:rPr>
          <w:rFonts w:hint="default" w:ascii="Times New Roman" w:hAnsi="Times New Roman" w:cs="Times New Roman"/>
          <w:sz w:val="24"/>
          <w:szCs w:val="24"/>
        </w:rPr>
      </w:pPr>
    </w:p>
    <w:p>
      <w:pPr>
        <w:spacing w:line="360" w:lineRule="auto"/>
        <w:jc w:val="right"/>
        <w:rPr>
          <w:rFonts w:hint="default" w:ascii="Times New Roman" w:hAnsi="Times New Roman" w:cs="Times New Roman"/>
          <w:sz w:val="24"/>
          <w:szCs w:val="24"/>
        </w:rPr>
      </w:pPr>
      <w:r>
        <w:rPr>
          <w:rFonts w:hint="default" w:ascii="Times New Roman" w:hAnsi="Times New Roman" w:cs="Times New Roman"/>
          <w:sz w:val="24"/>
          <w:szCs w:val="24"/>
        </w:rPr>
        <w:t>企业名称（盖章）：__________________</w:t>
      </w:r>
    </w:p>
    <w:p>
      <w:pPr>
        <w:spacing w:line="360" w:lineRule="auto"/>
        <w:jc w:val="right"/>
        <w:rPr>
          <w:rFonts w:hint="default" w:ascii="Times New Roman" w:hAnsi="Times New Roman" w:cs="Times New Roman"/>
          <w:sz w:val="24"/>
          <w:szCs w:val="24"/>
        </w:rPr>
      </w:pPr>
      <w:r>
        <w:rPr>
          <w:rFonts w:hint="default" w:ascii="Times New Roman" w:hAnsi="Times New Roman" w:cs="Times New Roman"/>
          <w:sz w:val="24"/>
          <w:szCs w:val="24"/>
        </w:rPr>
        <w:t>日期： 年 月 日</w:t>
      </w:r>
    </w:p>
    <w:p>
      <w:pPr>
        <w:spacing w:line="360" w:lineRule="auto"/>
        <w:ind w:firstLine="480"/>
        <w:rPr>
          <w:rFonts w:hint="default" w:ascii="Times New Roman" w:hAnsi="Times New Roman" w:cs="Times New Roman"/>
          <w:sz w:val="24"/>
          <w:szCs w:val="24"/>
        </w:rPr>
      </w:pPr>
    </w:p>
    <w:p>
      <w:pPr>
        <w:spacing w:line="360" w:lineRule="auto"/>
        <w:ind w:firstLine="480"/>
        <w:rPr>
          <w:rFonts w:hint="default" w:ascii="Times New Roman" w:hAnsi="Times New Roman" w:cs="Times New Roman"/>
          <w:sz w:val="24"/>
          <w:szCs w:val="24"/>
        </w:rPr>
      </w:pPr>
    </w:p>
    <w:p>
      <w:pPr>
        <w:spacing w:line="360" w:lineRule="auto"/>
        <w:ind w:firstLine="480"/>
        <w:rPr>
          <w:rFonts w:hint="default" w:ascii="Times New Roman" w:hAnsi="Times New Roman" w:cs="Times New Roman"/>
          <w:sz w:val="24"/>
          <w:szCs w:val="24"/>
        </w:rPr>
      </w:pP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1：从业人员、营业收入、资产总额填报上一年度数据，无上一年度数据的新成立企业可不填报。</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eastAsia="zh-CN"/>
        </w:rPr>
        <w:t>供应商</w:t>
      </w:r>
      <w:r>
        <w:rPr>
          <w:rFonts w:hint="default" w:ascii="Times New Roman" w:hAnsi="Times New Roman" w:cs="Times New Roman"/>
          <w:sz w:val="24"/>
          <w:szCs w:val="24"/>
        </w:rPr>
        <w:t>应当自行核实是否属于小微企业，并认真填写声明函，若有虚假将追究其责任。</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jc w:val="center"/>
        <w:outlineLvl w:val="2"/>
        <w:rPr>
          <w:rFonts w:hint="default" w:ascii="Times New Roman" w:hAnsi="Times New Roman" w:cs="Times New Roman"/>
          <w:b/>
          <w:bCs/>
          <w:color w:val="auto"/>
          <w:kern w:val="0"/>
          <w:sz w:val="36"/>
          <w:szCs w:val="20"/>
          <w:highlight w:val="none"/>
        </w:rPr>
      </w:pPr>
      <w:r>
        <w:rPr>
          <w:rFonts w:hint="default" w:ascii="Times New Roman" w:hAnsi="Times New Roman" w:cs="Times New Roman"/>
          <w:b/>
          <w:bCs/>
          <w:color w:val="auto"/>
          <w:kern w:val="0"/>
          <w:sz w:val="36"/>
          <w:szCs w:val="20"/>
          <w:highlight w:val="none"/>
        </w:rPr>
        <w:t>残疾人福利性单位声明函（如有）</w:t>
      </w:r>
    </w:p>
    <w:p>
      <w:pPr>
        <w:jc w:val="center"/>
        <w:rPr>
          <w:rFonts w:hint="default" w:ascii="Times New Roman" w:hAnsi="Times New Roman" w:cs="Times New Roman"/>
          <w:b/>
          <w:bCs/>
          <w:color w:val="auto"/>
          <w:kern w:val="0"/>
          <w:sz w:val="36"/>
          <w:szCs w:val="20"/>
          <w:highlight w:val="none"/>
        </w:rPr>
      </w:pPr>
    </w:p>
    <w:p>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jc w:val="center"/>
        <w:rPr>
          <w:rFonts w:hint="default" w:ascii="Times New Roman" w:hAnsi="Times New Roman" w:cs="Times New Roman"/>
          <w:color w:val="auto"/>
          <w:sz w:val="24"/>
          <w:szCs w:val="24"/>
          <w:highlight w:val="none"/>
        </w:rPr>
      </w:pPr>
    </w:p>
    <w:p>
      <w:pPr>
        <w:jc w:val="center"/>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供应商名称（盖章）：</w:t>
      </w:r>
      <w:r>
        <w:rPr>
          <w:rFonts w:hint="default" w:ascii="Times New Roman" w:hAnsi="Times New Roman" w:cs="Times New Roman"/>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 xml:space="preserve">                                     日 期：</w:t>
      </w:r>
      <w:r>
        <w:rPr>
          <w:rFonts w:hint="default" w:ascii="Times New Roman" w:hAnsi="Times New Roman" w:cs="Times New Roman"/>
          <w:b/>
          <w:color w:val="auto"/>
          <w:sz w:val="24"/>
          <w:highlight w:val="none"/>
        </w:rPr>
        <w:t xml:space="preserve">    年    月    日</w:t>
      </w:r>
    </w:p>
    <w:p>
      <w:pPr>
        <w:jc w:val="center"/>
        <w:rPr>
          <w:rFonts w:hint="default" w:ascii="Times New Roman" w:hAnsi="Times New Roman" w:cs="Times New Roman"/>
          <w:color w:val="auto"/>
          <w:sz w:val="28"/>
          <w:szCs w:val="28"/>
          <w:highlight w:val="none"/>
        </w:rPr>
      </w:pPr>
    </w:p>
    <w:p>
      <w:pPr>
        <w:jc w:val="center"/>
        <w:rPr>
          <w:rFonts w:hint="default" w:ascii="Times New Roman" w:hAnsi="Times New Roman" w:cs="Times New Roman"/>
          <w:color w:val="auto"/>
          <w:sz w:val="28"/>
          <w:szCs w:val="28"/>
          <w:highlight w:val="none"/>
        </w:rPr>
      </w:pPr>
    </w:p>
    <w:p>
      <w:pPr>
        <w:spacing w:line="300" w:lineRule="auto"/>
        <w:jc w:val="left"/>
        <w:rPr>
          <w:rFonts w:hint="default" w:ascii="Times New Roman" w:hAnsi="Times New Roman" w:cs="Times New Roman"/>
          <w:color w:val="auto"/>
          <w:sz w:val="24"/>
          <w:szCs w:val="24"/>
          <w:highlight w:val="none"/>
        </w:rPr>
      </w:pPr>
    </w:p>
    <w:p>
      <w:pPr>
        <w:spacing w:line="300" w:lineRule="auto"/>
        <w:jc w:val="left"/>
        <w:rPr>
          <w:rFonts w:hint="default" w:ascii="Times New Roman" w:hAnsi="Times New Roman" w:cs="Times New Roman"/>
          <w:color w:val="auto"/>
          <w:sz w:val="24"/>
          <w:szCs w:val="24"/>
          <w:highlight w:val="none"/>
        </w:rPr>
      </w:pPr>
    </w:p>
    <w:p>
      <w:pPr>
        <w:spacing w:line="30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注：享受政府采购支持政策的残疾人福利性单位应当同时满足以下条件：</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（一）安置的残疾人占本单位在职职工人数的比例不低于25%（含25%），并且安置的残疾人人数不少于10 人（含10 人）；</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（二）依法与安置的每位残疾人签订了一年以上（含一年）的劳动合同或服务协议；</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（三）为安置的每位残疾人按月足额缴纳了基本养老保险、基本医疗保险、失业保险、工伤保险和生育保险等社会保险费；</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（四）通过银行等金融机构向安置的每位残疾人，按月支付了不低于单位所在区县适用的经省级人民政府批准的月最低工资标准的工资；</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（五）提供本单位制造的货物、承担的工程或者服务（以下简称产品），或者提供其他残疾人福利性单位制造的货物（不包括使用非残疾人福利性单位注册商标的货物）。</w:t>
      </w:r>
    </w:p>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残疾人福利性单位声明函》，并对声明的真实性负责。</w:t>
      </w:r>
    </w:p>
    <w:p>
      <w:pPr>
        <w:spacing w:line="360" w:lineRule="auto"/>
        <w:jc w:val="center"/>
        <w:outlineLvl w:val="2"/>
        <w:rPr>
          <w:rFonts w:hint="default" w:ascii="Times New Roman" w:hAnsi="Times New Roman" w:cs="Times New Roman"/>
          <w:b/>
          <w:bCs/>
          <w:color w:val="auto"/>
          <w:kern w:val="0"/>
          <w:sz w:val="36"/>
          <w:szCs w:val="20"/>
          <w:highlight w:val="none"/>
        </w:rPr>
      </w:pPr>
      <w:r>
        <w:rPr>
          <w:rFonts w:hint="default" w:ascii="Times New Roman" w:hAnsi="Times New Roman" w:cs="Times New Roman"/>
          <w:color w:val="auto"/>
          <w:szCs w:val="21"/>
          <w:highlight w:val="none"/>
        </w:rPr>
        <w:br w:type="page"/>
      </w:r>
      <w:r>
        <w:rPr>
          <w:rFonts w:hint="default" w:ascii="Times New Roman" w:hAnsi="Times New Roman" w:cs="Times New Roman"/>
          <w:b/>
          <w:bCs/>
          <w:color w:val="auto"/>
          <w:kern w:val="0"/>
          <w:sz w:val="36"/>
          <w:szCs w:val="20"/>
          <w:highlight w:val="none"/>
        </w:rPr>
        <w:t>监狱企业的证明文件（如有）</w:t>
      </w:r>
    </w:p>
    <w:p>
      <w:pPr>
        <w:jc w:val="center"/>
        <w:rPr>
          <w:rFonts w:hint="default" w:ascii="Times New Roman" w:hAnsi="Times New Roman" w:cs="Times New Roman"/>
          <w:b/>
          <w:bCs/>
          <w:color w:val="auto"/>
          <w:kern w:val="0"/>
          <w:sz w:val="36"/>
          <w:szCs w:val="20"/>
          <w:highlight w:val="none"/>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（适用于供应商及其所提供全部或部分产品制造商均为监狱企业的情形。证明由省级以上监狱管理局、戒毒管理局(含新疆生产建设兵团)出具。非监狱企业不必提供）</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注：</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投标人若为监狱企业，则提供由省级以上监狱管理局、戒毒管理局（含新疆生产建设兵团）出具的属于监狱企业的证明文件。</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供应商法定代表人（或法定代表人授权代表）签字或签章：</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 xml:space="preserve"> .</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供应商名称（签章）：</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 xml:space="preserve"> .</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日期：</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年</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月</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日</w:t>
      </w:r>
    </w:p>
    <w:p>
      <w:pPr>
        <w:spacing w:line="360" w:lineRule="auto"/>
        <w:rPr>
          <w:rFonts w:hint="default" w:ascii="Times New Roman" w:hAnsi="Times New Roman" w:cs="Times New Roman"/>
          <w:color w:val="auto"/>
          <w:sz w:val="24"/>
          <w:highlight w:val="none"/>
        </w:rPr>
      </w:pPr>
    </w:p>
    <w:p>
      <w:pPr>
        <w:pStyle w:val="29"/>
        <w:rPr>
          <w:rFonts w:hint="default" w:ascii="Times New Roman" w:hAnsi="Times New Roman" w:cs="Times New Roman"/>
          <w:color w:val="auto"/>
          <w:highlight w:val="none"/>
        </w:rPr>
        <w:sectPr>
          <w:headerReference r:id="rId26" w:type="default"/>
          <w:pgSz w:w="11906" w:h="16838"/>
          <w:pgMar w:top="1440" w:right="1080" w:bottom="1440" w:left="1080" w:header="567" w:footer="737" w:gutter="0"/>
          <w:pgNumType w:fmt="decimal"/>
          <w:cols w:space="720" w:num="1"/>
          <w:docGrid w:linePitch="312" w:charSpace="0"/>
        </w:sectPr>
      </w:pPr>
    </w:p>
    <w:bookmarkEnd w:id="519"/>
    <w:bookmarkEnd w:id="520"/>
    <w:bookmarkEnd w:id="521"/>
    <w:bookmarkEnd w:id="522"/>
    <w:bookmarkEnd w:id="523"/>
    <w:bookmarkEnd w:id="524"/>
    <w:bookmarkEnd w:id="525"/>
    <w:bookmarkEnd w:id="554"/>
    <w:p>
      <w:pPr>
        <w:pStyle w:val="6"/>
        <w:pageBreakBefore/>
        <w:spacing w:after="120" w:afterLines="0"/>
        <w:ind w:left="-6"/>
        <w:rPr>
          <w:rFonts w:hint="default" w:ascii="Times New Roman" w:hAnsi="Times New Roman" w:cs="Times New Roman" w:eastAsiaTheme="minorEastAsia"/>
          <w:b w:val="0"/>
          <w:bCs/>
          <w:color w:val="auto"/>
          <w:sz w:val="36"/>
          <w:highlight w:val="none"/>
        </w:rPr>
      </w:pPr>
      <w:bookmarkStart w:id="555" w:name="_Toc49329276"/>
      <w:bookmarkStart w:id="556" w:name="_Toc38337722"/>
      <w:bookmarkStart w:id="557" w:name="_Toc325031964"/>
      <w:bookmarkStart w:id="558" w:name="_Toc24768"/>
      <w:bookmarkStart w:id="559" w:name="_Toc310519909"/>
      <w:bookmarkStart w:id="560" w:name="_Toc419106587"/>
      <w:bookmarkStart w:id="561" w:name="_Toc22927"/>
      <w:bookmarkStart w:id="562" w:name="_Toc373767224"/>
      <w:bookmarkStart w:id="563" w:name="_Toc9675"/>
      <w:r>
        <w:rPr>
          <w:rFonts w:hint="default" w:ascii="Times New Roman" w:hAnsi="Times New Roman" w:cs="Times New Roman" w:eastAsiaTheme="minorEastAsia"/>
          <w:b w:val="0"/>
          <w:bCs/>
          <w:color w:val="auto"/>
          <w:sz w:val="36"/>
          <w:highlight w:val="none"/>
        </w:rPr>
        <w:t>文件包装袋</w:t>
      </w:r>
      <w:bookmarkEnd w:id="555"/>
      <w:bookmarkEnd w:id="556"/>
      <w:r>
        <w:rPr>
          <w:rFonts w:hint="default" w:ascii="Times New Roman" w:hAnsi="Times New Roman" w:cs="Times New Roman" w:eastAsiaTheme="minorEastAsia"/>
          <w:b w:val="0"/>
          <w:bCs/>
          <w:color w:val="auto"/>
          <w:sz w:val="36"/>
          <w:highlight w:val="none"/>
        </w:rPr>
        <w:t>封面标贴格式</w:t>
      </w:r>
      <w:bookmarkEnd w:id="557"/>
      <w:bookmarkEnd w:id="558"/>
      <w:bookmarkEnd w:id="559"/>
      <w:bookmarkEnd w:id="560"/>
      <w:bookmarkEnd w:id="561"/>
      <w:bookmarkEnd w:id="562"/>
      <w:bookmarkEnd w:id="563"/>
    </w:p>
    <w:tbl>
      <w:tblPr>
        <w:tblStyle w:val="22"/>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Layout w:type="fixed"/>
        <w:tblCellMar>
          <w:top w:w="0" w:type="dxa"/>
          <w:left w:w="108" w:type="dxa"/>
          <w:bottom w:w="0" w:type="dxa"/>
          <w:right w:w="108" w:type="dxa"/>
        </w:tblCellMar>
      </w:tblPr>
      <w:tblGrid>
        <w:gridCol w:w="9149"/>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CellMar>
            <w:top w:w="0" w:type="dxa"/>
            <w:left w:w="108" w:type="dxa"/>
            <w:bottom w:w="0" w:type="dxa"/>
            <w:right w:w="108" w:type="dxa"/>
          </w:tblCellMar>
        </w:tblPrEx>
        <w:trPr>
          <w:trHeight w:val="5855" w:hRule="atLeast"/>
          <w:jc w:val="center"/>
        </w:trPr>
        <w:tc>
          <w:tcPr>
            <w:tcW w:w="9149" w:type="dxa"/>
            <w:shd w:val="clear" w:color="auto" w:fill="99CCFF"/>
            <w:noWrap w:val="0"/>
            <w:vAlign w:val="top"/>
          </w:tcPr>
          <w:p>
            <w:pPr>
              <w:snapToGrid w:val="0"/>
              <w:jc w:val="center"/>
              <w:rPr>
                <w:rFonts w:hint="default" w:ascii="Times New Roman" w:hAnsi="Times New Roman" w:cs="Times New Roman" w:eastAsiaTheme="minorEastAsia"/>
                <w:b/>
                <w:color w:val="auto"/>
                <w:sz w:val="30"/>
                <w:highlight w:val="none"/>
              </w:rPr>
            </w:pPr>
          </w:p>
          <w:p>
            <w:pPr>
              <w:pStyle w:val="10"/>
              <w:spacing w:line="360" w:lineRule="auto"/>
              <w:jc w:val="center"/>
              <w:rPr>
                <w:rFonts w:hint="default" w:ascii="Times New Roman" w:hAnsi="Times New Roman" w:cs="Times New Roman" w:eastAsiaTheme="minorEastAsia"/>
                <w:b/>
                <w:bCs/>
                <w:color w:val="auto"/>
                <w:kern w:val="2"/>
                <w:sz w:val="48"/>
                <w:szCs w:val="24"/>
                <w:highlight w:val="none"/>
                <w:lang w:val="en-US" w:eastAsia="zh-CN"/>
              </w:rPr>
            </w:pPr>
            <w:r>
              <w:rPr>
                <w:rFonts w:hint="default" w:ascii="Times New Roman" w:hAnsi="Times New Roman" w:cs="Times New Roman" w:eastAsiaTheme="minorEastAsia"/>
                <w:b/>
                <w:bCs/>
                <w:color w:val="auto"/>
                <w:kern w:val="2"/>
                <w:sz w:val="48"/>
                <w:szCs w:val="24"/>
                <w:highlight w:val="none"/>
                <w:lang w:val="en-US" w:eastAsia="zh-CN"/>
              </w:rPr>
              <w:t>采购项目响应文件</w:t>
            </w:r>
          </w:p>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密封内容：</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b/>
                <w:bCs/>
                <w:color w:val="auto"/>
                <w:sz w:val="24"/>
                <w:szCs w:val="24"/>
                <w:highlight w:val="none"/>
              </w:rPr>
              <w:t xml:space="preserve">报价信封 / </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b/>
                <w:bCs/>
                <w:color w:val="auto"/>
                <w:sz w:val="24"/>
                <w:szCs w:val="24"/>
                <w:highlight w:val="none"/>
              </w:rPr>
              <w:t>正、副本响应文件</w:t>
            </w:r>
          </w:p>
          <w:p>
            <w:pPr>
              <w:jc w:val="center"/>
              <w:rPr>
                <w:rFonts w:hint="default" w:ascii="Times New Roman" w:hAnsi="Times New Roman" w:cs="Times New Roman" w:eastAsiaTheme="minorEastAsia"/>
                <w:b/>
                <w:color w:val="auto"/>
                <w:sz w:val="11"/>
                <w:szCs w:val="11"/>
                <w:highlight w:val="none"/>
              </w:rPr>
            </w:pPr>
          </w:p>
          <w:p>
            <w:pPr>
              <w:spacing w:line="360" w:lineRule="auto"/>
              <w:ind w:left="176" w:leftChars="84" w:firstLine="964" w:firstLineChars="400"/>
              <w:rPr>
                <w:rFonts w:hint="default" w:ascii="Times New Roman" w:hAnsi="Times New Roman" w:cs="Times New Roman" w:eastAsiaTheme="minorEastAsia"/>
                <w:b/>
                <w:bCs/>
                <w:color w:val="auto"/>
                <w:sz w:val="24"/>
                <w:highlight w:val="none"/>
                <w:u w:val="single"/>
                <w:lang w:val="en-US" w:eastAsia="zh-CN"/>
              </w:rPr>
            </w:pPr>
            <w:r>
              <w:rPr>
                <w:rFonts w:hint="default" w:ascii="Times New Roman" w:hAnsi="Times New Roman" w:cs="Times New Roman" w:eastAsiaTheme="minorEastAsia"/>
                <w:b/>
                <w:bCs/>
                <w:color w:val="auto"/>
                <w:sz w:val="24"/>
                <w:highlight w:val="none"/>
              </w:rPr>
              <w:t>供应商名称：</w:t>
            </w:r>
            <w:r>
              <w:rPr>
                <w:rFonts w:hint="default" w:ascii="Times New Roman" w:hAnsi="Times New Roman" w:cs="Times New Roman" w:eastAsiaTheme="minorEastAsia"/>
                <w:color w:val="auto"/>
                <w:sz w:val="24"/>
                <w:highlight w:val="none"/>
                <w:u w:val="dotted"/>
              </w:rPr>
              <w:t xml:space="preserve">                              </w:t>
            </w:r>
            <w:r>
              <w:rPr>
                <w:rFonts w:hint="default" w:ascii="Times New Roman" w:hAnsi="Times New Roman" w:cs="Times New Roman" w:eastAsiaTheme="minorEastAsia"/>
                <w:color w:val="auto"/>
                <w:sz w:val="24"/>
                <w:highlight w:val="none"/>
                <w:u w:val="dotted"/>
                <w:lang w:val="en-US" w:eastAsia="zh-CN"/>
              </w:rPr>
              <w:t xml:space="preserve"> </w:t>
            </w:r>
          </w:p>
          <w:p>
            <w:pPr>
              <w:spacing w:line="360" w:lineRule="auto"/>
              <w:ind w:left="176" w:leftChars="84" w:firstLine="960" w:firstLineChars="4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项目编号：</w:t>
            </w:r>
            <w:r>
              <w:rPr>
                <w:rFonts w:hint="default" w:ascii="Times New Roman" w:hAnsi="Times New Roman" w:cs="Times New Roman" w:eastAsiaTheme="minorEastAsia"/>
                <w:color w:val="auto"/>
                <w:sz w:val="24"/>
                <w:highlight w:val="none"/>
                <w:u w:val="dotted"/>
              </w:rPr>
              <w:t xml:space="preserve"> </w:t>
            </w:r>
            <w:r>
              <w:rPr>
                <w:rFonts w:hint="eastAsia" w:cs="Times New Roman" w:eastAsiaTheme="minorEastAsia"/>
                <w:b/>
                <w:color w:val="auto"/>
                <w:highlight w:val="none"/>
                <w:u w:val="dotted"/>
                <w:lang w:eastAsia="zh-CN"/>
              </w:rPr>
              <w:t>2023XFCG-09</w:t>
            </w:r>
            <w:r>
              <w:rPr>
                <w:rFonts w:hint="default" w:ascii="Times New Roman" w:hAnsi="Times New Roman" w:cs="Times New Roman" w:eastAsiaTheme="minorEastAsia"/>
                <w:color w:val="auto"/>
                <w:highlight w:val="none"/>
                <w:u w:val="dotted"/>
              </w:rPr>
              <w:t xml:space="preserve">       </w:t>
            </w:r>
            <w:r>
              <w:rPr>
                <w:rFonts w:hint="default" w:ascii="Times New Roman" w:hAnsi="Times New Roman" w:cs="Times New Roman" w:eastAsiaTheme="minorEastAsia"/>
                <w:color w:val="auto"/>
                <w:sz w:val="24"/>
                <w:highlight w:val="none"/>
                <w:u w:val="dotted"/>
              </w:rPr>
              <w:t xml:space="preserve">                </w:t>
            </w:r>
          </w:p>
          <w:p>
            <w:pPr>
              <w:spacing w:line="360" w:lineRule="auto"/>
              <w:ind w:left="2334" w:leftChars="540" w:hanging="1200" w:hangingChars="5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项目名称：</w:t>
            </w:r>
            <w:r>
              <w:rPr>
                <w:rFonts w:hint="eastAsia" w:cs="Times New Roman" w:eastAsiaTheme="minorEastAsia"/>
                <w:b/>
                <w:color w:val="auto"/>
                <w:highlight w:val="none"/>
                <w:u w:val="dotted"/>
                <w:lang w:eastAsia="zh-CN"/>
              </w:rPr>
              <w:t>佛山市消防救援支队购买团体意外伤害保险项目</w:t>
            </w:r>
            <w:r>
              <w:rPr>
                <w:rFonts w:hint="default" w:ascii="Times New Roman" w:hAnsi="Times New Roman" w:cs="Times New Roman" w:eastAsiaTheme="minorEastAsia"/>
                <w:b/>
                <w:color w:val="auto"/>
                <w:highlight w:val="none"/>
                <w:u w:val="dotted"/>
              </w:rPr>
              <w:t xml:space="preserve"> </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sz w:val="24"/>
                <w:highlight w:val="none"/>
                <w:u w:val="dotted"/>
              </w:rPr>
              <w:t xml:space="preserve"> </w:t>
            </w:r>
          </w:p>
          <w:p>
            <w:pPr>
              <w:jc w:val="center"/>
              <w:rPr>
                <w:rFonts w:hint="default" w:ascii="Times New Roman" w:hAnsi="Times New Roman" w:cs="Times New Roman" w:eastAsiaTheme="minorEastAsia"/>
                <w:b/>
                <w:bCs/>
                <w:color w:val="auto"/>
                <w:highlight w:val="none"/>
              </w:rPr>
            </w:pPr>
          </w:p>
          <w:tbl>
            <w:tblPr>
              <w:tblStyle w:val="22"/>
              <w:tblW w:w="0" w:type="auto"/>
              <w:jc w:val="center"/>
              <w:tblLayout w:type="fixed"/>
              <w:tblCellMar>
                <w:top w:w="0" w:type="dxa"/>
                <w:left w:w="108" w:type="dxa"/>
                <w:bottom w:w="0" w:type="dxa"/>
                <w:right w:w="108" w:type="dxa"/>
              </w:tblCellMar>
            </w:tblPr>
            <w:tblGrid>
              <w:gridCol w:w="1260"/>
              <w:gridCol w:w="7246"/>
            </w:tblGrid>
            <w:tr>
              <w:tblPrEx>
                <w:tblCellMar>
                  <w:top w:w="0" w:type="dxa"/>
                  <w:left w:w="108" w:type="dxa"/>
                  <w:bottom w:w="0" w:type="dxa"/>
                  <w:right w:w="108" w:type="dxa"/>
                </w:tblCellMar>
              </w:tblPrEx>
              <w:trPr>
                <w:trHeight w:val="480" w:hRule="atLeast"/>
                <w:jc w:val="center"/>
              </w:trPr>
              <w:tc>
                <w:tcPr>
                  <w:tcW w:w="8506" w:type="dxa"/>
                  <w:gridSpan w:val="2"/>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在</w:t>
                  </w:r>
                  <w:r>
                    <w:rPr>
                      <w:rFonts w:hint="default" w:ascii="Times New Roman" w:hAnsi="Times New Roman" w:cs="Times New Roman" w:eastAsiaTheme="minorEastAsia"/>
                      <w:b/>
                      <w:bCs/>
                      <w:color w:val="auto"/>
                      <w:highlight w:val="none"/>
                      <w:lang w:eastAsia="zh-CN"/>
                    </w:rPr>
                    <w:t>202</w:t>
                  </w:r>
                  <w:r>
                    <w:rPr>
                      <w:rFonts w:hint="eastAsia" w:cs="Times New Roman" w:eastAsiaTheme="minorEastAsia"/>
                      <w:b/>
                      <w:bCs/>
                      <w:color w:val="auto"/>
                      <w:highlight w:val="none"/>
                      <w:lang w:val="en-US" w:eastAsia="zh-CN"/>
                    </w:rPr>
                    <w:t>4</w:t>
                  </w:r>
                  <w:r>
                    <w:rPr>
                      <w:rFonts w:hint="default" w:ascii="Times New Roman" w:hAnsi="Times New Roman" w:cs="Times New Roman" w:eastAsiaTheme="minorEastAsia"/>
                      <w:b/>
                      <w:bCs/>
                      <w:color w:val="auto"/>
                      <w:highlight w:val="none"/>
                    </w:rPr>
                    <w:t>年</w:t>
                  </w:r>
                  <w:r>
                    <w:rPr>
                      <w:rFonts w:hint="eastAsia" w:cs="Times New Roman" w:eastAsiaTheme="minorEastAsia"/>
                      <w:b/>
                      <w:bCs/>
                      <w:color w:val="auto"/>
                      <w:highlight w:val="none"/>
                      <w:lang w:val="en-US" w:eastAsia="zh-CN"/>
                    </w:rPr>
                    <w:t>1</w:t>
                  </w:r>
                  <w:r>
                    <w:rPr>
                      <w:rFonts w:hint="default" w:ascii="Times New Roman" w:hAnsi="Times New Roman" w:cs="Times New Roman" w:eastAsiaTheme="minorEastAsia"/>
                      <w:b/>
                      <w:bCs/>
                      <w:color w:val="auto"/>
                      <w:highlight w:val="none"/>
                    </w:rPr>
                    <w:t>月</w:t>
                  </w:r>
                  <w:r>
                    <w:rPr>
                      <w:rFonts w:hint="eastAsia" w:cs="Times New Roman" w:eastAsiaTheme="minorEastAsia"/>
                      <w:b/>
                      <w:bCs/>
                      <w:color w:val="auto"/>
                      <w:highlight w:val="none"/>
                      <w:lang w:val="en-US" w:eastAsia="zh-CN"/>
                    </w:rPr>
                    <w:t>12</w:t>
                  </w:r>
                  <w:r>
                    <w:rPr>
                      <w:rFonts w:hint="default" w:ascii="Times New Roman" w:hAnsi="Times New Roman" w:cs="Times New Roman" w:eastAsiaTheme="minorEastAsia"/>
                      <w:b/>
                      <w:bCs/>
                      <w:color w:val="auto"/>
                      <w:highlight w:val="none"/>
                    </w:rPr>
                    <w:t>日上午</w:t>
                  </w:r>
                  <w:r>
                    <w:rPr>
                      <w:rFonts w:hint="default" w:ascii="Times New Roman" w:hAnsi="Times New Roman" w:cs="Times New Roman" w:eastAsiaTheme="minorEastAsia"/>
                      <w:b/>
                      <w:bCs/>
                      <w:color w:val="auto"/>
                      <w:highlight w:val="none"/>
                      <w:lang w:val="en-US" w:eastAsia="zh-CN"/>
                    </w:rPr>
                    <w:t>9</w:t>
                  </w:r>
                  <w:r>
                    <w:rPr>
                      <w:rFonts w:hint="default" w:ascii="Times New Roman" w:hAnsi="Times New Roman" w:cs="Times New Roman" w:eastAsiaTheme="minorEastAsia"/>
                      <w:b/>
                      <w:bCs/>
                      <w:color w:val="auto"/>
                      <w:highlight w:val="none"/>
                    </w:rPr>
                    <w:t>：</w:t>
                  </w:r>
                  <w:r>
                    <w:rPr>
                      <w:rFonts w:hint="default" w:ascii="Times New Roman" w:hAnsi="Times New Roman" w:cs="Times New Roman" w:eastAsiaTheme="minorEastAsia"/>
                      <w:b/>
                      <w:bCs/>
                      <w:color w:val="auto"/>
                      <w:highlight w:val="none"/>
                      <w:lang w:val="en-US" w:eastAsia="zh-CN"/>
                    </w:rPr>
                    <w:t xml:space="preserve">00 </w:t>
                  </w:r>
                  <w:r>
                    <w:rPr>
                      <w:rFonts w:hint="default" w:ascii="Times New Roman" w:hAnsi="Times New Roman" w:cs="Times New Roman" w:eastAsiaTheme="minorEastAsia"/>
                      <w:b/>
                      <w:bCs/>
                      <w:color w:val="auto"/>
                      <w:highlight w:val="none"/>
                    </w:rPr>
                    <w:t>—</w:t>
                  </w:r>
                  <w:r>
                    <w:rPr>
                      <w:rFonts w:hint="default" w:ascii="Times New Roman" w:hAnsi="Times New Roman" w:cs="Times New Roman" w:eastAsiaTheme="minorEastAsia"/>
                      <w:b/>
                      <w:bCs/>
                      <w:color w:val="auto"/>
                      <w:highlight w:val="none"/>
                      <w:lang w:val="en-US" w:eastAsia="zh-CN"/>
                    </w:rPr>
                    <w:t xml:space="preserve">9 </w:t>
                  </w:r>
                  <w:r>
                    <w:rPr>
                      <w:rFonts w:hint="default" w:ascii="Times New Roman" w:hAnsi="Times New Roman" w:cs="Times New Roman" w:eastAsiaTheme="minorEastAsia"/>
                      <w:b/>
                      <w:bCs/>
                      <w:color w:val="auto"/>
                      <w:highlight w:val="none"/>
                    </w:rPr>
                    <w:t>:</w:t>
                  </w:r>
                  <w:r>
                    <w:rPr>
                      <w:rFonts w:hint="default" w:ascii="Times New Roman" w:hAnsi="Times New Roman" w:cs="Times New Roman" w:eastAsiaTheme="minorEastAsia"/>
                      <w:b/>
                      <w:bCs/>
                      <w:color w:val="auto"/>
                      <w:highlight w:val="none"/>
                      <w:lang w:val="en-US" w:eastAsia="zh-CN"/>
                    </w:rPr>
                    <w:t xml:space="preserve">30 </w:t>
                  </w:r>
                  <w:r>
                    <w:rPr>
                      <w:rFonts w:hint="default" w:ascii="Times New Roman" w:hAnsi="Times New Roman" w:cs="Times New Roman" w:eastAsiaTheme="minorEastAsia"/>
                      <w:b/>
                      <w:bCs/>
                      <w:color w:val="auto"/>
                      <w:highlight w:val="none"/>
                    </w:rPr>
                    <w:t>时之间准时当面递交且不得启封</w:t>
                  </w:r>
                </w:p>
              </w:tc>
            </w:tr>
            <w:tr>
              <w:tblPrEx>
                <w:tblCellMar>
                  <w:top w:w="0" w:type="dxa"/>
                  <w:left w:w="108" w:type="dxa"/>
                  <w:bottom w:w="0" w:type="dxa"/>
                  <w:right w:w="108" w:type="dxa"/>
                </w:tblCellMar>
              </w:tblPrEx>
              <w:trPr>
                <w:trHeight w:val="615" w:hRule="atLeast"/>
                <w:jc w:val="center"/>
              </w:trPr>
              <w:tc>
                <w:tcPr>
                  <w:tcW w:w="1260" w:type="dxa"/>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递交地点：</w:t>
                  </w:r>
                </w:p>
              </w:tc>
              <w:tc>
                <w:tcPr>
                  <w:tcW w:w="7246" w:type="dxa"/>
                  <w:noWrap w:val="0"/>
                  <w:vAlign w:val="center"/>
                </w:tcPr>
                <w:p>
                  <w:pPr>
                    <w:rPr>
                      <w:rFonts w:hint="default" w:ascii="Times New Roman" w:hAnsi="Times New Roman" w:cs="Times New Roman" w:eastAsiaTheme="minorEastAsia"/>
                      <w:b/>
                      <w:bCs/>
                      <w:color w:val="auto"/>
                      <w:highlight w:val="none"/>
                      <w:lang w:eastAsia="zh-CN"/>
                    </w:rPr>
                  </w:pPr>
                  <w:r>
                    <w:rPr>
                      <w:rFonts w:hint="default" w:ascii="Times New Roman" w:hAnsi="Times New Roman" w:cs="Times New Roman" w:eastAsiaTheme="minorEastAsia"/>
                      <w:b/>
                      <w:bCs/>
                      <w:color w:val="auto"/>
                      <w:highlight w:val="none"/>
                      <w:lang w:eastAsia="zh-CN"/>
                    </w:rPr>
                    <w:t>佛山市禅城区季华五路10号金融广场17层A区之一（广东远东招标代理有限公司佛山分公司开标室）</w:t>
                  </w:r>
                </w:p>
              </w:tc>
            </w:tr>
            <w:tr>
              <w:tblPrEx>
                <w:tblCellMar>
                  <w:top w:w="0" w:type="dxa"/>
                  <w:left w:w="108" w:type="dxa"/>
                  <w:bottom w:w="0" w:type="dxa"/>
                  <w:right w:w="108" w:type="dxa"/>
                </w:tblCellMar>
              </w:tblPrEx>
              <w:trPr>
                <w:trHeight w:val="465" w:hRule="atLeast"/>
                <w:jc w:val="center"/>
              </w:trPr>
              <w:tc>
                <w:tcPr>
                  <w:tcW w:w="1260" w:type="dxa"/>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电    话：</w:t>
                  </w:r>
                </w:p>
              </w:tc>
              <w:tc>
                <w:tcPr>
                  <w:tcW w:w="7246" w:type="dxa"/>
                  <w:noWrap w:val="0"/>
                  <w:vAlign w:val="center"/>
                </w:tcPr>
                <w:p>
                  <w:pPr>
                    <w:rPr>
                      <w:rFonts w:hint="default" w:ascii="Times New Roman" w:hAnsi="Times New Roman" w:cs="Times New Roman" w:eastAsiaTheme="minorEastAsia"/>
                      <w:b/>
                      <w:bCs/>
                      <w:color w:val="auto"/>
                      <w:highlight w:val="none"/>
                      <w:lang w:eastAsia="zh-CN"/>
                    </w:rPr>
                  </w:pPr>
                  <w:r>
                    <w:rPr>
                      <w:rFonts w:hint="default" w:ascii="Times New Roman" w:hAnsi="Times New Roman" w:cs="Times New Roman" w:eastAsiaTheme="minorEastAsia"/>
                      <w:b/>
                      <w:bCs/>
                      <w:color w:val="auto"/>
                      <w:highlight w:val="none"/>
                      <w:lang w:eastAsia="zh-CN"/>
                    </w:rPr>
                    <w:t>0757-833325</w:t>
                  </w:r>
                  <w:r>
                    <w:rPr>
                      <w:rFonts w:hint="default" w:ascii="Times New Roman" w:hAnsi="Times New Roman" w:cs="Times New Roman" w:eastAsiaTheme="minorEastAsia"/>
                      <w:b/>
                      <w:bCs/>
                      <w:color w:val="auto"/>
                      <w:highlight w:val="none"/>
                      <w:lang w:val="en-US" w:eastAsia="zh-CN"/>
                    </w:rPr>
                    <w:t>1</w:t>
                  </w:r>
                  <w:r>
                    <w:rPr>
                      <w:rFonts w:hint="default" w:ascii="Times New Roman" w:hAnsi="Times New Roman" w:cs="Times New Roman" w:eastAsiaTheme="minorEastAsia"/>
                      <w:b/>
                      <w:bCs/>
                      <w:color w:val="auto"/>
                      <w:highlight w:val="none"/>
                      <w:lang w:eastAsia="zh-CN"/>
                    </w:rPr>
                    <w:t>8</w:t>
                  </w:r>
                </w:p>
              </w:tc>
            </w:tr>
            <w:tr>
              <w:tblPrEx>
                <w:tblCellMar>
                  <w:top w:w="0" w:type="dxa"/>
                  <w:left w:w="108" w:type="dxa"/>
                  <w:bottom w:w="0" w:type="dxa"/>
                  <w:right w:w="108" w:type="dxa"/>
                </w:tblCellMar>
              </w:tblPrEx>
              <w:trPr>
                <w:trHeight w:val="285" w:hRule="atLeast"/>
                <w:jc w:val="center"/>
              </w:trPr>
              <w:tc>
                <w:tcPr>
                  <w:tcW w:w="1260" w:type="dxa"/>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声    明：</w:t>
                  </w:r>
                </w:p>
              </w:tc>
              <w:tc>
                <w:tcPr>
                  <w:tcW w:w="7246" w:type="dxa"/>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同意由递交响应文件登记顺序的前两名供应商，将作为集中推选的代表，现场对所有响应文件进行密封性检查。</w:t>
                  </w:r>
                </w:p>
              </w:tc>
            </w:tr>
          </w:tbl>
          <w:p>
            <w:pPr>
              <w:rPr>
                <w:rFonts w:hint="default" w:ascii="Times New Roman" w:hAnsi="Times New Roman" w:cs="Times New Roman" w:eastAsiaTheme="minorEastAsia"/>
                <w:color w:val="auto"/>
                <w:highlight w:val="none"/>
              </w:rPr>
            </w:pPr>
          </w:p>
        </w:tc>
      </w:tr>
    </w:tbl>
    <w:p>
      <w:pPr>
        <w:spacing w:line="360" w:lineRule="auto"/>
        <w:ind w:firstLine="480" w:firstLineChars="200"/>
        <w:rPr>
          <w:rFonts w:hint="default" w:ascii="Times New Roman" w:hAnsi="Times New Roman" w:cs="Times New Roman" w:eastAsiaTheme="minorEastAsia"/>
          <w:color w:val="auto"/>
          <w:sz w:val="24"/>
          <w:highlight w:val="none"/>
        </w:rPr>
      </w:pPr>
    </w:p>
    <w:p>
      <w:pPr>
        <w:spacing w:line="360" w:lineRule="auto"/>
        <w:ind w:firstLine="480" w:firstLineChars="100"/>
        <w:rPr>
          <w:rFonts w:hint="default" w:ascii="Times New Roman" w:hAnsi="Times New Roman" w:cs="Times New Roman" w:eastAsiaTheme="minorEastAsia"/>
          <w:color w:val="auto"/>
          <w:sz w:val="48"/>
          <w:szCs w:val="48"/>
          <w:highlight w:val="none"/>
        </w:rPr>
      </w:pPr>
      <w:r>
        <w:rPr>
          <w:rFonts w:hint="default" w:ascii="Times New Roman" w:hAnsi="Times New Roman" w:cs="Times New Roman" w:eastAsiaTheme="minorEastAsia"/>
          <w:color w:val="auto"/>
          <w:sz w:val="48"/>
          <w:szCs w:val="48"/>
          <w:highlight w:val="none"/>
        </w:rPr>
        <w:t>注意事项</w:t>
      </w:r>
    </w:p>
    <w:p>
      <w:pPr>
        <w:spacing w:line="360" w:lineRule="auto"/>
        <w:ind w:firstLine="480" w:firstLineChars="20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一、报价信封另单独封装，并按下列顺序装订：</w:t>
      </w:r>
    </w:p>
    <w:p>
      <w:pPr>
        <w:numPr>
          <w:ilvl w:val="0"/>
          <w:numId w:val="35"/>
        </w:numPr>
        <w:tabs>
          <w:tab w:val="left" w:pos="900"/>
        </w:tabs>
        <w:spacing w:line="360" w:lineRule="auto"/>
        <w:ind w:left="1080" w:hanging="54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《报价汇总表》（须加盖公章）；</w:t>
      </w:r>
    </w:p>
    <w:p>
      <w:pPr>
        <w:numPr>
          <w:ilvl w:val="0"/>
          <w:numId w:val="35"/>
        </w:numPr>
        <w:tabs>
          <w:tab w:val="left" w:pos="900"/>
        </w:tabs>
        <w:spacing w:line="360" w:lineRule="auto"/>
        <w:ind w:left="1080" w:hanging="54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GB"/>
        </w:rPr>
        <w:t>响应文件电子光盘</w:t>
      </w:r>
      <w:r>
        <w:rPr>
          <w:rFonts w:hint="default" w:ascii="Times New Roman" w:hAnsi="Times New Roman" w:cs="Times New Roman" w:eastAsiaTheme="minorEastAsia"/>
          <w:color w:val="auto"/>
          <w:highlight w:val="none"/>
        </w:rPr>
        <w:t>/U盘</w:t>
      </w:r>
      <w:r>
        <w:rPr>
          <w:rFonts w:hint="default" w:ascii="Times New Roman" w:hAnsi="Times New Roman" w:cs="Times New Roman" w:eastAsiaTheme="minorEastAsia"/>
          <w:color w:val="auto"/>
          <w:highlight w:val="none"/>
          <w:lang w:val="en-GB"/>
        </w:rPr>
        <w:t>1份</w:t>
      </w:r>
      <w:r>
        <w:rPr>
          <w:rFonts w:hint="default" w:ascii="Times New Roman" w:hAnsi="Times New Roman" w:cs="Times New Roman" w:eastAsiaTheme="minorEastAsia"/>
          <w:color w:val="auto"/>
          <w:highlight w:val="none"/>
          <w:lang w:val="en-GB" w:eastAsia="zh-CN"/>
        </w:rPr>
        <w:t>。</w:t>
      </w:r>
    </w:p>
    <w:p>
      <w:pPr>
        <w:spacing w:line="360" w:lineRule="auto"/>
        <w:ind w:firstLine="480" w:firstLineChars="200"/>
        <w:rPr>
          <w:rFonts w:hint="default" w:ascii="Times New Roman" w:hAnsi="Times New Roman" w:cs="Times New Roman" w:eastAsiaTheme="minorEastAsia"/>
          <w:color w:val="auto"/>
          <w:sz w:val="24"/>
          <w:szCs w:val="24"/>
          <w:highlight w:val="none"/>
        </w:rPr>
      </w:pPr>
    </w:p>
    <w:p>
      <w:pPr>
        <w:spacing w:line="360" w:lineRule="auto"/>
        <w:ind w:firstLine="480" w:firstLineChars="200"/>
        <w:rPr>
          <w:rFonts w:hint="default" w:ascii="Times New Roman" w:hAnsi="Times New Roman" w:cs="Times New Roman" w:eastAsiaTheme="minorEastAsia"/>
          <w:color w:val="auto"/>
          <w:sz w:val="24"/>
          <w:szCs w:val="24"/>
          <w:highlight w:val="none"/>
        </w:rPr>
      </w:pPr>
    </w:p>
    <w:p>
      <w:pPr>
        <w:spacing w:line="360" w:lineRule="auto"/>
        <w:ind w:firstLine="480" w:firstLineChars="20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二、重要提示：</w:t>
      </w:r>
    </w:p>
    <w:p>
      <w:pPr>
        <w:numPr>
          <w:ilvl w:val="0"/>
          <w:numId w:val="36"/>
        </w:numPr>
        <w:tabs>
          <w:tab w:val="left" w:pos="900"/>
        </w:tabs>
        <w:spacing w:line="360" w:lineRule="auto"/>
        <w:ind w:left="900" w:leftChars="258" w:hanging="358"/>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唱标信封与正、副本必须分开单独封装并标贴此封面，密封口处须加盖公章或授权代表签名。</w:t>
      </w:r>
    </w:p>
    <w:p>
      <w:pPr>
        <w:numPr>
          <w:ilvl w:val="0"/>
          <w:numId w:val="36"/>
        </w:numPr>
        <w:tabs>
          <w:tab w:val="left" w:pos="900"/>
        </w:tabs>
        <w:spacing w:line="360" w:lineRule="auto"/>
        <w:ind w:left="900" w:leftChars="258" w:hanging="358"/>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递交文件登记顺序的前二名供应商，将作为集中推选的代表现场对所有响应文件进行密封性检查。</w:t>
      </w:r>
    </w:p>
    <w:p>
      <w:pPr>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br w:type="page"/>
      </w:r>
    </w:p>
    <w:p>
      <w:pP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附件：询问函、质疑函格式</w:t>
      </w:r>
    </w:p>
    <w:p>
      <w:pPr>
        <w:pStyle w:val="2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说明：本部分格式为</w:t>
      </w:r>
      <w:r>
        <w:rPr>
          <w:rFonts w:hint="eastAsia"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提交询问函、质疑函时使用，不属于</w:t>
      </w:r>
      <w:r>
        <w:rPr>
          <w:rFonts w:hint="default" w:ascii="Times New Roman" w:hAnsi="Times New Roman" w:cs="Times New Roman" w:eastAsiaTheme="minorEastAsia"/>
          <w:color w:val="auto"/>
          <w:highlight w:val="none"/>
          <w:lang w:eastAsia="zh-CN"/>
        </w:rPr>
        <w:t>响应文件</w:t>
      </w:r>
      <w:r>
        <w:rPr>
          <w:rFonts w:hint="default" w:ascii="Times New Roman" w:hAnsi="Times New Roman" w:cs="Times New Roman" w:eastAsiaTheme="minorEastAsia"/>
          <w:color w:val="auto"/>
          <w:highlight w:val="none"/>
        </w:rPr>
        <w:t>格式的组成部分。</w:t>
      </w:r>
    </w:p>
    <w:p>
      <w:pPr>
        <w:spacing w:after="468" w:afterLines="150"/>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询问函</w:t>
      </w:r>
    </w:p>
    <w:p>
      <w:pPr>
        <w:widowControl/>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lang w:eastAsia="zh-CN"/>
        </w:rPr>
        <w:t>广东远东招标代理有限公司</w:t>
      </w:r>
      <w:r>
        <w:rPr>
          <w:rFonts w:hint="default" w:ascii="Times New Roman" w:hAnsi="Times New Roman" w:cs="Times New Roman" w:eastAsiaTheme="minorEastAsia"/>
          <w:color w:val="auto"/>
          <w:sz w:val="24"/>
          <w:highlight w:val="none"/>
        </w:rPr>
        <w:t>：</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我单位已按规定获取磋商文件并准备参与</w:t>
      </w:r>
      <w:r>
        <w:rPr>
          <w:rFonts w:hint="default" w:ascii="Times New Roman" w:hAnsi="Times New Roman" w:cs="Times New Roman" w:eastAsiaTheme="minorEastAsia"/>
          <w:i/>
          <w:color w:val="auto"/>
          <w:sz w:val="24"/>
          <w:highlight w:val="none"/>
          <w:u w:val="single"/>
        </w:rPr>
        <w:t>（项目名称）</w:t>
      </w:r>
      <w:r>
        <w:rPr>
          <w:rFonts w:hint="default" w:ascii="Times New Roman" w:hAnsi="Times New Roman" w:cs="Times New Roman" w:eastAsiaTheme="minorEastAsia"/>
          <w:color w:val="auto"/>
          <w:sz w:val="24"/>
          <w:highlight w:val="none"/>
        </w:rPr>
        <w:t>项目（项目采购编号：）的投标（或报价）活动，现有以下几个内容（或条款）存在疑问（或无法理解），特提出询问。</w:t>
      </w:r>
    </w:p>
    <w:p>
      <w:pPr>
        <w:widowControl/>
        <w:tabs>
          <w:tab w:val="center" w:pos="5019"/>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一、_____________________（事项一）</w:t>
      </w:r>
      <w:r>
        <w:rPr>
          <w:rFonts w:hint="default" w:ascii="Times New Roman" w:hAnsi="Times New Roman" w:cs="Times New Roman" w:eastAsiaTheme="minorEastAsia"/>
          <w:color w:val="auto"/>
          <w:sz w:val="24"/>
          <w:highlight w:val="none"/>
        </w:rPr>
        <w:tab/>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（1）____________________（问题或条款内容）</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（2）____________________（说明疑问或无法理解原因）</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（3）____________________（建议）</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二、_____________________（事项二）</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随附相关证明材料如下：（目录）。</w:t>
      </w:r>
    </w:p>
    <w:p>
      <w:pPr>
        <w:widowControl/>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询问人：（公章）</w:t>
      </w:r>
    </w:p>
    <w:p>
      <w:pPr>
        <w:widowControl/>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法定代表人（授权代表）：</w:t>
      </w:r>
    </w:p>
    <w:p>
      <w:pPr>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地址/邮编：</w:t>
      </w:r>
    </w:p>
    <w:p>
      <w:pPr>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电话/传真：</w:t>
      </w:r>
    </w:p>
    <w:p>
      <w:pPr>
        <w:jc w:val="right"/>
        <w:rPr>
          <w:rFonts w:hint="default" w:ascii="Times New Roman" w:hAnsi="Times New Roman" w:cs="Times New Roman" w:eastAsiaTheme="minorEastAsia"/>
          <w:color w:val="auto"/>
          <w:szCs w:val="24"/>
          <w:highlight w:val="none"/>
        </w:rPr>
      </w:pPr>
      <w:r>
        <w:rPr>
          <w:rFonts w:hint="default" w:ascii="Times New Roman" w:hAnsi="Times New Roman" w:cs="Times New Roman" w:eastAsiaTheme="minorEastAsia"/>
          <w:color w:val="auto"/>
          <w:szCs w:val="24"/>
          <w:highlight w:val="none"/>
        </w:rPr>
        <w:t>年月日</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br w:type="page"/>
      </w:r>
    </w:p>
    <w:p>
      <w:pPr>
        <w:spacing w:after="360" w:afterLines="150"/>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质疑函范本</w:t>
      </w:r>
    </w:p>
    <w:p>
      <w:pPr>
        <w:spacing w:line="30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一、质疑供应商基本信息</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质疑供应商：</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地址：</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邮编：</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联系人：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联系电话：</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授权代表：</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联系电话：</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地址：</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邮编：</w:t>
      </w:r>
      <w:r>
        <w:rPr>
          <w:rFonts w:hint="default" w:ascii="Times New Roman" w:hAnsi="Times New Roman" w:cs="Times New Roman"/>
          <w:sz w:val="24"/>
          <w:szCs w:val="24"/>
          <w:highlight w:val="none"/>
          <w:u w:val="single"/>
        </w:rPr>
        <w:t xml:space="preserve">                              </w:t>
      </w:r>
    </w:p>
    <w:p>
      <w:pPr>
        <w:spacing w:line="30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二、质疑项目基本情况</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质疑项目的名称：</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质疑项目的编号：</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包号（如有）：</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采购人名称：</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采购文件获取日期：</w:t>
      </w:r>
      <w:r>
        <w:rPr>
          <w:rFonts w:hint="default" w:ascii="Times New Roman" w:hAnsi="Times New Roman" w:cs="Times New Roman"/>
          <w:sz w:val="24"/>
          <w:szCs w:val="24"/>
          <w:highlight w:val="none"/>
          <w:u w:val="single"/>
        </w:rPr>
        <w:t xml:space="preserve">                         </w:t>
      </w:r>
    </w:p>
    <w:p>
      <w:pPr>
        <w:spacing w:line="30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三、质疑事项具体内容</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质疑事项1：</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事实依据：</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法律依据：</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质疑事项2</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p>
    <w:p>
      <w:pPr>
        <w:spacing w:line="30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四、与质疑事项相关的质疑请求</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请求：</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供应商（盖章）：</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法定代表人（授权代表）：</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地址/邮编：</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电话/传真：</w:t>
      </w:r>
    </w:p>
    <w:p>
      <w:pPr>
        <w:spacing w:line="300" w:lineRule="auto"/>
        <w:jc w:val="righ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日期： 年 月 日</w:t>
      </w:r>
    </w:p>
    <w:p>
      <w:pPr>
        <w:pStyle w:val="20"/>
        <w:ind w:left="0" w:leftChars="0" w:firstLine="0" w:firstLineChars="0"/>
        <w:jc w:val="both"/>
        <w:rPr>
          <w:rFonts w:hint="default" w:ascii="Times New Roman" w:hAnsi="Times New Roman" w:cs="Times New Roman" w:eastAsiaTheme="minorEastAsia"/>
          <w:color w:val="auto"/>
          <w:highlight w:val="none"/>
        </w:rPr>
      </w:pPr>
    </w:p>
    <w:sectPr>
      <w:headerReference r:id="rId27" w:type="default"/>
      <w:pgSz w:w="11906" w:h="16838"/>
      <w:pgMar w:top="1134" w:right="1134" w:bottom="1134" w:left="1587" w:header="567" w:footer="73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686297A-5D34-443D-AEEB-0E2F0F0547B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B7D8406-81F9-403A-9F4C-22E29995839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99E1BD4-92D0-45F2-8D15-FB463DFF31CA}"/>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embedRegular r:id="rId4" w:fontKey="{48F92F0B-7A3D-4386-AAA3-301CAC2F2F29}"/>
  </w:font>
  <w:font w:name="仿宋">
    <w:panose1 w:val="02010609060101010101"/>
    <w:charset w:val="86"/>
    <w:family w:val="modern"/>
    <w:pitch w:val="default"/>
    <w:sig w:usb0="800002BF" w:usb1="38CF7CFA" w:usb2="00000016" w:usb3="00000000" w:csb0="00040001" w:csb1="00000000"/>
    <w:embedRegular r:id="rId5" w:fontKey="{BBA18E3E-CDD4-4C11-91D6-DE169C1C09E1}"/>
  </w:font>
  <w:font w:name="方正小标宋简体">
    <w:panose1 w:val="02000000000000000000"/>
    <w:charset w:val="86"/>
    <w:family w:val="auto"/>
    <w:pitch w:val="default"/>
    <w:sig w:usb0="00000001" w:usb1="08000000" w:usb2="00000000" w:usb3="00000000" w:csb0="00040000" w:csb1="00000000"/>
    <w:embedRegular r:id="rId6" w:fontKey="{A94CE526-E26B-4850-AD46-DB4D5DD85D4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separate"/>
    </w:r>
    <w:r>
      <w:t>44</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60"/>
      </w:tabs>
      <w:ind w:right="2" w:rightChars="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60"/>
      </w:tabs>
      <w:ind w:right="2" w:rightChars="1"/>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rFonts w:ascii="宋体" w:hAnsi="宋体"/>
        <w:sz w:val="18"/>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pPr>
    <w:r>
      <w:rPr>
        <w:rFonts w:hint="eastAsia" w:ascii="宋体" w:hAnsi="宋体"/>
      </w:rPr>
      <w:t>项目名称：                                                     采购编号：</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11253"/>
    <w:multiLevelType w:val="multilevel"/>
    <w:tmpl w:val="96111253"/>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C0F17CFC"/>
    <w:multiLevelType w:val="multilevel"/>
    <w:tmpl w:val="C0F17CFC"/>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CA86655"/>
    <w:multiLevelType w:val="multilevel"/>
    <w:tmpl w:val="CCA86655"/>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D4421E3C"/>
    <w:multiLevelType w:val="multilevel"/>
    <w:tmpl w:val="D4421E3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ED3D50F5"/>
    <w:multiLevelType w:val="singleLevel"/>
    <w:tmpl w:val="ED3D50F5"/>
    <w:lvl w:ilvl="0" w:tentative="0">
      <w:start w:val="1"/>
      <w:numFmt w:val="decimal"/>
      <w:lvlText w:val="%1)"/>
      <w:lvlJc w:val="left"/>
      <w:pPr>
        <w:ind w:left="425" w:hanging="425"/>
      </w:pPr>
      <w:rPr>
        <w:rFonts w:hint="default"/>
      </w:rPr>
    </w:lvl>
  </w:abstractNum>
  <w:abstractNum w:abstractNumId="5">
    <w:nsid w:val="00000004"/>
    <w:multiLevelType w:val="multilevel"/>
    <w:tmpl w:val="00000004"/>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0F"/>
    <w:multiLevelType w:val="multilevel"/>
    <w:tmpl w:val="0000000F"/>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17"/>
    <w:multiLevelType w:val="multilevel"/>
    <w:tmpl w:val="00000017"/>
    <w:lvl w:ilvl="0" w:tentative="0">
      <w:start w:val="1"/>
      <w:numFmt w:val="decimal"/>
      <w:lvlText w:val="%1"/>
      <w:lvlJc w:val="center"/>
      <w:pPr>
        <w:tabs>
          <w:tab w:val="left" w:pos="170"/>
        </w:tabs>
        <w:ind w:left="170" w:hanging="170"/>
      </w:pPr>
      <w:rPr>
        <w:spacing w:val="-20"/>
        <w:kern w:val="2"/>
        <w:position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A"/>
    <w:multiLevelType w:val="multilevel"/>
    <w:tmpl w:val="0000001A"/>
    <w:lvl w:ilvl="0" w:tentative="0">
      <w:start w:val="1"/>
      <w:numFmt w:val="chineseCountingThousand"/>
      <w:lvlText w:val="%1、"/>
      <w:lvlJc w:val="left"/>
      <w:pPr>
        <w:tabs>
          <w:tab w:val="left" w:pos="1044"/>
        </w:tabs>
        <w:ind w:left="1044" w:hanging="624"/>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400"/>
        </w:tabs>
        <w:ind w:left="2400" w:hanging="72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000001B"/>
    <w:multiLevelType w:val="multilevel"/>
    <w:tmpl w:val="0000001B"/>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C"/>
    <w:multiLevelType w:val="multilevel"/>
    <w:tmpl w:val="0000001C"/>
    <w:lvl w:ilvl="0" w:tentative="0">
      <w:start w:val="1"/>
      <w:numFmt w:val="decimal"/>
      <w:lvlText w:val="2.%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D"/>
    <w:multiLevelType w:val="multilevel"/>
    <w:tmpl w:val="0000001D"/>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F"/>
    <w:multiLevelType w:val="multilevel"/>
    <w:tmpl w:val="0000001F"/>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0"/>
    <w:multiLevelType w:val="multilevel"/>
    <w:tmpl w:val="00000020"/>
    <w:lvl w:ilvl="0" w:tentative="0">
      <w:start w:val="2"/>
      <w:numFmt w:val="decimal"/>
      <w:lvlText w:val="4.%1"/>
      <w:lvlJc w:val="left"/>
      <w:pPr>
        <w:tabs>
          <w:tab w:val="left" w:pos="567"/>
        </w:tabs>
        <w:ind w:left="567" w:hanging="567"/>
      </w:pPr>
      <w:rPr>
        <w:rFonts w:hint="eastAsia" w:eastAsia="宋体"/>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multilevel"/>
    <w:tmpl w:val="00000022"/>
    <w:lvl w:ilvl="0" w:tentative="0">
      <w:start w:val="1"/>
      <w:numFmt w:val="decimal"/>
      <w:lvlText w:val="1.%1."/>
      <w:lvlJc w:val="left"/>
      <w:pPr>
        <w:tabs>
          <w:tab w:val="left" w:pos="510"/>
        </w:tabs>
        <w:ind w:left="510" w:hanging="510"/>
      </w:pPr>
      <w:rPr>
        <w:rFonts w:hint="eastAsia"/>
        <w:b/>
        <w:i w:val="0"/>
      </w:rPr>
    </w:lvl>
    <w:lvl w:ilvl="1" w:tentative="0">
      <w:start w:val="1"/>
      <w:numFmt w:val="chineseCountingThousand"/>
      <w:lvlText w:val="%2、"/>
      <w:lvlJc w:val="left"/>
      <w:pPr>
        <w:tabs>
          <w:tab w:val="left" w:pos="0"/>
        </w:tabs>
        <w:ind w:left="0" w:firstLine="0"/>
      </w:pPr>
      <w:rPr>
        <w:rFonts w:hint="eastAsia"/>
        <w:b/>
        <w:i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00000024"/>
    <w:multiLevelType w:val="multilevel"/>
    <w:tmpl w:val="00000024"/>
    <w:lvl w:ilvl="0" w:tentative="0">
      <w:start w:val="6"/>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27"/>
    <w:multiLevelType w:val="multilevel"/>
    <w:tmpl w:val="00000027"/>
    <w:lvl w:ilvl="0" w:tentative="0">
      <w:start w:val="1"/>
      <w:numFmt w:val="decimal"/>
      <w:lvlText w:val="3.%1"/>
      <w:lvlJc w:val="left"/>
      <w:pPr>
        <w:tabs>
          <w:tab w:val="left" w:pos="851"/>
        </w:tabs>
        <w:ind w:left="851"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A"/>
    <w:multiLevelType w:val="multilevel"/>
    <w:tmpl w:val="0000002A"/>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9">
    <w:nsid w:val="0000002B"/>
    <w:multiLevelType w:val="multilevel"/>
    <w:tmpl w:val="0000002B"/>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0">
    <w:nsid w:val="0000002D"/>
    <w:multiLevelType w:val="multilevel"/>
    <w:tmpl w:val="0000002D"/>
    <w:lvl w:ilvl="0" w:tentative="0">
      <w:start w:val="1"/>
      <w:numFmt w:val="decimal"/>
      <w:lvlText w:val="4.%1"/>
      <w:lvlJc w:val="left"/>
      <w:pPr>
        <w:tabs>
          <w:tab w:val="left" w:pos="855"/>
        </w:tabs>
        <w:ind w:left="855"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34"/>
    <w:multiLevelType w:val="multilevel"/>
    <w:tmpl w:val="0000003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3D"/>
    <w:multiLevelType w:val="multilevel"/>
    <w:tmpl w:val="0000003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48"/>
    <w:multiLevelType w:val="multilevel"/>
    <w:tmpl w:val="00000048"/>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4">
    <w:nsid w:val="0000004D"/>
    <w:multiLevelType w:val="multilevel"/>
    <w:tmpl w:val="0000004D"/>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54"/>
    <w:multiLevelType w:val="multilevel"/>
    <w:tmpl w:val="00000054"/>
    <w:lvl w:ilvl="0" w:tentative="0">
      <w:start w:val="1"/>
      <w:numFmt w:val="decimal"/>
      <w:lvlText w:val="%1)"/>
      <w:lvlJc w:val="left"/>
      <w:pPr>
        <w:tabs>
          <w:tab w:val="left" w:pos="420"/>
        </w:tabs>
        <w:ind w:left="420" w:hanging="420"/>
      </w:pPr>
      <w:rPr>
        <w:b w:val="0"/>
      </w:rPr>
    </w:lvl>
    <w:lvl w:ilvl="1" w:tentative="0">
      <w:start w:val="1"/>
      <w:numFmt w:val="bullet"/>
      <w:lvlText w:val=""/>
      <w:lvlJc w:val="left"/>
      <w:pPr>
        <w:tabs>
          <w:tab w:val="left" w:pos="840"/>
        </w:tabs>
        <w:ind w:left="840" w:hanging="420"/>
      </w:pPr>
      <w:rPr>
        <w:rFonts w:hint="default" w:ascii="Wingdings" w:hAnsi="Wingdings"/>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170D0C2"/>
    <w:multiLevelType w:val="multilevel"/>
    <w:tmpl w:val="0170D0C2"/>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0322CCED"/>
    <w:multiLevelType w:val="multilevel"/>
    <w:tmpl w:val="0322CCED"/>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BE51336"/>
    <w:multiLevelType w:val="multilevel"/>
    <w:tmpl w:val="0BE51336"/>
    <w:lvl w:ilvl="0" w:tentative="0">
      <w:start w:val="1"/>
      <w:numFmt w:val="decimal"/>
      <w:lvlText w:val="8.%1"/>
      <w:lvlJc w:val="left"/>
      <w:pPr>
        <w:ind w:left="1260" w:hanging="420"/>
      </w:pPr>
      <w:rPr>
        <w:rFonts w:hint="eastAsia" w:ascii="宋体" w:hAnsi="宋体" w:eastAsia="宋体" w:cs="Times New Roman"/>
        <w:b w:val="0"/>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29">
    <w:nsid w:val="387B37FA"/>
    <w:multiLevelType w:val="multilevel"/>
    <w:tmpl w:val="387B37FA"/>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4D8940A5"/>
    <w:multiLevelType w:val="multilevel"/>
    <w:tmpl w:val="4D8940A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1">
    <w:nsid w:val="50004309"/>
    <w:multiLevelType w:val="multilevel"/>
    <w:tmpl w:val="50004309"/>
    <w:lvl w:ilvl="0" w:tentative="0">
      <w:start w:val="1"/>
      <w:numFmt w:val="decimal"/>
      <w:lvlText w:val="2.%1"/>
      <w:lvlJc w:val="left"/>
      <w:pPr>
        <w:ind w:left="1260" w:hanging="420"/>
      </w:pPr>
      <w:rPr>
        <w:rFonts w:hint="eastAsia" w:ascii="宋体" w:hAnsi="宋体" w:eastAsia="宋体" w:cs="Times New Roman"/>
        <w:b w:val="0"/>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32">
    <w:nsid w:val="5438C2DE"/>
    <w:multiLevelType w:val="multilevel"/>
    <w:tmpl w:val="5438C2DE"/>
    <w:lvl w:ilvl="0" w:tentative="0">
      <w:start w:val="1"/>
      <w:numFmt w:val="chineseCountingThousand"/>
      <w:lvlText w:val="%1、"/>
      <w:lvlJc w:val="left"/>
      <w:pPr>
        <w:tabs>
          <w:tab w:val="left" w:pos="1044"/>
        </w:tabs>
        <w:ind w:left="1044" w:hanging="624"/>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400"/>
        </w:tabs>
        <w:ind w:left="2400" w:hanging="72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3">
    <w:nsid w:val="6455F6D3"/>
    <w:multiLevelType w:val="multilevel"/>
    <w:tmpl w:val="6455F6D3"/>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D261A4A"/>
    <w:multiLevelType w:val="multilevel"/>
    <w:tmpl w:val="6D261A4A"/>
    <w:lvl w:ilvl="0" w:tentative="0">
      <w:start w:val="1"/>
      <w:numFmt w:val="decimal"/>
      <w:lvlText w:val="7.%1"/>
      <w:lvlJc w:val="left"/>
      <w:pPr>
        <w:ind w:left="1260" w:hanging="420"/>
      </w:pPr>
      <w:rPr>
        <w:rFonts w:hint="eastAsia" w:ascii="宋体" w:hAnsi="宋体" w:eastAsia="宋体" w:cs="Times New Roman"/>
        <w:b w:val="0"/>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35">
    <w:nsid w:val="6FB2442B"/>
    <w:multiLevelType w:val="multilevel"/>
    <w:tmpl w:val="6FB2442B"/>
    <w:lvl w:ilvl="0" w:tentative="0">
      <w:start w:val="1"/>
      <w:numFmt w:val="decimal"/>
      <w:lvlText w:val="5.%1"/>
      <w:lvlJc w:val="left"/>
      <w:pPr>
        <w:ind w:left="1260" w:hanging="420"/>
      </w:pPr>
      <w:rPr>
        <w:rFonts w:hint="eastAsia" w:ascii="宋体" w:hAnsi="宋体" w:eastAsia="宋体" w:cs="Times New Roman"/>
        <w:b w:val="0"/>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num w:numId="1">
    <w:abstractNumId w:val="15"/>
  </w:num>
  <w:num w:numId="2">
    <w:abstractNumId w:val="24"/>
  </w:num>
  <w:num w:numId="3">
    <w:abstractNumId w:val="21"/>
  </w:num>
  <w:num w:numId="4">
    <w:abstractNumId w:val="23"/>
  </w:num>
  <w:num w:numId="5">
    <w:abstractNumId w:val="22"/>
  </w:num>
  <w:num w:numId="6">
    <w:abstractNumId w:val="9"/>
  </w:num>
  <w:num w:numId="7">
    <w:abstractNumId w:val="7"/>
  </w:num>
  <w:num w:numId="8">
    <w:abstractNumId w:val="26"/>
  </w:num>
  <w:num w:numId="9">
    <w:abstractNumId w:val="6"/>
  </w:num>
  <w:num w:numId="10">
    <w:abstractNumId w:val="0"/>
  </w:num>
  <w:num w:numId="11">
    <w:abstractNumId w:val="27"/>
  </w:num>
  <w:num w:numId="12">
    <w:abstractNumId w:val="29"/>
  </w:num>
  <w:num w:numId="13">
    <w:abstractNumId w:val="1"/>
  </w:num>
  <w:num w:numId="14">
    <w:abstractNumId w:val="8"/>
  </w:num>
  <w:num w:numId="15">
    <w:abstractNumId w:val="16"/>
  </w:num>
  <w:num w:numId="16">
    <w:abstractNumId w:val="2"/>
  </w:num>
  <w:num w:numId="17">
    <w:abstractNumId w:val="31"/>
  </w:num>
  <w:num w:numId="18">
    <w:abstractNumId w:val="35"/>
  </w:num>
  <w:num w:numId="19">
    <w:abstractNumId w:val="34"/>
  </w:num>
  <w:num w:numId="20">
    <w:abstractNumId w:val="28"/>
  </w:num>
  <w:num w:numId="21">
    <w:abstractNumId w:val="5"/>
  </w:num>
  <w:num w:numId="22">
    <w:abstractNumId w:val="32"/>
  </w:num>
  <w:num w:numId="23">
    <w:abstractNumId w:val="3"/>
  </w:num>
  <w:num w:numId="24">
    <w:abstractNumId w:val="25"/>
  </w:num>
  <w:num w:numId="25">
    <w:abstractNumId w:val="11"/>
  </w:num>
  <w:num w:numId="26">
    <w:abstractNumId w:val="17"/>
  </w:num>
  <w:num w:numId="27">
    <w:abstractNumId w:val="12"/>
  </w:num>
  <w:num w:numId="28">
    <w:abstractNumId w:val="33"/>
  </w:num>
  <w:num w:numId="29">
    <w:abstractNumId w:val="10"/>
  </w:num>
  <w:num w:numId="30">
    <w:abstractNumId w:val="30"/>
  </w:num>
  <w:num w:numId="31">
    <w:abstractNumId w:val="20"/>
  </w:num>
  <w:num w:numId="32">
    <w:abstractNumId w:val="13"/>
  </w:num>
  <w:num w:numId="33">
    <w:abstractNumId w:val="14"/>
  </w:num>
  <w:num w:numId="34">
    <w:abstractNumId w:val="4"/>
  </w:num>
  <w:num w:numId="35">
    <w:abstractNumId w:val="1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Mjc2YTQ3NmQwNWM4YTk5Y2U0YjFjYTYyNDBiNzgifQ=="/>
  </w:docVars>
  <w:rsids>
    <w:rsidRoot w:val="06267D41"/>
    <w:rsid w:val="014E068A"/>
    <w:rsid w:val="02625CB9"/>
    <w:rsid w:val="047D1CCC"/>
    <w:rsid w:val="05677DBF"/>
    <w:rsid w:val="05787B90"/>
    <w:rsid w:val="05BE179C"/>
    <w:rsid w:val="06267D41"/>
    <w:rsid w:val="066945CD"/>
    <w:rsid w:val="072E4E8B"/>
    <w:rsid w:val="07303BD9"/>
    <w:rsid w:val="08896684"/>
    <w:rsid w:val="08EE77B6"/>
    <w:rsid w:val="08FA41C9"/>
    <w:rsid w:val="0951266F"/>
    <w:rsid w:val="09561BA7"/>
    <w:rsid w:val="0A050194"/>
    <w:rsid w:val="0A200142"/>
    <w:rsid w:val="0ACA7865"/>
    <w:rsid w:val="0B5644C5"/>
    <w:rsid w:val="0BDB04E2"/>
    <w:rsid w:val="0BEE245D"/>
    <w:rsid w:val="0C7303D5"/>
    <w:rsid w:val="0CBC0A39"/>
    <w:rsid w:val="0CCD22A7"/>
    <w:rsid w:val="0D0F0A07"/>
    <w:rsid w:val="0E372937"/>
    <w:rsid w:val="0EBB2BE4"/>
    <w:rsid w:val="0EE53333"/>
    <w:rsid w:val="0F786028"/>
    <w:rsid w:val="0FB852B5"/>
    <w:rsid w:val="101A78FF"/>
    <w:rsid w:val="102E539F"/>
    <w:rsid w:val="109B502B"/>
    <w:rsid w:val="10E723F2"/>
    <w:rsid w:val="12542708"/>
    <w:rsid w:val="12E14DFB"/>
    <w:rsid w:val="15614D8F"/>
    <w:rsid w:val="166C1B2B"/>
    <w:rsid w:val="173D7970"/>
    <w:rsid w:val="19415068"/>
    <w:rsid w:val="19642CA2"/>
    <w:rsid w:val="19D2505F"/>
    <w:rsid w:val="1A3C061E"/>
    <w:rsid w:val="1A5549FD"/>
    <w:rsid w:val="1A6C68CB"/>
    <w:rsid w:val="1C055B16"/>
    <w:rsid w:val="1D074F9B"/>
    <w:rsid w:val="1E0C3F41"/>
    <w:rsid w:val="1EF158D0"/>
    <w:rsid w:val="1EF51DA0"/>
    <w:rsid w:val="1FD73361"/>
    <w:rsid w:val="1FDA0258"/>
    <w:rsid w:val="2019783D"/>
    <w:rsid w:val="202E3116"/>
    <w:rsid w:val="216E212E"/>
    <w:rsid w:val="21A90B5D"/>
    <w:rsid w:val="22525B39"/>
    <w:rsid w:val="228F52EA"/>
    <w:rsid w:val="22A7302B"/>
    <w:rsid w:val="22B7505E"/>
    <w:rsid w:val="22C95DFC"/>
    <w:rsid w:val="22F917D2"/>
    <w:rsid w:val="230E60A3"/>
    <w:rsid w:val="2318757D"/>
    <w:rsid w:val="237C496B"/>
    <w:rsid w:val="23C03108"/>
    <w:rsid w:val="23E822B1"/>
    <w:rsid w:val="24726BAB"/>
    <w:rsid w:val="248B3CD4"/>
    <w:rsid w:val="24D66E91"/>
    <w:rsid w:val="2506685C"/>
    <w:rsid w:val="252D109A"/>
    <w:rsid w:val="25564066"/>
    <w:rsid w:val="259452BB"/>
    <w:rsid w:val="26977446"/>
    <w:rsid w:val="26CA589C"/>
    <w:rsid w:val="26EC37F5"/>
    <w:rsid w:val="27D45B51"/>
    <w:rsid w:val="289E73E3"/>
    <w:rsid w:val="28A15C44"/>
    <w:rsid w:val="28CA5FD2"/>
    <w:rsid w:val="28F46B87"/>
    <w:rsid w:val="29804D3A"/>
    <w:rsid w:val="2A0F0460"/>
    <w:rsid w:val="2A186EBC"/>
    <w:rsid w:val="2A5044BE"/>
    <w:rsid w:val="2B397896"/>
    <w:rsid w:val="2C1773C4"/>
    <w:rsid w:val="2CF14CF5"/>
    <w:rsid w:val="2D253733"/>
    <w:rsid w:val="2D7D3282"/>
    <w:rsid w:val="2D8D11DF"/>
    <w:rsid w:val="2DD136C7"/>
    <w:rsid w:val="2E5472ED"/>
    <w:rsid w:val="2F1E121B"/>
    <w:rsid w:val="2F7A3341"/>
    <w:rsid w:val="31022C41"/>
    <w:rsid w:val="31A309E6"/>
    <w:rsid w:val="31E551AA"/>
    <w:rsid w:val="3207561C"/>
    <w:rsid w:val="327E5B98"/>
    <w:rsid w:val="331857D1"/>
    <w:rsid w:val="3333740C"/>
    <w:rsid w:val="33845EFF"/>
    <w:rsid w:val="338E06C7"/>
    <w:rsid w:val="33A17FE7"/>
    <w:rsid w:val="33B61678"/>
    <w:rsid w:val="34780C70"/>
    <w:rsid w:val="355D580E"/>
    <w:rsid w:val="35742F86"/>
    <w:rsid w:val="35E50F06"/>
    <w:rsid w:val="364467D1"/>
    <w:rsid w:val="365C48CB"/>
    <w:rsid w:val="36981640"/>
    <w:rsid w:val="39075131"/>
    <w:rsid w:val="39B52E86"/>
    <w:rsid w:val="39B958D7"/>
    <w:rsid w:val="39CE1AF2"/>
    <w:rsid w:val="3AC53DFB"/>
    <w:rsid w:val="3B4B1811"/>
    <w:rsid w:val="3C024B78"/>
    <w:rsid w:val="3D224071"/>
    <w:rsid w:val="3D7A7FC6"/>
    <w:rsid w:val="3D8C590D"/>
    <w:rsid w:val="3DE10046"/>
    <w:rsid w:val="3DF3568C"/>
    <w:rsid w:val="3E0F1980"/>
    <w:rsid w:val="3EEC0F39"/>
    <w:rsid w:val="3FF84FB0"/>
    <w:rsid w:val="4010158E"/>
    <w:rsid w:val="40353AA6"/>
    <w:rsid w:val="40880C4C"/>
    <w:rsid w:val="416D40B0"/>
    <w:rsid w:val="45145CBC"/>
    <w:rsid w:val="45495E3B"/>
    <w:rsid w:val="45F608F9"/>
    <w:rsid w:val="460E39A2"/>
    <w:rsid w:val="466D4392"/>
    <w:rsid w:val="466D5494"/>
    <w:rsid w:val="46CB3102"/>
    <w:rsid w:val="471121B2"/>
    <w:rsid w:val="473D4935"/>
    <w:rsid w:val="47966CF1"/>
    <w:rsid w:val="48B52FF4"/>
    <w:rsid w:val="49AE21B9"/>
    <w:rsid w:val="4A437103"/>
    <w:rsid w:val="4AC26D8B"/>
    <w:rsid w:val="4B2D3702"/>
    <w:rsid w:val="4B4C652C"/>
    <w:rsid w:val="4B71666D"/>
    <w:rsid w:val="4BCB3D12"/>
    <w:rsid w:val="4BEC7013"/>
    <w:rsid w:val="4C310AA4"/>
    <w:rsid w:val="4C672C5B"/>
    <w:rsid w:val="4CA74DF2"/>
    <w:rsid w:val="4CC0735A"/>
    <w:rsid w:val="4D030A37"/>
    <w:rsid w:val="4D0E6C72"/>
    <w:rsid w:val="4EF22D0B"/>
    <w:rsid w:val="51407533"/>
    <w:rsid w:val="526C2CE6"/>
    <w:rsid w:val="55303213"/>
    <w:rsid w:val="55B153B6"/>
    <w:rsid w:val="55E86343"/>
    <w:rsid w:val="56B35311"/>
    <w:rsid w:val="573963A5"/>
    <w:rsid w:val="58DB53F0"/>
    <w:rsid w:val="59115444"/>
    <w:rsid w:val="59392941"/>
    <w:rsid w:val="5A250E62"/>
    <w:rsid w:val="5AA13016"/>
    <w:rsid w:val="5AD279DC"/>
    <w:rsid w:val="5AD37EDD"/>
    <w:rsid w:val="5AD76EB5"/>
    <w:rsid w:val="5AE1109C"/>
    <w:rsid w:val="5B8878FB"/>
    <w:rsid w:val="5BD3501A"/>
    <w:rsid w:val="5BDE2788"/>
    <w:rsid w:val="5BE01F71"/>
    <w:rsid w:val="5CF241AA"/>
    <w:rsid w:val="5D137698"/>
    <w:rsid w:val="5D540779"/>
    <w:rsid w:val="5DCF3DEB"/>
    <w:rsid w:val="5E60690D"/>
    <w:rsid w:val="5E645C28"/>
    <w:rsid w:val="5E7A3527"/>
    <w:rsid w:val="5F4D3474"/>
    <w:rsid w:val="604B23D0"/>
    <w:rsid w:val="614D1BAD"/>
    <w:rsid w:val="61A91D7E"/>
    <w:rsid w:val="61F96DB9"/>
    <w:rsid w:val="625F769B"/>
    <w:rsid w:val="63E440E6"/>
    <w:rsid w:val="64805613"/>
    <w:rsid w:val="6502757C"/>
    <w:rsid w:val="65D241BA"/>
    <w:rsid w:val="65F22540"/>
    <w:rsid w:val="660404C6"/>
    <w:rsid w:val="66134461"/>
    <w:rsid w:val="66CB2907"/>
    <w:rsid w:val="66E83943"/>
    <w:rsid w:val="673B2799"/>
    <w:rsid w:val="67E6100B"/>
    <w:rsid w:val="67E611AD"/>
    <w:rsid w:val="67FA5402"/>
    <w:rsid w:val="69894212"/>
    <w:rsid w:val="6A70612A"/>
    <w:rsid w:val="6ACC10C7"/>
    <w:rsid w:val="6AED1528"/>
    <w:rsid w:val="6B016FFF"/>
    <w:rsid w:val="6B33714A"/>
    <w:rsid w:val="6B396ABD"/>
    <w:rsid w:val="6BBE54C9"/>
    <w:rsid w:val="6C4C204B"/>
    <w:rsid w:val="6C8B17EC"/>
    <w:rsid w:val="6CA21722"/>
    <w:rsid w:val="6CEE19B7"/>
    <w:rsid w:val="6D8245C4"/>
    <w:rsid w:val="6D997745"/>
    <w:rsid w:val="6DB039D2"/>
    <w:rsid w:val="6E453094"/>
    <w:rsid w:val="6EE41264"/>
    <w:rsid w:val="6EE41EB4"/>
    <w:rsid w:val="6F173018"/>
    <w:rsid w:val="6FE86762"/>
    <w:rsid w:val="6FF95687"/>
    <w:rsid w:val="70826352"/>
    <w:rsid w:val="709D12FB"/>
    <w:rsid w:val="725C102F"/>
    <w:rsid w:val="725C66CD"/>
    <w:rsid w:val="74025471"/>
    <w:rsid w:val="74050BD3"/>
    <w:rsid w:val="74C06141"/>
    <w:rsid w:val="757F789E"/>
    <w:rsid w:val="76E45ED5"/>
    <w:rsid w:val="770C71DA"/>
    <w:rsid w:val="77CE3C15"/>
    <w:rsid w:val="77EF71FC"/>
    <w:rsid w:val="77FF5403"/>
    <w:rsid w:val="783D1171"/>
    <w:rsid w:val="796E612D"/>
    <w:rsid w:val="79D6782C"/>
    <w:rsid w:val="7A01123B"/>
    <w:rsid w:val="7AAD5AA2"/>
    <w:rsid w:val="7ACB734E"/>
    <w:rsid w:val="7BDD400B"/>
    <w:rsid w:val="7C0046E6"/>
    <w:rsid w:val="7C9C1F50"/>
    <w:rsid w:val="7D1148FB"/>
    <w:rsid w:val="7D35735C"/>
    <w:rsid w:val="7D697134"/>
    <w:rsid w:val="7D980E6F"/>
    <w:rsid w:val="7F49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paragraph" w:styleId="3">
    <w:name w:val="heading 1"/>
    <w:basedOn w:val="1"/>
    <w:next w:val="1"/>
    <w:qFormat/>
    <w:uiPriority w:val="0"/>
    <w:pPr>
      <w:autoSpaceDE w:val="0"/>
      <w:autoSpaceDN w:val="0"/>
      <w:adjustRightInd w:val="0"/>
      <w:ind w:left="425" w:hanging="425"/>
      <w:jc w:val="center"/>
      <w:outlineLvl w:val="0"/>
    </w:pPr>
    <w:rPr>
      <w:rFonts w:cs="Times New Roman"/>
      <w:b/>
      <w:kern w:val="0"/>
      <w:sz w:val="52"/>
      <w:szCs w:val="20"/>
    </w:rPr>
  </w:style>
  <w:style w:type="paragraph" w:styleId="4">
    <w:name w:val="heading 2"/>
    <w:basedOn w:val="1"/>
    <w:next w:val="5"/>
    <w:qFormat/>
    <w:uiPriority w:val="0"/>
    <w:pPr>
      <w:autoSpaceDE w:val="0"/>
      <w:autoSpaceDN w:val="0"/>
      <w:adjustRightInd w:val="0"/>
      <w:spacing w:line="360" w:lineRule="auto"/>
      <w:jc w:val="center"/>
      <w:outlineLvl w:val="1"/>
    </w:pPr>
    <w:rPr>
      <w:rFonts w:ascii="宋体" w:hAnsi="宋体" w:cs="Times New Roman"/>
      <w:b/>
      <w:color w:val="000000"/>
      <w:kern w:val="0"/>
      <w:sz w:val="30"/>
      <w:szCs w:val="20"/>
    </w:rPr>
  </w:style>
  <w:style w:type="paragraph" w:styleId="6">
    <w:name w:val="heading 3"/>
    <w:basedOn w:val="1"/>
    <w:next w:val="1"/>
    <w:qFormat/>
    <w:uiPriority w:val="0"/>
    <w:pPr>
      <w:autoSpaceDE w:val="0"/>
      <w:autoSpaceDN w:val="0"/>
      <w:adjustRightInd w:val="0"/>
      <w:spacing w:after="156" w:afterLines="50" w:line="360" w:lineRule="auto"/>
      <w:ind w:left="-4"/>
      <w:jc w:val="center"/>
      <w:outlineLvl w:val="2"/>
    </w:pPr>
    <w:rPr>
      <w:rFonts w:ascii="宋体" w:hAnsi="宋体" w:cs="Times New Roman"/>
      <w:b/>
      <w:color w:val="000000"/>
      <w:kern w:val="0"/>
      <w:sz w:val="20"/>
      <w:szCs w:val="20"/>
    </w:rPr>
  </w:style>
  <w:style w:type="character" w:default="1" w:styleId="24">
    <w:name w:val="Default Paragraph Font"/>
    <w:autoRedefine/>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Times New Roman"/>
    </w:rPr>
  </w:style>
  <w:style w:type="paragraph" w:customStyle="1" w:styleId="5">
    <w:name w:val="HCI正文"/>
    <w:qFormat/>
    <w:uiPriority w:val="0"/>
    <w:pPr>
      <w:widowControl w:val="0"/>
      <w:snapToGrid w:val="0"/>
      <w:spacing w:beforeLines="20" w:afterLines="20" w:line="312" w:lineRule="auto"/>
      <w:ind w:firstLine="200" w:firstLineChars="200"/>
    </w:pPr>
    <w:rPr>
      <w:rFonts w:ascii="Times New Roman" w:hAnsi="Times New Roman" w:eastAsia="仿宋_GB2312" w:cs="宋体"/>
      <w:kern w:val="2"/>
      <w:sz w:val="32"/>
      <w:szCs w:val="22"/>
      <w:lang w:val="en-US" w:eastAsia="zh-CN" w:bidi="ar-SA"/>
    </w:rPr>
  </w:style>
  <w:style w:type="paragraph" w:styleId="7">
    <w:name w:val="Normal Indent"/>
    <w:basedOn w:val="1"/>
    <w:next w:val="1"/>
    <w:qFormat/>
    <w:uiPriority w:val="0"/>
    <w:pPr>
      <w:tabs>
        <w:tab w:val="left" w:pos="720"/>
      </w:tabs>
      <w:autoSpaceDE w:val="0"/>
      <w:autoSpaceDN w:val="0"/>
      <w:adjustRightInd w:val="0"/>
      <w:snapToGrid w:val="0"/>
      <w:spacing w:before="120" w:after="120" w:line="360" w:lineRule="auto"/>
      <w:ind w:left="624" w:hanging="624"/>
      <w:textAlignment w:val="baseline"/>
    </w:pPr>
    <w:rPr>
      <w:rFonts w:ascii="宋体"/>
      <w:snapToGrid w:val="0"/>
      <w:color w:val="000000"/>
    </w:rPr>
  </w:style>
  <w:style w:type="paragraph" w:styleId="8">
    <w:name w:val="caption"/>
    <w:basedOn w:val="1"/>
    <w:next w:val="1"/>
    <w:qFormat/>
    <w:uiPriority w:val="0"/>
    <w:pPr>
      <w:spacing w:before="152" w:beforeLines="0" w:after="160" w:afterLines="0"/>
    </w:pPr>
    <w:rPr>
      <w:rFonts w:ascii="Arial" w:hAnsi="Arial" w:eastAsia="黑体" w:cs="Arial"/>
      <w:sz w:val="20"/>
      <w:szCs w:val="20"/>
    </w:rPr>
  </w:style>
  <w:style w:type="paragraph" w:styleId="9">
    <w:name w:val="annotation text"/>
    <w:basedOn w:val="1"/>
    <w:qFormat/>
    <w:uiPriority w:val="0"/>
    <w:pPr>
      <w:jc w:val="left"/>
    </w:pPr>
  </w:style>
  <w:style w:type="paragraph" w:styleId="10">
    <w:name w:val="Body Text"/>
    <w:basedOn w:val="1"/>
    <w:qFormat/>
    <w:uiPriority w:val="0"/>
    <w:rPr>
      <w:rFonts w:ascii="宋体" w:hAnsi="宋体" w:cs="Times New Roman"/>
      <w:kern w:val="0"/>
      <w:sz w:val="28"/>
      <w:szCs w:val="21"/>
    </w:rPr>
  </w:style>
  <w:style w:type="paragraph" w:styleId="11">
    <w:name w:val="Body Text Indent"/>
    <w:basedOn w:val="1"/>
    <w:unhideWhenUsed/>
    <w:qFormat/>
    <w:uiPriority w:val="0"/>
    <w:pPr>
      <w:spacing w:after="120"/>
      <w:ind w:left="420" w:leftChars="200"/>
    </w:pPr>
  </w:style>
  <w:style w:type="paragraph" w:styleId="12">
    <w:name w:val="toc 3"/>
    <w:basedOn w:val="1"/>
    <w:next w:val="1"/>
    <w:qFormat/>
    <w:uiPriority w:val="0"/>
    <w:pPr>
      <w:ind w:left="840" w:leftChars="400"/>
    </w:pPr>
    <w:rPr>
      <w:rFonts w:ascii="Calibri" w:hAnsi="Calibri" w:eastAsia="宋体" w:cs="Times New Roman"/>
      <w:szCs w:val="21"/>
    </w:rPr>
  </w:style>
  <w:style w:type="paragraph" w:styleId="13">
    <w:name w:val="endnote text"/>
    <w:basedOn w:val="1"/>
    <w:qFormat/>
    <w:uiPriority w:val="0"/>
    <w:pPr>
      <w:snapToGrid w:val="0"/>
      <w:jc w:val="left"/>
    </w:pPr>
    <w:rPr>
      <w:rFonts w:ascii="宋体" w:hAnsi="宋体"/>
      <w:kern w:val="0"/>
      <w:sz w:val="28"/>
    </w:rPr>
  </w:style>
  <w:style w:type="paragraph" w:styleId="14">
    <w:name w:val="footer"/>
    <w:basedOn w:val="1"/>
    <w:qFormat/>
    <w:uiPriority w:val="0"/>
    <w:pPr>
      <w:tabs>
        <w:tab w:val="center" w:pos="4153"/>
        <w:tab w:val="right" w:pos="8306"/>
      </w:tabs>
      <w:snapToGrid w:val="0"/>
      <w:jc w:val="left"/>
    </w:pPr>
    <w:rPr>
      <w:rFonts w:cs="Times New Roman"/>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ahoma" w:hAnsi="Tahoma" w:cs="Times New Roman"/>
      <w:sz w:val="18"/>
      <w:szCs w:val="18"/>
    </w:rPr>
  </w:style>
  <w:style w:type="paragraph" w:styleId="16">
    <w:name w:val="toc 1"/>
    <w:basedOn w:val="1"/>
    <w:next w:val="1"/>
    <w:qFormat/>
    <w:uiPriority w:val="0"/>
    <w:rPr>
      <w:rFonts w:ascii="Calibri" w:hAnsi="Calibri" w:eastAsia="宋体" w:cs="Times New Roman"/>
      <w:szCs w:val="21"/>
    </w:rPr>
  </w:style>
  <w:style w:type="paragraph" w:styleId="17">
    <w:name w:val="toc 2"/>
    <w:basedOn w:val="1"/>
    <w:next w:val="1"/>
    <w:qFormat/>
    <w:uiPriority w:val="0"/>
    <w:pPr>
      <w:ind w:left="420" w:leftChars="200"/>
    </w:pPr>
    <w:rPr>
      <w:rFonts w:ascii="Calibri" w:hAnsi="Calibri" w:eastAsia="宋体" w:cs="Times New Roman"/>
      <w:szCs w:val="21"/>
    </w:rPr>
  </w:style>
  <w:style w:type="paragraph" w:styleId="18">
    <w:name w:val="Body Text 2"/>
    <w:basedOn w:val="1"/>
    <w:qFormat/>
    <w:uiPriority w:val="0"/>
    <w:pPr>
      <w:spacing w:after="120" w:afterLines="0" w:line="480" w:lineRule="auto"/>
    </w:pPr>
    <w:rPr>
      <w:kern w:val="2"/>
      <w:sz w:val="21"/>
      <w:szCs w:val="21"/>
    </w:rPr>
  </w:style>
  <w:style w:type="paragraph" w:styleId="19">
    <w:name w:val="Normal (Web)"/>
    <w:basedOn w:val="1"/>
    <w:autoRedefine/>
    <w:qFormat/>
    <w:uiPriority w:val="0"/>
    <w:pPr>
      <w:spacing w:line="360" w:lineRule="auto"/>
    </w:pPr>
    <w:rPr>
      <w:rFonts w:ascii="Times New Roman" w:hAnsi="Times New Roman" w:cs="Times New Roman"/>
      <w:sz w:val="24"/>
      <w:szCs w:val="24"/>
    </w:rPr>
  </w:style>
  <w:style w:type="paragraph" w:styleId="20">
    <w:name w:val="Body Text First Indent"/>
    <w:basedOn w:val="1"/>
    <w:autoRedefine/>
    <w:qFormat/>
    <w:uiPriority w:val="0"/>
    <w:pPr>
      <w:spacing w:after="0" w:afterLines="0"/>
      <w:ind w:firstLine="420" w:firstLineChars="100"/>
      <w:jc w:val="center"/>
    </w:pPr>
    <w:rPr>
      <w:rFonts w:ascii="Times New Roman" w:hAnsi="Times New Roman" w:eastAsia="华文楷体" w:cs="Times New Roman"/>
      <w:b/>
      <w:color w:val="FF0000"/>
      <w:w w:val="200"/>
      <w:sz w:val="36"/>
      <w:szCs w:val="20"/>
    </w:rPr>
  </w:style>
  <w:style w:type="paragraph" w:styleId="21">
    <w:name w:val="Body Text First Indent 2"/>
    <w:basedOn w:val="11"/>
    <w:autoRedefine/>
    <w:unhideWhenUsed/>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0"/>
    <w:rPr>
      <w:rFonts w:ascii="Tahoma" w:hAnsi="Tahoma"/>
      <w:color w:val="0000FF"/>
      <w:sz w:val="24"/>
      <w:szCs w:val="20"/>
      <w:u w:val="single"/>
    </w:rPr>
  </w:style>
  <w:style w:type="character" w:styleId="28">
    <w:name w:val="annotation reference"/>
    <w:autoRedefine/>
    <w:qFormat/>
    <w:uiPriority w:val="0"/>
    <w:rPr>
      <w:rFonts w:ascii="Calibri" w:hAnsi="Calibri" w:eastAsia="宋体" w:cs="Times New Roman"/>
      <w:sz w:val="21"/>
      <w:szCs w:val="21"/>
    </w:rPr>
  </w:style>
  <w:style w:type="paragraph" w:customStyle="1" w:styleId="29">
    <w:name w:val="表格文字"/>
    <w:basedOn w:val="30"/>
    <w:autoRedefine/>
    <w:qFormat/>
    <w:uiPriority w:val="0"/>
    <w:pPr>
      <w:spacing w:before="25" w:beforeLines="0" w:after="25" w:afterLines="0"/>
      <w:jc w:val="left"/>
    </w:pPr>
    <w:rPr>
      <w:rFonts w:ascii="Times New Roman" w:hAnsi="Times New Roman" w:cs="Times New Roman"/>
      <w:bCs/>
      <w:spacing w:val="10"/>
      <w:kern w:val="0"/>
      <w:sz w:val="24"/>
      <w:szCs w:val="20"/>
    </w:rPr>
  </w:style>
  <w:style w:type="paragraph" w:customStyle="1" w:styleId="30">
    <w:name w:val="正文 New New New"/>
    <w:autoRedefine/>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1">
    <w:name w:val="文本块1"/>
    <w:basedOn w:val="1"/>
    <w:autoRedefine/>
    <w:qFormat/>
    <w:uiPriority w:val="0"/>
    <w:pPr>
      <w:ind w:left="1440" w:leftChars="700" w:right="1440" w:rightChars="700"/>
    </w:pPr>
  </w:style>
  <w:style w:type="paragraph" w:customStyle="1" w:styleId="32">
    <w:name w:val="正文_1"/>
    <w:next w:val="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题注4"/>
    <w:basedOn w:val="1"/>
    <w:next w:val="8"/>
    <w:autoRedefine/>
    <w:qFormat/>
    <w:uiPriority w:val="0"/>
    <w:pPr>
      <w:ind w:left="-132" w:leftChars="-64" w:right="-105" w:rightChars="-50" w:hanging="2"/>
      <w:jc w:val="center"/>
    </w:pPr>
    <w:rPr>
      <w:rFonts w:ascii="Calibri" w:hAnsi="Calibri" w:eastAsia="宋体" w:cs="Times New Roman"/>
      <w:b/>
      <w:color w:val="FF0000"/>
      <w:szCs w:val="21"/>
    </w:rPr>
  </w:style>
  <w:style w:type="paragraph" w:customStyle="1" w:styleId="34">
    <w:name w:val="正文 New"/>
    <w:autoRedefine/>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5">
    <w:name w:val="题注6"/>
    <w:basedOn w:val="1"/>
    <w:next w:val="8"/>
    <w:autoRedefine/>
    <w:qFormat/>
    <w:uiPriority w:val="0"/>
    <w:pPr>
      <w:tabs>
        <w:tab w:val="left" w:pos="720"/>
      </w:tabs>
      <w:ind w:left="720"/>
    </w:pPr>
    <w:rPr>
      <w:rFonts w:ascii="Calibri" w:hAnsi="Calibri" w:eastAsia="宋体" w:cs="Times New Roman"/>
      <w:bCs/>
      <w:szCs w:val="21"/>
    </w:rPr>
  </w:style>
  <w:style w:type="paragraph" w:customStyle="1" w:styleId="36">
    <w:name w:val="图"/>
    <w:basedOn w:val="1"/>
    <w:autoRedefine/>
    <w:qFormat/>
    <w:uiPriority w:val="0"/>
    <w:pPr>
      <w:keepNext/>
      <w:adjustRightInd w:val="0"/>
      <w:spacing w:before="60" w:beforeLines="0" w:after="60" w:afterLines="0" w:line="300" w:lineRule="auto"/>
      <w:jc w:val="center"/>
      <w:textAlignment w:val="center"/>
    </w:pPr>
    <w:rPr>
      <w:rFonts w:ascii="Calibri" w:hAnsi="Calibri" w:eastAsia="宋体" w:cs="Times New Roman"/>
      <w:snapToGrid w:val="0"/>
      <w:spacing w:val="20"/>
      <w:kern w:val="0"/>
      <w:sz w:val="24"/>
      <w:szCs w:val="20"/>
    </w:rPr>
  </w:style>
  <w:style w:type="paragraph" w:customStyle="1" w:styleId="37">
    <w:name w:val="Body Text 3"/>
    <w:basedOn w:val="1"/>
    <w:autoRedefine/>
    <w:qFormat/>
    <w:uiPriority w:val="0"/>
    <w:rPr>
      <w:rFonts w:cs="Times New Roman"/>
      <w:color w:val="FF0000"/>
      <w:kern w:val="0"/>
      <w:sz w:val="20"/>
      <w:szCs w:val="21"/>
    </w:rPr>
  </w:style>
  <w:style w:type="paragraph" w:customStyle="1" w:styleId="38">
    <w:name w:val="Plain Text"/>
    <w:basedOn w:val="1"/>
    <w:autoRedefine/>
    <w:qFormat/>
    <w:uiPriority w:val="0"/>
    <w:rPr>
      <w:rFonts w:ascii="宋体" w:hAnsi="Courier New"/>
      <w:szCs w:val="20"/>
    </w:rPr>
  </w:style>
  <w:style w:type="paragraph" w:customStyle="1" w:styleId="39">
    <w:name w:val="题注5"/>
    <w:basedOn w:val="1"/>
    <w:next w:val="8"/>
    <w:autoRedefine/>
    <w:qFormat/>
    <w:uiPriority w:val="0"/>
    <w:pPr>
      <w:jc w:val="center"/>
    </w:pPr>
    <w:rPr>
      <w:rFonts w:ascii="Calibri" w:hAnsi="Calibri" w:eastAsia="宋体" w:cs="Times New Roman"/>
      <w:b/>
      <w:color w:val="000000"/>
      <w:sz w:val="24"/>
      <w:szCs w:val="21"/>
    </w:rPr>
  </w:style>
  <w:style w:type="paragraph" w:customStyle="1" w:styleId="40">
    <w:name w:val="Table Paragraph"/>
    <w:basedOn w:val="1"/>
    <w:autoRedefine/>
    <w:qFormat/>
    <w:uiPriority w:val="1"/>
    <w:rPr>
      <w:rFonts w:ascii="宋体" w:hAnsi="宋体" w:eastAsia="宋体" w:cs="宋体"/>
      <w:lang w:val="zh-CN" w:eastAsia="zh-CN" w:bidi="zh-CN"/>
    </w:rPr>
  </w:style>
  <w:style w:type="paragraph" w:customStyle="1" w:styleId="41">
    <w:name w:val="正文 首行缩进"/>
    <w:basedOn w:val="1"/>
    <w:autoRedefine/>
    <w:qFormat/>
    <w:uiPriority w:val="0"/>
    <w:pPr>
      <w:adjustRightInd w:val="0"/>
      <w:spacing w:line="360" w:lineRule="auto"/>
      <w:ind w:firstLine="437"/>
      <w:jc w:val="left"/>
    </w:pPr>
    <w:rPr>
      <w:rFonts w:hint="eastAsia" w:ascii="宋体" w:hAnsi="宋体"/>
      <w:kern w:val="0"/>
      <w:sz w:val="24"/>
      <w:szCs w:val="21"/>
    </w:rPr>
  </w:style>
  <w:style w:type="paragraph" w:customStyle="1" w:styleId="42">
    <w:name w:val="正文缩进1"/>
    <w:basedOn w:val="1"/>
    <w:autoRedefine/>
    <w:qFormat/>
    <w:uiPriority w:val="0"/>
    <w:pPr>
      <w:autoSpaceDE/>
      <w:autoSpaceDN/>
      <w:adjustRightInd/>
      <w:spacing w:line="360" w:lineRule="auto"/>
      <w:ind w:firstLine="480" w:firstLineChars="200"/>
      <w:jc w:val="both"/>
    </w:pPr>
    <w:rPr>
      <w:rFonts w:ascii="宋体" w:hAnsi="宋体"/>
      <w:kern w:val="2"/>
      <w:sz w:val="24"/>
      <w:szCs w:val="24"/>
    </w:rPr>
  </w:style>
  <w:style w:type="paragraph" w:customStyle="1" w:styleId="43">
    <w:name w:val="表格样式"/>
    <w:basedOn w:val="44"/>
    <w:autoRedefine/>
    <w:qFormat/>
    <w:uiPriority w:val="0"/>
    <w:pPr>
      <w:autoSpaceDE/>
      <w:autoSpaceDN/>
      <w:adjustRightInd/>
      <w:jc w:val="both"/>
    </w:pPr>
    <w:rPr>
      <w:rFonts w:ascii="Calibri" w:hAnsi="Calibri" w:eastAsia="仿宋_GB2312"/>
      <w:kern w:val="2"/>
      <w:sz w:val="24"/>
      <w:szCs w:val="22"/>
    </w:rPr>
  </w:style>
  <w:style w:type="paragraph" w:styleId="44">
    <w:name w:val="No Spacing"/>
    <w:autoRedefine/>
    <w:qFormat/>
    <w:uiPriority w:val="99"/>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customStyle="1" w:styleId="45">
    <w:name w:val="样式 样式 标题 2H2PIM2Heading 2 Hidden2nd levelh22Header 2l2Titr... + ..."/>
    <w:basedOn w:val="1"/>
    <w:autoRedefine/>
    <w:qFormat/>
    <w:uiPriority w:val="0"/>
    <w:pPr>
      <w:keepNext/>
      <w:keepLines/>
      <w:autoSpaceDE/>
      <w:autoSpaceDN/>
      <w:adjustRightInd/>
      <w:spacing w:before="120" w:beforeLines="50" w:line="360" w:lineRule="auto"/>
      <w:jc w:val="both"/>
      <w:outlineLvl w:val="1"/>
    </w:pPr>
    <w:rPr>
      <w:rFonts w:ascii="Calibri" w:hAnsi="Calibri"/>
      <w:b/>
      <w:bCs/>
      <w:sz w:val="28"/>
      <w:szCs w:val="20"/>
    </w:rPr>
  </w:style>
  <w:style w:type="paragraph" w:customStyle="1" w:styleId="46">
    <w:name w:val="列出段落4"/>
    <w:basedOn w:val="1"/>
    <w:autoRedefine/>
    <w:qFormat/>
    <w:uiPriority w:val="0"/>
    <w:pPr>
      <w:autoSpaceDE/>
      <w:autoSpaceDN/>
      <w:adjustRightInd/>
      <w:ind w:firstLine="420" w:firstLineChars="200"/>
      <w:jc w:val="both"/>
    </w:pPr>
    <w:rPr>
      <w:rFonts w:ascii="Calibri" w:hAnsi="Calibri"/>
      <w:kern w:val="2"/>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56890</Words>
  <Characters>59385</Characters>
  <Lines>0</Lines>
  <Paragraphs>0</Paragraphs>
  <TotalTime>9</TotalTime>
  <ScaleCrop>false</ScaleCrop>
  <LinksUpToDate>false</LinksUpToDate>
  <CharactersWithSpaces>61796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2020-09-16T02:10:00Z</dcterms:created>
  <dc:creator>NTKO</dc:creator>
  <cp:lastModifiedBy>招标代理</cp:lastModifiedBy>
  <cp:lastPrinted>2023-12-29T03:10:00Z</cp:lastPrinted>
  <dcterms:modified xsi:type="dcterms:W3CDTF">2024-01-10T11:29:59Z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5FF3653F962240DE9B72D6F25F03406A_13</vt:lpwstr>
  </property>
</Properties>
</file>