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04B3E">
      <w:pPr>
        <w:pStyle w:val="25"/>
        <w:spacing w:line="324" w:lineRule="auto"/>
        <w:rPr>
          <w:rFonts w:hint="default" w:ascii="Times New Roman" w:hAnsi="Times New Roman" w:cs="Times New Roman"/>
          <w:color w:val="auto"/>
          <w:lang w:eastAsia="zh-CN"/>
        </w:rPr>
      </w:pPr>
    </w:p>
    <w:p w14:paraId="0628C021">
      <w:pPr>
        <w:pStyle w:val="25"/>
        <w:spacing w:line="324" w:lineRule="auto"/>
        <w:rPr>
          <w:rFonts w:hint="default" w:ascii="Times New Roman" w:hAnsi="Times New Roman" w:cs="Times New Roman"/>
          <w:color w:val="auto"/>
          <w:lang w:eastAsia="zh-CN"/>
        </w:rPr>
      </w:pPr>
    </w:p>
    <w:p w14:paraId="10D2C179">
      <w:pPr>
        <w:pStyle w:val="25"/>
        <w:spacing w:line="324" w:lineRule="auto"/>
        <w:rPr>
          <w:rFonts w:hint="default" w:ascii="Times New Roman" w:hAnsi="Times New Roman" w:cs="Times New Roman"/>
          <w:color w:val="auto"/>
          <w:lang w:eastAsia="zh-CN"/>
        </w:rPr>
      </w:pPr>
    </w:p>
    <w:p w14:paraId="474FE2B3">
      <w:pPr>
        <w:pStyle w:val="25"/>
        <w:spacing w:line="324" w:lineRule="auto"/>
        <w:jc w:val="center"/>
        <w:rPr>
          <w:rFonts w:hint="default" w:ascii="Times New Roman" w:hAnsi="Times New Roman" w:cs="Times New Roman"/>
          <w:b/>
          <w:color w:val="auto"/>
          <w:sz w:val="48"/>
        </w:rPr>
      </w:pPr>
      <w:r>
        <w:rPr>
          <w:rFonts w:ascii="Times New Roman" w:hAnsi="Times New Roman" w:cs="Times New Roman"/>
          <w:b/>
          <w:color w:val="auto"/>
          <w:sz w:val="48"/>
          <w:lang w:eastAsia="zh-CN"/>
        </w:rPr>
        <w:t>佛山市消防救援支队2024年全媒体中心驻点服务项目</w:t>
      </w:r>
    </w:p>
    <w:p w14:paraId="1FC7B693">
      <w:pPr>
        <w:pStyle w:val="25"/>
        <w:spacing w:line="324" w:lineRule="auto"/>
        <w:jc w:val="center"/>
        <w:rPr>
          <w:rFonts w:hint="default" w:ascii="Times New Roman" w:hAnsi="Times New Roman" w:cs="Times New Roman"/>
          <w:b/>
          <w:color w:val="auto"/>
          <w:sz w:val="48"/>
        </w:rPr>
      </w:pPr>
    </w:p>
    <w:p w14:paraId="5E6516B3">
      <w:pPr>
        <w:pStyle w:val="25"/>
        <w:spacing w:line="324" w:lineRule="auto"/>
        <w:jc w:val="center"/>
        <w:rPr>
          <w:rFonts w:hint="default" w:ascii="Times New Roman" w:hAnsi="Times New Roman" w:cs="Times New Roman"/>
          <w:b/>
          <w:color w:val="auto"/>
          <w:sz w:val="48"/>
          <w:lang w:eastAsia="zh-CN"/>
        </w:rPr>
      </w:pPr>
      <w:r>
        <w:rPr>
          <w:rFonts w:hint="default" w:ascii="Times New Roman" w:hAnsi="Times New Roman" w:cs="Times New Roman"/>
          <w:b/>
          <w:color w:val="auto"/>
          <w:sz w:val="48"/>
        </w:rPr>
        <w:t>竞 争 性 磋 商 文 件</w:t>
      </w:r>
    </w:p>
    <w:p w14:paraId="56A23493">
      <w:pPr>
        <w:pStyle w:val="25"/>
        <w:spacing w:line="324" w:lineRule="auto"/>
        <w:jc w:val="center"/>
        <w:rPr>
          <w:rFonts w:hint="default" w:ascii="Times New Roman" w:hAnsi="Times New Roman" w:cs="Times New Roman"/>
          <w:b/>
          <w:color w:val="auto"/>
          <w:sz w:val="48"/>
          <w:lang w:eastAsia="zh-CN"/>
        </w:rPr>
      </w:pPr>
    </w:p>
    <w:p w14:paraId="2A985BF1">
      <w:pPr>
        <w:pStyle w:val="25"/>
        <w:spacing w:line="324" w:lineRule="auto"/>
        <w:jc w:val="center"/>
        <w:rPr>
          <w:rFonts w:hint="default" w:ascii="Times New Roman" w:hAnsi="Times New Roman" w:cs="Times New Roman"/>
          <w:color w:val="auto"/>
          <w:lang w:eastAsia="zh-CN"/>
        </w:rPr>
      </w:pPr>
    </w:p>
    <w:p w14:paraId="37CDED6C">
      <w:pPr>
        <w:pStyle w:val="25"/>
        <w:spacing w:line="324" w:lineRule="auto"/>
        <w:jc w:val="center"/>
        <w:rPr>
          <w:rFonts w:hint="default" w:ascii="Times New Roman" w:hAnsi="Times New Roman" w:cs="Times New Roman"/>
          <w:color w:val="auto"/>
          <w:lang w:eastAsia="zh-CN"/>
        </w:rPr>
      </w:pPr>
    </w:p>
    <w:p w14:paraId="1232C51D">
      <w:pPr>
        <w:pStyle w:val="25"/>
        <w:spacing w:line="324" w:lineRule="auto"/>
        <w:jc w:val="center"/>
        <w:rPr>
          <w:rFonts w:hint="default" w:ascii="Times New Roman" w:hAnsi="Times New Roman" w:cs="Times New Roman"/>
          <w:color w:val="auto"/>
          <w:lang w:eastAsia="zh-CN"/>
        </w:rPr>
      </w:pPr>
    </w:p>
    <w:p w14:paraId="51C2C768">
      <w:pPr>
        <w:pStyle w:val="25"/>
        <w:spacing w:line="324" w:lineRule="auto"/>
        <w:jc w:val="center"/>
        <w:rPr>
          <w:rFonts w:hint="default" w:ascii="Times New Roman" w:hAnsi="Times New Roman" w:cs="Times New Roman"/>
          <w:color w:val="auto"/>
          <w:lang w:eastAsia="zh-CN"/>
        </w:rPr>
      </w:pPr>
    </w:p>
    <w:p w14:paraId="7B967784">
      <w:pPr>
        <w:pStyle w:val="25"/>
        <w:spacing w:line="324" w:lineRule="auto"/>
        <w:jc w:val="center"/>
        <w:rPr>
          <w:rFonts w:hint="default" w:ascii="Times New Roman" w:hAnsi="Times New Roman" w:cs="Times New Roman"/>
          <w:color w:val="auto"/>
          <w:lang w:eastAsia="zh-CN"/>
        </w:rPr>
      </w:pPr>
    </w:p>
    <w:p w14:paraId="39706AD1">
      <w:pPr>
        <w:pStyle w:val="25"/>
        <w:spacing w:line="324" w:lineRule="auto"/>
        <w:jc w:val="center"/>
        <w:rPr>
          <w:rFonts w:hint="default" w:ascii="Times New Roman" w:hAnsi="Times New Roman" w:cs="Times New Roman"/>
          <w:color w:val="auto"/>
          <w:lang w:eastAsia="zh-CN"/>
        </w:rPr>
      </w:pPr>
    </w:p>
    <w:p w14:paraId="20E49D8D">
      <w:pPr>
        <w:pStyle w:val="25"/>
        <w:spacing w:line="324" w:lineRule="auto"/>
        <w:jc w:val="center"/>
        <w:rPr>
          <w:rFonts w:hint="default" w:ascii="Times New Roman" w:hAnsi="Times New Roman" w:cs="Times New Roman"/>
          <w:color w:val="auto"/>
          <w:lang w:eastAsia="zh-CN"/>
        </w:rPr>
      </w:pPr>
    </w:p>
    <w:p w14:paraId="547078AA">
      <w:pPr>
        <w:pStyle w:val="25"/>
        <w:spacing w:line="324" w:lineRule="auto"/>
        <w:jc w:val="center"/>
        <w:rPr>
          <w:rFonts w:hint="default" w:ascii="Times New Roman" w:hAnsi="Times New Roman" w:cs="Times New Roman"/>
          <w:color w:val="auto"/>
          <w:lang w:eastAsia="zh-CN"/>
        </w:rPr>
      </w:pPr>
    </w:p>
    <w:p w14:paraId="6F2C4A6E">
      <w:pPr>
        <w:pStyle w:val="25"/>
        <w:spacing w:line="324" w:lineRule="auto"/>
        <w:jc w:val="center"/>
        <w:rPr>
          <w:rFonts w:hint="default" w:ascii="Times New Roman" w:hAnsi="Times New Roman" w:cs="Times New Roman"/>
          <w:color w:val="auto"/>
          <w:lang w:eastAsia="zh-CN"/>
        </w:rPr>
      </w:pPr>
    </w:p>
    <w:p w14:paraId="3C58199A">
      <w:pPr>
        <w:pStyle w:val="25"/>
        <w:spacing w:line="324" w:lineRule="auto"/>
        <w:jc w:val="center"/>
        <w:rPr>
          <w:rFonts w:hint="default" w:ascii="Times New Roman" w:hAnsi="Times New Roman" w:cs="Times New Roman"/>
          <w:color w:val="auto"/>
          <w:lang w:eastAsia="zh-CN"/>
        </w:rPr>
      </w:pPr>
    </w:p>
    <w:p w14:paraId="62805193">
      <w:pPr>
        <w:pStyle w:val="25"/>
        <w:spacing w:line="324" w:lineRule="auto"/>
        <w:jc w:val="center"/>
        <w:rPr>
          <w:rFonts w:hint="default" w:ascii="Times New Roman" w:hAnsi="Times New Roman" w:cs="Times New Roman"/>
          <w:color w:val="auto"/>
          <w:lang w:eastAsia="zh-CN"/>
        </w:rPr>
      </w:pPr>
    </w:p>
    <w:p w14:paraId="04B77E72">
      <w:pPr>
        <w:pStyle w:val="25"/>
        <w:spacing w:line="324" w:lineRule="auto"/>
        <w:jc w:val="center"/>
        <w:rPr>
          <w:rFonts w:hint="default" w:ascii="Times New Roman" w:hAnsi="Times New Roman" w:cs="Times New Roman"/>
          <w:color w:val="auto"/>
          <w:lang w:eastAsia="zh-CN"/>
        </w:rPr>
      </w:pPr>
    </w:p>
    <w:p w14:paraId="138615FB">
      <w:pPr>
        <w:pStyle w:val="25"/>
        <w:spacing w:line="324" w:lineRule="auto"/>
        <w:jc w:val="center"/>
        <w:rPr>
          <w:rFonts w:hint="default" w:ascii="Times New Roman" w:hAnsi="Times New Roman" w:cs="Times New Roman"/>
          <w:color w:val="auto"/>
          <w:lang w:eastAsia="zh-CN"/>
        </w:rPr>
      </w:pPr>
    </w:p>
    <w:p w14:paraId="5BF2C646">
      <w:pPr>
        <w:pStyle w:val="25"/>
        <w:spacing w:line="324" w:lineRule="auto"/>
        <w:jc w:val="center"/>
        <w:rPr>
          <w:rFonts w:hint="default" w:ascii="Times New Roman" w:hAnsi="Times New Roman" w:cs="Times New Roman"/>
          <w:color w:val="auto"/>
          <w:lang w:eastAsia="zh-CN"/>
        </w:rPr>
      </w:pPr>
    </w:p>
    <w:p w14:paraId="304E375E">
      <w:pPr>
        <w:pStyle w:val="25"/>
        <w:spacing w:line="324" w:lineRule="auto"/>
        <w:jc w:val="center"/>
        <w:rPr>
          <w:rFonts w:hint="default" w:ascii="Times New Roman" w:hAnsi="Times New Roman" w:cs="Times New Roman"/>
          <w:color w:val="auto"/>
        </w:rPr>
      </w:pPr>
    </w:p>
    <w:p w14:paraId="6989E8B1">
      <w:pPr>
        <w:pStyle w:val="25"/>
        <w:spacing w:line="324" w:lineRule="auto"/>
        <w:jc w:val="center"/>
        <w:outlineLvl w:val="0"/>
        <w:rPr>
          <w:rFonts w:hint="default" w:ascii="Times New Roman" w:hAnsi="Times New Roman" w:cs="Times New Roman"/>
          <w:color w:val="auto"/>
          <w:sz w:val="28"/>
          <w:szCs w:val="28"/>
          <w:lang w:eastAsia="zh-CN"/>
        </w:rPr>
      </w:pPr>
      <w:bookmarkStart w:id="0" w:name="_Toc6693"/>
      <w:bookmarkStart w:id="1" w:name="_Toc21600"/>
      <w:r>
        <w:rPr>
          <w:rFonts w:hint="default" w:ascii="Times New Roman" w:hAnsi="Times New Roman" w:cs="Times New Roman"/>
          <w:b/>
          <w:color w:val="auto"/>
          <w:sz w:val="28"/>
          <w:szCs w:val="28"/>
        </w:rPr>
        <w:t>采购项目编号：</w:t>
      </w:r>
      <w:bookmarkEnd w:id="0"/>
      <w:bookmarkEnd w:id="1"/>
      <w:r>
        <w:rPr>
          <w:rFonts w:ascii="Times New Roman" w:hAnsi="Times New Roman" w:cs="Times New Roman"/>
          <w:b/>
          <w:color w:val="auto"/>
          <w:sz w:val="28"/>
          <w:szCs w:val="28"/>
          <w:lang w:eastAsia="zh-CN"/>
        </w:rPr>
        <w:t>2024XFCG-20</w:t>
      </w:r>
    </w:p>
    <w:p w14:paraId="36F8A4DD">
      <w:pPr>
        <w:pStyle w:val="25"/>
        <w:spacing w:line="324" w:lineRule="auto"/>
        <w:jc w:val="center"/>
        <w:outlineLvl w:val="0"/>
        <w:rPr>
          <w:rFonts w:hint="default" w:ascii="Times New Roman" w:hAnsi="Times New Roman" w:cs="Times New Roman"/>
          <w:color w:val="auto"/>
          <w:sz w:val="28"/>
          <w:szCs w:val="28"/>
          <w:lang w:eastAsia="zh-CN"/>
        </w:rPr>
      </w:pPr>
      <w:bookmarkStart w:id="2" w:name="_Toc31591"/>
      <w:bookmarkStart w:id="3" w:name="_Toc9603"/>
      <w:r>
        <w:rPr>
          <w:rFonts w:hint="default" w:ascii="Times New Roman" w:hAnsi="Times New Roman" w:cs="Times New Roman"/>
          <w:b/>
          <w:color w:val="auto"/>
          <w:sz w:val="28"/>
          <w:szCs w:val="28"/>
        </w:rPr>
        <w:t>采购人：</w:t>
      </w:r>
      <w:bookmarkEnd w:id="2"/>
      <w:bookmarkEnd w:id="3"/>
      <w:r>
        <w:rPr>
          <w:rFonts w:ascii="Times New Roman" w:hAnsi="Times New Roman" w:cs="Times New Roman"/>
          <w:b/>
          <w:color w:val="auto"/>
          <w:sz w:val="28"/>
          <w:szCs w:val="28"/>
          <w:lang w:eastAsia="zh-CN"/>
        </w:rPr>
        <w:t>佛山市消防救援支队</w:t>
      </w:r>
    </w:p>
    <w:p w14:paraId="6AEE889A">
      <w:pPr>
        <w:pStyle w:val="25"/>
        <w:spacing w:line="324" w:lineRule="auto"/>
        <w:jc w:val="center"/>
        <w:rPr>
          <w:rFonts w:hint="default" w:ascii="Times New Roman" w:hAnsi="Times New Roman" w:cs="Times New Roman"/>
          <w:color w:val="auto"/>
          <w:lang w:eastAsia="zh-CN"/>
        </w:rPr>
      </w:pPr>
      <w:r>
        <w:rPr>
          <w:rFonts w:hint="default" w:ascii="Times New Roman" w:hAnsi="Times New Roman" w:cs="Times New Roman"/>
          <w:b/>
          <w:color w:val="auto"/>
          <w:sz w:val="28"/>
          <w:szCs w:val="28"/>
        </w:rPr>
        <w:t>采购代理机构：</w:t>
      </w:r>
      <w:r>
        <w:rPr>
          <w:rFonts w:hint="default" w:ascii="Times New Roman" w:hAnsi="Times New Roman" w:cs="Times New Roman"/>
          <w:b/>
          <w:color w:val="auto"/>
          <w:sz w:val="28"/>
          <w:szCs w:val="28"/>
          <w:lang w:eastAsia="zh-CN"/>
        </w:rPr>
        <w:t>广东远东招标代理有限公司</w:t>
      </w:r>
    </w:p>
    <w:p w14:paraId="4E7391C2">
      <w:pPr>
        <w:pStyle w:val="25"/>
        <w:spacing w:line="324" w:lineRule="auto"/>
        <w:jc w:val="center"/>
        <w:outlineLvl w:val="0"/>
        <w:rPr>
          <w:rFonts w:hint="default" w:ascii="Times New Roman" w:hAnsi="Times New Roman" w:cs="Times New Roman"/>
          <w:b/>
          <w:color w:val="auto"/>
          <w:sz w:val="28"/>
          <w:szCs w:val="28"/>
          <w:lang w:eastAsia="zh-CN"/>
        </w:rPr>
      </w:pPr>
      <w:r>
        <w:rPr>
          <w:rFonts w:ascii="Times New Roman" w:hAnsi="Times New Roman" w:cs="Times New Roman"/>
          <w:b/>
          <w:color w:val="auto"/>
          <w:sz w:val="28"/>
          <w:szCs w:val="28"/>
          <w:lang w:eastAsia="zh-CN"/>
        </w:rPr>
        <w:t>2024年</w:t>
      </w:r>
      <w:r>
        <w:rPr>
          <w:rFonts w:hint="eastAsia" w:ascii="Times New Roman" w:hAnsi="Times New Roman" w:cs="Times New Roman"/>
          <w:b/>
          <w:color w:val="auto"/>
          <w:sz w:val="28"/>
          <w:szCs w:val="28"/>
          <w:lang w:val="en-US" w:eastAsia="zh-CN"/>
        </w:rPr>
        <w:t>10</w:t>
      </w:r>
      <w:r>
        <w:rPr>
          <w:rFonts w:ascii="Times New Roman" w:hAnsi="Times New Roman" w:cs="Times New Roman"/>
          <w:b/>
          <w:color w:val="auto"/>
          <w:sz w:val="28"/>
          <w:szCs w:val="28"/>
          <w:lang w:eastAsia="zh-CN"/>
        </w:rPr>
        <w:t>月</w:t>
      </w:r>
    </w:p>
    <w:p w14:paraId="4036021D">
      <w:pPr>
        <w:spacing w:line="324" w:lineRule="auto"/>
        <w:rPr>
          <w:rFonts w:ascii="Times New Roman" w:hAnsi="Times New Roman" w:cs="Times New Roman"/>
          <w:b/>
          <w:color w:val="auto"/>
          <w:sz w:val="36"/>
        </w:rPr>
      </w:pPr>
      <w:r>
        <w:rPr>
          <w:rFonts w:ascii="Times New Roman" w:hAnsi="Times New Roman" w:cs="Times New Roman"/>
          <w:b/>
          <w:color w:val="auto"/>
          <w:sz w:val="36"/>
        </w:rPr>
        <w:br w:type="page"/>
      </w:r>
    </w:p>
    <w:sdt>
      <w:sdtPr>
        <w:rPr>
          <w:rFonts w:ascii="Times New Roman" w:hAnsi="Times New Roman" w:cs="Times New Roman"/>
          <w:b/>
          <w:bCs/>
          <w:color w:val="auto"/>
        </w:rPr>
        <w:id w:val="147483314"/>
        <w15:color w:val="DBDBDB"/>
        <w:docPartObj>
          <w:docPartGallery w:val="Table of Contents"/>
          <w:docPartUnique/>
        </w:docPartObj>
      </w:sdtPr>
      <w:sdtEndPr>
        <w:rPr>
          <w:rFonts w:ascii="Times New Roman" w:hAnsi="Times New Roman" w:cs="Times New Roman"/>
          <w:b/>
          <w:bCs/>
          <w:color w:val="auto"/>
        </w:rPr>
      </w:sdtEndPr>
      <w:sdtContent>
        <w:p w14:paraId="76EA170F">
          <w:pPr>
            <w:spacing w:line="324"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目</w:t>
          </w:r>
          <w:r>
            <w:rPr>
              <w:rFonts w:hint="eastAsia" w:ascii="Times New Roman" w:hAnsi="Times New Roman" w:cs="Times New Roman"/>
              <w:b/>
              <w:bCs/>
              <w:color w:val="auto"/>
              <w:sz w:val="28"/>
              <w:szCs w:val="28"/>
            </w:rPr>
            <w:t xml:space="preserve"> </w:t>
          </w:r>
          <w:r>
            <w:rPr>
              <w:rFonts w:ascii="Times New Roman" w:hAnsi="Times New Roman" w:cs="Times New Roman"/>
              <w:b/>
              <w:bCs/>
              <w:color w:val="auto"/>
              <w:sz w:val="28"/>
              <w:szCs w:val="28"/>
            </w:rPr>
            <w:t>录</w:t>
          </w:r>
        </w:p>
        <w:p w14:paraId="75C588ED">
          <w:pPr>
            <w:pStyle w:val="15"/>
            <w:tabs>
              <w:tab w:val="right" w:leader="dot" w:pos="9185"/>
            </w:tabs>
            <w:spacing w:line="324" w:lineRule="auto"/>
            <w:rPr>
              <w:rFonts w:ascii="Times New Roman" w:hAnsi="Times New Roman" w:cs="Times New Roman"/>
              <w:color w:val="auto"/>
              <w:sz w:val="28"/>
              <w:szCs w:val="28"/>
            </w:rPr>
          </w:pP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TOC \o "1-2" \h \u </w:instrText>
          </w:r>
          <w:r>
            <w:rPr>
              <w:rFonts w:ascii="Times New Roman" w:hAnsi="Times New Roman" w:cs="Times New Roman"/>
              <w:color w:val="auto"/>
              <w:sz w:val="28"/>
              <w:szCs w:val="28"/>
            </w:rPr>
            <w:fldChar w:fldCharType="separate"/>
          </w:r>
        </w:p>
        <w:p w14:paraId="422A93C9">
          <w:pPr>
            <w:pStyle w:val="15"/>
            <w:tabs>
              <w:tab w:val="right" w:leader="dot" w:pos="9185"/>
            </w:tabs>
            <w:spacing w:line="324" w:lineRule="auto"/>
            <w:rPr>
              <w:rFonts w:ascii="Times New Roman" w:hAnsi="Times New Roman" w:cs="Times New Roman"/>
              <w:b/>
              <w:bCs/>
              <w:color w:val="auto"/>
              <w:szCs w:val="21"/>
            </w:rPr>
          </w:pPr>
          <w:r>
            <w:rPr>
              <w:color w:val="auto"/>
            </w:rPr>
            <w:fldChar w:fldCharType="begin"/>
          </w:r>
          <w:r>
            <w:rPr>
              <w:color w:val="auto"/>
            </w:rPr>
            <w:instrText xml:space="preserve"> HYPERLINK \l "_Toc22053" </w:instrText>
          </w:r>
          <w:r>
            <w:rPr>
              <w:color w:val="auto"/>
            </w:rPr>
            <w:fldChar w:fldCharType="separate"/>
          </w:r>
          <w:r>
            <w:rPr>
              <w:rFonts w:ascii="Times New Roman" w:hAnsi="Times New Roman" w:cs="Times New Roman"/>
              <w:b/>
              <w:bCs/>
              <w:color w:val="auto"/>
              <w:szCs w:val="21"/>
            </w:rPr>
            <w:t>第一部分 磋商邀请</w:t>
          </w:r>
          <w:r>
            <w:rPr>
              <w:rFonts w:ascii="Times New Roman" w:hAnsi="Times New Roman" w:cs="Times New Roman"/>
              <w:b/>
              <w:bCs/>
              <w:color w:val="auto"/>
              <w:szCs w:val="21"/>
            </w:rPr>
            <w:tab/>
          </w:r>
          <w:r>
            <w:rPr>
              <w:rFonts w:ascii="Times New Roman" w:hAnsi="Times New Roman" w:cs="Times New Roman"/>
              <w:b/>
              <w:bCs/>
              <w:color w:val="auto"/>
              <w:szCs w:val="21"/>
            </w:rPr>
            <w:fldChar w:fldCharType="begin"/>
          </w:r>
          <w:r>
            <w:rPr>
              <w:rFonts w:ascii="Times New Roman" w:hAnsi="Times New Roman" w:cs="Times New Roman"/>
              <w:b/>
              <w:bCs/>
              <w:color w:val="auto"/>
              <w:szCs w:val="21"/>
            </w:rPr>
            <w:instrText xml:space="preserve"> PAGEREF _Toc22053 \h </w:instrText>
          </w:r>
          <w:r>
            <w:rPr>
              <w:rFonts w:ascii="Times New Roman" w:hAnsi="Times New Roman" w:cs="Times New Roman"/>
              <w:b/>
              <w:bCs/>
              <w:color w:val="auto"/>
              <w:szCs w:val="21"/>
            </w:rPr>
            <w:fldChar w:fldCharType="separate"/>
          </w:r>
          <w:r>
            <w:rPr>
              <w:rFonts w:ascii="Times New Roman" w:hAnsi="Times New Roman" w:cs="Times New Roman"/>
              <w:b/>
              <w:bCs/>
              <w:color w:val="auto"/>
              <w:szCs w:val="21"/>
            </w:rPr>
            <w:t>3</w:t>
          </w:r>
          <w:r>
            <w:rPr>
              <w:rFonts w:ascii="Times New Roman" w:hAnsi="Times New Roman" w:cs="Times New Roman"/>
              <w:b/>
              <w:bCs/>
              <w:color w:val="auto"/>
              <w:szCs w:val="21"/>
            </w:rPr>
            <w:fldChar w:fldCharType="end"/>
          </w:r>
          <w:r>
            <w:rPr>
              <w:rFonts w:ascii="Times New Roman" w:hAnsi="Times New Roman" w:cs="Times New Roman"/>
              <w:b/>
              <w:bCs/>
              <w:color w:val="auto"/>
              <w:szCs w:val="21"/>
            </w:rPr>
            <w:fldChar w:fldCharType="end"/>
          </w:r>
        </w:p>
        <w:p w14:paraId="221D2EF0">
          <w:pPr>
            <w:pStyle w:val="15"/>
            <w:tabs>
              <w:tab w:val="right" w:leader="dot" w:pos="9185"/>
            </w:tabs>
            <w:spacing w:line="324" w:lineRule="auto"/>
            <w:rPr>
              <w:rFonts w:ascii="Times New Roman" w:hAnsi="Times New Roman" w:cs="Times New Roman"/>
              <w:b/>
              <w:bCs/>
              <w:color w:val="auto"/>
              <w:szCs w:val="21"/>
            </w:rPr>
          </w:pPr>
          <w:r>
            <w:rPr>
              <w:color w:val="auto"/>
            </w:rPr>
            <w:fldChar w:fldCharType="begin"/>
          </w:r>
          <w:r>
            <w:rPr>
              <w:color w:val="auto"/>
            </w:rPr>
            <w:instrText xml:space="preserve"> HYPERLINK \l "_Toc32673" </w:instrText>
          </w:r>
          <w:r>
            <w:rPr>
              <w:color w:val="auto"/>
            </w:rPr>
            <w:fldChar w:fldCharType="separate"/>
          </w:r>
          <w:r>
            <w:rPr>
              <w:rFonts w:ascii="Times New Roman" w:hAnsi="Times New Roman" w:cs="Times New Roman"/>
              <w:b/>
              <w:bCs/>
              <w:color w:val="auto"/>
              <w:szCs w:val="21"/>
            </w:rPr>
            <w:t>第二部分 采购需求</w:t>
          </w:r>
          <w:r>
            <w:rPr>
              <w:rFonts w:ascii="Times New Roman" w:hAnsi="Times New Roman" w:cs="Times New Roman"/>
              <w:b/>
              <w:bCs/>
              <w:color w:val="auto"/>
              <w:szCs w:val="21"/>
            </w:rPr>
            <w:tab/>
          </w:r>
          <w:r>
            <w:rPr>
              <w:rFonts w:ascii="Times New Roman" w:hAnsi="Times New Roman" w:cs="Times New Roman"/>
              <w:b/>
              <w:bCs/>
              <w:color w:val="auto"/>
              <w:szCs w:val="21"/>
            </w:rPr>
            <w:fldChar w:fldCharType="begin"/>
          </w:r>
          <w:r>
            <w:rPr>
              <w:rFonts w:ascii="Times New Roman" w:hAnsi="Times New Roman" w:cs="Times New Roman"/>
              <w:b/>
              <w:bCs/>
              <w:color w:val="auto"/>
              <w:szCs w:val="21"/>
            </w:rPr>
            <w:instrText xml:space="preserve"> PAGEREF _Toc32673 \h </w:instrText>
          </w:r>
          <w:r>
            <w:rPr>
              <w:rFonts w:ascii="Times New Roman" w:hAnsi="Times New Roman" w:cs="Times New Roman"/>
              <w:b/>
              <w:bCs/>
              <w:color w:val="auto"/>
              <w:szCs w:val="21"/>
            </w:rPr>
            <w:fldChar w:fldCharType="separate"/>
          </w:r>
          <w:r>
            <w:rPr>
              <w:rFonts w:ascii="Times New Roman" w:hAnsi="Times New Roman" w:cs="Times New Roman"/>
              <w:b/>
              <w:bCs/>
              <w:color w:val="auto"/>
              <w:szCs w:val="21"/>
            </w:rPr>
            <w:t>6</w:t>
          </w:r>
          <w:r>
            <w:rPr>
              <w:rFonts w:ascii="Times New Roman" w:hAnsi="Times New Roman" w:cs="Times New Roman"/>
              <w:b/>
              <w:bCs/>
              <w:color w:val="auto"/>
              <w:szCs w:val="21"/>
            </w:rPr>
            <w:fldChar w:fldCharType="end"/>
          </w:r>
          <w:r>
            <w:rPr>
              <w:rFonts w:ascii="Times New Roman" w:hAnsi="Times New Roman" w:cs="Times New Roman"/>
              <w:b/>
              <w:bCs/>
              <w:color w:val="auto"/>
              <w:szCs w:val="21"/>
            </w:rPr>
            <w:fldChar w:fldCharType="end"/>
          </w:r>
        </w:p>
        <w:p w14:paraId="1ED77245">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"_Toc3325" </w:instrText>
          </w:r>
          <w:r>
            <w:rPr>
              <w:color w:val="auto"/>
            </w:rPr>
            <w:fldChar w:fldCharType="separate"/>
          </w:r>
          <w:r>
            <w:rPr>
              <w:rFonts w:ascii="Times New Roman" w:hAnsi="Times New Roman" w:eastAsiaTheme="minorEastAsia"/>
              <w:color w:val="auto"/>
              <w:szCs w:val="21"/>
            </w:rPr>
            <w:t>1.主要商务要求</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_Toc3325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6</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2A646574">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"_Toc4684" </w:instrText>
          </w:r>
          <w:r>
            <w:rPr>
              <w:color w:val="auto"/>
            </w:rPr>
            <w:fldChar w:fldCharType="separate"/>
          </w:r>
          <w:r>
            <w:rPr>
              <w:rFonts w:ascii="Times New Roman" w:hAnsi="Times New Roman" w:eastAsiaTheme="minorEastAsia"/>
              <w:color w:val="auto"/>
              <w:szCs w:val="21"/>
            </w:rPr>
            <w:t>2.技术标准与要求</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_Toc4684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12</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17175D97">
          <w:pPr>
            <w:pStyle w:val="15"/>
            <w:tabs>
              <w:tab w:val="right" w:leader="dot" w:pos="9185"/>
            </w:tabs>
            <w:spacing w:line="324" w:lineRule="auto"/>
            <w:rPr>
              <w:rFonts w:ascii="Times New Roman" w:hAnsi="Times New Roman" w:cs="Times New Roman"/>
              <w:b/>
              <w:bCs/>
              <w:color w:val="auto"/>
              <w:szCs w:val="21"/>
            </w:rPr>
          </w:pPr>
          <w:r>
            <w:rPr>
              <w:color w:val="auto"/>
            </w:rPr>
            <w:fldChar w:fldCharType="begin"/>
          </w:r>
          <w:r>
            <w:rPr>
              <w:color w:val="auto"/>
            </w:rPr>
            <w:instrText xml:space="preserve"> HYPERLINK \l "_Toc24412" </w:instrText>
          </w:r>
          <w:r>
            <w:rPr>
              <w:color w:val="auto"/>
            </w:rPr>
            <w:fldChar w:fldCharType="separate"/>
          </w:r>
          <w:r>
            <w:rPr>
              <w:rFonts w:ascii="Times New Roman" w:hAnsi="Times New Roman" w:cs="Times New Roman"/>
              <w:b/>
              <w:bCs/>
              <w:color w:val="auto"/>
              <w:szCs w:val="21"/>
            </w:rPr>
            <w:t>第三部分 供应商须知</w:t>
          </w:r>
          <w:r>
            <w:rPr>
              <w:rFonts w:ascii="Times New Roman" w:hAnsi="Times New Roman" w:cs="Times New Roman"/>
              <w:b/>
              <w:bCs/>
              <w:color w:val="auto"/>
              <w:szCs w:val="21"/>
            </w:rPr>
            <w:tab/>
          </w:r>
          <w:r>
            <w:rPr>
              <w:rFonts w:ascii="Times New Roman" w:hAnsi="Times New Roman" w:cs="Times New Roman"/>
              <w:b/>
              <w:bCs/>
              <w:color w:val="auto"/>
              <w:szCs w:val="21"/>
            </w:rPr>
            <w:fldChar w:fldCharType="begin"/>
          </w:r>
          <w:r>
            <w:rPr>
              <w:rFonts w:ascii="Times New Roman" w:hAnsi="Times New Roman" w:cs="Times New Roman"/>
              <w:b/>
              <w:bCs/>
              <w:color w:val="auto"/>
              <w:szCs w:val="21"/>
            </w:rPr>
            <w:instrText xml:space="preserve"> PAGEREF _Toc24412 \h </w:instrText>
          </w:r>
          <w:r>
            <w:rPr>
              <w:rFonts w:ascii="Times New Roman" w:hAnsi="Times New Roman" w:cs="Times New Roman"/>
              <w:b/>
              <w:bCs/>
              <w:color w:val="auto"/>
              <w:szCs w:val="21"/>
            </w:rPr>
            <w:fldChar w:fldCharType="separate"/>
          </w:r>
          <w:r>
            <w:rPr>
              <w:rFonts w:ascii="Times New Roman" w:hAnsi="Times New Roman" w:cs="Times New Roman"/>
              <w:b/>
              <w:bCs/>
              <w:color w:val="auto"/>
              <w:szCs w:val="21"/>
            </w:rPr>
            <w:t>19</w:t>
          </w:r>
          <w:r>
            <w:rPr>
              <w:rFonts w:ascii="Times New Roman" w:hAnsi="Times New Roman" w:cs="Times New Roman"/>
              <w:b/>
              <w:bCs/>
              <w:color w:val="auto"/>
              <w:szCs w:val="21"/>
            </w:rPr>
            <w:fldChar w:fldCharType="end"/>
          </w:r>
          <w:r>
            <w:rPr>
              <w:rFonts w:ascii="Times New Roman" w:hAnsi="Times New Roman" w:cs="Times New Roman"/>
              <w:b/>
              <w:bCs/>
              <w:color w:val="auto"/>
              <w:szCs w:val="21"/>
            </w:rPr>
            <w:fldChar w:fldCharType="end"/>
          </w:r>
        </w:p>
        <w:p w14:paraId="54B4B5EF">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"_Toc23160" </w:instrText>
          </w:r>
          <w:r>
            <w:rPr>
              <w:color w:val="auto"/>
            </w:rPr>
            <w:fldChar w:fldCharType="separate"/>
          </w:r>
          <w:r>
            <w:rPr>
              <w:rFonts w:ascii="Times New Roman" w:hAnsi="Times New Roman" w:eastAsiaTheme="minorEastAsia"/>
              <w:color w:val="auto"/>
              <w:szCs w:val="21"/>
            </w:rPr>
            <w:t>一、名词解释</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_Toc23160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19</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7634A866">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"_Toc15214" </w:instrText>
          </w:r>
          <w:r>
            <w:rPr>
              <w:color w:val="auto"/>
            </w:rPr>
            <w:fldChar w:fldCharType="separate"/>
          </w:r>
          <w:r>
            <w:rPr>
              <w:rFonts w:ascii="Times New Roman" w:hAnsi="Times New Roman" w:eastAsiaTheme="minorEastAsia"/>
              <w:color w:val="auto"/>
              <w:szCs w:val="21"/>
            </w:rPr>
            <w:t>二、须知前附表</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_Toc15214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20</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5E1DD3E0">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"_Toc30236" </w:instrText>
          </w:r>
          <w:r>
            <w:rPr>
              <w:color w:val="auto"/>
            </w:rPr>
            <w:fldChar w:fldCharType="separate"/>
          </w:r>
          <w:r>
            <w:rPr>
              <w:rFonts w:ascii="Times New Roman" w:hAnsi="Times New Roman" w:eastAsiaTheme="minorEastAsia"/>
              <w:color w:val="auto"/>
              <w:szCs w:val="21"/>
            </w:rPr>
            <w:t>三、说明</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_Toc30236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21</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30DD3C59">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"_Toc28688" </w:instrText>
          </w:r>
          <w:r>
            <w:rPr>
              <w:color w:val="auto"/>
            </w:rPr>
            <w:fldChar w:fldCharType="separate"/>
          </w:r>
          <w:r>
            <w:rPr>
              <w:rFonts w:ascii="Times New Roman" w:hAnsi="Times New Roman" w:eastAsiaTheme="minorEastAsia"/>
              <w:color w:val="auto"/>
              <w:szCs w:val="21"/>
            </w:rPr>
            <w:t>四、磋商文件的澄清和修改</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_Toc28688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23</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4F5CB661">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"_Toc31787" </w:instrText>
          </w:r>
          <w:r>
            <w:rPr>
              <w:color w:val="auto"/>
            </w:rPr>
            <w:fldChar w:fldCharType="separate"/>
          </w:r>
          <w:r>
            <w:rPr>
              <w:rFonts w:ascii="Times New Roman" w:hAnsi="Times New Roman" w:eastAsiaTheme="minorEastAsia"/>
              <w:color w:val="auto"/>
              <w:szCs w:val="21"/>
            </w:rPr>
            <w:t>五、响应要求</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_Toc31787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23</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2EFD0F10">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"_Toc16931" </w:instrText>
          </w:r>
          <w:r>
            <w:rPr>
              <w:color w:val="auto"/>
            </w:rPr>
            <w:fldChar w:fldCharType="separate"/>
          </w:r>
          <w:r>
            <w:rPr>
              <w:rFonts w:ascii="Times New Roman" w:hAnsi="Times New Roman" w:eastAsiaTheme="minorEastAsia"/>
              <w:color w:val="auto"/>
              <w:szCs w:val="21"/>
            </w:rPr>
            <w:t>六、磋商、评审和结果确定</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_Toc16931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25</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799E46AA">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"_Toc26837" </w:instrText>
          </w:r>
          <w:r>
            <w:rPr>
              <w:color w:val="auto"/>
            </w:rPr>
            <w:fldChar w:fldCharType="separate"/>
          </w:r>
          <w:r>
            <w:rPr>
              <w:rFonts w:ascii="Times New Roman" w:hAnsi="Times New Roman" w:eastAsiaTheme="minorEastAsia"/>
              <w:color w:val="auto"/>
              <w:szCs w:val="21"/>
            </w:rPr>
            <w:t>七、询问、质疑与投诉</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_Toc26837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25</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2FB60C16">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"_Toc9375" </w:instrText>
          </w:r>
          <w:r>
            <w:rPr>
              <w:color w:val="auto"/>
            </w:rPr>
            <w:fldChar w:fldCharType="separate"/>
          </w:r>
          <w:r>
            <w:rPr>
              <w:rFonts w:ascii="Times New Roman" w:hAnsi="Times New Roman" w:eastAsiaTheme="minorEastAsia"/>
              <w:color w:val="auto"/>
              <w:szCs w:val="21"/>
            </w:rPr>
            <w:t>八、合同签订和履行</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_Toc9375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26</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41521EB8">
          <w:pPr>
            <w:pStyle w:val="15"/>
            <w:tabs>
              <w:tab w:val="right" w:leader="dot" w:pos="9185"/>
            </w:tabs>
            <w:spacing w:line="324" w:lineRule="auto"/>
            <w:rPr>
              <w:rFonts w:ascii="Times New Roman" w:hAnsi="Times New Roman" w:cs="Times New Roman"/>
              <w:b/>
              <w:bCs/>
              <w:color w:val="auto"/>
              <w:szCs w:val="21"/>
            </w:rPr>
          </w:pPr>
          <w:r>
            <w:rPr>
              <w:color w:val="auto"/>
            </w:rPr>
            <w:fldChar w:fldCharType="begin"/>
          </w:r>
          <w:r>
            <w:rPr>
              <w:color w:val="auto"/>
            </w:rPr>
            <w:instrText xml:space="preserve"> HYPERLINK \l "_Toc21650" </w:instrText>
          </w:r>
          <w:r>
            <w:rPr>
              <w:color w:val="auto"/>
            </w:rPr>
            <w:fldChar w:fldCharType="separate"/>
          </w:r>
          <w:r>
            <w:rPr>
              <w:rFonts w:ascii="Times New Roman" w:hAnsi="Times New Roman" w:cs="Times New Roman"/>
              <w:b/>
              <w:bCs/>
              <w:color w:val="auto"/>
              <w:szCs w:val="21"/>
            </w:rPr>
            <w:t>第四部分 评审</w:t>
          </w:r>
          <w:r>
            <w:rPr>
              <w:rFonts w:ascii="Times New Roman" w:hAnsi="Times New Roman" w:cs="Times New Roman"/>
              <w:b/>
              <w:bCs/>
              <w:color w:val="auto"/>
              <w:szCs w:val="21"/>
            </w:rPr>
            <w:tab/>
          </w:r>
          <w:r>
            <w:rPr>
              <w:rFonts w:ascii="Times New Roman" w:hAnsi="Times New Roman" w:cs="Times New Roman"/>
              <w:b/>
              <w:bCs/>
              <w:color w:val="auto"/>
              <w:szCs w:val="21"/>
            </w:rPr>
            <w:fldChar w:fldCharType="begin"/>
          </w:r>
          <w:r>
            <w:rPr>
              <w:rFonts w:ascii="Times New Roman" w:hAnsi="Times New Roman" w:cs="Times New Roman"/>
              <w:b/>
              <w:bCs/>
              <w:color w:val="auto"/>
              <w:szCs w:val="21"/>
            </w:rPr>
            <w:instrText xml:space="preserve"> PAGEREF _Toc21650 \h </w:instrText>
          </w:r>
          <w:r>
            <w:rPr>
              <w:rFonts w:ascii="Times New Roman" w:hAnsi="Times New Roman" w:cs="Times New Roman"/>
              <w:b/>
              <w:bCs/>
              <w:color w:val="auto"/>
              <w:szCs w:val="21"/>
            </w:rPr>
            <w:fldChar w:fldCharType="separate"/>
          </w:r>
          <w:r>
            <w:rPr>
              <w:rFonts w:ascii="Times New Roman" w:hAnsi="Times New Roman" w:cs="Times New Roman"/>
              <w:b/>
              <w:bCs/>
              <w:color w:val="auto"/>
              <w:szCs w:val="21"/>
            </w:rPr>
            <w:t>27</w:t>
          </w:r>
          <w:r>
            <w:rPr>
              <w:rFonts w:ascii="Times New Roman" w:hAnsi="Times New Roman" w:cs="Times New Roman"/>
              <w:b/>
              <w:bCs/>
              <w:color w:val="auto"/>
              <w:szCs w:val="21"/>
            </w:rPr>
            <w:fldChar w:fldCharType="end"/>
          </w:r>
          <w:r>
            <w:rPr>
              <w:rFonts w:ascii="Times New Roman" w:hAnsi="Times New Roman" w:cs="Times New Roman"/>
              <w:b/>
              <w:bCs/>
              <w:color w:val="auto"/>
              <w:szCs w:val="21"/>
            </w:rPr>
            <w:fldChar w:fldCharType="end"/>
          </w:r>
        </w:p>
        <w:p w14:paraId="5A58D2C4">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"_Toc504" </w:instrText>
          </w:r>
          <w:r>
            <w:rPr>
              <w:color w:val="auto"/>
            </w:rPr>
            <w:fldChar w:fldCharType="separate"/>
          </w:r>
          <w:r>
            <w:rPr>
              <w:rFonts w:ascii="Times New Roman" w:hAnsi="Times New Roman" w:eastAsiaTheme="minorEastAsia"/>
              <w:color w:val="auto"/>
              <w:szCs w:val="21"/>
            </w:rPr>
            <w:t>一、评审要求</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_Toc504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27</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28A0FB33">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"_Toc19574" </w:instrText>
          </w:r>
          <w:r>
            <w:rPr>
              <w:color w:val="auto"/>
            </w:rPr>
            <w:fldChar w:fldCharType="separate"/>
          </w:r>
          <w:r>
            <w:rPr>
              <w:rFonts w:ascii="Times New Roman" w:hAnsi="Times New Roman" w:eastAsiaTheme="minorEastAsia"/>
              <w:color w:val="auto"/>
              <w:szCs w:val="21"/>
            </w:rPr>
            <w:t>二、政府采购政策落实</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_Toc19574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28</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4CA5D23F">
          <w:pPr>
            <w:pStyle w:val="17"/>
            <w:tabs>
              <w:tab w:val="right" w:leader="dot" w:pos="9185"/>
            </w:tabs>
            <w:spacing w:line="324" w:lineRule="auto"/>
            <w:ind w:left="0" w:leftChars="0"/>
            <w:rPr>
              <w:rFonts w:ascii="Times New Roman" w:hAnsi="Times New Roman" w:eastAsiaTheme="minorEastAsia"/>
              <w:color w:val="auto"/>
              <w:szCs w:val="21"/>
            </w:rPr>
          </w:pPr>
          <w:r>
            <w:rPr>
              <w:color w:val="auto"/>
            </w:rPr>
            <w:fldChar w:fldCharType="begin"/>
          </w:r>
          <w:r>
            <w:rPr>
              <w:color w:val="auto"/>
            </w:rPr>
            <w:instrText xml:space="preserve"> HYPERLINK \l "_Toc5531" </w:instrText>
          </w:r>
          <w:r>
            <w:rPr>
              <w:color w:val="auto"/>
            </w:rPr>
            <w:fldChar w:fldCharType="separate"/>
          </w:r>
          <w:r>
            <w:rPr>
              <w:rFonts w:ascii="Times New Roman" w:hAnsi="Times New Roman" w:eastAsiaTheme="minorEastAsia"/>
              <w:color w:val="auto"/>
              <w:szCs w:val="21"/>
            </w:rPr>
            <w:t>三、评审程序</w:t>
          </w:r>
          <w:r>
            <w:rPr>
              <w:rFonts w:ascii="Times New Roman" w:hAnsi="Times New Roman" w:eastAsiaTheme="minorEastAsia"/>
              <w:color w:val="auto"/>
              <w:szCs w:val="21"/>
            </w:rPr>
            <w:tab/>
          </w:r>
          <w:r>
            <w:rPr>
              <w:rFonts w:ascii="Times New Roman" w:hAnsi="Times New Roman" w:eastAsiaTheme="minorEastAsia"/>
              <w:color w:val="auto"/>
              <w:szCs w:val="21"/>
            </w:rPr>
            <w:fldChar w:fldCharType="begin"/>
          </w:r>
          <w:r>
            <w:rPr>
              <w:rFonts w:ascii="Times New Roman" w:hAnsi="Times New Roman" w:eastAsiaTheme="minorEastAsia"/>
              <w:color w:val="auto"/>
              <w:szCs w:val="21"/>
            </w:rPr>
            <w:instrText xml:space="preserve"> PAGEREF _Toc5531 \h </w:instrText>
          </w:r>
          <w:r>
            <w:rPr>
              <w:rFonts w:ascii="Times New Roman" w:hAnsi="Times New Roman" w:eastAsiaTheme="minorEastAsia"/>
              <w:color w:val="auto"/>
              <w:szCs w:val="21"/>
            </w:rPr>
            <w:fldChar w:fldCharType="separate"/>
          </w:r>
          <w:r>
            <w:rPr>
              <w:rFonts w:ascii="Times New Roman" w:hAnsi="Times New Roman" w:eastAsiaTheme="minorEastAsia"/>
              <w:color w:val="auto"/>
              <w:szCs w:val="21"/>
            </w:rPr>
            <w:t>29</w:t>
          </w:r>
          <w:r>
            <w:rPr>
              <w:rFonts w:ascii="Times New Roman" w:hAnsi="Times New Roman" w:eastAsiaTheme="minorEastAsia"/>
              <w:color w:val="auto"/>
              <w:szCs w:val="21"/>
            </w:rPr>
            <w:fldChar w:fldCharType="end"/>
          </w:r>
          <w:r>
            <w:rPr>
              <w:rFonts w:ascii="Times New Roman" w:hAnsi="Times New Roman" w:eastAsiaTheme="minorEastAsia"/>
              <w:color w:val="auto"/>
              <w:szCs w:val="21"/>
            </w:rPr>
            <w:fldChar w:fldCharType="end"/>
          </w:r>
        </w:p>
        <w:p w14:paraId="6E9E5508">
          <w:pPr>
            <w:pStyle w:val="15"/>
            <w:tabs>
              <w:tab w:val="right" w:leader="dot" w:pos="9185"/>
            </w:tabs>
            <w:spacing w:line="324" w:lineRule="auto"/>
            <w:rPr>
              <w:rFonts w:ascii="Times New Roman" w:hAnsi="Times New Roman" w:cs="Times New Roman"/>
              <w:b/>
              <w:bCs/>
              <w:color w:val="auto"/>
              <w:szCs w:val="21"/>
            </w:rPr>
          </w:pPr>
          <w:r>
            <w:rPr>
              <w:color w:val="auto"/>
            </w:rPr>
            <w:fldChar w:fldCharType="begin"/>
          </w:r>
          <w:r>
            <w:rPr>
              <w:color w:val="auto"/>
            </w:rPr>
            <w:instrText xml:space="preserve"> HYPERLINK \l "_Toc7743" </w:instrText>
          </w:r>
          <w:r>
            <w:rPr>
              <w:color w:val="auto"/>
            </w:rPr>
            <w:fldChar w:fldCharType="separate"/>
          </w:r>
          <w:r>
            <w:rPr>
              <w:rFonts w:ascii="Times New Roman" w:hAnsi="Times New Roman" w:cs="Times New Roman"/>
              <w:b/>
              <w:bCs/>
              <w:color w:val="auto"/>
              <w:szCs w:val="21"/>
              <w:lang w:eastAsia="zh-Hans"/>
            </w:rPr>
            <w:t>第五部分</w:t>
          </w:r>
          <w:r>
            <w:rPr>
              <w:rFonts w:ascii="Times New Roman" w:hAnsi="Times New Roman" w:cs="Times New Roman"/>
              <w:b/>
              <w:bCs/>
              <w:color w:val="auto"/>
              <w:szCs w:val="21"/>
            </w:rPr>
            <w:t xml:space="preserve"> 合同文本</w:t>
          </w:r>
          <w:r>
            <w:rPr>
              <w:rFonts w:ascii="Times New Roman" w:hAnsi="Times New Roman" w:cs="Times New Roman"/>
              <w:b/>
              <w:bCs/>
              <w:color w:val="auto"/>
              <w:szCs w:val="21"/>
            </w:rPr>
            <w:tab/>
          </w:r>
          <w:r>
            <w:rPr>
              <w:rFonts w:ascii="Times New Roman" w:hAnsi="Times New Roman" w:cs="Times New Roman"/>
              <w:b/>
              <w:bCs/>
              <w:color w:val="auto"/>
              <w:szCs w:val="21"/>
            </w:rPr>
            <w:fldChar w:fldCharType="begin"/>
          </w:r>
          <w:r>
            <w:rPr>
              <w:rFonts w:ascii="Times New Roman" w:hAnsi="Times New Roman" w:cs="Times New Roman"/>
              <w:b/>
              <w:bCs/>
              <w:color w:val="auto"/>
              <w:szCs w:val="21"/>
            </w:rPr>
            <w:instrText xml:space="preserve"> PAGEREF _Toc7743 \h </w:instrText>
          </w:r>
          <w:r>
            <w:rPr>
              <w:rFonts w:ascii="Times New Roman" w:hAnsi="Times New Roman" w:cs="Times New Roman"/>
              <w:b/>
              <w:bCs/>
              <w:color w:val="auto"/>
              <w:szCs w:val="21"/>
            </w:rPr>
            <w:fldChar w:fldCharType="separate"/>
          </w:r>
          <w:r>
            <w:rPr>
              <w:rFonts w:ascii="Times New Roman" w:hAnsi="Times New Roman" w:cs="Times New Roman"/>
              <w:b/>
              <w:bCs/>
              <w:color w:val="auto"/>
              <w:szCs w:val="21"/>
            </w:rPr>
            <w:t>36</w:t>
          </w:r>
          <w:r>
            <w:rPr>
              <w:rFonts w:ascii="Times New Roman" w:hAnsi="Times New Roman" w:cs="Times New Roman"/>
              <w:b/>
              <w:bCs/>
              <w:color w:val="auto"/>
              <w:szCs w:val="21"/>
            </w:rPr>
            <w:fldChar w:fldCharType="end"/>
          </w:r>
          <w:r>
            <w:rPr>
              <w:rFonts w:ascii="Times New Roman" w:hAnsi="Times New Roman" w:cs="Times New Roman"/>
              <w:b/>
              <w:bCs/>
              <w:color w:val="auto"/>
              <w:szCs w:val="21"/>
            </w:rPr>
            <w:fldChar w:fldCharType="end"/>
          </w:r>
        </w:p>
        <w:p w14:paraId="63329C06">
          <w:pPr>
            <w:pStyle w:val="15"/>
            <w:tabs>
              <w:tab w:val="right" w:leader="dot" w:pos="9185"/>
            </w:tabs>
            <w:spacing w:line="324" w:lineRule="auto"/>
            <w:rPr>
              <w:rFonts w:ascii="Times New Roman" w:hAnsi="Times New Roman" w:cs="Times New Roman"/>
              <w:b/>
              <w:bCs/>
              <w:color w:val="auto"/>
              <w:szCs w:val="21"/>
            </w:rPr>
          </w:pPr>
          <w:r>
            <w:rPr>
              <w:color w:val="auto"/>
            </w:rPr>
            <w:fldChar w:fldCharType="begin"/>
          </w:r>
          <w:r>
            <w:rPr>
              <w:color w:val="auto"/>
            </w:rPr>
            <w:instrText xml:space="preserve"> HYPERLINK \l "_Toc24585" </w:instrText>
          </w:r>
          <w:r>
            <w:rPr>
              <w:color w:val="auto"/>
            </w:rPr>
            <w:fldChar w:fldCharType="separate"/>
          </w:r>
          <w:r>
            <w:rPr>
              <w:rFonts w:ascii="Times New Roman" w:hAnsi="Times New Roman" w:cs="Times New Roman"/>
              <w:b/>
              <w:bCs/>
              <w:color w:val="auto"/>
              <w:szCs w:val="21"/>
            </w:rPr>
            <w:t>第六部分 响应文件格式与要求</w:t>
          </w:r>
          <w:r>
            <w:rPr>
              <w:rFonts w:ascii="Times New Roman" w:hAnsi="Times New Roman" w:cs="Times New Roman"/>
              <w:b/>
              <w:bCs/>
              <w:color w:val="auto"/>
              <w:szCs w:val="21"/>
            </w:rPr>
            <w:tab/>
          </w:r>
          <w:r>
            <w:rPr>
              <w:rFonts w:ascii="Times New Roman" w:hAnsi="Times New Roman" w:cs="Times New Roman"/>
              <w:b/>
              <w:bCs/>
              <w:color w:val="auto"/>
              <w:szCs w:val="21"/>
            </w:rPr>
            <w:fldChar w:fldCharType="begin"/>
          </w:r>
          <w:r>
            <w:rPr>
              <w:rFonts w:ascii="Times New Roman" w:hAnsi="Times New Roman" w:cs="Times New Roman"/>
              <w:b/>
              <w:bCs/>
              <w:color w:val="auto"/>
              <w:szCs w:val="21"/>
            </w:rPr>
            <w:instrText xml:space="preserve"> PAGEREF _Toc24585 \h </w:instrText>
          </w:r>
          <w:r>
            <w:rPr>
              <w:rFonts w:ascii="Times New Roman" w:hAnsi="Times New Roman" w:cs="Times New Roman"/>
              <w:b/>
              <w:bCs/>
              <w:color w:val="auto"/>
              <w:szCs w:val="21"/>
            </w:rPr>
            <w:fldChar w:fldCharType="separate"/>
          </w:r>
          <w:r>
            <w:rPr>
              <w:rFonts w:ascii="Times New Roman" w:hAnsi="Times New Roman" w:cs="Times New Roman"/>
              <w:b/>
              <w:bCs/>
              <w:color w:val="auto"/>
              <w:szCs w:val="21"/>
            </w:rPr>
            <w:t>49</w:t>
          </w:r>
          <w:r>
            <w:rPr>
              <w:rFonts w:ascii="Times New Roman" w:hAnsi="Times New Roman" w:cs="Times New Roman"/>
              <w:b/>
              <w:bCs/>
              <w:color w:val="auto"/>
              <w:szCs w:val="21"/>
            </w:rPr>
            <w:fldChar w:fldCharType="end"/>
          </w:r>
          <w:r>
            <w:rPr>
              <w:rFonts w:ascii="Times New Roman" w:hAnsi="Times New Roman" w:cs="Times New Roman"/>
              <w:b/>
              <w:bCs/>
              <w:color w:val="auto"/>
              <w:szCs w:val="21"/>
            </w:rPr>
            <w:fldChar w:fldCharType="end"/>
          </w:r>
        </w:p>
        <w:p w14:paraId="3B9B521E">
          <w:pPr>
            <w:pStyle w:val="15"/>
            <w:tabs>
              <w:tab w:val="right" w:leader="dot" w:pos="9185"/>
            </w:tabs>
            <w:spacing w:line="324" w:lineRule="auto"/>
            <w:ind w:firstLine="420" w:firstLineChars="200"/>
            <w:rPr>
              <w:rFonts w:ascii="Times New Roman" w:hAnsi="Times New Roman" w:cs="Times New Roman"/>
              <w:color w:val="auto"/>
              <w:szCs w:val="21"/>
            </w:rPr>
          </w:pPr>
          <w:r>
            <w:rPr>
              <w:color w:val="auto"/>
            </w:rPr>
            <w:fldChar w:fldCharType="begin"/>
          </w:r>
          <w:r>
            <w:rPr>
              <w:color w:val="auto"/>
            </w:rPr>
            <w:instrText xml:space="preserve"> HYPERLINK \l "_Toc6174" </w:instrText>
          </w:r>
          <w:r>
            <w:rPr>
              <w:color w:val="auto"/>
            </w:rPr>
            <w:fldChar w:fldCharType="separate"/>
          </w:r>
          <w:r>
            <w:rPr>
              <w:rFonts w:ascii="Times New Roman" w:hAnsi="Times New Roman" w:cs="Times New Roman"/>
              <w:bCs/>
              <w:color w:val="auto"/>
              <w:szCs w:val="21"/>
            </w:rPr>
            <w:t>第一章  资格性文件</w:t>
          </w:r>
          <w:r>
            <w:rPr>
              <w:rFonts w:ascii="Times New Roman" w:hAnsi="Times New Roman" w:cs="Times New Roman"/>
              <w:color w:val="auto"/>
              <w:szCs w:val="21"/>
            </w:rPr>
            <w:tab/>
          </w:r>
          <w:r>
            <w:rPr>
              <w:rFonts w:ascii="Times New Roman" w:hAnsi="Times New Roman" w:cs="Times New Roman"/>
              <w:color w:val="auto"/>
              <w:szCs w:val="21"/>
            </w:rPr>
            <w:fldChar w:fldCharType="begin"/>
          </w:r>
          <w:r>
            <w:rPr>
              <w:rFonts w:ascii="Times New Roman" w:hAnsi="Times New Roman" w:cs="Times New Roman"/>
              <w:color w:val="auto"/>
              <w:szCs w:val="21"/>
            </w:rPr>
            <w:instrText xml:space="preserve"> PAGEREF _Toc6174 \h </w:instrText>
          </w:r>
          <w:r>
            <w:rPr>
              <w:rFonts w:ascii="Times New Roman" w:hAnsi="Times New Roman" w:cs="Times New Roman"/>
              <w:color w:val="auto"/>
              <w:szCs w:val="21"/>
            </w:rPr>
            <w:fldChar w:fldCharType="separate"/>
          </w:r>
          <w:r>
            <w:rPr>
              <w:rFonts w:ascii="Times New Roman" w:hAnsi="Times New Roman" w:cs="Times New Roman"/>
              <w:color w:val="auto"/>
              <w:szCs w:val="21"/>
            </w:rPr>
            <w:t>51</w:t>
          </w:r>
          <w:r>
            <w:rPr>
              <w:rFonts w:ascii="Times New Roman" w:hAnsi="Times New Roman" w:cs="Times New Roman"/>
              <w:color w:val="auto"/>
              <w:szCs w:val="21"/>
            </w:rPr>
            <w:fldChar w:fldCharType="end"/>
          </w:r>
          <w:r>
            <w:rPr>
              <w:rFonts w:ascii="Times New Roman" w:hAnsi="Times New Roman" w:cs="Times New Roman"/>
              <w:color w:val="auto"/>
              <w:szCs w:val="21"/>
            </w:rPr>
            <w:fldChar w:fldCharType="end"/>
          </w:r>
        </w:p>
        <w:p w14:paraId="6D4DB6F6">
          <w:pPr>
            <w:pStyle w:val="15"/>
            <w:tabs>
              <w:tab w:val="right" w:leader="dot" w:pos="9185"/>
            </w:tabs>
            <w:spacing w:line="324" w:lineRule="auto"/>
            <w:ind w:firstLine="420" w:firstLineChars="200"/>
            <w:rPr>
              <w:rFonts w:ascii="Times New Roman" w:hAnsi="Times New Roman" w:cs="Times New Roman"/>
              <w:color w:val="auto"/>
              <w:szCs w:val="21"/>
            </w:rPr>
          </w:pPr>
          <w:r>
            <w:rPr>
              <w:color w:val="auto"/>
            </w:rPr>
            <w:fldChar w:fldCharType="begin"/>
          </w:r>
          <w:r>
            <w:rPr>
              <w:color w:val="auto"/>
            </w:rPr>
            <w:instrText xml:space="preserve"> HYPERLINK \l "_Toc9610" </w:instrText>
          </w:r>
          <w:r>
            <w:rPr>
              <w:color w:val="auto"/>
            </w:rPr>
            <w:fldChar w:fldCharType="separate"/>
          </w:r>
          <w:r>
            <w:rPr>
              <w:rFonts w:ascii="Times New Roman" w:hAnsi="Times New Roman" w:cs="Times New Roman"/>
              <w:bCs/>
              <w:color w:val="auto"/>
              <w:szCs w:val="21"/>
            </w:rPr>
            <w:t>第二章  评审内容索引</w:t>
          </w:r>
          <w:r>
            <w:rPr>
              <w:rFonts w:ascii="Times New Roman" w:hAnsi="Times New Roman" w:cs="Times New Roman"/>
              <w:color w:val="auto"/>
              <w:szCs w:val="21"/>
            </w:rPr>
            <w:tab/>
          </w:r>
          <w:r>
            <w:rPr>
              <w:rFonts w:ascii="Times New Roman" w:hAnsi="Times New Roman" w:cs="Times New Roman"/>
              <w:color w:val="auto"/>
              <w:szCs w:val="21"/>
            </w:rPr>
            <w:fldChar w:fldCharType="begin"/>
          </w:r>
          <w:r>
            <w:rPr>
              <w:rFonts w:ascii="Times New Roman" w:hAnsi="Times New Roman" w:cs="Times New Roman"/>
              <w:color w:val="auto"/>
              <w:szCs w:val="21"/>
            </w:rPr>
            <w:instrText xml:space="preserve"> PAGEREF _Toc9610 \h </w:instrText>
          </w:r>
          <w:r>
            <w:rPr>
              <w:rFonts w:ascii="Times New Roman" w:hAnsi="Times New Roman" w:cs="Times New Roman"/>
              <w:color w:val="auto"/>
              <w:szCs w:val="21"/>
            </w:rPr>
            <w:fldChar w:fldCharType="separate"/>
          </w:r>
          <w:r>
            <w:rPr>
              <w:rFonts w:ascii="Times New Roman" w:hAnsi="Times New Roman" w:cs="Times New Roman"/>
              <w:color w:val="auto"/>
              <w:szCs w:val="21"/>
            </w:rPr>
            <w:t>63</w:t>
          </w:r>
          <w:r>
            <w:rPr>
              <w:rFonts w:ascii="Times New Roman" w:hAnsi="Times New Roman" w:cs="Times New Roman"/>
              <w:color w:val="auto"/>
              <w:szCs w:val="21"/>
            </w:rPr>
            <w:fldChar w:fldCharType="end"/>
          </w:r>
          <w:r>
            <w:rPr>
              <w:rFonts w:ascii="Times New Roman" w:hAnsi="Times New Roman" w:cs="Times New Roman"/>
              <w:color w:val="auto"/>
              <w:szCs w:val="21"/>
            </w:rPr>
            <w:fldChar w:fldCharType="end"/>
          </w:r>
        </w:p>
        <w:p w14:paraId="73C780F6">
          <w:pPr>
            <w:pStyle w:val="15"/>
            <w:tabs>
              <w:tab w:val="right" w:leader="dot" w:pos="9185"/>
            </w:tabs>
            <w:spacing w:line="324" w:lineRule="auto"/>
            <w:ind w:firstLine="420" w:firstLineChars="200"/>
            <w:rPr>
              <w:rFonts w:ascii="Times New Roman" w:hAnsi="Times New Roman" w:cs="Times New Roman"/>
              <w:color w:val="auto"/>
              <w:szCs w:val="21"/>
            </w:rPr>
          </w:pPr>
          <w:r>
            <w:rPr>
              <w:color w:val="auto"/>
            </w:rPr>
            <w:fldChar w:fldCharType="begin"/>
          </w:r>
          <w:r>
            <w:rPr>
              <w:color w:val="auto"/>
            </w:rPr>
            <w:instrText xml:space="preserve"> HYPERLINK \l "_Toc8179" </w:instrText>
          </w:r>
          <w:r>
            <w:rPr>
              <w:color w:val="auto"/>
            </w:rPr>
            <w:fldChar w:fldCharType="separate"/>
          </w:r>
          <w:r>
            <w:rPr>
              <w:rFonts w:ascii="Times New Roman" w:hAnsi="Times New Roman" w:cs="Times New Roman"/>
              <w:bCs/>
              <w:color w:val="auto"/>
              <w:szCs w:val="21"/>
            </w:rPr>
            <w:t>第三章  商务部分</w:t>
          </w:r>
          <w:r>
            <w:rPr>
              <w:rFonts w:ascii="Times New Roman" w:hAnsi="Times New Roman" w:cs="Times New Roman"/>
              <w:color w:val="auto"/>
              <w:szCs w:val="21"/>
            </w:rPr>
            <w:tab/>
          </w:r>
          <w:r>
            <w:rPr>
              <w:rFonts w:ascii="Times New Roman" w:hAnsi="Times New Roman" w:cs="Times New Roman"/>
              <w:color w:val="auto"/>
              <w:szCs w:val="21"/>
            </w:rPr>
            <w:fldChar w:fldCharType="begin"/>
          </w:r>
          <w:r>
            <w:rPr>
              <w:rFonts w:ascii="Times New Roman" w:hAnsi="Times New Roman" w:cs="Times New Roman"/>
              <w:color w:val="auto"/>
              <w:szCs w:val="21"/>
            </w:rPr>
            <w:instrText xml:space="preserve"> PAGEREF _Toc8179 \h </w:instrText>
          </w:r>
          <w:r>
            <w:rPr>
              <w:rFonts w:ascii="Times New Roman" w:hAnsi="Times New Roman" w:cs="Times New Roman"/>
              <w:color w:val="auto"/>
              <w:szCs w:val="21"/>
            </w:rPr>
            <w:fldChar w:fldCharType="separate"/>
          </w:r>
          <w:r>
            <w:rPr>
              <w:rFonts w:ascii="Times New Roman" w:hAnsi="Times New Roman" w:cs="Times New Roman"/>
              <w:color w:val="auto"/>
              <w:szCs w:val="21"/>
            </w:rPr>
            <w:t>67</w:t>
          </w:r>
          <w:r>
            <w:rPr>
              <w:rFonts w:ascii="Times New Roman" w:hAnsi="Times New Roman" w:cs="Times New Roman"/>
              <w:color w:val="auto"/>
              <w:szCs w:val="21"/>
            </w:rPr>
            <w:fldChar w:fldCharType="end"/>
          </w:r>
          <w:r>
            <w:rPr>
              <w:rFonts w:ascii="Times New Roman" w:hAnsi="Times New Roman" w:cs="Times New Roman"/>
              <w:color w:val="auto"/>
              <w:szCs w:val="21"/>
            </w:rPr>
            <w:fldChar w:fldCharType="end"/>
          </w:r>
        </w:p>
        <w:p w14:paraId="12A152B4">
          <w:pPr>
            <w:pStyle w:val="15"/>
            <w:tabs>
              <w:tab w:val="right" w:leader="dot" w:pos="9185"/>
            </w:tabs>
            <w:spacing w:line="324" w:lineRule="auto"/>
            <w:ind w:firstLine="420" w:firstLineChars="200"/>
            <w:rPr>
              <w:rFonts w:ascii="Times New Roman" w:hAnsi="Times New Roman" w:cs="Times New Roman"/>
              <w:color w:val="auto"/>
              <w:szCs w:val="21"/>
            </w:rPr>
          </w:pPr>
          <w:r>
            <w:rPr>
              <w:color w:val="auto"/>
            </w:rPr>
            <w:fldChar w:fldCharType="begin"/>
          </w:r>
          <w:r>
            <w:rPr>
              <w:color w:val="auto"/>
            </w:rPr>
            <w:instrText xml:space="preserve"> HYPERLINK \l "_Toc18982" </w:instrText>
          </w:r>
          <w:r>
            <w:rPr>
              <w:color w:val="auto"/>
            </w:rPr>
            <w:fldChar w:fldCharType="separate"/>
          </w:r>
          <w:r>
            <w:rPr>
              <w:rFonts w:ascii="Times New Roman" w:hAnsi="Times New Roman" w:cs="Times New Roman"/>
              <w:bCs/>
              <w:color w:val="auto"/>
              <w:szCs w:val="21"/>
            </w:rPr>
            <w:t>第四章  技术部分</w:t>
          </w:r>
          <w:r>
            <w:rPr>
              <w:rFonts w:ascii="Times New Roman" w:hAnsi="Times New Roman" w:cs="Times New Roman"/>
              <w:color w:val="auto"/>
              <w:szCs w:val="21"/>
            </w:rPr>
            <w:tab/>
          </w:r>
          <w:r>
            <w:rPr>
              <w:rFonts w:ascii="Times New Roman" w:hAnsi="Times New Roman" w:cs="Times New Roman"/>
              <w:color w:val="auto"/>
              <w:szCs w:val="21"/>
            </w:rPr>
            <w:fldChar w:fldCharType="begin"/>
          </w:r>
          <w:r>
            <w:rPr>
              <w:rFonts w:ascii="Times New Roman" w:hAnsi="Times New Roman" w:cs="Times New Roman"/>
              <w:color w:val="auto"/>
              <w:szCs w:val="21"/>
            </w:rPr>
            <w:instrText xml:space="preserve"> PAGEREF _Toc18982 \h </w:instrText>
          </w:r>
          <w:r>
            <w:rPr>
              <w:rFonts w:ascii="Times New Roman" w:hAnsi="Times New Roman" w:cs="Times New Roman"/>
              <w:color w:val="auto"/>
              <w:szCs w:val="21"/>
            </w:rPr>
            <w:fldChar w:fldCharType="separate"/>
          </w:r>
          <w:r>
            <w:rPr>
              <w:rFonts w:ascii="Times New Roman" w:hAnsi="Times New Roman" w:cs="Times New Roman"/>
              <w:color w:val="auto"/>
              <w:szCs w:val="21"/>
            </w:rPr>
            <w:t>71</w:t>
          </w:r>
          <w:r>
            <w:rPr>
              <w:rFonts w:ascii="Times New Roman" w:hAnsi="Times New Roman" w:cs="Times New Roman"/>
              <w:color w:val="auto"/>
              <w:szCs w:val="21"/>
            </w:rPr>
            <w:fldChar w:fldCharType="end"/>
          </w:r>
          <w:r>
            <w:rPr>
              <w:rFonts w:ascii="Times New Roman" w:hAnsi="Times New Roman" w:cs="Times New Roman"/>
              <w:color w:val="auto"/>
              <w:szCs w:val="21"/>
            </w:rPr>
            <w:fldChar w:fldCharType="end"/>
          </w:r>
        </w:p>
        <w:p w14:paraId="2DA694FE">
          <w:pPr>
            <w:pStyle w:val="15"/>
            <w:tabs>
              <w:tab w:val="right" w:leader="dot" w:pos="9185"/>
            </w:tabs>
            <w:spacing w:line="324" w:lineRule="auto"/>
            <w:ind w:firstLine="420" w:firstLineChars="200"/>
            <w:rPr>
              <w:rFonts w:ascii="Times New Roman" w:hAnsi="Times New Roman" w:cs="Times New Roman"/>
              <w:color w:val="auto"/>
              <w:szCs w:val="21"/>
            </w:rPr>
          </w:pPr>
          <w:r>
            <w:rPr>
              <w:color w:val="auto"/>
            </w:rPr>
            <w:fldChar w:fldCharType="begin"/>
          </w:r>
          <w:r>
            <w:rPr>
              <w:color w:val="auto"/>
            </w:rPr>
            <w:instrText xml:space="preserve"> HYPERLINK \l "_Toc21415" </w:instrText>
          </w:r>
          <w:r>
            <w:rPr>
              <w:color w:val="auto"/>
            </w:rPr>
            <w:fldChar w:fldCharType="separate"/>
          </w:r>
          <w:r>
            <w:rPr>
              <w:rFonts w:ascii="Times New Roman" w:hAnsi="Times New Roman" w:cs="Times New Roman"/>
              <w:bCs/>
              <w:color w:val="auto"/>
              <w:szCs w:val="21"/>
            </w:rPr>
            <w:t>第五章  价格部分</w:t>
          </w:r>
          <w:r>
            <w:rPr>
              <w:rFonts w:ascii="Times New Roman" w:hAnsi="Times New Roman" w:cs="Times New Roman"/>
              <w:color w:val="auto"/>
              <w:szCs w:val="21"/>
            </w:rPr>
            <w:tab/>
          </w:r>
          <w:r>
            <w:rPr>
              <w:rFonts w:ascii="Times New Roman" w:hAnsi="Times New Roman" w:cs="Times New Roman"/>
              <w:color w:val="auto"/>
              <w:szCs w:val="21"/>
            </w:rPr>
            <w:fldChar w:fldCharType="begin"/>
          </w:r>
          <w:r>
            <w:rPr>
              <w:rFonts w:ascii="Times New Roman" w:hAnsi="Times New Roman" w:cs="Times New Roman"/>
              <w:color w:val="auto"/>
              <w:szCs w:val="21"/>
            </w:rPr>
            <w:instrText xml:space="preserve"> PAGEREF _Toc21415 \h </w:instrText>
          </w:r>
          <w:r>
            <w:rPr>
              <w:rFonts w:ascii="Times New Roman" w:hAnsi="Times New Roman" w:cs="Times New Roman"/>
              <w:color w:val="auto"/>
              <w:szCs w:val="21"/>
            </w:rPr>
            <w:fldChar w:fldCharType="separate"/>
          </w:r>
          <w:r>
            <w:rPr>
              <w:rFonts w:ascii="Times New Roman" w:hAnsi="Times New Roman" w:cs="Times New Roman"/>
              <w:color w:val="auto"/>
              <w:szCs w:val="21"/>
            </w:rPr>
            <w:t>74</w:t>
          </w:r>
          <w:r>
            <w:rPr>
              <w:rFonts w:ascii="Times New Roman" w:hAnsi="Times New Roman" w:cs="Times New Roman"/>
              <w:color w:val="auto"/>
              <w:szCs w:val="21"/>
            </w:rPr>
            <w:fldChar w:fldCharType="end"/>
          </w:r>
          <w:r>
            <w:rPr>
              <w:rFonts w:ascii="Times New Roman" w:hAnsi="Times New Roman" w:cs="Times New Roman"/>
              <w:color w:val="auto"/>
              <w:szCs w:val="21"/>
            </w:rPr>
            <w:fldChar w:fldCharType="end"/>
          </w:r>
        </w:p>
        <w:p w14:paraId="1D253E44">
          <w:pPr>
            <w:pStyle w:val="15"/>
            <w:tabs>
              <w:tab w:val="right" w:leader="dot" w:pos="9185"/>
            </w:tabs>
            <w:spacing w:line="324" w:lineRule="auto"/>
            <w:ind w:firstLine="420" w:firstLineChars="200"/>
            <w:rPr>
              <w:rFonts w:ascii="Times New Roman" w:hAnsi="Times New Roman" w:cs="Times New Roman"/>
              <w:color w:val="auto"/>
              <w:szCs w:val="21"/>
            </w:rPr>
          </w:pPr>
          <w:r>
            <w:rPr>
              <w:color w:val="auto"/>
            </w:rPr>
            <w:fldChar w:fldCharType="begin"/>
          </w:r>
          <w:r>
            <w:rPr>
              <w:color w:val="auto"/>
            </w:rPr>
            <w:instrText xml:space="preserve"> HYPERLINK \l "_Toc1321" </w:instrText>
          </w:r>
          <w:r>
            <w:rPr>
              <w:color w:val="auto"/>
            </w:rPr>
            <w:fldChar w:fldCharType="separate"/>
          </w:r>
          <w:r>
            <w:rPr>
              <w:rFonts w:ascii="Times New Roman" w:hAnsi="Times New Roman" w:cs="Times New Roman"/>
              <w:bCs/>
              <w:color w:val="auto"/>
              <w:szCs w:val="21"/>
            </w:rPr>
            <w:t>第六章 其他文件</w:t>
          </w:r>
          <w:r>
            <w:rPr>
              <w:rFonts w:ascii="Times New Roman" w:hAnsi="Times New Roman" w:cs="Times New Roman"/>
              <w:color w:val="auto"/>
              <w:szCs w:val="21"/>
            </w:rPr>
            <w:tab/>
          </w:r>
          <w:r>
            <w:rPr>
              <w:rFonts w:ascii="Times New Roman" w:hAnsi="Times New Roman" w:cs="Times New Roman"/>
              <w:color w:val="auto"/>
              <w:szCs w:val="21"/>
            </w:rPr>
            <w:fldChar w:fldCharType="begin"/>
          </w:r>
          <w:r>
            <w:rPr>
              <w:rFonts w:ascii="Times New Roman" w:hAnsi="Times New Roman" w:cs="Times New Roman"/>
              <w:color w:val="auto"/>
              <w:szCs w:val="21"/>
            </w:rPr>
            <w:instrText xml:space="preserve"> PAGEREF _Toc1321 \h </w:instrText>
          </w:r>
          <w:r>
            <w:rPr>
              <w:rFonts w:ascii="Times New Roman" w:hAnsi="Times New Roman" w:cs="Times New Roman"/>
              <w:color w:val="auto"/>
              <w:szCs w:val="21"/>
            </w:rPr>
            <w:fldChar w:fldCharType="separate"/>
          </w:r>
          <w:r>
            <w:rPr>
              <w:rFonts w:ascii="Times New Roman" w:hAnsi="Times New Roman" w:cs="Times New Roman"/>
              <w:color w:val="auto"/>
              <w:szCs w:val="21"/>
            </w:rPr>
            <w:t>76</w:t>
          </w:r>
          <w:r>
            <w:rPr>
              <w:rFonts w:ascii="Times New Roman" w:hAnsi="Times New Roman" w:cs="Times New Roman"/>
              <w:color w:val="auto"/>
              <w:szCs w:val="21"/>
            </w:rPr>
            <w:fldChar w:fldCharType="end"/>
          </w:r>
          <w:r>
            <w:rPr>
              <w:rFonts w:ascii="Times New Roman" w:hAnsi="Times New Roman" w:cs="Times New Roman"/>
              <w:color w:val="auto"/>
              <w:szCs w:val="21"/>
            </w:rPr>
            <w:fldChar w:fldCharType="end"/>
          </w:r>
        </w:p>
        <w:p w14:paraId="7A6C199B">
          <w:pPr>
            <w:pStyle w:val="17"/>
            <w:tabs>
              <w:tab w:val="right" w:leader="dot" w:pos="9185"/>
            </w:tabs>
            <w:spacing w:line="324" w:lineRule="auto"/>
            <w:ind w:left="0" w:leftChars="0"/>
            <w:rPr>
              <w:rFonts w:ascii="Times New Roman" w:hAnsi="Times New Roman" w:eastAsiaTheme="minorEastAsia"/>
              <w:color w:val="auto"/>
              <w:sz w:val="28"/>
              <w:szCs w:val="28"/>
            </w:rPr>
          </w:pPr>
        </w:p>
        <w:p w14:paraId="2927601B">
          <w:pPr>
            <w:spacing w:line="324" w:lineRule="auto"/>
            <w:rPr>
              <w:rFonts w:ascii="Times New Roman" w:hAnsi="Times New Roman" w:cs="Times New Roman"/>
              <w:color w:val="auto"/>
            </w:rPr>
          </w:pPr>
          <w:r>
            <w:rPr>
              <w:rFonts w:ascii="Times New Roman" w:hAnsi="Times New Roman" w:cs="Times New Roman"/>
              <w:color w:val="auto"/>
              <w:sz w:val="28"/>
              <w:szCs w:val="28"/>
            </w:rPr>
            <w:fldChar w:fldCharType="end"/>
          </w:r>
        </w:p>
      </w:sdtContent>
    </w:sdt>
    <w:p w14:paraId="4721F2A6">
      <w:pPr>
        <w:spacing w:line="324" w:lineRule="auto"/>
        <w:rPr>
          <w:rFonts w:ascii="Times New Roman" w:hAnsi="Times New Roman" w:cs="Times New Roman"/>
          <w:b/>
          <w:color w:val="auto"/>
          <w:sz w:val="36"/>
        </w:rPr>
      </w:pPr>
      <w:r>
        <w:rPr>
          <w:rFonts w:ascii="Times New Roman" w:hAnsi="Times New Roman" w:cs="Times New Roman"/>
          <w:b/>
          <w:color w:val="auto"/>
          <w:sz w:val="36"/>
        </w:rPr>
        <w:br w:type="page"/>
      </w:r>
      <w:bookmarkStart w:id="261" w:name="_GoBack"/>
      <w:bookmarkEnd w:id="261"/>
    </w:p>
    <w:p w14:paraId="6AC79D24">
      <w:pPr>
        <w:pStyle w:val="25"/>
        <w:spacing w:line="324" w:lineRule="auto"/>
        <w:jc w:val="center"/>
        <w:outlineLvl w:val="0"/>
        <w:rPr>
          <w:rFonts w:hint="default" w:ascii="Times New Roman" w:hAnsi="Times New Roman" w:cs="Times New Roman"/>
          <w:color w:val="auto"/>
          <w:sz w:val="28"/>
          <w:szCs w:val="28"/>
        </w:rPr>
      </w:pPr>
      <w:bookmarkStart w:id="4" w:name="_Toc22053"/>
      <w:r>
        <w:rPr>
          <w:rFonts w:hint="default" w:ascii="Times New Roman" w:hAnsi="Times New Roman" w:cs="Times New Roman"/>
          <w:b/>
          <w:color w:val="auto"/>
          <w:sz w:val="28"/>
          <w:szCs w:val="28"/>
        </w:rPr>
        <w:t>第一</w:t>
      </w:r>
      <w:r>
        <w:rPr>
          <w:rFonts w:hint="default" w:ascii="Times New Roman" w:hAnsi="Times New Roman" w:cs="Times New Roman"/>
          <w:b/>
          <w:color w:val="auto"/>
          <w:sz w:val="28"/>
          <w:szCs w:val="28"/>
          <w:lang w:eastAsia="zh-CN"/>
        </w:rPr>
        <w:t>部分</w:t>
      </w:r>
      <w:r>
        <w:rPr>
          <w:rFonts w:hint="default" w:ascii="Times New Roman" w:hAnsi="Times New Roman" w:cs="Times New Roman"/>
          <w:b/>
          <w:color w:val="auto"/>
          <w:sz w:val="28"/>
          <w:szCs w:val="28"/>
        </w:rPr>
        <w:t xml:space="preserve"> 磋商邀请</w:t>
      </w:r>
      <w:bookmarkEnd w:id="4"/>
    </w:p>
    <w:p w14:paraId="510C919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广东远东招标代理有限公司</w:t>
      </w:r>
      <w:r>
        <w:rPr>
          <w:rFonts w:hint="default" w:ascii="Times New Roman" w:hAnsi="Times New Roman" w:cs="Times New Roman"/>
          <w:color w:val="auto"/>
          <w:sz w:val="21"/>
          <w:szCs w:val="21"/>
        </w:rPr>
        <w:t>受</w:t>
      </w:r>
      <w:r>
        <w:rPr>
          <w:rFonts w:ascii="Times New Roman" w:hAnsi="Times New Roman" w:cs="Times New Roman"/>
          <w:color w:val="auto"/>
          <w:sz w:val="21"/>
          <w:szCs w:val="21"/>
          <w:lang w:eastAsia="zh-CN"/>
        </w:rPr>
        <w:t>佛山市消防救援支队</w:t>
      </w:r>
      <w:r>
        <w:rPr>
          <w:rFonts w:hint="default" w:ascii="Times New Roman" w:hAnsi="Times New Roman" w:cs="Times New Roman"/>
          <w:color w:val="auto"/>
          <w:sz w:val="21"/>
          <w:szCs w:val="21"/>
        </w:rPr>
        <w:t>的委托，采用竞争性磋商方式组织采购</w:t>
      </w:r>
      <w:r>
        <w:rPr>
          <w:rFonts w:ascii="Times New Roman" w:hAnsi="Times New Roman" w:cs="Times New Roman"/>
          <w:color w:val="auto"/>
          <w:sz w:val="21"/>
          <w:szCs w:val="21"/>
          <w:lang w:eastAsia="zh-CN"/>
        </w:rPr>
        <w:t>佛山市消防救援支队2024年全媒体中心驻点服务项目</w:t>
      </w:r>
      <w:r>
        <w:rPr>
          <w:rFonts w:hint="default" w:ascii="Times New Roman" w:hAnsi="Times New Roman" w:cs="Times New Roman"/>
          <w:color w:val="auto"/>
          <w:sz w:val="21"/>
          <w:szCs w:val="21"/>
        </w:rPr>
        <w:t>。欢迎符合资格条件的供应商参加。</w:t>
      </w:r>
    </w:p>
    <w:p w14:paraId="236EEC0D">
      <w:pPr>
        <w:pStyle w:val="25"/>
        <w:spacing w:line="324" w:lineRule="auto"/>
        <w:outlineLvl w:val="1"/>
        <w:rPr>
          <w:rFonts w:hint="default" w:ascii="Times New Roman" w:hAnsi="Times New Roman" w:cs="Times New Roman"/>
          <w:color w:val="auto"/>
          <w:sz w:val="24"/>
          <w:szCs w:val="24"/>
        </w:rPr>
      </w:pPr>
      <w:bookmarkStart w:id="5" w:name="_Toc17424"/>
      <w:r>
        <w:rPr>
          <w:rFonts w:hint="default" w:ascii="Times New Roman" w:hAnsi="Times New Roman" w:cs="Times New Roman"/>
          <w:b/>
          <w:color w:val="auto"/>
          <w:sz w:val="24"/>
          <w:szCs w:val="24"/>
        </w:rPr>
        <w:t>一.项目概述</w:t>
      </w:r>
      <w:bookmarkEnd w:id="5"/>
    </w:p>
    <w:p w14:paraId="154BD464">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1.名称与编号</w:t>
      </w:r>
    </w:p>
    <w:p w14:paraId="244EFA60">
      <w:pPr>
        <w:pStyle w:val="25"/>
        <w:spacing w:line="324" w:lineRule="auto"/>
        <w:ind w:firstLine="48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采购项目名称：</w:t>
      </w:r>
      <w:r>
        <w:rPr>
          <w:rFonts w:ascii="Times New Roman" w:hAnsi="Times New Roman" w:cs="Times New Roman"/>
          <w:color w:val="auto"/>
          <w:sz w:val="21"/>
          <w:szCs w:val="21"/>
          <w:lang w:eastAsia="zh-CN"/>
        </w:rPr>
        <w:t>佛山市消防救援支队2024年全媒体中心驻点服务项目</w:t>
      </w:r>
    </w:p>
    <w:p w14:paraId="24CCA414">
      <w:pPr>
        <w:pStyle w:val="25"/>
        <w:spacing w:line="324" w:lineRule="auto"/>
        <w:ind w:firstLine="48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采购项目编号：</w:t>
      </w:r>
      <w:r>
        <w:rPr>
          <w:rFonts w:ascii="Times New Roman" w:hAnsi="Times New Roman" w:cs="Times New Roman"/>
          <w:color w:val="auto"/>
          <w:sz w:val="21"/>
          <w:szCs w:val="21"/>
          <w:lang w:eastAsia="zh-CN"/>
        </w:rPr>
        <w:t>2024XFCG-20</w:t>
      </w:r>
    </w:p>
    <w:p w14:paraId="542E0B10">
      <w:pPr>
        <w:pStyle w:val="25"/>
        <w:spacing w:line="324" w:lineRule="auto"/>
        <w:ind w:firstLine="480"/>
        <w:rPr>
          <w:rFonts w:hint="default" w:ascii="Times New Roman" w:hAnsi="Times New Roman" w:cs="Times New Roman"/>
          <w:color w:val="auto"/>
          <w:sz w:val="21"/>
          <w:szCs w:val="21"/>
        </w:rPr>
      </w:pPr>
      <w:r>
        <w:rPr>
          <w:rFonts w:ascii="Times New Roman" w:hAnsi="Times New Roman" w:cs="Times New Roman"/>
          <w:color w:val="auto"/>
          <w:sz w:val="21"/>
          <w:szCs w:val="21"/>
          <w:lang w:eastAsia="zh-CN"/>
        </w:rPr>
        <w:t>采购方式</w:t>
      </w:r>
      <w:r>
        <w:rPr>
          <w:rFonts w:hint="default" w:ascii="Times New Roman" w:hAnsi="Times New Roman" w:cs="Times New Roman"/>
          <w:color w:val="auto"/>
          <w:sz w:val="21"/>
          <w:szCs w:val="21"/>
        </w:rPr>
        <w:t>：竞争性磋商</w:t>
      </w:r>
    </w:p>
    <w:p w14:paraId="4D9F833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预算金额：</w:t>
      </w:r>
      <w:r>
        <w:rPr>
          <w:rFonts w:ascii="Times New Roman" w:hAnsi="Times New Roman" w:cs="Times New Roman"/>
          <w:color w:val="auto"/>
          <w:sz w:val="21"/>
          <w:szCs w:val="21"/>
          <w:lang w:eastAsia="zh-CN"/>
        </w:rPr>
        <w:t>1,820,000.00</w:t>
      </w:r>
      <w:r>
        <w:rPr>
          <w:rFonts w:hint="default" w:ascii="Times New Roman" w:hAnsi="Times New Roman" w:cs="Times New Roman"/>
          <w:color w:val="auto"/>
          <w:sz w:val="21"/>
          <w:szCs w:val="21"/>
        </w:rPr>
        <w:t>元</w:t>
      </w:r>
    </w:p>
    <w:p w14:paraId="2D5DD22B">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2.项目内容及需求情况（采购项目技术规格、参数及要求）</w:t>
      </w:r>
    </w:p>
    <w:tbl>
      <w:tblPr>
        <w:tblStyle w:val="21"/>
        <w:tblW w:w="956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1167"/>
        <w:gridCol w:w="4050"/>
        <w:gridCol w:w="1007"/>
        <w:gridCol w:w="2427"/>
      </w:tblGrid>
      <w:tr w14:paraId="52570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8" w:hRule="atLeast"/>
          <w:jc w:val="center"/>
        </w:trPr>
        <w:tc>
          <w:tcPr>
            <w:tcW w:w="909" w:type="dxa"/>
            <w:vAlign w:val="center"/>
          </w:tcPr>
          <w:p w14:paraId="5D765BA3">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品目号</w:t>
            </w:r>
          </w:p>
        </w:tc>
        <w:tc>
          <w:tcPr>
            <w:tcW w:w="1167" w:type="dxa"/>
            <w:vAlign w:val="center"/>
          </w:tcPr>
          <w:p w14:paraId="48FD8B19">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品目名称</w:t>
            </w:r>
          </w:p>
        </w:tc>
        <w:tc>
          <w:tcPr>
            <w:tcW w:w="4050" w:type="dxa"/>
            <w:vAlign w:val="center"/>
          </w:tcPr>
          <w:p w14:paraId="129AFC58">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采购标的</w:t>
            </w:r>
          </w:p>
        </w:tc>
        <w:tc>
          <w:tcPr>
            <w:tcW w:w="1007" w:type="dxa"/>
            <w:vAlign w:val="center"/>
          </w:tcPr>
          <w:p w14:paraId="08669A68">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p>
        </w:tc>
        <w:tc>
          <w:tcPr>
            <w:tcW w:w="2427" w:type="dxa"/>
            <w:vAlign w:val="center"/>
          </w:tcPr>
          <w:p w14:paraId="58BB3315">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技术规格、参数及要求</w:t>
            </w:r>
          </w:p>
        </w:tc>
      </w:tr>
      <w:tr w14:paraId="2AED2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0" w:hRule="atLeast"/>
          <w:jc w:val="center"/>
        </w:trPr>
        <w:tc>
          <w:tcPr>
            <w:tcW w:w="909" w:type="dxa"/>
            <w:vAlign w:val="center"/>
          </w:tcPr>
          <w:p w14:paraId="5963F19A">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167" w:type="dxa"/>
            <w:vAlign w:val="center"/>
          </w:tcPr>
          <w:p w14:paraId="165466C4">
            <w:pPr>
              <w:pStyle w:val="25"/>
              <w:spacing w:line="324"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其他服务</w:t>
            </w:r>
          </w:p>
        </w:tc>
        <w:tc>
          <w:tcPr>
            <w:tcW w:w="4050" w:type="dxa"/>
            <w:vAlign w:val="center"/>
          </w:tcPr>
          <w:p w14:paraId="55F25A71">
            <w:pPr>
              <w:pStyle w:val="25"/>
              <w:spacing w:line="324" w:lineRule="auto"/>
              <w:jc w:val="center"/>
              <w:rPr>
                <w:rFonts w:hint="default" w:ascii="Times New Roman" w:hAnsi="Times New Roman" w:cs="Times New Roman"/>
                <w:color w:val="auto"/>
                <w:sz w:val="21"/>
                <w:szCs w:val="21"/>
              </w:rPr>
            </w:pPr>
            <w:r>
              <w:rPr>
                <w:rFonts w:ascii="Times New Roman" w:hAnsi="Times New Roman" w:cs="Times New Roman"/>
                <w:color w:val="auto"/>
                <w:sz w:val="21"/>
                <w:szCs w:val="21"/>
                <w:lang w:eastAsia="zh-CN"/>
              </w:rPr>
              <w:t>佛山市消防救援支队2024年全媒体中心驻点服务项目</w:t>
            </w:r>
          </w:p>
        </w:tc>
        <w:tc>
          <w:tcPr>
            <w:tcW w:w="1007" w:type="dxa"/>
            <w:vAlign w:val="center"/>
          </w:tcPr>
          <w:p w14:paraId="3C31F49D">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1项</w:t>
            </w:r>
          </w:p>
        </w:tc>
        <w:tc>
          <w:tcPr>
            <w:tcW w:w="2427" w:type="dxa"/>
            <w:vAlign w:val="center"/>
          </w:tcPr>
          <w:p w14:paraId="198194DF">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详见第二章</w:t>
            </w:r>
          </w:p>
        </w:tc>
      </w:tr>
    </w:tbl>
    <w:p w14:paraId="15D4B76F">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本</w:t>
      </w:r>
      <w:r>
        <w:rPr>
          <w:rFonts w:ascii="Times New Roman" w:hAnsi="Times New Roman" w:cs="Times New Roman"/>
          <w:color w:val="auto"/>
          <w:sz w:val="21"/>
          <w:szCs w:val="21"/>
          <w:lang w:eastAsia="zh-CN"/>
        </w:rPr>
        <w:t>项目</w:t>
      </w:r>
      <w:r>
        <w:rPr>
          <w:rFonts w:hint="default" w:ascii="Times New Roman" w:hAnsi="Times New Roman" w:cs="Times New Roman"/>
          <w:color w:val="auto"/>
          <w:sz w:val="21"/>
          <w:szCs w:val="21"/>
        </w:rPr>
        <w:t>不接受联合体响应</w:t>
      </w:r>
      <w:r>
        <w:rPr>
          <w:rFonts w:ascii="Times New Roman" w:hAnsi="Times New Roman" w:cs="Times New Roman"/>
          <w:color w:val="auto"/>
          <w:sz w:val="21"/>
          <w:szCs w:val="21"/>
          <w:lang w:eastAsia="zh-CN"/>
        </w:rPr>
        <w:t>。</w:t>
      </w:r>
    </w:p>
    <w:p w14:paraId="6DFBA069">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合同分包：不允许合同分包</w:t>
      </w:r>
      <w:r>
        <w:rPr>
          <w:rFonts w:ascii="Times New Roman" w:hAnsi="Times New Roman" w:cs="Times New Roman"/>
          <w:color w:val="auto"/>
          <w:sz w:val="21"/>
          <w:szCs w:val="21"/>
          <w:lang w:eastAsia="zh-CN"/>
        </w:rPr>
        <w:t>。</w:t>
      </w:r>
    </w:p>
    <w:p w14:paraId="07904486">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合同履行期限：</w:t>
      </w:r>
      <w:r>
        <w:rPr>
          <w:rFonts w:ascii="Times New Roman" w:hAnsi="Times New Roman" w:cs="Times New Roman"/>
          <w:color w:val="auto"/>
          <w:sz w:val="21"/>
          <w:szCs w:val="21"/>
          <w:lang w:eastAsia="zh-CN"/>
        </w:rPr>
        <w:t>合同签订生效后约定的开始之日起1年，具体按合同约定的时间为准。</w:t>
      </w:r>
    </w:p>
    <w:p w14:paraId="1A7C91DD">
      <w:pPr>
        <w:pStyle w:val="25"/>
        <w:spacing w:line="324" w:lineRule="auto"/>
        <w:outlineLvl w:val="1"/>
        <w:rPr>
          <w:rFonts w:hint="default" w:ascii="Times New Roman" w:hAnsi="Times New Roman" w:cs="Times New Roman"/>
          <w:b/>
          <w:color w:val="auto"/>
          <w:sz w:val="24"/>
          <w:szCs w:val="24"/>
        </w:rPr>
      </w:pPr>
      <w:bookmarkStart w:id="6" w:name="_Toc30476"/>
      <w:r>
        <w:rPr>
          <w:rFonts w:hint="default" w:ascii="Times New Roman" w:hAnsi="Times New Roman" w:cs="Times New Roman"/>
          <w:b/>
          <w:color w:val="auto"/>
          <w:sz w:val="24"/>
          <w:szCs w:val="24"/>
        </w:rPr>
        <w:t>二.供应商的资格要求</w:t>
      </w:r>
      <w:bookmarkEnd w:id="6"/>
    </w:p>
    <w:p w14:paraId="43A59F17">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1.供应商应具备《中华人民共和国政府采购法》第二十二条规定的条件，提供下列材料：</w:t>
      </w:r>
    </w:p>
    <w:p w14:paraId="16F5F88F">
      <w:pPr>
        <w:pStyle w:val="25"/>
        <w:spacing w:line="324" w:lineRule="auto"/>
        <w:rPr>
          <w:rFonts w:hint="default" w:ascii="Times New Roman" w:hAnsi="Times New Roman" w:cs="Times New Roman"/>
          <w:color w:val="auto"/>
          <w:sz w:val="21"/>
          <w:szCs w:val="21"/>
        </w:rPr>
      </w:pP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rPr>
        <w:t>1）具有独立承担民事责任的能力：</w:t>
      </w:r>
      <w:r>
        <w:rPr>
          <w:rFonts w:ascii="Times New Roman" w:hAnsi="Times New Roman" w:cs="Times New Roman"/>
          <w:color w:val="auto"/>
          <w:sz w:val="21"/>
          <w:szCs w:val="21"/>
          <w:lang w:eastAsia="zh-CN"/>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default" w:ascii="Times New Roman" w:hAnsi="Times New Roman" w:cs="Times New Roman"/>
          <w:color w:val="auto"/>
          <w:sz w:val="21"/>
          <w:szCs w:val="21"/>
        </w:rPr>
        <w:t>。</w:t>
      </w:r>
    </w:p>
    <w:p w14:paraId="486147C1">
      <w:pPr>
        <w:pStyle w:val="25"/>
        <w:spacing w:line="324" w:lineRule="auto"/>
        <w:rPr>
          <w:rFonts w:hint="default" w:ascii="Times New Roman" w:hAnsi="Times New Roman" w:cs="Times New Roman"/>
          <w:color w:val="auto"/>
          <w:sz w:val="21"/>
          <w:szCs w:val="21"/>
        </w:rPr>
      </w:pP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rPr>
        <w:t>2）有依法缴纳税收和社会保障资金的良好记录：1</w:t>
      </w: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rPr>
        <w:t>提供投标截止日前6个月内任意1个月依法缴纳税收和社会保障资金的相关材料。如依法免税或不需要缴纳社会保障资金的，提供相应证明材料。</w:t>
      </w:r>
    </w:p>
    <w:p w14:paraId="229E8DA8">
      <w:pPr>
        <w:pStyle w:val="25"/>
        <w:spacing w:line="324" w:lineRule="auto"/>
        <w:rPr>
          <w:rFonts w:hint="default" w:ascii="Times New Roman" w:hAnsi="Times New Roman" w:cs="Times New Roman"/>
          <w:color w:val="auto"/>
          <w:sz w:val="21"/>
          <w:szCs w:val="21"/>
        </w:rPr>
      </w:pP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rPr>
        <w:t>3）具有良好的商业信誉和健全的财务会计制度</w:t>
      </w: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rPr>
        <w:t>提供以下</w:t>
      </w:r>
      <w:r>
        <w:rPr>
          <w:rFonts w:ascii="Times New Roman" w:hAnsi="Times New Roman" w:cs="Times New Roman"/>
          <w:color w:val="auto"/>
          <w:sz w:val="21"/>
          <w:szCs w:val="21"/>
          <w:lang w:eastAsia="zh-CN"/>
        </w:rPr>
        <w:t>两</w:t>
      </w:r>
      <w:r>
        <w:rPr>
          <w:rFonts w:hint="default" w:ascii="Times New Roman" w:hAnsi="Times New Roman" w:cs="Times New Roman"/>
          <w:color w:val="auto"/>
          <w:sz w:val="21"/>
          <w:szCs w:val="21"/>
        </w:rPr>
        <w:t>种证明材料之一：1</w:t>
      </w: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rPr>
        <w:t>提供2022或2023年度财务状况报告，财务状况报告须由第三方会计师事务所出具，能清晰显示第三方会计师事务所的印章，并能反映审计结论；</w:t>
      </w:r>
      <w:r>
        <w:rPr>
          <w:rFonts w:ascii="Times New Roman" w:hAnsi="Times New Roman" w:cs="Times New Roman"/>
          <w:color w:val="auto"/>
          <w:sz w:val="21"/>
          <w:szCs w:val="21"/>
          <w:lang w:eastAsia="zh-CN"/>
        </w:rPr>
        <w:t>2）</w:t>
      </w:r>
      <w:r>
        <w:rPr>
          <w:rFonts w:hint="default" w:ascii="Times New Roman" w:hAnsi="Times New Roman" w:cs="Times New Roman"/>
          <w:color w:val="auto"/>
          <w:sz w:val="21"/>
          <w:szCs w:val="21"/>
        </w:rPr>
        <w:t>提供投标截止日前6个月内基本开户银行出具的资信证明，并同时提交开户（基本户）许可证扫描件，开户（基本户）许可证已取消的，应提供能体现基本开户银行的“基本存款账户编号”的相关证明。）。</w:t>
      </w:r>
    </w:p>
    <w:p w14:paraId="1A902806">
      <w:pPr>
        <w:pStyle w:val="25"/>
        <w:spacing w:line="324" w:lineRule="auto"/>
        <w:rPr>
          <w:rFonts w:hint="default" w:ascii="Times New Roman" w:hAnsi="Times New Roman" w:cs="Times New Roman"/>
          <w:color w:val="auto"/>
          <w:sz w:val="21"/>
          <w:szCs w:val="21"/>
        </w:rPr>
      </w:pP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rPr>
        <w:t>4）履行合同所必需的设备和专业技术能力：按投标（响应）文件格式填写《具有履行合同所必需的设备和专业技术能力的承诺函》。</w:t>
      </w:r>
    </w:p>
    <w:p w14:paraId="12EA1EAC">
      <w:pPr>
        <w:pStyle w:val="25"/>
        <w:spacing w:line="324" w:lineRule="auto"/>
        <w:rPr>
          <w:rFonts w:hint="default" w:ascii="Times New Roman" w:hAnsi="Times New Roman" w:cs="Times New Roman"/>
          <w:color w:val="auto"/>
          <w:sz w:val="21"/>
          <w:szCs w:val="21"/>
        </w:rPr>
      </w:pP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3678537">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2.落实政府采购政策需满足的资格要求：</w:t>
      </w:r>
    </w:p>
    <w:p w14:paraId="04D948F6">
      <w:pPr>
        <w:pStyle w:val="25"/>
        <w:spacing w:line="324" w:lineRule="auto"/>
        <w:ind w:firstLine="420" w:firstLineChars="200"/>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本项目整体专门面向中小企业采购，监狱企业、残疾人福利性单位视同小型、微型企业。</w:t>
      </w:r>
    </w:p>
    <w:p w14:paraId="40C4F20B">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（1）中小企业评审及《中小企业声明函》填写要求：</w:t>
      </w:r>
    </w:p>
    <w:p w14:paraId="1DB5453D">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①本项目为服务类项目，供应商须根据本项目采购类别选择对应的《中小企业声明函》填写。</w:t>
      </w:r>
    </w:p>
    <w:p w14:paraId="363C47FC">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②本项目采购标的对应的中小企业划分标准所属行业为其他未列明行业。</w:t>
      </w:r>
    </w:p>
    <w:p w14:paraId="68D17851">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③供应商提交的《中小企业声明函》应按要求完整填报所有信息。</w:t>
      </w:r>
    </w:p>
    <w:p w14:paraId="50D26311">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④涉及多个采购标的且由不同制造商制造或者由不同供应商承建（承接）的，应当逐一填报每个采购标的的制造商或者承建（承接）供应商信息。</w:t>
      </w:r>
    </w:p>
    <w:p w14:paraId="40BFC0E2">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（2）监狱企业评审要求：提供由省级以上监狱管理局、戒毒管理局（含新疆生产建设兵团）出具的属于监狱企业的证明文件。</w:t>
      </w:r>
    </w:p>
    <w:p w14:paraId="6A576BD0">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（3）残疾人福利性单位评审要求：提供《残疾人福利性单位声明函》。</w:t>
      </w:r>
    </w:p>
    <w:p w14:paraId="7E4D5F9B">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（4）中小企业划型标准详见《关于印发中小企业划型标准规定的通知》（工信部联企业〔2011〕300号）（http://www.gov.cn/zwgk/2011-07/04/content_1898747.htm）。</w:t>
      </w:r>
    </w:p>
    <w:p w14:paraId="0ACAAE69">
      <w:pPr>
        <w:pStyle w:val="25"/>
        <w:spacing w:line="324" w:lineRule="auto"/>
        <w:ind w:firstLine="48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3.本项目特定的资格要求：</w:t>
      </w:r>
    </w:p>
    <w:p w14:paraId="516D169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（1）</w:t>
      </w:r>
      <w:r>
        <w:rPr>
          <w:rFonts w:hint="default" w:ascii="Times New Roman" w:hAnsi="Times New Roman" w:cs="Times New Roman"/>
          <w:color w:val="auto"/>
          <w:sz w:val="21"/>
          <w:szCs w:val="21"/>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p w14:paraId="2904A04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（2）</w:t>
      </w:r>
      <w:r>
        <w:rPr>
          <w:rFonts w:hint="default" w:ascii="Times New Roman" w:hAnsi="Times New Roman" w:cs="Times New Roman"/>
          <w:color w:val="auto"/>
          <w:sz w:val="21"/>
          <w:szCs w:val="21"/>
        </w:rPr>
        <w:t>单位负责人为同一人或者存在直接控股、管理关系的不同供应商，不得同时参加本采购项目投标（响应）。</w:t>
      </w:r>
    </w:p>
    <w:p w14:paraId="2C6EB2B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（3）</w:t>
      </w:r>
      <w:r>
        <w:rPr>
          <w:rFonts w:hint="default" w:ascii="Times New Roman" w:hAnsi="Times New Roman" w:cs="Times New Roman"/>
          <w:color w:val="auto"/>
          <w:sz w:val="21"/>
          <w:szCs w:val="21"/>
        </w:rPr>
        <w:t>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p>
    <w:p w14:paraId="23C2EBDC">
      <w:pPr>
        <w:pStyle w:val="25"/>
        <w:spacing w:line="324" w:lineRule="auto"/>
        <w:outlineLvl w:val="1"/>
        <w:rPr>
          <w:rFonts w:hint="default" w:ascii="Times New Roman" w:hAnsi="Times New Roman" w:cs="Times New Roman"/>
          <w:b/>
          <w:color w:val="auto"/>
          <w:sz w:val="24"/>
          <w:szCs w:val="24"/>
        </w:rPr>
      </w:pPr>
      <w:bookmarkStart w:id="7" w:name="_Toc13137"/>
      <w:r>
        <w:rPr>
          <w:rFonts w:hint="default" w:ascii="Times New Roman" w:hAnsi="Times New Roman" w:cs="Times New Roman"/>
          <w:b/>
          <w:color w:val="auto"/>
          <w:sz w:val="24"/>
          <w:szCs w:val="24"/>
        </w:rPr>
        <w:t>三.获取磋商文件</w:t>
      </w:r>
      <w:bookmarkEnd w:id="7"/>
    </w:p>
    <w:p w14:paraId="09480B6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时间：详见招标公告及其变更公告（如有）</w:t>
      </w:r>
    </w:p>
    <w:p w14:paraId="110C57C2">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地点：详见招标公告及其变更公告（如有）</w:t>
      </w:r>
    </w:p>
    <w:p w14:paraId="2CE3208D">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符合资格的潜在供应商应当在采购文件获取时间内按代理机构规定方式获取采购文件，流程如下：</w:t>
      </w:r>
    </w:p>
    <w:p w14:paraId="1C98AB6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采购文件只在远东电子交易平台在线上获取，供应商在获取采购文件之前，登录远东电子交易平台(http://www.gdydzb.com/)进行网上注册（已注册请忽略，直接登录进行报名与购标操作），具体流程操作见网站“下载专区 ——投标人操作手册”，网上注册相应准备资料如下：加盖公章的有效营业执照副本复印件、法人姓名与身份证号码。</w:t>
      </w:r>
    </w:p>
    <w:p w14:paraId="40B127F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符合资格的供应商在网上注册成功后方可报名与获取采购文件。主要操作过程如下：</w:t>
      </w:r>
    </w:p>
    <w:p w14:paraId="30DBF755">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1）注册：远东电子交易平台(http://www.gdydzb.com/)完成注册（详细可查看下载专区的《投标人操作手册》）；</w:t>
      </w:r>
    </w:p>
    <w:p w14:paraId="38CFF31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2）选择项目：登录后，在“所有项目”中，搜索到需要参与的项目，点击"投标"；</w:t>
      </w:r>
    </w:p>
    <w:p w14:paraId="7CD71DB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3）报名参与：选择“报名登记”，选择相应的标段登记资料（请根据供应商资格提交相应的资料复印件，如有多个请全部压缩成一个文件再上传），提交后请等待审核：</w:t>
      </w:r>
    </w:p>
    <w:p w14:paraId="2222EB7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本项目需提交资料（均须加盖供应商公章）要求为：a.有效的营业执照副本或社会团体法人证书或事业单位法人证书等复印件；b.法定代表人证明书及授权文件；</w:t>
      </w:r>
    </w:p>
    <w:p w14:paraId="60B1150D">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获取采购文件：在登记资料通过审核后，请在“购标、响应文件--&gt;报名下载采购文件”中选择相应的标段，通过网上下载采购文件。</w:t>
      </w:r>
    </w:p>
    <w:p w14:paraId="4DE33548">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4）获取采购文件：在登记资料通过审核后，请在“标书购买”中选择相应的标段，获取</w:t>
      </w:r>
      <w:r>
        <w:rPr>
          <w:rFonts w:ascii="Times New Roman" w:hAnsi="Times New Roman" w:cs="Times New Roman"/>
          <w:color w:val="auto"/>
          <w:sz w:val="21"/>
          <w:szCs w:val="21"/>
          <w:lang w:eastAsia="zh-CN"/>
        </w:rPr>
        <w:t>下载</w:t>
      </w:r>
      <w:r>
        <w:rPr>
          <w:rFonts w:hint="default" w:ascii="Times New Roman" w:hAnsi="Times New Roman" w:cs="Times New Roman"/>
          <w:color w:val="auto"/>
          <w:sz w:val="21"/>
          <w:szCs w:val="21"/>
        </w:rPr>
        <w:t>文件。</w:t>
      </w:r>
    </w:p>
    <w:p w14:paraId="228E32A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有关网上注册、报名相关疑问，可致电0757-83332528，邮箱：zgydfs@126.com</w:t>
      </w:r>
    </w:p>
    <w:p w14:paraId="442802D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无法进行网上报名：可携带（a.有效的营业执照副本或社会团体法人证书或事业单位法人证书等复印件；b.法定代表人证明书及授权文件。）到佛山市禅城区季华五路10号金融广场17层A区进行现场报名。</w:t>
      </w:r>
    </w:p>
    <w:p w14:paraId="1C0DF5F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售价：免费</w:t>
      </w:r>
      <w:r>
        <w:rPr>
          <w:rFonts w:ascii="Times New Roman" w:hAnsi="Times New Roman" w:cs="Times New Roman"/>
          <w:color w:val="auto"/>
          <w:sz w:val="21"/>
          <w:szCs w:val="21"/>
          <w:lang w:eastAsia="zh-CN"/>
        </w:rPr>
        <w:t>获取</w:t>
      </w:r>
      <w:r>
        <w:rPr>
          <w:rFonts w:hint="default" w:ascii="Times New Roman" w:hAnsi="Times New Roman" w:cs="Times New Roman"/>
          <w:color w:val="auto"/>
          <w:sz w:val="21"/>
          <w:szCs w:val="21"/>
        </w:rPr>
        <w:t>。</w:t>
      </w:r>
    </w:p>
    <w:p w14:paraId="7804F0BA">
      <w:pPr>
        <w:pStyle w:val="25"/>
        <w:spacing w:line="324" w:lineRule="auto"/>
        <w:outlineLvl w:val="1"/>
        <w:rPr>
          <w:rFonts w:hint="default" w:ascii="Times New Roman" w:hAnsi="Times New Roman" w:cs="Times New Roman"/>
          <w:b/>
          <w:color w:val="auto"/>
          <w:sz w:val="24"/>
          <w:szCs w:val="24"/>
        </w:rPr>
      </w:pPr>
      <w:bookmarkStart w:id="8" w:name="_Toc23679"/>
      <w:r>
        <w:rPr>
          <w:rFonts w:hint="default" w:ascii="Times New Roman" w:hAnsi="Times New Roman" w:cs="Times New Roman"/>
          <w:b/>
          <w:color w:val="auto"/>
          <w:sz w:val="24"/>
          <w:szCs w:val="24"/>
        </w:rPr>
        <w:t>四.提交响应文件截止时间、开启时间和地点：</w:t>
      </w:r>
      <w:bookmarkEnd w:id="8"/>
    </w:p>
    <w:p w14:paraId="659B574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提交响应文件截止时间和开启时间：详见磋商公告及其变更公告（如有）（自响应文件开始发出之日起至响应供应商提交响应文件截止之日止，不得少于10个日历日）</w:t>
      </w:r>
    </w:p>
    <w:p w14:paraId="5953AE9A">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地点：详见磋商公告及其变更公告（如有）</w:t>
      </w:r>
    </w:p>
    <w:p w14:paraId="57D74023">
      <w:pPr>
        <w:pStyle w:val="25"/>
        <w:spacing w:line="324" w:lineRule="auto"/>
        <w:outlineLvl w:val="1"/>
        <w:rPr>
          <w:rFonts w:hint="default" w:ascii="Times New Roman" w:hAnsi="Times New Roman" w:cs="Times New Roman"/>
          <w:b/>
          <w:color w:val="auto"/>
          <w:sz w:val="24"/>
          <w:szCs w:val="24"/>
        </w:rPr>
      </w:pPr>
      <w:bookmarkStart w:id="9" w:name="_Toc28143"/>
      <w:r>
        <w:rPr>
          <w:rFonts w:hint="default" w:ascii="Times New Roman" w:hAnsi="Times New Roman" w:cs="Times New Roman"/>
          <w:b/>
          <w:color w:val="auto"/>
          <w:sz w:val="24"/>
          <w:szCs w:val="24"/>
        </w:rPr>
        <w:t>五.公告期限：</w:t>
      </w:r>
      <w:bookmarkEnd w:id="9"/>
    </w:p>
    <w:p w14:paraId="53FCD41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公告期限：自本公告发布之日起不得少于3个工作日。</w:t>
      </w:r>
    </w:p>
    <w:p w14:paraId="604375F5">
      <w:pPr>
        <w:pStyle w:val="25"/>
        <w:spacing w:line="324" w:lineRule="auto"/>
        <w:outlineLvl w:val="1"/>
        <w:rPr>
          <w:rFonts w:hint="default" w:ascii="Times New Roman" w:hAnsi="Times New Roman" w:cs="Times New Roman"/>
          <w:b/>
          <w:color w:val="auto"/>
          <w:sz w:val="24"/>
          <w:szCs w:val="24"/>
        </w:rPr>
      </w:pPr>
      <w:bookmarkStart w:id="10" w:name="_Toc24038"/>
      <w:r>
        <w:rPr>
          <w:rFonts w:hint="default" w:ascii="Times New Roman" w:hAnsi="Times New Roman" w:cs="Times New Roman"/>
          <w:b/>
          <w:color w:val="auto"/>
          <w:sz w:val="24"/>
          <w:szCs w:val="24"/>
        </w:rPr>
        <w:t>六.本项目联系方式：</w:t>
      </w:r>
      <w:bookmarkEnd w:id="10"/>
    </w:p>
    <w:p w14:paraId="0EA75817">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1.采购人信息</w:t>
      </w:r>
    </w:p>
    <w:p w14:paraId="5810F866">
      <w:pPr>
        <w:pStyle w:val="25"/>
        <w:spacing w:line="324" w:lineRule="auto"/>
        <w:ind w:firstLine="48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名称：</w:t>
      </w:r>
      <w:r>
        <w:rPr>
          <w:rFonts w:ascii="Times New Roman" w:hAnsi="Times New Roman" w:cs="Times New Roman"/>
          <w:color w:val="auto"/>
          <w:sz w:val="21"/>
          <w:szCs w:val="21"/>
          <w:lang w:eastAsia="zh-CN"/>
        </w:rPr>
        <w:t>佛山市消防救援支队</w:t>
      </w:r>
    </w:p>
    <w:p w14:paraId="3CBE0A4E">
      <w:pPr>
        <w:pStyle w:val="25"/>
        <w:spacing w:line="324" w:lineRule="auto"/>
        <w:ind w:firstLine="48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地址：</w:t>
      </w:r>
      <w:r>
        <w:rPr>
          <w:rFonts w:ascii="Times New Roman" w:hAnsi="Times New Roman" w:cs="Times New Roman"/>
          <w:color w:val="auto"/>
          <w:sz w:val="21"/>
          <w:szCs w:val="21"/>
          <w:lang w:eastAsia="zh-CN"/>
        </w:rPr>
        <w:t>广东省-佛山市-顺德区-华阳路与裕和路交叉口北150米消防救援支队指挥中心</w:t>
      </w:r>
    </w:p>
    <w:p w14:paraId="72A0248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联系方式：0757-82989009</w:t>
      </w:r>
    </w:p>
    <w:p w14:paraId="73488F3B">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2.采购代理机构信息</w:t>
      </w:r>
    </w:p>
    <w:p w14:paraId="1657BB9E">
      <w:pPr>
        <w:pStyle w:val="25"/>
        <w:spacing w:line="324" w:lineRule="auto"/>
        <w:ind w:firstLine="48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名称：</w:t>
      </w:r>
      <w:r>
        <w:rPr>
          <w:rFonts w:hint="default" w:ascii="Times New Roman" w:hAnsi="Times New Roman" w:cs="Times New Roman"/>
          <w:color w:val="auto"/>
          <w:sz w:val="21"/>
          <w:szCs w:val="21"/>
          <w:lang w:eastAsia="zh-CN"/>
        </w:rPr>
        <w:t>广东远东招标代理有限公司</w:t>
      </w:r>
    </w:p>
    <w:p w14:paraId="4906DA5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地址：广东省佛山市禅城区季华五路10号金融广场17层A区之一</w:t>
      </w:r>
    </w:p>
    <w:p w14:paraId="381F854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联系方式：0757-83332518</w:t>
      </w:r>
    </w:p>
    <w:p w14:paraId="03D89123">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3.项目联系方式</w:t>
      </w:r>
    </w:p>
    <w:p w14:paraId="1FF2614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项目联系人：</w:t>
      </w:r>
      <w:r>
        <w:rPr>
          <w:rFonts w:ascii="Times New Roman" w:hAnsi="Times New Roman" w:cs="Times New Roman"/>
          <w:color w:val="auto"/>
          <w:sz w:val="21"/>
          <w:szCs w:val="21"/>
          <w:lang w:eastAsia="zh-CN"/>
        </w:rPr>
        <w:t>李</w:t>
      </w:r>
      <w:r>
        <w:rPr>
          <w:rFonts w:hint="default" w:ascii="Times New Roman" w:hAnsi="Times New Roman" w:cs="Times New Roman"/>
          <w:color w:val="auto"/>
          <w:sz w:val="21"/>
          <w:szCs w:val="21"/>
        </w:rPr>
        <w:t>先生</w:t>
      </w:r>
    </w:p>
    <w:p w14:paraId="7AE852B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电话：0757-83332518</w:t>
      </w:r>
    </w:p>
    <w:p w14:paraId="205B2DDD">
      <w:pPr>
        <w:pStyle w:val="25"/>
        <w:shd w:val="solid" w:color="FFFFFF" w:fill="auto"/>
        <w:spacing w:line="324" w:lineRule="auto"/>
        <w:outlineLvl w:val="1"/>
        <w:rPr>
          <w:rFonts w:hint="default" w:ascii="Times New Roman" w:hAnsi="Times New Roman" w:cs="Times New Roman"/>
          <w:b/>
          <w:color w:val="auto"/>
          <w:sz w:val="24"/>
          <w:szCs w:val="24"/>
          <w:shd w:val="clear" w:color="auto" w:fill="FFFFFF"/>
        </w:rPr>
      </w:pPr>
      <w:r>
        <w:rPr>
          <w:rFonts w:ascii="Times New Roman" w:hAnsi="Times New Roman" w:cs="Times New Roman"/>
          <w:b/>
          <w:color w:val="auto"/>
          <w:sz w:val="24"/>
          <w:szCs w:val="24"/>
          <w:lang w:eastAsia="zh-CN"/>
        </w:rPr>
        <w:t>七</w:t>
      </w:r>
      <w:r>
        <w:rPr>
          <w:rFonts w:hint="default" w:ascii="Times New Roman" w:hAnsi="Times New Roman" w:cs="Times New Roman"/>
          <w:b/>
          <w:color w:val="auto"/>
          <w:sz w:val="24"/>
          <w:szCs w:val="24"/>
          <w:shd w:val="clear" w:color="auto" w:fill="FFFFFF"/>
        </w:rPr>
        <w:t>、发布公告的媒介</w:t>
      </w:r>
    </w:p>
    <w:p w14:paraId="08315D14">
      <w:pPr>
        <w:snapToGrid w:val="0"/>
        <w:spacing w:line="324" w:lineRule="auto"/>
        <w:ind w:firstLine="441" w:firstLineChars="210"/>
        <w:rPr>
          <w:color w:val="auto"/>
          <w:szCs w:val="21"/>
        </w:rPr>
      </w:pPr>
      <w:r>
        <w:rPr>
          <w:rFonts w:hint="eastAsia"/>
          <w:color w:val="auto"/>
          <w:szCs w:val="21"/>
        </w:rPr>
        <w:t>中国政府采购网（http://www.ccgp.gov.cn/）、</w:t>
      </w:r>
      <w:r>
        <w:rPr>
          <w:color w:val="auto"/>
          <w:szCs w:val="21"/>
        </w:rPr>
        <w:t>广东远东招标代理有限公司网（http://www.gdydzb.com/）</w:t>
      </w:r>
      <w:r>
        <w:rPr>
          <w:rFonts w:hint="eastAsia"/>
          <w:color w:val="auto"/>
          <w:szCs w:val="21"/>
        </w:rPr>
        <w:t>。</w:t>
      </w:r>
    </w:p>
    <w:p w14:paraId="716BF3A4">
      <w:pPr>
        <w:spacing w:line="324" w:lineRule="auto"/>
        <w:rPr>
          <w:rFonts w:ascii="Times New Roman" w:hAnsi="Times New Roman" w:cs="Times New Roman"/>
          <w:b/>
          <w:color w:val="auto"/>
          <w:sz w:val="36"/>
        </w:rPr>
      </w:pPr>
      <w:r>
        <w:rPr>
          <w:rFonts w:ascii="Times New Roman" w:hAnsi="Times New Roman" w:cs="Times New Roman"/>
          <w:b/>
          <w:color w:val="auto"/>
          <w:sz w:val="36"/>
        </w:rPr>
        <w:br w:type="page"/>
      </w:r>
    </w:p>
    <w:p w14:paraId="275D7C9C">
      <w:pPr>
        <w:pStyle w:val="25"/>
        <w:spacing w:line="324" w:lineRule="auto"/>
        <w:jc w:val="center"/>
        <w:outlineLvl w:val="0"/>
        <w:rPr>
          <w:rFonts w:hint="default" w:ascii="Times New Roman" w:hAnsi="Times New Roman" w:cs="Times New Roman"/>
          <w:color w:val="auto"/>
          <w:sz w:val="28"/>
          <w:szCs w:val="28"/>
        </w:rPr>
      </w:pPr>
      <w:bookmarkStart w:id="11" w:name="_Toc32673"/>
      <w:r>
        <w:rPr>
          <w:rFonts w:hint="default" w:ascii="Times New Roman" w:hAnsi="Times New Roman" w:cs="Times New Roman"/>
          <w:b/>
          <w:color w:val="auto"/>
          <w:sz w:val="28"/>
          <w:szCs w:val="28"/>
        </w:rPr>
        <w:t>第二</w:t>
      </w:r>
      <w:r>
        <w:rPr>
          <w:rFonts w:hint="default" w:ascii="Times New Roman" w:hAnsi="Times New Roman" w:cs="Times New Roman"/>
          <w:b/>
          <w:color w:val="auto"/>
          <w:sz w:val="28"/>
          <w:szCs w:val="28"/>
          <w:lang w:eastAsia="zh-CN"/>
        </w:rPr>
        <w:t>部分</w:t>
      </w:r>
      <w:r>
        <w:rPr>
          <w:rFonts w:hint="default" w:ascii="Times New Roman" w:hAnsi="Times New Roman" w:cs="Times New Roman"/>
          <w:b/>
          <w:color w:val="auto"/>
          <w:sz w:val="28"/>
          <w:szCs w:val="28"/>
        </w:rPr>
        <w:t xml:space="preserve"> 采购需求</w:t>
      </w:r>
      <w:bookmarkEnd w:id="11"/>
    </w:p>
    <w:p w14:paraId="757A0579">
      <w:pPr>
        <w:pStyle w:val="25"/>
        <w:spacing w:line="324" w:lineRule="auto"/>
        <w:outlineLvl w:val="1"/>
        <w:rPr>
          <w:rFonts w:hint="default" w:ascii="Times New Roman" w:hAnsi="Times New Roman" w:cs="Times New Roman"/>
          <w:color w:val="auto"/>
          <w:sz w:val="24"/>
          <w:szCs w:val="24"/>
        </w:rPr>
      </w:pPr>
      <w:bookmarkStart w:id="12" w:name="_Toc27194"/>
      <w:bookmarkStart w:id="13" w:name="_Toc7528"/>
      <w:r>
        <w:rPr>
          <w:rFonts w:hint="default" w:ascii="Times New Roman" w:hAnsi="Times New Roman" w:cs="Times New Roman"/>
          <w:b/>
          <w:color w:val="auto"/>
          <w:sz w:val="24"/>
          <w:szCs w:val="24"/>
        </w:rPr>
        <w:t>一、项目概况</w:t>
      </w:r>
      <w:bookmarkEnd w:id="12"/>
      <w:bookmarkEnd w:id="13"/>
    </w:p>
    <w:tbl>
      <w:tblPr>
        <w:tblStyle w:val="2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9"/>
        <w:gridCol w:w="2392"/>
        <w:gridCol w:w="2692"/>
      </w:tblGrid>
      <w:tr w14:paraId="3A2F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649" w:type="dxa"/>
            <w:vAlign w:val="center"/>
          </w:tcPr>
          <w:p w14:paraId="66CEF2A8">
            <w:pPr>
              <w:pStyle w:val="11"/>
              <w:spacing w:line="324" w:lineRule="auto"/>
              <w:ind w:left="0" w:leftChars="0"/>
              <w:jc w:val="center"/>
              <w:outlineLvl w:val="0"/>
              <w:rPr>
                <w:rFonts w:hint="eastAsia" w:cs="宋体"/>
                <w:b/>
                <w:color w:val="auto"/>
                <w:sz w:val="21"/>
              </w:rPr>
            </w:pPr>
            <w:r>
              <w:rPr>
                <w:rFonts w:hint="eastAsia" w:cs="宋体"/>
                <w:b/>
                <w:color w:val="auto"/>
                <w:sz w:val="21"/>
              </w:rPr>
              <w:t>项目名称</w:t>
            </w:r>
          </w:p>
        </w:tc>
        <w:tc>
          <w:tcPr>
            <w:tcW w:w="2392" w:type="dxa"/>
            <w:vAlign w:val="center"/>
          </w:tcPr>
          <w:p w14:paraId="2D551933">
            <w:pPr>
              <w:pStyle w:val="11"/>
              <w:spacing w:line="324" w:lineRule="auto"/>
              <w:ind w:left="0" w:leftChars="0"/>
              <w:jc w:val="center"/>
              <w:outlineLvl w:val="0"/>
              <w:rPr>
                <w:rFonts w:hint="eastAsia" w:cs="宋体"/>
                <w:b/>
                <w:color w:val="auto"/>
                <w:sz w:val="21"/>
              </w:rPr>
            </w:pPr>
            <w:r>
              <w:rPr>
                <w:rFonts w:hint="eastAsia" w:cs="宋体"/>
                <w:b/>
                <w:color w:val="auto"/>
                <w:sz w:val="21"/>
              </w:rPr>
              <w:t>数量/单位</w:t>
            </w:r>
          </w:p>
        </w:tc>
        <w:tc>
          <w:tcPr>
            <w:tcW w:w="2692" w:type="dxa"/>
            <w:vAlign w:val="center"/>
          </w:tcPr>
          <w:p w14:paraId="1018822A">
            <w:pPr>
              <w:pStyle w:val="11"/>
              <w:spacing w:line="324" w:lineRule="auto"/>
              <w:ind w:left="0" w:leftChars="0"/>
              <w:jc w:val="center"/>
              <w:outlineLvl w:val="0"/>
              <w:rPr>
                <w:rFonts w:hint="eastAsia" w:cs="宋体"/>
                <w:b/>
                <w:color w:val="auto"/>
                <w:sz w:val="21"/>
              </w:rPr>
            </w:pPr>
            <w:r>
              <w:rPr>
                <w:rFonts w:hint="eastAsia" w:cs="宋体"/>
                <w:b/>
                <w:color w:val="auto"/>
                <w:sz w:val="21"/>
              </w:rPr>
              <w:t>备注</w:t>
            </w:r>
          </w:p>
        </w:tc>
      </w:tr>
      <w:tr w14:paraId="1866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649" w:type="dxa"/>
            <w:vAlign w:val="center"/>
          </w:tcPr>
          <w:p w14:paraId="6CE3E426">
            <w:pPr>
              <w:spacing w:line="324" w:lineRule="auto"/>
              <w:jc w:val="center"/>
              <w:rPr>
                <w:color w:val="auto"/>
              </w:rPr>
            </w:pPr>
            <w:r>
              <w:rPr>
                <w:rFonts w:hint="eastAsia"/>
                <w:color w:val="auto"/>
              </w:rPr>
              <w:t>佛山市消防救援支队2024年全媒体中心驻点服务项目</w:t>
            </w:r>
          </w:p>
        </w:tc>
        <w:tc>
          <w:tcPr>
            <w:tcW w:w="2392" w:type="dxa"/>
            <w:vAlign w:val="center"/>
          </w:tcPr>
          <w:p w14:paraId="0FB8D7D7">
            <w:pPr>
              <w:pStyle w:val="11"/>
              <w:spacing w:line="324" w:lineRule="auto"/>
              <w:ind w:left="0" w:leftChars="0"/>
              <w:jc w:val="center"/>
              <w:outlineLvl w:val="0"/>
              <w:rPr>
                <w:rFonts w:hint="eastAsia" w:cs="宋体"/>
                <w:color w:val="auto"/>
                <w:sz w:val="21"/>
              </w:rPr>
            </w:pPr>
            <w:r>
              <w:rPr>
                <w:rFonts w:hint="eastAsia" w:cs="宋体"/>
                <w:color w:val="auto"/>
                <w:sz w:val="21"/>
              </w:rPr>
              <w:t>1项</w:t>
            </w:r>
          </w:p>
        </w:tc>
        <w:tc>
          <w:tcPr>
            <w:tcW w:w="2692" w:type="dxa"/>
            <w:vAlign w:val="center"/>
          </w:tcPr>
          <w:p w14:paraId="4C4C7FF6">
            <w:pPr>
              <w:pStyle w:val="6"/>
              <w:spacing w:line="324" w:lineRule="auto"/>
              <w:ind w:firstLine="0"/>
              <w:jc w:val="center"/>
              <w:outlineLvl w:val="0"/>
              <w:rPr>
                <w:rFonts w:hint="eastAsia" w:ascii="宋体" w:hAnsi="宋体" w:cs="宋体"/>
                <w:color w:val="auto"/>
                <w:szCs w:val="21"/>
              </w:rPr>
            </w:pPr>
            <w:r>
              <w:rPr>
                <w:rFonts w:hint="eastAsia" w:ascii="宋体" w:hAnsi="宋体"/>
                <w:color w:val="auto"/>
                <w:szCs w:val="21"/>
              </w:rPr>
              <w:t>自合同签订后服务1年（具体服务时间以签订的保单起止时间为准）</w:t>
            </w:r>
          </w:p>
        </w:tc>
      </w:tr>
    </w:tbl>
    <w:p w14:paraId="17203564">
      <w:pPr>
        <w:pStyle w:val="25"/>
        <w:spacing w:line="324" w:lineRule="auto"/>
        <w:ind w:firstLine="420" w:firstLineChars="200"/>
        <w:rPr>
          <w:rFonts w:hint="default" w:ascii="Times New Roman" w:hAnsi="Times New Roman" w:cs="Times New Roman"/>
          <w:bCs/>
          <w:color w:val="auto"/>
          <w:sz w:val="21"/>
          <w:szCs w:val="21"/>
        </w:rPr>
      </w:pPr>
    </w:p>
    <w:p w14:paraId="736195FA">
      <w:pPr>
        <w:pStyle w:val="25"/>
        <w:spacing w:line="324" w:lineRule="auto"/>
        <w:outlineLvl w:val="1"/>
        <w:rPr>
          <w:rFonts w:hint="default" w:ascii="Times New Roman" w:hAnsi="Times New Roman" w:cs="Times New Roman"/>
          <w:b/>
          <w:color w:val="auto"/>
          <w:sz w:val="24"/>
          <w:szCs w:val="24"/>
        </w:rPr>
      </w:pPr>
      <w:bookmarkStart w:id="14" w:name="_Toc3325"/>
      <w:r>
        <w:rPr>
          <w:rFonts w:hint="default" w:ascii="Times New Roman" w:hAnsi="Times New Roman" w:cs="Times New Roman"/>
          <w:b/>
          <w:color w:val="auto"/>
          <w:sz w:val="24"/>
          <w:szCs w:val="24"/>
          <w:lang w:eastAsia="zh-CN"/>
        </w:rPr>
        <w:t>二、</w:t>
      </w:r>
      <w:r>
        <w:rPr>
          <w:rFonts w:hint="default" w:ascii="Times New Roman" w:hAnsi="Times New Roman" w:cs="Times New Roman"/>
          <w:b/>
          <w:color w:val="auto"/>
          <w:sz w:val="24"/>
          <w:szCs w:val="24"/>
        </w:rPr>
        <w:t>主要商务要求</w:t>
      </w:r>
      <w:bookmarkEnd w:id="14"/>
    </w:p>
    <w:tbl>
      <w:tblPr>
        <w:tblStyle w:val="21"/>
        <w:tblW w:w="9769" w:type="dxa"/>
        <w:tblInd w:w="-21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93"/>
        <w:gridCol w:w="8076"/>
      </w:tblGrid>
      <w:tr w14:paraId="332F7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6A7E14F6">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标的提供的时间</w:t>
            </w:r>
          </w:p>
        </w:tc>
        <w:tc>
          <w:tcPr>
            <w:tcW w:w="8076" w:type="dxa"/>
          </w:tcPr>
          <w:p w14:paraId="5F098A8A">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合同签订生效后约定的开始之日起1年，具体按合同约定的时间为准。</w:t>
            </w:r>
          </w:p>
        </w:tc>
      </w:tr>
      <w:tr w14:paraId="34232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1A36B902">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标的提供的地点</w:t>
            </w:r>
          </w:p>
        </w:tc>
        <w:tc>
          <w:tcPr>
            <w:tcW w:w="8076" w:type="dxa"/>
          </w:tcPr>
          <w:p w14:paraId="6F68B300">
            <w:pPr>
              <w:pStyle w:val="25"/>
              <w:spacing w:line="324" w:lineRule="auto"/>
              <w:rPr>
                <w:rFonts w:hint="default" w:ascii="Times New Roman" w:hAnsi="Times New Roman" w:cs="Times New Roman"/>
                <w:color w:val="auto"/>
                <w:sz w:val="21"/>
                <w:szCs w:val="21"/>
              </w:rPr>
            </w:pPr>
            <w:r>
              <w:rPr>
                <w:rFonts w:ascii="Times New Roman" w:hAnsi="Times New Roman" w:cs="Times New Roman"/>
                <w:color w:val="auto"/>
                <w:sz w:val="21"/>
                <w:szCs w:val="21"/>
                <w:lang w:eastAsia="zh-CN" w:bidi="ar"/>
              </w:rPr>
              <w:t>采购人指定地点</w:t>
            </w:r>
            <w:r>
              <w:rPr>
                <w:rFonts w:hint="default" w:ascii="Times New Roman" w:hAnsi="Times New Roman" w:cs="Times New Roman"/>
                <w:color w:val="auto"/>
                <w:sz w:val="21"/>
                <w:szCs w:val="21"/>
                <w:lang w:eastAsia="zh-CN" w:bidi="ar"/>
              </w:rPr>
              <w:t>。</w:t>
            </w:r>
          </w:p>
        </w:tc>
      </w:tr>
      <w:tr w14:paraId="70AF7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20A0CD54">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付款方式</w:t>
            </w:r>
          </w:p>
        </w:tc>
        <w:tc>
          <w:tcPr>
            <w:tcW w:w="8076" w:type="dxa"/>
          </w:tcPr>
          <w:p w14:paraId="0944D76A">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1、首付款</w:t>
            </w:r>
          </w:p>
          <w:p w14:paraId="17625009">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合同签订且</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完成用户需求书中规定的首付款支付前量化指标，则</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自收到</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开具的发票后14个工作日内，支付首付款项至总金额的30%。</w:t>
            </w:r>
          </w:p>
          <w:p w14:paraId="4F9BF0F0">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2、第二期款</w:t>
            </w:r>
          </w:p>
          <w:p w14:paraId="53465C62">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rPr>
              <w:t>2025</w:t>
            </w:r>
            <w:r>
              <w:rPr>
                <w:rFonts w:hint="eastAsia" w:ascii="Times New Roman" w:hAnsi="Times New Roman" w:cs="Times New Roman"/>
                <w:color w:val="auto"/>
                <w:sz w:val="21"/>
                <w:szCs w:val="21"/>
                <w:lang w:val="en-US" w:eastAsia="zh-CN"/>
              </w:rPr>
              <w:t>年</w:t>
            </w:r>
            <w:r>
              <w:rPr>
                <w:rFonts w:hint="default" w:ascii="Times New Roman" w:hAnsi="Times New Roman" w:cs="Times New Roman"/>
                <w:color w:val="auto"/>
                <w:sz w:val="21"/>
                <w:szCs w:val="21"/>
              </w:rPr>
              <w:t>4月30日前支付第二期款20%，支付前需达到用户需求书中规定的支付前量化指标，则</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自收到</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开具的发票后14个工作日内，向</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支付项目1、2、3、4、5、6、7、8、9、10、11、12、13、14项目中总分达到25分积分标准，支付总金额的20%；如未达到支付前量化指标，</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有权缓发款项，根据</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提供的整改方案另行协商。</w:t>
            </w:r>
          </w:p>
          <w:p w14:paraId="5CD03396">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3、第三期款</w:t>
            </w:r>
          </w:p>
          <w:p w14:paraId="1C6C5969">
            <w:pPr>
              <w:pStyle w:val="25"/>
              <w:spacing w:line="324" w:lineRule="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2025年</w:t>
            </w:r>
            <w:r>
              <w:rPr>
                <w:rFonts w:hint="default" w:ascii="Times New Roman" w:hAnsi="Times New Roman" w:cs="Times New Roman"/>
                <w:color w:val="auto"/>
                <w:sz w:val="21"/>
                <w:szCs w:val="21"/>
              </w:rPr>
              <w:t>7月31日前支付第二期款30%，支付前需达到用户需求书中规定的支付前量化指标，则</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自收到</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开具的发票后14个工作日内，向</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支付项目1、2、3、4、5、6、7、8、9、10、11、12、13、14项目中总分达到25分积分标准，支付总金额的20%；如未达到支付前量化指标，</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有权缓发款项，根据</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提供的整改方案另行协商。</w:t>
            </w:r>
          </w:p>
          <w:p w14:paraId="2A3015EB">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4、尾款</w:t>
            </w:r>
          </w:p>
          <w:p w14:paraId="655784AA">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根据采购需求中规定的尾款支付量化指标完成率、采购文件以及项目实施中规定的相关考核条款进行支付，支付金额=总金额×（20%－（100%－量化指标完成率））－扣减费用（如有），如为负数，则由</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退还</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相应的差额；如为正数，则</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在考评完成并收到</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开具的发票后14个工作日内支付。</w:t>
            </w:r>
          </w:p>
          <w:p w14:paraId="3DAAD344">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向</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申请付款时，应向</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提供等额有效的发票。</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在本合同约定的支付期限内向政府采购支付部门提出支付申请即视为</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已履行付款义务，</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的支付期限均不含政府财政支付部门审查的时间，如因政府财政支付流程导致的支付延期，</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不承担责任，</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不得以此为由不履行或迟延履行合同义务。</w:t>
            </w:r>
          </w:p>
          <w:p w14:paraId="607615DA">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6、因政府财政预算审批限额不足此不可抗因素进而导致项目无法进行的情况下，采购人需与成交供应商进行磋商终止合同服务，按实际服务进度支付费用，采购人不承担责任。</w:t>
            </w:r>
          </w:p>
        </w:tc>
      </w:tr>
      <w:tr w14:paraId="57C10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2DE79E33">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验收要求</w:t>
            </w:r>
          </w:p>
        </w:tc>
        <w:tc>
          <w:tcPr>
            <w:tcW w:w="8076" w:type="dxa"/>
          </w:tcPr>
          <w:p w14:paraId="7C16B99E">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w:t>
            </w:r>
            <w:r>
              <w:rPr>
                <w:rFonts w:ascii="Times New Roman" w:hAnsi="Times New Roman" w:cs="Times New Roman"/>
                <w:color w:val="auto"/>
                <w:sz w:val="21"/>
                <w:szCs w:val="21"/>
                <w:lang w:eastAsia="zh-CN"/>
              </w:rPr>
              <w:t>磋商</w:t>
            </w:r>
            <w:r>
              <w:rPr>
                <w:rFonts w:hint="default" w:ascii="Times New Roman" w:hAnsi="Times New Roman" w:cs="Times New Roman"/>
                <w:color w:val="auto"/>
                <w:sz w:val="21"/>
                <w:szCs w:val="21"/>
              </w:rPr>
              <w:t>文件规定要求、</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的投标承诺及行业标准、国家标准验收。</w:t>
            </w:r>
          </w:p>
        </w:tc>
      </w:tr>
      <w:tr w14:paraId="7A717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22D04189">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履约保证金</w:t>
            </w:r>
          </w:p>
        </w:tc>
        <w:tc>
          <w:tcPr>
            <w:tcW w:w="8076" w:type="dxa"/>
          </w:tcPr>
          <w:p w14:paraId="19CA153D">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不收取</w:t>
            </w:r>
          </w:p>
        </w:tc>
      </w:tr>
      <w:tr w14:paraId="1BB61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7D0CE4DD">
            <w:pPr>
              <w:pStyle w:val="25"/>
              <w:spacing w:line="324" w:lineRule="auto"/>
              <w:jc w:val="center"/>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付款要求</w:t>
            </w:r>
          </w:p>
        </w:tc>
        <w:tc>
          <w:tcPr>
            <w:tcW w:w="8076" w:type="dxa"/>
          </w:tcPr>
          <w:p w14:paraId="1AA29FC7">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1、首付款支付前量化标准</w:t>
            </w:r>
          </w:p>
          <w:p w14:paraId="3BEF4B8F">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需达到下述全部要求</w:t>
            </w:r>
          </w:p>
          <w:p w14:paraId="013BFEBC">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（1）人员团队符合采购需求，并得到采购人认可；</w:t>
            </w:r>
          </w:p>
          <w:p w14:paraId="5457BF78">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（2）管理运行制度、运行体系得到采购人认可；</w:t>
            </w:r>
          </w:p>
          <w:p w14:paraId="6A205E82">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（3）年度运行方案和前3个月细化方案得到采购人认可；</w:t>
            </w:r>
          </w:p>
          <w:p w14:paraId="2D17B30B">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（4）其他需经双方确认的内容达成一致；</w:t>
            </w:r>
          </w:p>
          <w:p w14:paraId="288BBD20">
            <w:pPr>
              <w:spacing w:line="324" w:lineRule="auto"/>
              <w:rPr>
                <w:rFonts w:hint="eastAsia" w:ascii="宋体" w:hAnsi="宋体" w:eastAsia="宋体" w:cs="宋体"/>
                <w:bCs/>
                <w:color w:val="auto"/>
                <w:szCs w:val="21"/>
              </w:rPr>
            </w:pPr>
            <w:r>
              <w:rPr>
                <w:rFonts w:hint="eastAsia" w:ascii="宋体" w:hAnsi="宋体" w:eastAsia="宋体" w:cs="宋体"/>
                <w:bCs/>
                <w:color w:val="auto"/>
                <w:szCs w:val="21"/>
              </w:rPr>
              <w:t>2、第二期款支付前量化指标</w:t>
            </w:r>
          </w:p>
          <w:p w14:paraId="17E8A9C0">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对以下量化指标采取得分制，得分达到25分后支付进度款。</w:t>
            </w:r>
          </w:p>
          <w:p w14:paraId="5A785CAD">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（1）制作符合中央级媒体稿件每篇2分、省级1分，其中《人民日报》、央视《新闻联播》、央视新闻频道、央视《晚间新闻》《朝闻天下》《午间新闻》《东方时空》 等、“人民日报”“新华社”“央视新闻”等政务新媒体账号按每条3分计算。负面新闻不纳入统计范畴、同一内容在同一媒体（频道）按1条计算。</w:t>
            </w:r>
          </w:p>
          <w:p w14:paraId="750BBF98">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（2）符合微信每日制作稿件≥3篇，且每月累计阅读量达到15万，每月得1分；</w:t>
            </w:r>
          </w:p>
          <w:p w14:paraId="57E8F66A">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（3）今日头条每日制作稿件≥10篇，每月得1.5分；</w:t>
            </w:r>
          </w:p>
          <w:p w14:paraId="1A46EEDC">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（4）微博每日制作稿件≥30篇且每月累计阅读量达到800万，每月得1.5分；</w:t>
            </w:r>
          </w:p>
          <w:p w14:paraId="477A1EC2">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（5）抖音、快手每天制作稿件各≥1条，每月得1.5分，每个5W+点赞量作品1.5分；</w:t>
            </w:r>
          </w:p>
          <w:p w14:paraId="77D3CC2D">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（6）完成短视频制作发布≥20条，每月得2分；</w:t>
            </w:r>
          </w:p>
          <w:p w14:paraId="154B57D1">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（7）平面海报设计≥100张，得2分；</w:t>
            </w:r>
          </w:p>
          <w:p w14:paraId="2D82A2F6">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（8）每组织1次直播活动且在线观看总人数达到800人，得1分，在线观看人数达到1500人得2分。</w:t>
            </w:r>
          </w:p>
          <w:p w14:paraId="0093BF52">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（9）建立应急宣传机制，开展一次应急宣传演练，得1分。</w:t>
            </w:r>
          </w:p>
          <w:p w14:paraId="47B7B7CA">
            <w:pPr>
              <w:spacing w:line="324" w:lineRule="auto"/>
              <w:ind w:firstLine="420" w:firstLineChars="200"/>
              <w:rPr>
                <w:rFonts w:ascii="Times New Roman" w:hAnsi="Times New Roman" w:cs="Times New Roman"/>
                <w:color w:val="auto"/>
                <w:szCs w:val="21"/>
              </w:rPr>
            </w:pPr>
            <w:r>
              <w:rPr>
                <w:rFonts w:hint="eastAsia" w:ascii="宋体" w:hAnsi="宋体" w:eastAsia="宋体" w:cs="宋体"/>
                <w:bCs/>
                <w:color w:val="auto"/>
                <w:szCs w:val="21"/>
              </w:rPr>
              <w:t>（10）人才团队每少1人/月，扣1分，应急机动人员未按要求配合工作的，每人每次扣1分。</w:t>
            </w:r>
            <w:r>
              <w:rPr>
                <w:rFonts w:hint="eastAsia" w:ascii="宋体" w:hAnsi="宋体" w:eastAsia="宋体" w:cs="宋体"/>
                <w:b/>
                <w:bCs/>
                <w:color w:val="auto"/>
                <w:kern w:val="0"/>
                <w:szCs w:val="21"/>
                <w:lang w:bidi="ar"/>
              </w:rPr>
              <w:t>乙方向甲方申请付款时，需要提供驻场人员考勤记录、社保缴纳记录，及按项目实际需要提供应急机动人员服务记录</w:t>
            </w:r>
            <w:r>
              <w:rPr>
                <w:rFonts w:hint="eastAsia" w:ascii="宋体" w:hAnsi="宋体" w:eastAsia="宋体" w:cs="宋体"/>
                <w:b/>
                <w:bCs/>
                <w:color w:val="auto"/>
                <w:szCs w:val="21"/>
              </w:rPr>
              <w:t>。</w:t>
            </w:r>
          </w:p>
          <w:p w14:paraId="39475D57">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11）出现内容安全问题，每次扣2分；重大安全问题采购人有权单方解除终止合同。重大安全问题是指出现反动、暴、情等内容或发布的内容不当引发严重负舆情，数据泄露，违反政治安全、信息安全、保密要求造成负面影响，违反国家法律、法规、规章的其他行为。</w:t>
            </w:r>
          </w:p>
          <w:p w14:paraId="5FD71645">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（12）合同内规定的其他事项，未履行到位，每次扣2分。</w:t>
            </w:r>
          </w:p>
          <w:p w14:paraId="0899B316">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3、第三期款支付前量化指标</w:t>
            </w:r>
          </w:p>
          <w:p w14:paraId="71497868">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对以下量化指标采取得分制，得分达到25分后支付进度款。</w:t>
            </w:r>
          </w:p>
          <w:p w14:paraId="46D34469">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（1）制作符合中央级媒体稿件每篇2分、省级1分，其中《人民日报》、央视《新闻联播》、央视新闻频道、央视《晚间新闻》《朝闻天下》《午间新闻》《东方时空》 等、“人民日报”“新华社”“央视新闻”等政务新媒体账号按每条3分计算。负面新闻不纳入统计范畴、同一内容在同一媒体（频道）按1条计算。</w:t>
            </w:r>
          </w:p>
          <w:p w14:paraId="53BC010D">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（2）符合微信每日制作稿件≥3篇，且每月累计阅读量达到15万，每月得1分；</w:t>
            </w:r>
          </w:p>
          <w:p w14:paraId="281FE01E">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（3）今日头条每日制作稿件≥10篇，每月得1.5分；</w:t>
            </w:r>
          </w:p>
          <w:p w14:paraId="2716BFA9">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（4）微博每日制作稿件≥30篇且每月累计阅读量达到800万，每月得1.5分；</w:t>
            </w:r>
          </w:p>
          <w:p w14:paraId="62BA2FCB">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（5）抖音、快手每天制作稿件各≥1条，每月得1.5分，每个5W+点赞量作品1.5分；</w:t>
            </w:r>
          </w:p>
          <w:p w14:paraId="1E845BA8">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（6）完成短视频制作发布≥20条，每月得2分；</w:t>
            </w:r>
          </w:p>
          <w:p w14:paraId="76F66D55">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（7）平面海报设计≥100张，得2分；</w:t>
            </w:r>
          </w:p>
          <w:p w14:paraId="048CA17B">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（8）每组织1次直播活动且在线观看总人数达到800人，得1分，在线观看人数达到1500人得2分。</w:t>
            </w:r>
          </w:p>
          <w:p w14:paraId="595B8378">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（9）建立应急宣传机制，开展一次应急宣传演练，得1分。</w:t>
            </w:r>
          </w:p>
          <w:p w14:paraId="762D1137">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（10）人才团队每少1人/月，扣1分。应急机动人员未按要求配合工作的，每人每次扣1分。</w:t>
            </w:r>
            <w:r>
              <w:rPr>
                <w:rFonts w:hint="eastAsia" w:ascii="宋体" w:hAnsi="宋体" w:eastAsia="宋体" w:cs="宋体"/>
                <w:b/>
                <w:bCs/>
                <w:color w:val="auto"/>
                <w:kern w:val="0"/>
                <w:szCs w:val="21"/>
                <w:lang w:bidi="ar"/>
              </w:rPr>
              <w:t>乙方向甲方申请付款时，需要提供驻场人员考勤记录、社保缴纳记录，及按项目实际需要提供应急机动人员服务记录</w:t>
            </w:r>
            <w:r>
              <w:rPr>
                <w:rFonts w:hint="eastAsia" w:ascii="宋体" w:hAnsi="宋体" w:eastAsia="宋体" w:cs="宋体"/>
                <w:b/>
                <w:bCs/>
                <w:color w:val="auto"/>
                <w:szCs w:val="21"/>
              </w:rPr>
              <w:t>。</w:t>
            </w:r>
          </w:p>
          <w:p w14:paraId="5FD5B8C7">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11）出现内容安全问题，每次扣2分；重大安全问题采购人有权单方解除终止合同。重大安全问题是指出现反动、暴、情等内容或发布的内容不当引发严重负舆情，数据泄露，违反政治安全、信息安全、保密要求造成负面影响，违反国家法律、法规、规章的其他行为。</w:t>
            </w:r>
          </w:p>
          <w:p w14:paraId="262A60EB">
            <w:pPr>
              <w:pStyle w:val="25"/>
              <w:spacing w:line="324" w:lineRule="auto"/>
              <w:rPr>
                <w:rFonts w:hint="default" w:ascii="Times New Roman" w:hAnsi="Times New Roman" w:cs="Times New Roman"/>
                <w:color w:val="auto"/>
                <w:sz w:val="21"/>
                <w:szCs w:val="21"/>
                <w:lang w:eastAsia="zh-CN"/>
              </w:rPr>
            </w:pPr>
            <w:r>
              <w:rPr>
                <w:rFonts w:ascii="宋体" w:hAnsi="宋体" w:eastAsia="宋体" w:cs="宋体"/>
                <w:bCs/>
                <w:color w:val="auto"/>
                <w:sz w:val="21"/>
                <w:szCs w:val="21"/>
              </w:rPr>
              <w:t>（12）合同内规定的其他事项，未履行到位，每次扣2分。</w:t>
            </w:r>
          </w:p>
          <w:p w14:paraId="3348EA99">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4、尾款支付前量化指标</w:t>
            </w:r>
          </w:p>
          <w:p w14:paraId="3FAED986">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量化指标完成率=实际得分/100</w:t>
            </w:r>
          </w:p>
          <w:p w14:paraId="2BA5C234">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下列每部分根据重要性及工作量、成本支出等综合确定其在服务项目中的占比。因采购人工作需求变化而被调整或取消的项将不纳入考核评价，确因不可抗力无法完成的不纳入考核评价。</w:t>
            </w:r>
          </w:p>
          <w:p w14:paraId="0C8E71A3">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（1）综合性策划方面(20分)</w:t>
            </w:r>
          </w:p>
          <w:p w14:paraId="0A8EC17B">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随时做好应急宣传准备，全年原创稿件400条，符合中央级媒体稿件16条、省级28篇以上。（未完成应急宣传任务每次扣0.2分，每少1条原创稿件扣0.1分，每少1篇中央级媒体扣0.5分，每少1篇省级媒体扣0.2分，每出现1次运行安全问题扣0.2分，运营团队每少1人/月扣1分，应急机动人员未按要求配合工作的每人每次扣1分。）乙方向甲方申请付款时，需要提供驻场人员考勤记录、社保缴纳记录，及按项目实际需要提供应急机动人员服务记录。）</w:t>
            </w:r>
          </w:p>
          <w:p w14:paraId="7D9D6AE8">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（2）新媒体稿件方面（15分）</w:t>
            </w:r>
          </w:p>
          <w:p w14:paraId="0CE19E80">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a、稿件符合中央媒体的要求。①在新华社或者《人民日报》投放不少于1条；②《中国应急管理部》投放不少于3条；③《中国消防》投放不少于2条。（共5分，第①项未完成扣1分，第②、③项每少1条扣0.1分）</w:t>
            </w:r>
          </w:p>
          <w:p w14:paraId="7AA89566">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b、省市级级媒体投放不少于5条。(共5分，每少1条扣0.5分)</w:t>
            </w:r>
          </w:p>
          <w:p w14:paraId="5F548EB7">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c、支队在市级媒体的报刊专栏、专版，围绕阶段性重点工作做好内容生产工作。（共5分，未完成每次扣0.1分）</w:t>
            </w:r>
          </w:p>
          <w:p w14:paraId="5DE22DA2">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（3）电视广播媒体方面内容制作（15分）</w:t>
            </w:r>
          </w:p>
          <w:p w14:paraId="1388B873">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a、制作符合国家级电视台稿件5条（1条专题按3条新闻折算计入统计），稿件由全媒体中心策划、拍摄、重新生产或综合各大队素材（共5分，每少1条扣1分）</w:t>
            </w:r>
          </w:p>
          <w:p w14:paraId="3259809E">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b、制作符合省市级电视台电视频道、广播频道、新媒体、网站全年累计投放不少于100条（共10分，每少1条扣0.1分）</w:t>
            </w:r>
          </w:p>
          <w:p w14:paraId="3E1E4637">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（4）网站新媒体方面（共30分）</w:t>
            </w:r>
          </w:p>
          <w:p w14:paraId="148A5DD5">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a、微信每日发稿≥3篇且每月阅读量15万+；今日头条每日发稿≥10篇；微博每日发稿≥30篇；抖音、快手每天发稿各≥1条；每月被中央级主要媒体新媒体或者省级政务号转发不少于1条；每月被省市级媒体新媒体转发不少于3条；支队五大媒体账号微信、微博、今日头条、抖音、快手账号，不少于3个账号获评全国应急系统优秀账号或全国消防系统优秀账号。（共20分，其中，月度指标每项未完成的扣1分，年度指标未完成的扣3分，扣完为止。）</w:t>
            </w:r>
          </w:p>
          <w:p w14:paraId="1188A2AE">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b、微博、微信每年分别开展不少于2场线上主题推广活动。（共2分，未完成每次扣1分）</w:t>
            </w:r>
          </w:p>
          <w:p w14:paraId="7C816EF9">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c、协助支队对重大活动开展新媒体网络直播活动，不少于5场。（共2分，未完成每次扣0.4分）</w:t>
            </w:r>
          </w:p>
          <w:p w14:paraId="1386F13A">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d、配合今日头条、抖音、快手等平台活动要求，进行个性化的精准制作内容和推送，</w:t>
            </w:r>
          </w:p>
          <w:p w14:paraId="15248FE2">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提供强影响力的曝光。（共2分，未完成扣2分）</w:t>
            </w:r>
          </w:p>
          <w:p w14:paraId="1029C30F">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e、配合支队宣传处做好與情处置工作，提供消防舆情辟谣、源头追踪、事件分析等服务。（共4分，未完成舆情引导处置工作每次扣1分）</w:t>
            </w:r>
          </w:p>
          <w:p w14:paraId="35FDDE2E">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（5）媒资管理与后期制作方面（共10分）</w:t>
            </w:r>
          </w:p>
          <w:p w14:paraId="66EE2B19">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a、承担全媒体工作平台和媒体资源管理系统影像和数据资料录入、审核、管理等任务。(共4分，未落实管理规定每次扣0.2分)</w:t>
            </w:r>
          </w:p>
          <w:p w14:paraId="1A1CA0D1">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b、保障支队机关主要领导和重要活动的摄影摄像工作，工作日8小时以外（含节假日）接到任务后30分钟内可在支队机关范围内提供摄影、摄像服务。（共3分，每少完成一次任务扣0.2分）</w:t>
            </w:r>
          </w:p>
          <w:p w14:paraId="2FF9494B">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c、完成宣传效果、工作情况的整理分析和建档工作，完成全媒体工作中心器材、装备等日常维护保养工作。（共3分， 每少完成一次任务扣0.2 分）</w:t>
            </w:r>
          </w:p>
          <w:p w14:paraId="2D788530">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（6）社会化宣传方面（共10分）</w:t>
            </w:r>
          </w:p>
          <w:p w14:paraId="200C5404">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a、策划开展消防安全传播推广教育线上线下活动不少于2场；承担消防科普及社会化传播活动的主持、讲解任务。（共2分，每少完成一次任务扣0.2分）</w:t>
            </w:r>
          </w:p>
          <w:p w14:paraId="6E8132A3">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b、设计消防安全知识平面海报不少于10份。（共2分，完成量若少于7份则得0分。）</w:t>
            </w:r>
          </w:p>
          <w:p w14:paraId="4696597B">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c、设计消防文化创意推广品不少于2种。（共1分，未完成扣1分）</w:t>
            </w:r>
          </w:p>
          <w:p w14:paraId="021917CB">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d、在元旦、春节、清明、五一、安全生产月、中秋、国庆、消防宣传月等重要节点，配合设计针对性消防提示海报。（共2分，少完成1次扣0.2分）</w:t>
            </w:r>
          </w:p>
          <w:p w14:paraId="30DC9C3D">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e、做好“全民消防学习云平台”、“消防志愿者服务平台”、“消防科普教育基地”等平台的运行维护工作，配合做好“五进”、“三下乡”、中小学生消防安全教育日、防灾减灾日、安全生产月、科技宣传周、“119”消防宣传月、国际志愿者日、年度新媒体粉丝见面会等主题宣传活动。（共3分，未达标1次扣1分）。</w:t>
            </w:r>
          </w:p>
        </w:tc>
      </w:tr>
    </w:tbl>
    <w:p w14:paraId="44CF41E1">
      <w:pPr>
        <w:pStyle w:val="25"/>
        <w:spacing w:line="324" w:lineRule="auto"/>
        <w:rPr>
          <w:rFonts w:hint="default" w:ascii="Times New Roman" w:hAnsi="Times New Roman" w:cs="Times New Roman"/>
          <w:color w:val="auto"/>
          <w:sz w:val="21"/>
          <w:szCs w:val="21"/>
        </w:rPr>
      </w:pPr>
    </w:p>
    <w:p w14:paraId="2A650785">
      <w:pPr>
        <w:pStyle w:val="25"/>
        <w:spacing w:line="324" w:lineRule="auto"/>
        <w:outlineLvl w:val="1"/>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eastAsia="zh-CN"/>
        </w:rPr>
        <w:t>三、</w:t>
      </w:r>
      <w:r>
        <w:rPr>
          <w:rFonts w:hint="default" w:ascii="Times New Roman" w:hAnsi="Times New Roman" w:cs="Times New Roman"/>
          <w:b/>
          <w:color w:val="auto"/>
          <w:sz w:val="24"/>
          <w:szCs w:val="24"/>
        </w:rPr>
        <w:t>其他商务需求</w:t>
      </w:r>
    </w:p>
    <w:tbl>
      <w:tblPr>
        <w:tblStyle w:val="21"/>
        <w:tblW w:w="9762" w:type="dxa"/>
        <w:tblInd w:w="-2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0"/>
        <w:gridCol w:w="617"/>
        <w:gridCol w:w="1116"/>
        <w:gridCol w:w="7279"/>
      </w:tblGrid>
      <w:tr w14:paraId="24AAE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7BECBF47">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p w14:paraId="1D5FDE54">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性质</w:t>
            </w:r>
          </w:p>
        </w:tc>
        <w:tc>
          <w:tcPr>
            <w:tcW w:w="617" w:type="dxa"/>
            <w:vAlign w:val="center"/>
          </w:tcPr>
          <w:p w14:paraId="6496135D">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编号</w:t>
            </w:r>
          </w:p>
        </w:tc>
        <w:tc>
          <w:tcPr>
            <w:tcW w:w="1116" w:type="dxa"/>
            <w:vAlign w:val="center"/>
          </w:tcPr>
          <w:p w14:paraId="2A7EC1CF">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内容明细</w:t>
            </w:r>
          </w:p>
        </w:tc>
        <w:tc>
          <w:tcPr>
            <w:tcW w:w="7279" w:type="dxa"/>
            <w:vAlign w:val="center"/>
          </w:tcPr>
          <w:p w14:paraId="6497504F">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内容说明</w:t>
            </w:r>
          </w:p>
        </w:tc>
      </w:tr>
      <w:tr w14:paraId="7236D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25437820">
            <w:pPr>
              <w:spacing w:line="324" w:lineRule="auto"/>
              <w:jc w:val="center"/>
              <w:rPr>
                <w:rFonts w:ascii="Times New Roman" w:hAnsi="Times New Roman" w:cs="Times New Roman"/>
                <w:color w:val="auto"/>
                <w:szCs w:val="21"/>
              </w:rPr>
            </w:pPr>
            <w:r>
              <w:rPr>
                <w:rFonts w:ascii="Times New Roman" w:hAnsi="Times New Roman" w:cs="Times New Roman"/>
                <w:color w:val="auto"/>
                <w:szCs w:val="21"/>
              </w:rPr>
              <w:t>★</w:t>
            </w:r>
          </w:p>
        </w:tc>
        <w:tc>
          <w:tcPr>
            <w:tcW w:w="617" w:type="dxa"/>
          </w:tcPr>
          <w:p w14:paraId="154A8EB4">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16" w:type="dxa"/>
          </w:tcPr>
          <w:p w14:paraId="4128A470">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报价要求</w:t>
            </w:r>
          </w:p>
        </w:tc>
        <w:tc>
          <w:tcPr>
            <w:tcW w:w="7279" w:type="dxa"/>
          </w:tcPr>
          <w:p w14:paraId="07967D62">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1.本项目的最高限价为￥</w:t>
            </w:r>
            <w:r>
              <w:rPr>
                <w:rFonts w:ascii="Times New Roman" w:hAnsi="Times New Roman" w:cs="Times New Roman"/>
                <w:color w:val="auto"/>
                <w:sz w:val="21"/>
                <w:szCs w:val="21"/>
                <w:lang w:eastAsia="zh-CN"/>
              </w:rPr>
              <w:t>1,820,000.00</w:t>
            </w:r>
            <w:r>
              <w:rPr>
                <w:rFonts w:hint="default" w:ascii="Times New Roman" w:hAnsi="Times New Roman" w:cs="Times New Roman"/>
                <w:color w:val="auto"/>
                <w:sz w:val="21"/>
                <w:szCs w:val="21"/>
                <w:lang w:eastAsia="zh-CN"/>
              </w:rPr>
              <w:t>元，响应报价若超过项目采购预算（或最高限价）的，其响应报价将视为无效。</w:t>
            </w:r>
          </w:p>
          <w:p w14:paraId="5ACD02F0">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2、报价中必须包含履行本合同所有人员的各项薪资、补贴、商业保险费用等，还包含年度管理费用、招聘、培训的费用、通讯费</w:t>
            </w: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日常采访通讯费</w:t>
            </w: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、各项税费与年度财务报告审计报告、获取相关授权等合同实施过程中的应预见和不可预见费用等。</w:t>
            </w:r>
          </w:p>
          <w:p w14:paraId="72A1C2E8">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3、报价不高于项目采购预算，且不低于成本价。</w:t>
            </w:r>
          </w:p>
          <w:p w14:paraId="36EE39CE">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4、本项目预算金额为182万元，其中，暂列暂估金合计44.2万元。暂列暂估金包含</w:t>
            </w: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绩效暂列金19万元、应急机动人员费用暂估金额20万元、新媒体推广费暂估金额5.2万元。暂列暂估金用于项目服务团队人员、应急机动人员的KPI考核奖励以及按照新媒体运营需求/各媒体渠道推广需求发生的费用。合同签订前，成交供应商应根据本项目的采购需求，结合付款要求制定充分有利于项目实施的新媒体推广计划、绩效考核与绩效激励支付计划(含暂列暂估金的结算标准及结算价的定价方式)，提交采购人审核后方可实施。成交供应商未能按要求完成采购文件的各项要求和项目涉及的“量化指标”的，采购人有权按照双方确认的绩效考核与绩效激励办法核减相应费用，并按照相关要求持续改进，直至采购人满意为止。</w:t>
            </w:r>
          </w:p>
        </w:tc>
      </w:tr>
      <w:tr w14:paraId="6E873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257ABDC7">
            <w:pPr>
              <w:spacing w:line="324" w:lineRule="auto"/>
              <w:jc w:val="center"/>
              <w:rPr>
                <w:rFonts w:ascii="Times New Roman" w:hAnsi="Times New Roman" w:cs="Times New Roman"/>
                <w:color w:val="auto"/>
                <w:szCs w:val="21"/>
              </w:rPr>
            </w:pPr>
          </w:p>
        </w:tc>
        <w:tc>
          <w:tcPr>
            <w:tcW w:w="617" w:type="dxa"/>
          </w:tcPr>
          <w:p w14:paraId="2925173F">
            <w:pPr>
              <w:pStyle w:val="25"/>
              <w:spacing w:line="324" w:lineRule="auto"/>
              <w:jc w:val="center"/>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w:t>
            </w:r>
          </w:p>
        </w:tc>
        <w:tc>
          <w:tcPr>
            <w:tcW w:w="1116" w:type="dxa"/>
          </w:tcPr>
          <w:p w14:paraId="4F561B24">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履约期限</w:t>
            </w:r>
          </w:p>
        </w:tc>
        <w:tc>
          <w:tcPr>
            <w:tcW w:w="7279" w:type="dxa"/>
          </w:tcPr>
          <w:p w14:paraId="695FCF09">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合同履行期限：</w:t>
            </w:r>
            <w:r>
              <w:rPr>
                <w:rFonts w:ascii="Times New Roman" w:hAnsi="Times New Roman" w:cs="Times New Roman"/>
                <w:color w:val="auto"/>
                <w:sz w:val="21"/>
                <w:szCs w:val="21"/>
                <w:lang w:eastAsia="zh-CN"/>
              </w:rPr>
              <w:t>合同签订生效后约定的开始之日起1年，具体按合同约定的时间为准。</w:t>
            </w:r>
          </w:p>
        </w:tc>
      </w:tr>
      <w:tr w14:paraId="36560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0004D4EC">
            <w:pPr>
              <w:spacing w:line="324" w:lineRule="auto"/>
              <w:jc w:val="center"/>
              <w:rPr>
                <w:rFonts w:ascii="Times New Roman" w:hAnsi="Times New Roman" w:cs="Times New Roman"/>
                <w:color w:val="auto"/>
                <w:szCs w:val="21"/>
              </w:rPr>
            </w:pPr>
          </w:p>
        </w:tc>
        <w:tc>
          <w:tcPr>
            <w:tcW w:w="617" w:type="dxa"/>
          </w:tcPr>
          <w:p w14:paraId="0FF553A8">
            <w:pPr>
              <w:pStyle w:val="25"/>
              <w:spacing w:line="324" w:lineRule="auto"/>
              <w:jc w:val="center"/>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w:t>
            </w:r>
          </w:p>
        </w:tc>
        <w:tc>
          <w:tcPr>
            <w:tcW w:w="1116" w:type="dxa"/>
          </w:tcPr>
          <w:p w14:paraId="623993F5">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违约责任</w:t>
            </w:r>
          </w:p>
        </w:tc>
        <w:tc>
          <w:tcPr>
            <w:tcW w:w="7279" w:type="dxa"/>
          </w:tcPr>
          <w:p w14:paraId="6D284BE9">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响应供应商所提供的服务质量、拟投入人员不符合采购文件、项目需求书、投标承诺及合同规定的，应向采购人支付合同总金额5%的违约金，且由响应供应商负贵按照原采购文件、项目需求书、更正公告内容和质疑答疑文件（若有）、报价文件、中标(成交)通知书等实质性内容重新免费提供该项目服务内容。响应供应商重新提供该项目服务内容仍不符合合同约定的，采购人有权单方通知解除合同，响应供应商应承担合同总额5%的违约金，并赔偿采购人因此而发生的损失(包括但不限于直接经济损失、间接经济损失、律师费、差旅费、鉴定费、保全费等)。</w:t>
            </w:r>
          </w:p>
          <w:p w14:paraId="742294AB">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2、本项目如发生响应供应商应付违约金的情形，均为采购人可从未付款项中扣除，或要求响应供应商另行支付。</w:t>
            </w:r>
          </w:p>
          <w:p w14:paraId="491C72B5">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响应供应商为履行本合同义务所形成的所有服务成果的知识产权归采购人所有(履行本合同所涉及的内容如须获得授权，响应供应商承诺该投权在采购人使用的全期间内，均为有权合法免费使用)。响应供应商不得在未征求采购人书面同意的情况下使用或者授权他人使用本合同项下的成果及相关信息(除为了履行本合同以外)，否则相关收益归采购人所有，响应供应商应另向采购人承担相应责任及违约责任(违约金标准:合同总额5%)，并赔偿采购人全部损失(包括但不限于直接经济损失、间接经济损失、律师费、差旅费、鉴定费、保全费等)。</w:t>
            </w:r>
          </w:p>
          <w:p w14:paraId="31672429">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响应供应商保证向采购人提供的服务成果是其独立实施完成，不存在任何侵犯第三方专利权、商标权、著作权等合法权益的情形。如因响应供应商提供的服务成果侵犯任何第三方的合法权益，导致该第三方追究采购人责任的，响应供应商应负责解决并赔偿因此给采购人造成的全部损失，包括且不限于采购人因此支出的律师费、诉讼费、执行费、差旅费等，另应额外向采购人支付本合同总金额10%的违约金。</w:t>
            </w:r>
          </w:p>
          <w:p w14:paraId="6DD67F6E">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5、响应供应商不得外包、分包、部分或全部转让本合同项下的合同义务。响应供应商派出员工作为本项目的负责人，该负责人必须作为本项目的主要工作人员实际参与本项目，负贵沟通及协调本合同的相关履行事宜。同时响应供应商应为履行本合同义务的人员购买相关的商业保险，如响应供应商的人员发生任何人身伤亡、财产损失等，均由响应供应商自行承担，如导致采购人损失的，响应供应商应赔偿。</w:t>
            </w:r>
          </w:p>
          <w:p w14:paraId="6A994414">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6、无正当理由，采购人违反合同规定拒绝接受响应供应商提供的服务的，应当承担由此对响应供应商造成的损失。</w:t>
            </w:r>
          </w:p>
          <w:p w14:paraId="3415D6E2">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7、对于满足合同约定支付条件的，采购人应当自收到发票后14 个工作日内启动资金支付流程。付款时间为采购人向政府采购支付部门]提出支付申请的时间，不含政府财政支付部门审查的时间，如因政府财政支付流程导致的支付延期，采购人不承担责任。</w:t>
            </w:r>
          </w:p>
          <w:p w14:paraId="5F53A3C7">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8、对于因采购人原因导致变更、中止或者终止政府采购合同的，采购人应当依照合同约定对响应供应商受到的损失予以等价赔偿或者补偿。</w:t>
            </w:r>
          </w:p>
          <w:p w14:paraId="7FDAEEF1">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9</w:t>
            </w: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其它违约责任按</w:t>
            </w:r>
            <w:r>
              <w:rPr>
                <w:rFonts w:ascii="Times New Roman" w:hAnsi="Times New Roman" w:cs="Times New Roman"/>
                <w:color w:val="auto"/>
                <w:sz w:val="21"/>
                <w:szCs w:val="21"/>
                <w:lang w:eastAsia="zh-CN"/>
              </w:rPr>
              <w:t>《中</w:t>
            </w:r>
            <w:r>
              <w:rPr>
                <w:rFonts w:hint="default" w:ascii="Times New Roman" w:hAnsi="Times New Roman" w:cs="Times New Roman"/>
                <w:color w:val="auto"/>
                <w:sz w:val="21"/>
                <w:szCs w:val="21"/>
                <w:lang w:eastAsia="zh-CN"/>
              </w:rPr>
              <w:t>华人民共和国民法典</w:t>
            </w:r>
            <w:r>
              <w:rPr>
                <w:rFonts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处理。</w:t>
            </w:r>
          </w:p>
        </w:tc>
      </w:tr>
      <w:tr w14:paraId="08B78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7" w:type="dxa"/>
            <w:gridSpan w:val="2"/>
            <w:vAlign w:val="center"/>
          </w:tcPr>
          <w:p w14:paraId="68D1BDC6">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说明</w:t>
            </w:r>
          </w:p>
        </w:tc>
        <w:tc>
          <w:tcPr>
            <w:tcW w:w="8395" w:type="dxa"/>
            <w:gridSpan w:val="2"/>
          </w:tcPr>
          <w:p w14:paraId="204044DF">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 xml:space="preserve">打“★”号条款为实质性条款，若有任何一条负偏离或不满足则导致投标（响应）无效。 </w:t>
            </w:r>
          </w:p>
          <w:p w14:paraId="030598E0">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打“▲”号条款为重要参数（如有），若有部分“▲”条款未响应或不满足，将根据评审要求影响其得分，但不作为无效投标（响应）条款。</w:t>
            </w:r>
          </w:p>
        </w:tc>
      </w:tr>
    </w:tbl>
    <w:p w14:paraId="582F86E7">
      <w:pPr>
        <w:pStyle w:val="25"/>
        <w:spacing w:line="324" w:lineRule="auto"/>
        <w:outlineLvl w:val="1"/>
        <w:rPr>
          <w:rFonts w:hint="default" w:ascii="Times New Roman" w:hAnsi="Times New Roman" w:cs="Times New Roman"/>
          <w:b/>
          <w:color w:val="auto"/>
          <w:sz w:val="24"/>
          <w:szCs w:val="24"/>
          <w:lang w:eastAsia="zh-CN"/>
        </w:rPr>
      </w:pPr>
      <w:bookmarkStart w:id="15" w:name="_Toc4684"/>
    </w:p>
    <w:p w14:paraId="5079E72B">
      <w:pPr>
        <w:spacing w:line="324" w:lineRule="auto"/>
        <w:rPr>
          <w:rFonts w:ascii="Times New Roman" w:hAnsi="Times New Roman" w:cs="Times New Roman"/>
          <w:b/>
          <w:color w:val="auto"/>
          <w:sz w:val="24"/>
        </w:rPr>
      </w:pPr>
      <w:r>
        <w:rPr>
          <w:rFonts w:ascii="Times New Roman" w:hAnsi="Times New Roman" w:cs="Times New Roman"/>
          <w:b/>
          <w:color w:val="auto"/>
          <w:sz w:val="24"/>
        </w:rPr>
        <w:br w:type="page"/>
      </w:r>
    </w:p>
    <w:p w14:paraId="21380CD0">
      <w:pPr>
        <w:pStyle w:val="25"/>
        <w:spacing w:line="324" w:lineRule="auto"/>
        <w:outlineLvl w:val="1"/>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四、技术标准与要求</w:t>
      </w:r>
      <w:bookmarkEnd w:id="15"/>
    </w:p>
    <w:tbl>
      <w:tblPr>
        <w:tblStyle w:val="21"/>
        <w:tblW w:w="9667" w:type="dxa"/>
        <w:tblInd w:w="-2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1"/>
        <w:gridCol w:w="1276"/>
        <w:gridCol w:w="1584"/>
        <w:gridCol w:w="641"/>
        <w:gridCol w:w="689"/>
        <w:gridCol w:w="1319"/>
        <w:gridCol w:w="1319"/>
        <w:gridCol w:w="873"/>
        <w:gridCol w:w="1095"/>
      </w:tblGrid>
      <w:tr w14:paraId="61603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 w:hRule="atLeast"/>
        </w:trPr>
        <w:tc>
          <w:tcPr>
            <w:tcW w:w="891" w:type="dxa"/>
            <w:vAlign w:val="center"/>
          </w:tcPr>
          <w:p w14:paraId="629632E0">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313" w:type="dxa"/>
            <w:vAlign w:val="center"/>
          </w:tcPr>
          <w:p w14:paraId="199361AA">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品目名称</w:t>
            </w:r>
          </w:p>
        </w:tc>
        <w:tc>
          <w:tcPr>
            <w:tcW w:w="1626" w:type="dxa"/>
            <w:vAlign w:val="center"/>
          </w:tcPr>
          <w:p w14:paraId="66C77CE5">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标的名称</w:t>
            </w:r>
          </w:p>
        </w:tc>
        <w:tc>
          <w:tcPr>
            <w:tcW w:w="650" w:type="dxa"/>
            <w:vAlign w:val="center"/>
          </w:tcPr>
          <w:p w14:paraId="58275104">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w:t>
            </w:r>
          </w:p>
        </w:tc>
        <w:tc>
          <w:tcPr>
            <w:tcW w:w="701" w:type="dxa"/>
            <w:vAlign w:val="center"/>
          </w:tcPr>
          <w:p w14:paraId="21CB9E37">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p>
        </w:tc>
        <w:tc>
          <w:tcPr>
            <w:tcW w:w="1235" w:type="dxa"/>
            <w:vAlign w:val="center"/>
          </w:tcPr>
          <w:p w14:paraId="6E660B69">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分项预算单价（元）</w:t>
            </w:r>
          </w:p>
        </w:tc>
        <w:tc>
          <w:tcPr>
            <w:tcW w:w="1235" w:type="dxa"/>
            <w:vAlign w:val="center"/>
          </w:tcPr>
          <w:p w14:paraId="2BB3BFDF">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分项预算总价（元）</w:t>
            </w:r>
          </w:p>
        </w:tc>
        <w:tc>
          <w:tcPr>
            <w:tcW w:w="893" w:type="dxa"/>
            <w:vAlign w:val="center"/>
          </w:tcPr>
          <w:p w14:paraId="245D8E1D">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所属行业</w:t>
            </w:r>
          </w:p>
        </w:tc>
        <w:tc>
          <w:tcPr>
            <w:tcW w:w="1123" w:type="dxa"/>
            <w:vAlign w:val="center"/>
          </w:tcPr>
          <w:p w14:paraId="1197773D">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技术要求</w:t>
            </w:r>
          </w:p>
        </w:tc>
      </w:tr>
      <w:tr w14:paraId="48DC3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5" w:hRule="atLeast"/>
        </w:trPr>
        <w:tc>
          <w:tcPr>
            <w:tcW w:w="891" w:type="dxa"/>
            <w:vAlign w:val="center"/>
          </w:tcPr>
          <w:p w14:paraId="527C5569">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13" w:type="dxa"/>
            <w:vAlign w:val="center"/>
          </w:tcPr>
          <w:p w14:paraId="446D65A2">
            <w:pPr>
              <w:pStyle w:val="25"/>
              <w:spacing w:line="324" w:lineRule="auto"/>
              <w:jc w:val="center"/>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其他服务</w:t>
            </w:r>
          </w:p>
        </w:tc>
        <w:tc>
          <w:tcPr>
            <w:tcW w:w="1626" w:type="dxa"/>
            <w:vAlign w:val="center"/>
          </w:tcPr>
          <w:p w14:paraId="2AE5CDFD">
            <w:pPr>
              <w:pStyle w:val="25"/>
              <w:spacing w:line="324" w:lineRule="auto"/>
              <w:jc w:val="center"/>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佛山市消防救援支队2024年全媒体中心驻点服务项目</w:t>
            </w:r>
          </w:p>
        </w:tc>
        <w:tc>
          <w:tcPr>
            <w:tcW w:w="650" w:type="dxa"/>
            <w:vAlign w:val="center"/>
          </w:tcPr>
          <w:p w14:paraId="0E4FB64D">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w:t>
            </w:r>
          </w:p>
        </w:tc>
        <w:tc>
          <w:tcPr>
            <w:tcW w:w="701" w:type="dxa"/>
            <w:vAlign w:val="center"/>
          </w:tcPr>
          <w:p w14:paraId="7C7B05DF">
            <w:pPr>
              <w:pStyle w:val="25"/>
              <w:spacing w:line="324" w:lineRule="auto"/>
              <w:jc w:val="center"/>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p>
        </w:tc>
        <w:tc>
          <w:tcPr>
            <w:tcW w:w="1235" w:type="dxa"/>
            <w:vAlign w:val="center"/>
          </w:tcPr>
          <w:p w14:paraId="7D86704D">
            <w:pPr>
              <w:pStyle w:val="25"/>
              <w:spacing w:line="324" w:lineRule="auto"/>
              <w:jc w:val="center"/>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1,820,000.00</w:t>
            </w:r>
          </w:p>
        </w:tc>
        <w:tc>
          <w:tcPr>
            <w:tcW w:w="1235" w:type="dxa"/>
            <w:vAlign w:val="center"/>
          </w:tcPr>
          <w:p w14:paraId="6C8825E8">
            <w:pPr>
              <w:pStyle w:val="25"/>
              <w:spacing w:line="324" w:lineRule="auto"/>
              <w:jc w:val="center"/>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1,820,000.00</w:t>
            </w:r>
          </w:p>
        </w:tc>
        <w:tc>
          <w:tcPr>
            <w:tcW w:w="893" w:type="dxa"/>
            <w:vAlign w:val="center"/>
          </w:tcPr>
          <w:p w14:paraId="748D6247">
            <w:pPr>
              <w:pStyle w:val="25"/>
              <w:spacing w:line="324" w:lineRule="auto"/>
              <w:jc w:val="center"/>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其他未列明行业</w:t>
            </w:r>
          </w:p>
        </w:tc>
        <w:tc>
          <w:tcPr>
            <w:tcW w:w="1123" w:type="dxa"/>
            <w:vAlign w:val="center"/>
          </w:tcPr>
          <w:p w14:paraId="61CD2DB8">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详见附表一</w:t>
            </w:r>
          </w:p>
        </w:tc>
      </w:tr>
    </w:tbl>
    <w:p w14:paraId="12612C71">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b/>
          <w:color w:val="auto"/>
          <w:sz w:val="21"/>
          <w:szCs w:val="21"/>
        </w:rPr>
        <w:t>附表一：</w:t>
      </w:r>
    </w:p>
    <w:tbl>
      <w:tblPr>
        <w:tblStyle w:val="21"/>
        <w:tblW w:w="9683" w:type="dxa"/>
        <w:tblInd w:w="-22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6"/>
        <w:gridCol w:w="500"/>
        <w:gridCol w:w="8297"/>
      </w:tblGrid>
      <w:tr w14:paraId="2D78F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vAlign w:val="center"/>
          </w:tcPr>
          <w:p w14:paraId="4E67B4AF">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参数性质</w:t>
            </w:r>
          </w:p>
        </w:tc>
        <w:tc>
          <w:tcPr>
            <w:tcW w:w="500" w:type="dxa"/>
            <w:vAlign w:val="center"/>
          </w:tcPr>
          <w:p w14:paraId="0C32893F">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8297" w:type="dxa"/>
            <w:vAlign w:val="center"/>
          </w:tcPr>
          <w:p w14:paraId="1647A954">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具体技术(参数)要求</w:t>
            </w:r>
          </w:p>
        </w:tc>
      </w:tr>
      <w:tr w14:paraId="5D919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7298FAC8">
            <w:pPr>
              <w:spacing w:line="324" w:lineRule="auto"/>
              <w:jc w:val="center"/>
              <w:rPr>
                <w:rFonts w:ascii="Times New Roman" w:hAnsi="Times New Roman" w:cs="Times New Roman"/>
                <w:color w:val="auto"/>
                <w:szCs w:val="21"/>
              </w:rPr>
            </w:pPr>
          </w:p>
        </w:tc>
        <w:tc>
          <w:tcPr>
            <w:tcW w:w="500" w:type="dxa"/>
          </w:tcPr>
          <w:p w14:paraId="3CB61488">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297" w:type="dxa"/>
          </w:tcPr>
          <w:p w14:paraId="0F9B830C">
            <w:pPr>
              <w:adjustRightInd w:val="0"/>
              <w:snapToGrid w:val="0"/>
              <w:spacing w:line="324" w:lineRule="auto"/>
              <w:jc w:val="left"/>
              <w:rPr>
                <w:rFonts w:ascii="Times New Roman" w:hAnsi="Times New Roman" w:cs="Times New Roman"/>
                <w:b/>
                <w:bCs/>
                <w:color w:val="auto"/>
                <w:kern w:val="0"/>
                <w:szCs w:val="21"/>
              </w:rPr>
            </w:pPr>
            <w:r>
              <w:rPr>
                <w:rFonts w:hint="eastAsia" w:ascii="Times New Roman" w:hAnsi="Times New Roman" w:cs="Times New Roman"/>
                <w:b/>
                <w:bCs/>
                <w:color w:val="auto"/>
                <w:kern w:val="0"/>
                <w:szCs w:val="21"/>
              </w:rPr>
              <w:t>开展策划工作</w:t>
            </w:r>
          </w:p>
          <w:p w14:paraId="250A98B5">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★1、服务期限内，每月策划文稿和视频，全年原创稿件不少于400条，其中至少16篇符合中央媒体稿件标准、28篇符合省级标准、80篇以上符合市级标准要求。</w:t>
            </w:r>
            <w:r>
              <w:rPr>
                <w:rFonts w:hint="eastAsia" w:ascii="宋体" w:hAnsi="宋体" w:cs="宋体"/>
                <w:b/>
                <w:bCs/>
                <w:color w:val="auto"/>
                <w:szCs w:val="21"/>
              </w:rPr>
              <w:t>（需提供承诺函，格式自拟）</w:t>
            </w:r>
          </w:p>
          <w:p w14:paraId="306E2183">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2、策划撰写符合中央、省级媒体刊播标准的反映消防救援队伍正面宣传的稿件。服务期限内，策划符合广东卫视频道2分钟以上专题、省市级传统媒体标准的策划案不少于6条（篇）。</w:t>
            </w:r>
          </w:p>
          <w:p w14:paraId="585C1594">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3、负责策划和协助拍摄网络直播12次、火灾隐患曝光12次、虚拟演播室访谈6次以上。</w:t>
            </w:r>
          </w:p>
          <w:p w14:paraId="248FF130">
            <w:pPr>
              <w:spacing w:line="324" w:lineRule="auto"/>
              <w:ind w:firstLine="420" w:firstLineChars="200"/>
              <w:outlineLvl w:val="2"/>
              <w:rPr>
                <w:rFonts w:ascii="Times New Roman" w:hAnsi="Times New Roman" w:cs="Times New Roman"/>
                <w:color w:val="auto"/>
                <w:szCs w:val="21"/>
              </w:rPr>
            </w:pPr>
            <w:r>
              <w:rPr>
                <w:rFonts w:hint="eastAsia" w:ascii="宋体" w:hAnsi="宋体" w:cs="宋体"/>
                <w:color w:val="auto"/>
                <w:szCs w:val="21"/>
              </w:rPr>
              <w:t>4、协助准备支队新闻发布会、通气会相关宣传活动，组织不少于2次媒体联谊活动、每次不少于5家媒体。</w:t>
            </w:r>
          </w:p>
        </w:tc>
      </w:tr>
      <w:tr w14:paraId="27A1A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78C24D72">
            <w:pPr>
              <w:spacing w:line="324" w:lineRule="auto"/>
              <w:jc w:val="center"/>
              <w:rPr>
                <w:rFonts w:ascii="Times New Roman" w:hAnsi="Times New Roman" w:cs="Times New Roman"/>
                <w:color w:val="auto"/>
                <w:szCs w:val="21"/>
              </w:rPr>
            </w:pPr>
          </w:p>
        </w:tc>
        <w:tc>
          <w:tcPr>
            <w:tcW w:w="500" w:type="dxa"/>
          </w:tcPr>
          <w:p w14:paraId="0F6FC830">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w:t>
            </w:r>
          </w:p>
        </w:tc>
        <w:tc>
          <w:tcPr>
            <w:tcW w:w="8297" w:type="dxa"/>
          </w:tcPr>
          <w:p w14:paraId="4BB98F59">
            <w:pPr>
              <w:adjustRightInd w:val="0"/>
              <w:snapToGrid w:val="0"/>
              <w:spacing w:line="324" w:lineRule="auto"/>
              <w:jc w:val="left"/>
              <w:rPr>
                <w:rFonts w:ascii="Times New Roman" w:hAnsi="Times New Roman" w:cs="Times New Roman"/>
                <w:b/>
                <w:bCs/>
                <w:color w:val="auto"/>
                <w:kern w:val="0"/>
                <w:szCs w:val="21"/>
              </w:rPr>
            </w:pPr>
            <w:r>
              <w:rPr>
                <w:rFonts w:hint="eastAsia" w:ascii="Times New Roman" w:hAnsi="Times New Roman" w:cs="Times New Roman"/>
                <w:b/>
                <w:bCs/>
                <w:color w:val="auto"/>
                <w:kern w:val="0"/>
                <w:szCs w:val="21"/>
              </w:rPr>
              <w:t>新媒体账号内容制作工作</w:t>
            </w:r>
          </w:p>
          <w:p w14:paraId="6E40C03F">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1、辅助执行佛山消防微信公众号、微博、今日头条、抖音、快手、微信视频号等新媒体平台内容制作，完成原创量和各账号的KPI指数。策划设计新媒体海报不少于240张。</w:t>
            </w:r>
          </w:p>
          <w:p w14:paraId="3D8E89A3">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2、微信公众号每周策划制作原创稿件不低于3篇，全年产出原创文稿不低于180篇、工作日每天发布稿件不低于3篇；首条推文平均阅读量不低于6000、每2个月以图文漫画形式的首条推文量不低于1条；今日头条工作日制作稿件不少于10篇（其中包含原创数量不低于2篇）、全年制作稿件不低于2500篇；微博每日制作稿件不低于30篇（其中包含原创数量不低于10%）、全年制作微博稿件数量不低于6000篇、每月阅读量150万+；短视频（抖音、快手、视频号）每月制作稿不低于80篇（其中包含原创视频数量不少于20条）且内容要满足不同平台调性需求、全年制作视频数量不低于600条；服务周期内，全网络曝光量6亿次，全平台粉丝增长15万（现六大平台粉丝量：XXX万）。消防安全宣传、节假日、消防相关活动等H5制作每2个月不少于1条。</w:t>
            </w:r>
          </w:p>
          <w:p w14:paraId="7747F381">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3、每日制作微博篇数30条次以上，其中制作符合消防业务主题的原创微博数量不低于10%，包括全省抢险救援动态、消防知识科普相关、消防监督检查相关、消防形象宣传相关、应急宣传相关以及重要时间节点的消防宣传策划。不蹭非消防宣传公益使者相关的明星和娱乐话题，不发泛娱乐化、敏感性内容，日均阅读量20万以上，月均阅读量150万+。</w:t>
            </w:r>
          </w:p>
          <w:p w14:paraId="30BE303D">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4、协助支队与新浪建立良好通联关系，特别与新浪广东开展协作，策划佛山消防形象宣传、热点话题联动、公益宣传等热点事件。密切与各类中央、省级微博政务大v的联系协作，推送重大热点事件、形象宣传相关博文时与南方日报等省级媒体和广东共青团、广东天气等省内微博政务大V进行互动，有效提高关注度和影响力。借助重要时间节点、重大救援行动进行宣传报道，打造好佛山消防自媒体宣传阵地。</w:t>
            </w:r>
          </w:p>
          <w:p w14:paraId="262B61AA">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5、每日协助收集整理各区消防救援队伍上报的抢险救援动态、形象宣传、消防科普等素材，并进行编辑推送，包括挖掘抢险救援动态中的感人事迹、重大时间节点的火焰蓝形象宣传、结合社会热点推送相关消防科普知识。指导5支区级消防大队和特勤大队做好日常新闻采编工作，包括：及时传达部局、总队及支队的转发通知；及时传达微信公众号运营团队对消防宣传工作提出的要求和建议；及时传达总队、支队要求下发的消防员招录、政策文件公告、全市演练直播等相关宣传任务；积极与各大队联系协作，每月推动支队策划消防线上活动、形象宣传联动事例不低于1次。</w:t>
            </w:r>
          </w:p>
          <w:p w14:paraId="5BBB7141">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6、协助整理佛山消防各媒体平台粉丝的相关事宜：建立微博、微信、抖音和快手平台粉丝群，每天定期与粉丝互动，包括宣传消防安全、组织每日答题、解答网友的疑难疑问等，提高粉丝黏性，完成线上线下的整合，实现与粉丝全域、全场景、全周期互动，建立佛山消防形象；在粉丝群日常互动送礼品、消防知识有奖答题、寒暑假（节日）转发互动抽奖等；每日制作早安、晚安信息，与粉丝互动打卡，增强交流热度；在微博上每日主动与网友互动，加强与省内、佛山本地个人账号大V的联系协作，主动关注正能量的大V账号并就消防宣传进行联系协作，通过内容转发、话题互动、形象宣传等方式参与互动。</w:t>
            </w:r>
          </w:p>
          <w:p w14:paraId="09046CCD">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7、微信、微博、今日头条、抖音、快手、微信号等账号，每月一次整体账号运营情况分析报告。年度输出不低于6个汇报PPT。微信公众号每月阅读量应在15万以上，平均阅读数超5000。协助与各类中央、省级政务大V的联系协作，每月制作在中央级微信号发布文章1篇、省级微信号发布文章不少于2篇。在元旦、春节、中秋、国庆等重要时间节点、重大救援行动中进行宣传报道相关内容的拍摄和制作，每季度策划塑造“火焰蓝”崭新面貌的相关新闻。</w:t>
            </w:r>
          </w:p>
          <w:p w14:paraId="61AC78FF">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8、每日收集整理各大队提报的灭火救援素材，筛选有宣传点、新闻性素材，并根据素材制作文字内容和视频内容符合支队选择内容向各大宣传平台发布并向中央级与省级媒体投稿稿件；及时编辑制作全市消防救援队伍工作动态的相关博文，并统计每月各大队原创内容发布情况；指导5个区级消防大队和特勤大队的日常新闻采编工作。</w:t>
            </w:r>
          </w:p>
          <w:p w14:paraId="5EFE2A21">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9、负责整理粉丝数据，每季度策划一次线上或线下的粉丝互动活动。</w:t>
            </w:r>
          </w:p>
          <w:p w14:paraId="0F42EA05">
            <w:pPr>
              <w:spacing w:line="324" w:lineRule="auto"/>
              <w:ind w:firstLine="420" w:firstLineChars="200"/>
              <w:outlineLvl w:val="2"/>
              <w:rPr>
                <w:rFonts w:ascii="Times New Roman" w:hAnsi="Times New Roman" w:cs="Times New Roman"/>
                <w:color w:val="auto"/>
                <w:szCs w:val="21"/>
              </w:rPr>
            </w:pPr>
            <w:r>
              <w:rPr>
                <w:rFonts w:hint="eastAsia" w:ascii="宋体" w:hAnsi="宋体" w:cs="宋体"/>
                <w:color w:val="auto"/>
                <w:szCs w:val="21"/>
              </w:rPr>
              <w:t>10、负责支队认证消防政务新媒体账号的管理工作，收集整理各大队认证消防政务新媒体账号的数据工作，负责支队每月媒体数据的收集整理工作。</w:t>
            </w:r>
          </w:p>
        </w:tc>
      </w:tr>
      <w:tr w14:paraId="04204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34481BBF">
            <w:pPr>
              <w:spacing w:line="324" w:lineRule="auto"/>
              <w:jc w:val="center"/>
              <w:rPr>
                <w:rFonts w:ascii="Times New Roman" w:hAnsi="Times New Roman" w:cs="Times New Roman"/>
                <w:color w:val="auto"/>
                <w:szCs w:val="21"/>
              </w:rPr>
            </w:pPr>
          </w:p>
        </w:tc>
        <w:tc>
          <w:tcPr>
            <w:tcW w:w="500" w:type="dxa"/>
          </w:tcPr>
          <w:p w14:paraId="26AA9E33">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w:t>
            </w:r>
          </w:p>
        </w:tc>
        <w:tc>
          <w:tcPr>
            <w:tcW w:w="8297" w:type="dxa"/>
          </w:tcPr>
          <w:p w14:paraId="0C0D5F63">
            <w:pPr>
              <w:pStyle w:val="25"/>
              <w:spacing w:line="324" w:lineRule="auto"/>
              <w:jc w:val="both"/>
              <w:rPr>
                <w:rFonts w:hint="default"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消防文创创作工作</w:t>
            </w:r>
          </w:p>
          <w:p w14:paraId="3D38353A">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1、完成海报、平面设计工作。并将成品海报投放于各大综合体、商场、地铁等公共区域进行展示。每年完成印刷类海报设计10张，可完成新媒体海报240张以上，根据需要完成所有平台平面设计、LOGO设计工作，完成119消防日摄影展设计工作。各种视频、短视频的制作、包装、编辑工作。主要是20秒以内的短视频，由各自平台提前提出拍摄需求、线索或素材。</w:t>
            </w:r>
          </w:p>
          <w:p w14:paraId="6DAC4B41">
            <w:pPr>
              <w:spacing w:line="324" w:lineRule="auto"/>
              <w:ind w:firstLine="420" w:firstLineChars="200"/>
              <w:outlineLvl w:val="2"/>
              <w:rPr>
                <w:rFonts w:ascii="Times New Roman" w:hAnsi="Times New Roman" w:cs="Times New Roman"/>
                <w:b/>
                <w:bCs/>
                <w:color w:val="auto"/>
                <w:kern w:val="0"/>
                <w:szCs w:val="21"/>
              </w:rPr>
            </w:pPr>
            <w:r>
              <w:rPr>
                <w:rFonts w:hint="eastAsia" w:ascii="宋体" w:hAnsi="宋体" w:cs="宋体"/>
                <w:color w:val="auto"/>
                <w:szCs w:val="21"/>
              </w:rPr>
              <w:t>2、定期制作以“消防”为主题的文创产品，精准把握文化与消防的内涵，将文化产品与消防宣传相结合，转化为现代生活中极具创意和实用价值的产品，如“红蓝”徽章、消防版画、消防书签、“火焰蓝”布袋等。并将文创产品通过线上线下的宣传活动形式送到群众的手上，将消防精神、消防知识和消防理念传递开来。</w:t>
            </w:r>
          </w:p>
        </w:tc>
      </w:tr>
      <w:tr w14:paraId="1FFF8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744F7485">
            <w:pPr>
              <w:spacing w:line="324" w:lineRule="auto"/>
              <w:jc w:val="center"/>
              <w:rPr>
                <w:rFonts w:ascii="Times New Roman" w:hAnsi="Times New Roman" w:cs="Times New Roman"/>
                <w:color w:val="auto"/>
                <w:szCs w:val="21"/>
              </w:rPr>
            </w:pPr>
          </w:p>
        </w:tc>
        <w:tc>
          <w:tcPr>
            <w:tcW w:w="500" w:type="dxa"/>
          </w:tcPr>
          <w:p w14:paraId="694EC6A7">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w:t>
            </w:r>
          </w:p>
        </w:tc>
        <w:tc>
          <w:tcPr>
            <w:tcW w:w="8297" w:type="dxa"/>
          </w:tcPr>
          <w:p w14:paraId="75558931">
            <w:pPr>
              <w:pStyle w:val="25"/>
              <w:spacing w:line="324" w:lineRule="auto"/>
              <w:jc w:val="both"/>
              <w:rPr>
                <w:rFonts w:hint="default"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摄影、摄像工作</w:t>
            </w:r>
          </w:p>
          <w:p w14:paraId="49E2A3B9">
            <w:pPr>
              <w:adjustRightInd w:val="0"/>
              <w:snapToGrid w:val="0"/>
              <w:spacing w:line="324" w:lineRule="auto"/>
              <w:jc w:val="left"/>
              <w:rPr>
                <w:rFonts w:hint="eastAsia" w:ascii="宋体" w:hAnsi="宋体" w:cs="宋体"/>
                <w:color w:val="auto"/>
                <w:szCs w:val="21"/>
              </w:rPr>
            </w:pPr>
            <w:r>
              <w:rPr>
                <w:rFonts w:hint="eastAsia" w:ascii="宋体" w:hAnsi="宋体" w:cs="宋体"/>
                <w:color w:val="auto"/>
                <w:szCs w:val="21"/>
              </w:rPr>
              <w:t>1、负责佛山市消防救援支队参加的省级、市级层面的会议和重大活动新闻宣传活动的摄影摄像工作，集训出动、参与应急救援现场、消防隐患暗访、实战演练、外勤等的摄影摄像工作，服务团队至少保障活动拍摄有2个机位。另外摄制人员中需有至少1名人员有驾照，由成交供应商负责保障出行。</w:t>
            </w:r>
          </w:p>
          <w:p w14:paraId="2C8D89E1">
            <w:pPr>
              <w:adjustRightInd w:val="0"/>
              <w:snapToGrid w:val="0"/>
              <w:spacing w:line="324" w:lineRule="auto"/>
              <w:jc w:val="left"/>
              <w:rPr>
                <w:rFonts w:hint="eastAsia" w:ascii="宋体" w:hAnsi="宋体" w:cs="宋体"/>
                <w:color w:val="auto"/>
                <w:szCs w:val="21"/>
              </w:rPr>
            </w:pPr>
            <w:r>
              <w:rPr>
                <w:rFonts w:hint="eastAsia" w:ascii="宋体" w:hAnsi="宋体" w:cs="宋体"/>
                <w:color w:val="auto"/>
                <w:szCs w:val="21"/>
              </w:rPr>
              <w:t>2、负责整理支队所有新闻图片、视频，做好归档工作，将关于佛山市消防救援支队的所有新闻图片按照年月日会议标题命名备注，归档到媒资系统里，以便日后使用。</w:t>
            </w:r>
          </w:p>
          <w:p w14:paraId="51DF3D37">
            <w:pPr>
              <w:adjustRightInd w:val="0"/>
              <w:snapToGrid w:val="0"/>
              <w:spacing w:line="324" w:lineRule="auto"/>
              <w:jc w:val="left"/>
              <w:rPr>
                <w:rFonts w:hint="eastAsia" w:ascii="宋体" w:hAnsi="宋体" w:cs="宋体"/>
                <w:color w:val="auto"/>
                <w:szCs w:val="21"/>
              </w:rPr>
            </w:pPr>
            <w:r>
              <w:rPr>
                <w:rFonts w:hint="eastAsia" w:ascii="宋体" w:hAnsi="宋体" w:cs="宋体"/>
                <w:color w:val="auto"/>
                <w:szCs w:val="21"/>
              </w:rPr>
              <w:t>3、负责维护媒体资源管理系统。佛山市消防救援支队媒资系统和部局媒资系统要按规则录入，拍摄素材由主摄像摄影录入编目，其他平台成品由相应负责人录入编目，设置一位人员检查录入支队素材和维护部局系统的工作。</w:t>
            </w:r>
          </w:p>
          <w:p w14:paraId="32F1E390">
            <w:pPr>
              <w:adjustRightInd w:val="0"/>
              <w:snapToGrid w:val="0"/>
              <w:spacing w:line="324" w:lineRule="auto"/>
              <w:jc w:val="left"/>
              <w:rPr>
                <w:rFonts w:hint="eastAsia" w:ascii="宋体" w:hAnsi="宋体" w:cs="宋体"/>
                <w:color w:val="auto"/>
                <w:szCs w:val="21"/>
              </w:rPr>
            </w:pPr>
            <w:r>
              <w:rPr>
                <w:rFonts w:hint="eastAsia" w:ascii="宋体" w:hAnsi="宋体" w:cs="宋体"/>
                <w:color w:val="auto"/>
                <w:szCs w:val="21"/>
              </w:rPr>
              <w:t>4、指导协调各消防站拍摄视频、图片素材，同时为消防站提供急需素材。为各处室、支队制作图片展板、汇报片等提供图片素材。</w:t>
            </w:r>
          </w:p>
          <w:p w14:paraId="7668A766">
            <w:pPr>
              <w:pStyle w:val="25"/>
              <w:spacing w:line="324" w:lineRule="auto"/>
              <w:jc w:val="both"/>
              <w:rPr>
                <w:rFonts w:ascii="宋体" w:hAnsi="宋体" w:cs="宋体"/>
                <w:color w:val="auto"/>
                <w:kern w:val="2"/>
                <w:sz w:val="21"/>
                <w:szCs w:val="21"/>
                <w:lang w:eastAsia="zh-CN"/>
              </w:rPr>
            </w:pPr>
            <w:r>
              <w:rPr>
                <w:rFonts w:ascii="宋体" w:hAnsi="宋体" w:cs="宋体"/>
                <w:color w:val="auto"/>
                <w:kern w:val="2"/>
                <w:sz w:val="21"/>
                <w:szCs w:val="21"/>
                <w:lang w:eastAsia="zh-CN"/>
              </w:rPr>
              <w:t>5、协助开展社会化宣传活动，负责组织开展“全民消防学习云平台”、“消防志愿者服务平台”、“消防科普教育基地”等平台的运行维护工作。负责组织“五进”活动所需科普宣传产品的制作与开发工作。负责组织“三下乡”、中小学生消防安全教育日、防灾减灾日、安全生产月、科技宣传周、“119”消防宣传月、国际志愿者日、年度新媒体粉丝见面会等主题宣传活动。</w:t>
            </w:r>
          </w:p>
        </w:tc>
      </w:tr>
      <w:tr w14:paraId="232A5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1610B5C3">
            <w:pPr>
              <w:spacing w:line="324" w:lineRule="auto"/>
              <w:jc w:val="center"/>
              <w:rPr>
                <w:rFonts w:ascii="Times New Roman" w:hAnsi="Times New Roman" w:cs="Times New Roman"/>
                <w:color w:val="auto"/>
                <w:szCs w:val="21"/>
              </w:rPr>
            </w:pPr>
          </w:p>
        </w:tc>
        <w:tc>
          <w:tcPr>
            <w:tcW w:w="500" w:type="dxa"/>
          </w:tcPr>
          <w:p w14:paraId="7A4D9C2B">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5</w:t>
            </w:r>
          </w:p>
        </w:tc>
        <w:tc>
          <w:tcPr>
            <w:tcW w:w="8297" w:type="dxa"/>
          </w:tcPr>
          <w:p w14:paraId="5F2989D8">
            <w:pPr>
              <w:pStyle w:val="25"/>
              <w:spacing w:line="324" w:lineRule="auto"/>
              <w:jc w:val="both"/>
              <w:rPr>
                <w:rFonts w:hint="default"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舆情引导工作</w:t>
            </w:r>
          </w:p>
          <w:p w14:paraId="557E2F74">
            <w:pPr>
              <w:adjustRightInd w:val="0"/>
              <w:snapToGrid w:val="0"/>
              <w:spacing w:line="324" w:lineRule="auto"/>
              <w:ind w:firstLine="420" w:firstLineChars="200"/>
              <w:jc w:val="left"/>
              <w:rPr>
                <w:rFonts w:ascii="Times New Roman" w:hAnsi="Times New Roman" w:cs="Times New Roman"/>
                <w:b/>
                <w:bCs/>
                <w:color w:val="auto"/>
                <w:kern w:val="0"/>
                <w:szCs w:val="21"/>
              </w:rPr>
            </w:pPr>
            <w:r>
              <w:rPr>
                <w:rFonts w:hint="eastAsia" w:ascii="宋体" w:hAnsi="宋体" w:cs="宋体"/>
                <w:color w:val="auto"/>
                <w:szCs w:val="21"/>
              </w:rPr>
              <w:t>每周不少于2次舆情搜索统计，搜索平台包括：微博、微信公众号、微信群聊、微信朋友圈、抖音、快手、今日头条、豆瓣、百度贴吧等。如有重大舆情事件发生，迅速收集、整理该舆情信息（不少于500字）。舆情信息以图文形式提交给上级领导，待领导决策后，做出下一步信息发布计划。在新闻宣传处的领导下，协助联系各大媒体，结合佛山消防微信、微博、今日头条、抖音、快手、微信视频号等账号对舆情事件进行妥善的引导。每月不少于2次舆情分析总结，提高舆情分析、辨别能力。</w:t>
            </w:r>
          </w:p>
        </w:tc>
      </w:tr>
      <w:tr w14:paraId="4F6BD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7674C914">
            <w:pPr>
              <w:spacing w:line="324" w:lineRule="auto"/>
              <w:jc w:val="center"/>
              <w:rPr>
                <w:rFonts w:ascii="Times New Roman" w:hAnsi="Times New Roman" w:cs="Times New Roman"/>
                <w:color w:val="auto"/>
                <w:szCs w:val="21"/>
              </w:rPr>
            </w:pPr>
          </w:p>
        </w:tc>
        <w:tc>
          <w:tcPr>
            <w:tcW w:w="500" w:type="dxa"/>
          </w:tcPr>
          <w:p w14:paraId="1656BBE6">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6</w:t>
            </w:r>
          </w:p>
        </w:tc>
        <w:tc>
          <w:tcPr>
            <w:tcW w:w="8297" w:type="dxa"/>
          </w:tcPr>
          <w:p w14:paraId="3A0B2EB4">
            <w:pPr>
              <w:adjustRightInd w:val="0"/>
              <w:snapToGrid w:val="0"/>
              <w:spacing w:line="324" w:lineRule="auto"/>
              <w:jc w:val="left"/>
              <w:rPr>
                <w:rFonts w:ascii="Times New Roman" w:hAnsi="Times New Roman" w:cs="Times New Roman"/>
                <w:b/>
                <w:bCs/>
                <w:color w:val="auto"/>
                <w:kern w:val="0"/>
                <w:szCs w:val="21"/>
              </w:rPr>
            </w:pPr>
            <w:r>
              <w:rPr>
                <w:rFonts w:hint="eastAsia" w:ascii="Times New Roman" w:hAnsi="Times New Roman" w:cs="Times New Roman"/>
                <w:b/>
                <w:bCs/>
                <w:color w:val="auto"/>
                <w:kern w:val="0"/>
                <w:szCs w:val="21"/>
              </w:rPr>
              <w:t>应急宣传工作</w:t>
            </w:r>
          </w:p>
          <w:p w14:paraId="3DF9F349">
            <w:pPr>
              <w:pStyle w:val="9"/>
              <w:spacing w:line="324" w:lineRule="auto"/>
              <w:ind w:firstLine="420" w:firstLineChars="200"/>
              <w:rPr>
                <w:rFonts w:hint="eastAsia"/>
                <w:color w:val="auto"/>
              </w:rPr>
            </w:pPr>
            <w:r>
              <w:rPr>
                <w:rFonts w:hint="eastAsia" w:cs="宋体"/>
                <w:color w:val="auto"/>
                <w:kern w:val="2"/>
                <w:sz w:val="21"/>
              </w:rPr>
              <w:t>建立应急宣传机制，在火灾、台风、洪水等突发应急宣传工作需要时，组建快速反应的团队，打破日常工作的设置，集中人力资源和媒体资源的力量，做到有效快速反应。</w:t>
            </w:r>
          </w:p>
        </w:tc>
      </w:tr>
      <w:tr w14:paraId="11D7C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16E4FFFF">
            <w:pPr>
              <w:spacing w:line="324" w:lineRule="auto"/>
              <w:jc w:val="center"/>
              <w:rPr>
                <w:rFonts w:ascii="Times New Roman" w:hAnsi="Times New Roman" w:cs="Times New Roman"/>
                <w:color w:val="auto"/>
                <w:szCs w:val="21"/>
              </w:rPr>
            </w:pPr>
          </w:p>
        </w:tc>
        <w:tc>
          <w:tcPr>
            <w:tcW w:w="500" w:type="dxa"/>
          </w:tcPr>
          <w:p w14:paraId="59649694">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7</w:t>
            </w:r>
          </w:p>
        </w:tc>
        <w:tc>
          <w:tcPr>
            <w:tcW w:w="8297" w:type="dxa"/>
          </w:tcPr>
          <w:p w14:paraId="7EB9DE2F">
            <w:pPr>
              <w:adjustRightInd w:val="0"/>
              <w:snapToGrid w:val="0"/>
              <w:spacing w:line="324" w:lineRule="auto"/>
              <w:jc w:val="left"/>
              <w:rPr>
                <w:rFonts w:ascii="Times New Roman" w:hAnsi="Times New Roman" w:cs="Times New Roman"/>
                <w:b/>
                <w:bCs/>
                <w:color w:val="auto"/>
                <w:kern w:val="0"/>
                <w:szCs w:val="21"/>
              </w:rPr>
            </w:pPr>
            <w:r>
              <w:rPr>
                <w:rFonts w:hint="eastAsia" w:ascii="Times New Roman" w:hAnsi="Times New Roman" w:cs="Times New Roman"/>
                <w:b/>
                <w:bCs/>
                <w:color w:val="auto"/>
                <w:kern w:val="0"/>
                <w:szCs w:val="21"/>
              </w:rPr>
              <w:t>佛山消防传播矩阵建设工作</w:t>
            </w:r>
          </w:p>
          <w:p w14:paraId="32140754">
            <w:pPr>
              <w:pStyle w:val="9"/>
              <w:spacing w:line="324" w:lineRule="auto"/>
              <w:ind w:firstLine="420" w:firstLineChars="200"/>
              <w:rPr>
                <w:rFonts w:hint="eastAsia" w:eastAsia="微软雅黑 Light"/>
                <w:color w:val="auto"/>
              </w:rPr>
            </w:pPr>
            <w:r>
              <w:rPr>
                <w:rFonts w:hint="eastAsia" w:cs="宋体"/>
                <w:color w:val="auto"/>
                <w:kern w:val="2"/>
                <w:sz w:val="21"/>
              </w:rPr>
              <w:t>服务期限内大力策划具有佛山消防特色的专题活动，专题报道。</w:t>
            </w:r>
          </w:p>
        </w:tc>
      </w:tr>
      <w:tr w14:paraId="0F9E7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2C2DB331">
            <w:pPr>
              <w:spacing w:line="324" w:lineRule="auto"/>
              <w:jc w:val="center"/>
              <w:rPr>
                <w:rFonts w:ascii="Times New Roman" w:hAnsi="Times New Roman" w:cs="Times New Roman"/>
                <w:color w:val="auto"/>
                <w:szCs w:val="21"/>
              </w:rPr>
            </w:pPr>
          </w:p>
        </w:tc>
        <w:tc>
          <w:tcPr>
            <w:tcW w:w="500" w:type="dxa"/>
          </w:tcPr>
          <w:p w14:paraId="3F46CB09">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8</w:t>
            </w:r>
          </w:p>
        </w:tc>
        <w:tc>
          <w:tcPr>
            <w:tcW w:w="8297" w:type="dxa"/>
          </w:tcPr>
          <w:p w14:paraId="5ABEAA50">
            <w:pPr>
              <w:adjustRightInd w:val="0"/>
              <w:snapToGrid w:val="0"/>
              <w:spacing w:line="324" w:lineRule="auto"/>
              <w:jc w:val="left"/>
              <w:rPr>
                <w:rFonts w:ascii="Times New Roman" w:hAnsi="Times New Roman" w:cs="Times New Roman"/>
                <w:b/>
                <w:bCs/>
                <w:color w:val="auto"/>
                <w:kern w:val="0"/>
                <w:szCs w:val="21"/>
              </w:rPr>
            </w:pPr>
            <w:r>
              <w:rPr>
                <w:rFonts w:hint="eastAsia" w:ascii="Times New Roman" w:hAnsi="Times New Roman" w:cs="Times New Roman"/>
                <w:b/>
                <w:bCs/>
                <w:color w:val="auto"/>
                <w:kern w:val="0"/>
                <w:szCs w:val="21"/>
              </w:rPr>
              <w:t>内部交流学习等工作</w:t>
            </w:r>
          </w:p>
          <w:p w14:paraId="566E3266">
            <w:pPr>
              <w:pStyle w:val="9"/>
              <w:spacing w:line="324" w:lineRule="auto"/>
              <w:ind w:firstLine="420" w:firstLineChars="200"/>
              <w:rPr>
                <w:rFonts w:hint="eastAsia"/>
                <w:color w:val="auto"/>
              </w:rPr>
            </w:pPr>
            <w:r>
              <w:rPr>
                <w:rFonts w:hint="eastAsia" w:cs="宋体"/>
                <w:color w:val="auto"/>
                <w:kern w:val="2"/>
                <w:sz w:val="21"/>
              </w:rPr>
              <w:t>不定期协助开展专业技术交流（包括但不限于摄影、编导、摄像等），并组织全媒体中心人员进行交流学习，交换经验，取其精华，同时向各省展现广东消防全媒体运营优秀成果。</w:t>
            </w:r>
          </w:p>
        </w:tc>
      </w:tr>
      <w:tr w14:paraId="6C75F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74BB7083">
            <w:pPr>
              <w:spacing w:line="324" w:lineRule="auto"/>
              <w:jc w:val="center"/>
              <w:rPr>
                <w:rFonts w:ascii="Times New Roman" w:hAnsi="Times New Roman" w:cs="Times New Roman"/>
                <w:color w:val="auto"/>
                <w:szCs w:val="21"/>
              </w:rPr>
            </w:pPr>
          </w:p>
        </w:tc>
        <w:tc>
          <w:tcPr>
            <w:tcW w:w="500" w:type="dxa"/>
          </w:tcPr>
          <w:p w14:paraId="46C7B666">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9</w:t>
            </w:r>
          </w:p>
        </w:tc>
        <w:tc>
          <w:tcPr>
            <w:tcW w:w="8297" w:type="dxa"/>
          </w:tcPr>
          <w:p w14:paraId="4834ED1E">
            <w:pPr>
              <w:adjustRightInd w:val="0"/>
              <w:snapToGrid w:val="0"/>
              <w:spacing w:line="324" w:lineRule="auto"/>
              <w:jc w:val="left"/>
              <w:rPr>
                <w:rFonts w:ascii="Times New Roman" w:hAnsi="Times New Roman" w:cs="Times New Roman"/>
                <w:b/>
                <w:bCs/>
                <w:color w:val="auto"/>
                <w:kern w:val="0"/>
                <w:szCs w:val="21"/>
              </w:rPr>
            </w:pPr>
            <w:r>
              <w:rPr>
                <w:rFonts w:hint="eastAsia" w:ascii="Times New Roman" w:hAnsi="Times New Roman" w:cs="Times New Roman"/>
                <w:b/>
                <w:bCs/>
                <w:color w:val="auto"/>
                <w:kern w:val="0"/>
                <w:szCs w:val="21"/>
              </w:rPr>
              <w:t>行政（管理）等工作</w:t>
            </w:r>
          </w:p>
          <w:p w14:paraId="6AC20549">
            <w:pPr>
              <w:adjustRightInd w:val="0"/>
              <w:snapToGrid w:val="0"/>
              <w:spacing w:line="324" w:lineRule="auto"/>
              <w:ind w:firstLine="420" w:firstLineChars="200"/>
              <w:jc w:val="left"/>
              <w:rPr>
                <w:color w:val="auto"/>
              </w:rPr>
            </w:pPr>
            <w:r>
              <w:rPr>
                <w:rFonts w:hint="eastAsia" w:ascii="宋体" w:hAnsi="宋体" w:cs="宋体"/>
                <w:color w:val="auto"/>
                <w:szCs w:val="21"/>
              </w:rPr>
              <w:t>创建合理、有效的管理制度、绩效考核制度、晋升制度等，明确工作任务及分工。派专职负责人常驻办公，进行管理。</w:t>
            </w:r>
          </w:p>
        </w:tc>
      </w:tr>
      <w:tr w14:paraId="72D68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495920EA">
            <w:pPr>
              <w:spacing w:line="324" w:lineRule="auto"/>
              <w:jc w:val="center"/>
              <w:rPr>
                <w:rFonts w:ascii="Times New Roman" w:hAnsi="Times New Roman" w:cs="Times New Roman"/>
                <w:color w:val="auto"/>
                <w:szCs w:val="21"/>
              </w:rPr>
            </w:pPr>
          </w:p>
        </w:tc>
        <w:tc>
          <w:tcPr>
            <w:tcW w:w="500" w:type="dxa"/>
          </w:tcPr>
          <w:p w14:paraId="4D291D8E">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10</w:t>
            </w:r>
          </w:p>
        </w:tc>
        <w:tc>
          <w:tcPr>
            <w:tcW w:w="8297" w:type="dxa"/>
          </w:tcPr>
          <w:p w14:paraId="220E8943">
            <w:pPr>
              <w:adjustRightInd w:val="0"/>
              <w:snapToGrid w:val="0"/>
              <w:spacing w:line="324" w:lineRule="auto"/>
              <w:jc w:val="left"/>
              <w:rPr>
                <w:rFonts w:ascii="Times New Roman" w:hAnsi="Times New Roman" w:cs="Times New Roman"/>
                <w:b/>
                <w:bCs/>
                <w:color w:val="auto"/>
                <w:kern w:val="0"/>
                <w:szCs w:val="21"/>
              </w:rPr>
            </w:pPr>
            <w:r>
              <w:rPr>
                <w:rFonts w:hint="eastAsia" w:ascii="Times New Roman" w:hAnsi="Times New Roman" w:cs="Times New Roman"/>
                <w:b/>
                <w:bCs/>
                <w:color w:val="auto"/>
                <w:kern w:val="0"/>
                <w:szCs w:val="21"/>
              </w:rPr>
              <w:t>其他工作</w:t>
            </w:r>
          </w:p>
          <w:p w14:paraId="29368571">
            <w:pPr>
              <w:pStyle w:val="9"/>
              <w:spacing w:line="324" w:lineRule="auto"/>
              <w:ind w:firstLine="420" w:firstLineChars="200"/>
              <w:rPr>
                <w:rFonts w:hint="eastAsia"/>
                <w:color w:val="auto"/>
              </w:rPr>
            </w:pPr>
            <w:r>
              <w:rPr>
                <w:rFonts w:hint="eastAsia" w:cs="宋体"/>
                <w:color w:val="auto"/>
                <w:kern w:val="2"/>
                <w:sz w:val="21"/>
              </w:rPr>
              <w:t>完成工作情况、宣传效果的整理分析和档案建立工作，完成全媒体工作中心器材、车辆、装备等日常维护保养工作，完成全媒体工作中心日常运营制度建设、人员管理等工作。</w:t>
            </w:r>
          </w:p>
        </w:tc>
      </w:tr>
      <w:tr w14:paraId="62CAA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4BB7E981">
            <w:pPr>
              <w:spacing w:line="324" w:lineRule="auto"/>
              <w:jc w:val="center"/>
              <w:rPr>
                <w:rFonts w:ascii="Times New Roman" w:hAnsi="Times New Roman" w:cs="Times New Roman"/>
                <w:color w:val="auto"/>
                <w:szCs w:val="21"/>
              </w:rPr>
            </w:pPr>
          </w:p>
        </w:tc>
        <w:tc>
          <w:tcPr>
            <w:tcW w:w="500" w:type="dxa"/>
          </w:tcPr>
          <w:p w14:paraId="5D2E99B3">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11</w:t>
            </w:r>
          </w:p>
        </w:tc>
        <w:tc>
          <w:tcPr>
            <w:tcW w:w="8297" w:type="dxa"/>
          </w:tcPr>
          <w:p w14:paraId="0D6D0F2C">
            <w:pPr>
              <w:pStyle w:val="9"/>
              <w:spacing w:line="324" w:lineRule="auto"/>
              <w:rPr>
                <w:rFonts w:ascii="Times New Roman" w:hAnsi="Times New Roman" w:cs="Times New Roman"/>
                <w:b/>
                <w:bCs/>
                <w:color w:val="auto"/>
                <w:sz w:val="21"/>
              </w:rPr>
            </w:pPr>
            <w:r>
              <w:rPr>
                <w:rFonts w:hint="eastAsia" w:ascii="Times New Roman" w:hAnsi="Times New Roman" w:cs="Times New Roman"/>
                <w:b/>
                <w:bCs/>
                <w:color w:val="auto"/>
                <w:sz w:val="21"/>
              </w:rPr>
              <w:t>服务需求</w:t>
            </w:r>
          </w:p>
          <w:p w14:paraId="1985D9CF">
            <w:pPr>
              <w:adjustRightInd w:val="0"/>
              <w:snapToGrid w:val="0"/>
              <w:spacing w:line="324" w:lineRule="auto"/>
              <w:jc w:val="left"/>
              <w:rPr>
                <w:rFonts w:hint="eastAsia" w:ascii="宋体" w:hAnsi="宋体" w:cs="宋体"/>
                <w:color w:val="auto"/>
                <w:szCs w:val="21"/>
              </w:rPr>
            </w:pPr>
            <w:r>
              <w:rPr>
                <w:rFonts w:hint="eastAsia" w:ascii="宋体" w:hAnsi="宋体" w:cs="宋体"/>
                <w:color w:val="auto"/>
                <w:szCs w:val="21"/>
              </w:rPr>
              <w:t>1、人才团队服务。供应商提供的8人服务团队。一是驻点团队：供应商派驻1名项目负责人（需要有相关行业服务经验），派驻7名与项目需求相适应的人员，在佛山消防救援支队或其下属单位工作，供应商为派驻人员购买与消防救援工作相适应的保险。</w:t>
            </w:r>
          </w:p>
          <w:p w14:paraId="3BC23DE6">
            <w:pPr>
              <w:adjustRightInd w:val="0"/>
              <w:snapToGrid w:val="0"/>
              <w:spacing w:line="324" w:lineRule="auto"/>
              <w:ind w:firstLine="420" w:firstLineChars="200"/>
              <w:jc w:val="left"/>
              <w:rPr>
                <w:rFonts w:hint="eastAsia" w:ascii="宋体" w:hAnsi="宋体" w:cs="宋体"/>
                <w:color w:val="auto"/>
                <w:szCs w:val="21"/>
              </w:rPr>
            </w:pPr>
            <w:r>
              <w:rPr>
                <w:rFonts w:hint="eastAsia" w:ascii="宋体" w:hAnsi="宋体" w:cs="宋体"/>
                <w:color w:val="auto"/>
                <w:szCs w:val="21"/>
              </w:rPr>
              <w:t>人员配置：内容制作服务团队成员最低配置8人，原则上均应具备本科以上学历。</w:t>
            </w:r>
          </w:p>
          <w:tbl>
            <w:tblPr>
              <w:tblStyle w:val="21"/>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701"/>
              <w:gridCol w:w="2444"/>
              <w:gridCol w:w="2113"/>
              <w:gridCol w:w="1923"/>
            </w:tblGrid>
            <w:tr w14:paraId="6B59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tcBorders>
                    <w:top w:val="single" w:color="auto" w:sz="4" w:space="0"/>
                    <w:left w:val="single" w:color="auto" w:sz="4" w:space="0"/>
                    <w:bottom w:val="single" w:color="auto" w:sz="4" w:space="0"/>
                    <w:right w:val="single" w:color="auto" w:sz="4" w:space="0"/>
                  </w:tcBorders>
                  <w:shd w:val="clear" w:color="auto" w:fill="EAEAEA"/>
                  <w:vAlign w:val="center"/>
                </w:tcPr>
                <w:p w14:paraId="4C8321CC">
                  <w:pPr>
                    <w:widowControl/>
                    <w:spacing w:line="324"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编制</w:t>
                  </w:r>
                </w:p>
              </w:tc>
              <w:tc>
                <w:tcPr>
                  <w:tcW w:w="432" w:type="pct"/>
                  <w:tcBorders>
                    <w:top w:val="single" w:color="auto" w:sz="4" w:space="0"/>
                    <w:left w:val="single" w:color="auto" w:sz="4" w:space="0"/>
                    <w:bottom w:val="single" w:color="auto" w:sz="4" w:space="0"/>
                    <w:right w:val="single" w:color="auto" w:sz="4" w:space="0"/>
                  </w:tcBorders>
                  <w:shd w:val="clear" w:color="auto" w:fill="EAEAEA"/>
                  <w:vAlign w:val="center"/>
                </w:tcPr>
                <w:p w14:paraId="785ABB2B">
                  <w:pPr>
                    <w:widowControl/>
                    <w:spacing w:line="324"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岗位</w:t>
                  </w:r>
                </w:p>
              </w:tc>
              <w:tc>
                <w:tcPr>
                  <w:tcW w:w="1506" w:type="pct"/>
                  <w:tcBorders>
                    <w:top w:val="single" w:color="auto" w:sz="4" w:space="0"/>
                    <w:left w:val="single" w:color="auto" w:sz="4" w:space="0"/>
                    <w:bottom w:val="single" w:color="auto" w:sz="4" w:space="0"/>
                    <w:right w:val="single" w:color="auto" w:sz="4" w:space="0"/>
                  </w:tcBorders>
                  <w:shd w:val="clear" w:color="auto" w:fill="EAEAEA"/>
                  <w:vAlign w:val="center"/>
                </w:tcPr>
                <w:p w14:paraId="1C1B273C">
                  <w:pPr>
                    <w:widowControl/>
                    <w:spacing w:line="324"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岗位职责</w:t>
                  </w:r>
                </w:p>
              </w:tc>
              <w:tc>
                <w:tcPr>
                  <w:tcW w:w="1302" w:type="pct"/>
                  <w:tcBorders>
                    <w:top w:val="single" w:color="auto" w:sz="4" w:space="0"/>
                    <w:left w:val="single" w:color="auto" w:sz="4" w:space="0"/>
                    <w:bottom w:val="single" w:color="auto" w:sz="4" w:space="0"/>
                    <w:right w:val="single" w:color="auto" w:sz="4" w:space="0"/>
                  </w:tcBorders>
                  <w:shd w:val="clear" w:color="auto" w:fill="EAEAEA"/>
                  <w:vAlign w:val="center"/>
                </w:tcPr>
                <w:p w14:paraId="7EFBB0E4">
                  <w:pPr>
                    <w:widowControl/>
                    <w:spacing w:line="324"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任职资格</w:t>
                  </w:r>
                </w:p>
              </w:tc>
              <w:tc>
                <w:tcPr>
                  <w:tcW w:w="1185" w:type="pct"/>
                  <w:tcBorders>
                    <w:top w:val="single" w:color="auto" w:sz="4" w:space="0"/>
                    <w:left w:val="single" w:color="auto" w:sz="4" w:space="0"/>
                    <w:bottom w:val="single" w:color="auto" w:sz="4" w:space="0"/>
                    <w:right w:val="single" w:color="auto" w:sz="4" w:space="0"/>
                  </w:tcBorders>
                  <w:shd w:val="clear" w:color="auto" w:fill="EAEAEA"/>
                  <w:vAlign w:val="center"/>
                </w:tcPr>
                <w:p w14:paraId="23396B68">
                  <w:pPr>
                    <w:widowControl/>
                    <w:spacing w:line="324"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绩效奖励</w:t>
                  </w:r>
                </w:p>
              </w:tc>
            </w:tr>
            <w:tr w14:paraId="32F5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5A00F416">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全媒体中心（1人）</w:t>
                  </w:r>
                </w:p>
              </w:tc>
              <w:tc>
                <w:tcPr>
                  <w:tcW w:w="432" w:type="pct"/>
                  <w:tcBorders>
                    <w:top w:val="single" w:color="auto" w:sz="4" w:space="0"/>
                    <w:left w:val="single" w:color="auto" w:sz="4" w:space="0"/>
                    <w:bottom w:val="single" w:color="auto" w:sz="4" w:space="0"/>
                    <w:right w:val="single" w:color="auto" w:sz="4" w:space="0"/>
                  </w:tcBorders>
                  <w:vAlign w:val="center"/>
                </w:tcPr>
                <w:p w14:paraId="69664F87">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负责人</w:t>
                  </w:r>
                </w:p>
              </w:tc>
              <w:tc>
                <w:tcPr>
                  <w:tcW w:w="1506" w:type="pct"/>
                  <w:tcBorders>
                    <w:top w:val="single" w:color="auto" w:sz="4" w:space="0"/>
                    <w:left w:val="single" w:color="auto" w:sz="4" w:space="0"/>
                    <w:bottom w:val="single" w:color="auto" w:sz="4" w:space="0"/>
                    <w:right w:val="single" w:color="auto" w:sz="4" w:space="0"/>
                  </w:tcBorders>
                  <w:vAlign w:val="center"/>
                </w:tcPr>
                <w:p w14:paraId="5BB16D5E">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1、制定全媒体中心内容制作服务策略、完善中心运营制度、制定中心运营标准规范；</w:t>
                  </w:r>
                </w:p>
                <w:p w14:paraId="09AF4174">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2、了解行业市场状况，制定年度、季度执行计划；</w:t>
                  </w:r>
                </w:p>
                <w:p w14:paraId="7BA2D489">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3、负责组织各部门定期检讨运营情况并纠偏；</w:t>
                  </w:r>
                </w:p>
                <w:p w14:paraId="5E9FB6DD">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4、负责各部门运营成本和纠偏；</w:t>
                  </w:r>
                </w:p>
                <w:p w14:paraId="368B706D">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5、根据业绩、市场反馈等对媒体中心运营进行监督、控制和数据分析评估，及时调整市场策略与内容，保证项目目标的持续达成；</w:t>
                  </w:r>
                </w:p>
                <w:p w14:paraId="7340E66C">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6、与新媒体平台建立良好通联关系，密切与各类中央、省级政务大V的联系协作，借助重要时间节点、重大救援行动宣传报道，打造好佛山消防自媒体宣传阵地；</w:t>
                  </w:r>
                </w:p>
                <w:p w14:paraId="354DC87E">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7、指导全市5个区消防救援大队做好日常新闻发布工作。</w:t>
                  </w:r>
                </w:p>
              </w:tc>
              <w:tc>
                <w:tcPr>
                  <w:tcW w:w="1302" w:type="pct"/>
                  <w:tcBorders>
                    <w:top w:val="single" w:color="auto" w:sz="4" w:space="0"/>
                    <w:left w:val="single" w:color="auto" w:sz="4" w:space="0"/>
                    <w:bottom w:val="single" w:color="auto" w:sz="4" w:space="0"/>
                    <w:right w:val="single" w:color="auto" w:sz="4" w:space="0"/>
                  </w:tcBorders>
                  <w:vAlign w:val="center"/>
                </w:tcPr>
                <w:p w14:paraId="30E40650">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1、政治觉悟高；</w:t>
                  </w:r>
                </w:p>
                <w:p w14:paraId="2253B528">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2、担任过同类项目的总负责人，</w:t>
                  </w:r>
                  <w:r>
                    <w:rPr>
                      <w:rFonts w:hint="eastAsia" w:ascii="宋体" w:hAnsi="宋体" w:eastAsia="宋体" w:cs="宋体"/>
                      <w:color w:val="auto"/>
                      <w:sz w:val="18"/>
                      <w:szCs w:val="18"/>
                    </w:rPr>
                    <w:t>具有行业相关从业经验丰富者优先；</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3、具有较强的领导能力、判断与决策能力、人际能力、沟通能力、影响力、计划与执行能力、谈判能力；</w:t>
                  </w:r>
                </w:p>
                <w:p w14:paraId="7C6E1C53">
                  <w:pPr>
                    <w:spacing w:line="324" w:lineRule="auto"/>
                    <w:rPr>
                      <w:rFonts w:hint="eastAsia" w:ascii="宋体" w:hAnsi="宋体" w:eastAsia="宋体" w:cs="宋体"/>
                      <w:color w:val="auto"/>
                      <w:kern w:val="0"/>
                      <w:sz w:val="18"/>
                      <w:szCs w:val="18"/>
                    </w:rPr>
                  </w:pPr>
                  <w:r>
                    <w:rPr>
                      <w:rFonts w:hint="eastAsia" w:ascii="宋体" w:hAnsi="宋体" w:eastAsia="宋体" w:cs="宋体"/>
                      <w:color w:val="auto"/>
                      <w:sz w:val="18"/>
                      <w:szCs w:val="18"/>
                      <w:lang w:bidi="ar"/>
                    </w:rPr>
                    <w:t>4、精通新媒体推广渠道及推广手段（微信、公众号、直播、社区、小红书、抖音等），有实战经验，对数据敏感，深度了解各平台玩法与运营规则。</w:t>
                  </w:r>
                </w:p>
              </w:tc>
              <w:tc>
                <w:tcPr>
                  <w:tcW w:w="1185" w:type="pct"/>
                  <w:tcBorders>
                    <w:top w:val="single" w:color="auto" w:sz="4" w:space="0"/>
                    <w:left w:val="single" w:color="auto" w:sz="4" w:space="0"/>
                    <w:bottom w:val="single" w:color="auto" w:sz="4" w:space="0"/>
                    <w:right w:val="single" w:color="auto" w:sz="4" w:space="0"/>
                  </w:tcBorders>
                  <w:vAlign w:val="center"/>
                </w:tcPr>
                <w:p w14:paraId="4EFB6AC1">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1、每季度完成对应的KPI，项目负责人每季度奖金8000元。年终顺利完成所有任务指标可获得8000元奖励。累计全年奖金4万元。</w:t>
                  </w:r>
                </w:p>
                <w:p w14:paraId="063E26B5">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2、KPI为：五大媒体平台账号数据指标。发稿总量不低于400份，其中包含中央媒体16份，省级28份，市级80份。短视频发布数量不低于600条，全网络曝光量6亿次，全平台粉丝增长在2024年基础上增长15万。</w:t>
                  </w:r>
                </w:p>
              </w:tc>
            </w:tr>
            <w:tr w14:paraId="754E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vMerge w:val="restart"/>
                  <w:tcBorders>
                    <w:top w:val="single" w:color="auto" w:sz="4" w:space="0"/>
                    <w:left w:val="single" w:color="auto" w:sz="4" w:space="0"/>
                    <w:bottom w:val="single" w:color="auto" w:sz="4" w:space="0"/>
                    <w:right w:val="single" w:color="auto" w:sz="4" w:space="0"/>
                  </w:tcBorders>
                  <w:vAlign w:val="center"/>
                </w:tcPr>
                <w:p w14:paraId="6B20D822">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图文处理中心（3人）</w:t>
                  </w:r>
                </w:p>
              </w:tc>
              <w:tc>
                <w:tcPr>
                  <w:tcW w:w="432" w:type="pct"/>
                  <w:tcBorders>
                    <w:top w:val="single" w:color="auto" w:sz="4" w:space="0"/>
                    <w:left w:val="single" w:color="auto" w:sz="4" w:space="0"/>
                    <w:bottom w:val="single" w:color="auto" w:sz="4" w:space="0"/>
                    <w:right w:val="single" w:color="auto" w:sz="4" w:space="0"/>
                  </w:tcBorders>
                  <w:vAlign w:val="center"/>
                </w:tcPr>
                <w:p w14:paraId="4F9F3DE2">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资深文字编辑（组长1人）</w:t>
                  </w:r>
                </w:p>
              </w:tc>
              <w:tc>
                <w:tcPr>
                  <w:tcW w:w="1506" w:type="pct"/>
                  <w:tcBorders>
                    <w:top w:val="single" w:color="auto" w:sz="4" w:space="0"/>
                    <w:left w:val="single" w:color="auto" w:sz="4" w:space="0"/>
                    <w:bottom w:val="single" w:color="auto" w:sz="4" w:space="0"/>
                    <w:right w:val="single" w:color="auto" w:sz="4" w:space="0"/>
                  </w:tcBorders>
                  <w:vAlign w:val="center"/>
                </w:tcPr>
                <w:p w14:paraId="7A7E424B">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1、负责日常文案选题，报导任务创建及指派；</w:t>
                  </w:r>
                </w:p>
                <w:p w14:paraId="71434A54">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2、负责重要稿件的采写工作；</w:t>
                  </w:r>
                </w:p>
                <w:p w14:paraId="15095400">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3、市区两级消防救援队伍通联协作与协同报道；</w:t>
                  </w:r>
                </w:p>
                <w:p w14:paraId="18E1507C">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4、指导五区消防救援大队在省主流报刊发稿件；</w:t>
                  </w:r>
                </w:p>
                <w:p w14:paraId="0FEF5B71">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5、负责宣传编辑组管理工作。</w:t>
                  </w:r>
                </w:p>
              </w:tc>
              <w:tc>
                <w:tcPr>
                  <w:tcW w:w="1302" w:type="pct"/>
                  <w:tcBorders>
                    <w:top w:val="single" w:color="auto" w:sz="4" w:space="0"/>
                    <w:left w:val="single" w:color="auto" w:sz="4" w:space="0"/>
                    <w:bottom w:val="single" w:color="auto" w:sz="4" w:space="0"/>
                    <w:right w:val="single" w:color="auto" w:sz="4" w:space="0"/>
                  </w:tcBorders>
                  <w:vAlign w:val="center"/>
                </w:tcPr>
                <w:p w14:paraId="0B863786">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1、新闻、中文、计算机等专业；有丰富相关工作经验者优先；</w:t>
                  </w:r>
                </w:p>
                <w:p w14:paraId="58813345">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2、良好的文字功底，较强的信息采编能力；</w:t>
                  </w:r>
                </w:p>
                <w:p w14:paraId="0ED1E6BB">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3、善于运用互联网搜索，善于进行图文编辑，善于进行内容整合；</w:t>
                  </w:r>
                </w:p>
                <w:p w14:paraId="7F23A918">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4、能独立完成专题、活动等推广文案的撰写，具备网站策划包装能力；</w:t>
                  </w:r>
                </w:p>
                <w:p w14:paraId="48112BBD">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5、工作细心，高度的责任心，有相关网站和新媒体编辑工作经验。</w:t>
                  </w:r>
                </w:p>
              </w:tc>
              <w:tc>
                <w:tcPr>
                  <w:tcW w:w="1185" w:type="pct"/>
                  <w:tcBorders>
                    <w:top w:val="single" w:color="auto" w:sz="4" w:space="0"/>
                    <w:left w:val="single" w:color="auto" w:sz="4" w:space="0"/>
                    <w:bottom w:val="single" w:color="auto" w:sz="4" w:space="0"/>
                    <w:right w:val="single" w:color="auto" w:sz="4" w:space="0"/>
                  </w:tcBorders>
                  <w:vAlign w:val="center"/>
                </w:tcPr>
                <w:p w14:paraId="35834A6B">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1、完成季度KPI可获得5000元/季度的季度奖金，全年完成KPI，可再获得年终奖金1万元。累计全年奖金3万元。</w:t>
                  </w:r>
                </w:p>
                <w:p w14:paraId="7A709DF2">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2、KPI设定：根据五大媒体平台的数据指标拆解到个季度。</w:t>
                  </w:r>
                </w:p>
                <w:p w14:paraId="605DF6BD">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全年图文稿件处理不低于400份。其中44份需要达到省级以上媒体平台发稿要求。80份以上达到市级媒体要求。每月保障产出微信公众号推文84篇、微博900条、今日头条300条。</w:t>
                  </w:r>
                </w:p>
              </w:tc>
            </w:tr>
            <w:tr w14:paraId="43BB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vMerge w:val="continue"/>
                  <w:tcBorders>
                    <w:top w:val="single" w:color="auto" w:sz="4" w:space="0"/>
                    <w:left w:val="single" w:color="auto" w:sz="4" w:space="0"/>
                    <w:bottom w:val="single" w:color="auto" w:sz="4" w:space="0"/>
                    <w:right w:val="single" w:color="auto" w:sz="4" w:space="0"/>
                  </w:tcBorders>
                  <w:vAlign w:val="center"/>
                </w:tcPr>
                <w:p w14:paraId="2B622520">
                  <w:pPr>
                    <w:spacing w:line="324" w:lineRule="auto"/>
                    <w:rPr>
                      <w:rFonts w:hint="eastAsia" w:ascii="宋体" w:hAnsi="宋体" w:eastAsia="宋体" w:cs="宋体"/>
                      <w:color w:val="auto"/>
                      <w:sz w:val="18"/>
                      <w:szCs w:val="18"/>
                    </w:rPr>
                  </w:pPr>
                </w:p>
              </w:tc>
              <w:tc>
                <w:tcPr>
                  <w:tcW w:w="432" w:type="pct"/>
                  <w:tcBorders>
                    <w:top w:val="single" w:color="auto" w:sz="4" w:space="0"/>
                    <w:left w:val="single" w:color="auto" w:sz="4" w:space="0"/>
                    <w:bottom w:val="single" w:color="auto" w:sz="4" w:space="0"/>
                    <w:right w:val="single" w:color="auto" w:sz="4" w:space="0"/>
                  </w:tcBorders>
                  <w:vAlign w:val="center"/>
                </w:tcPr>
                <w:p w14:paraId="7B8F271F">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平面设计（1人）</w:t>
                  </w:r>
                </w:p>
              </w:tc>
              <w:tc>
                <w:tcPr>
                  <w:tcW w:w="1506" w:type="pct"/>
                  <w:tcBorders>
                    <w:top w:val="single" w:color="auto" w:sz="4" w:space="0"/>
                    <w:left w:val="single" w:color="auto" w:sz="4" w:space="0"/>
                    <w:bottom w:val="single" w:color="auto" w:sz="4" w:space="0"/>
                    <w:right w:val="single" w:color="auto" w:sz="4" w:space="0"/>
                  </w:tcBorders>
                  <w:vAlign w:val="center"/>
                </w:tcPr>
                <w:p w14:paraId="0A7FB854">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1、负责日常推文图片处理工作；</w:t>
                  </w:r>
                </w:p>
                <w:p w14:paraId="626F9B98">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2、结合微信文章制作文章长图，增强微信文章的设计感；</w:t>
                  </w:r>
                </w:p>
                <w:p w14:paraId="303BAC6E">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根据活动、节假日、特定时间点等需要完成海报、宣传单页、横幅等设计相应宣传稿件；</w:t>
                  </w:r>
                </w:p>
                <w:p w14:paraId="2887FA1D">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3、负责原创内容设计及整体元素绘制；</w:t>
                  </w:r>
                </w:p>
                <w:p w14:paraId="539A854F">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4、针对佛山消防为核心的相关内容，结合相关文案及配图进行设计及绘制；</w:t>
                  </w:r>
                </w:p>
                <w:p w14:paraId="77B1DAE8">
                  <w:pPr>
                    <w:spacing w:line="324" w:lineRule="auto"/>
                    <w:rPr>
                      <w:rFonts w:hint="eastAsia" w:ascii="宋体" w:hAnsi="宋体" w:eastAsia="宋体" w:cs="宋体"/>
                      <w:color w:val="auto"/>
                      <w:kern w:val="0"/>
                      <w:sz w:val="18"/>
                      <w:szCs w:val="18"/>
                    </w:rPr>
                  </w:pPr>
                  <w:r>
                    <w:rPr>
                      <w:rFonts w:hint="eastAsia" w:ascii="宋体" w:hAnsi="宋体" w:eastAsia="宋体" w:cs="宋体"/>
                      <w:color w:val="auto"/>
                      <w:sz w:val="18"/>
                      <w:szCs w:val="18"/>
                      <w:lang w:bidi="ar"/>
                    </w:rPr>
                    <w:t>5、相关logo、人物漫画、卡通形象、场景图绘等设计的插画内容的绘制工作。</w:t>
                  </w:r>
                </w:p>
              </w:tc>
              <w:tc>
                <w:tcPr>
                  <w:tcW w:w="1302" w:type="pct"/>
                  <w:tcBorders>
                    <w:top w:val="single" w:color="auto" w:sz="4" w:space="0"/>
                    <w:left w:val="single" w:color="auto" w:sz="4" w:space="0"/>
                    <w:bottom w:val="single" w:color="auto" w:sz="4" w:space="0"/>
                    <w:right w:val="single" w:color="auto" w:sz="4" w:space="0"/>
                  </w:tcBorders>
                  <w:vAlign w:val="center"/>
                </w:tcPr>
                <w:p w14:paraId="74426774">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1、具有扎实的美术基础、色彩控制能力和丰富的想象力；</w:t>
                  </w:r>
                </w:p>
                <w:p w14:paraId="4D136EE5">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2、熟练运用photoshop,AI等图像编辑软件，具有较强的平面设计处理能力；</w:t>
                  </w:r>
                </w:p>
                <w:p w14:paraId="2DBEB151">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3、能够结合消防各项工作，进行创意平面设计；</w:t>
                  </w:r>
                </w:p>
                <w:p w14:paraId="0107D3C6">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4、良好的沟通能力、工作认真细致、敬业、有责任感、注重效率，有团队合作精神。</w:t>
                  </w:r>
                </w:p>
              </w:tc>
              <w:tc>
                <w:tcPr>
                  <w:tcW w:w="1185" w:type="pct"/>
                  <w:tcBorders>
                    <w:top w:val="single" w:color="auto" w:sz="4" w:space="0"/>
                    <w:left w:val="single" w:color="auto" w:sz="4" w:space="0"/>
                    <w:bottom w:val="single" w:color="auto" w:sz="4" w:space="0"/>
                    <w:right w:val="single" w:color="auto" w:sz="4" w:space="0"/>
                  </w:tcBorders>
                  <w:vAlign w:val="center"/>
                </w:tcPr>
                <w:p w14:paraId="398B1C72">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1、完成季度KPI可获得4000元/季度奖金。完成年度任务后获得2000元年终奖励。了累计全年奖金1.8万元。</w:t>
                  </w:r>
                </w:p>
                <w:p w14:paraId="068DA9C7">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2、KPI设定：根据五大媒体平台的数据指标拆解到个季度</w:t>
                  </w:r>
                </w:p>
                <w:p w14:paraId="7A7342B2">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全年图文稿件处理不低于400份。其中44份需要达到省级以上媒体平台发稿要求，80份以上达到市级媒体要求。所设计的作品获得中国消防的青睐推送2次，省级媒体推送5次。</w:t>
                  </w:r>
                </w:p>
              </w:tc>
            </w:tr>
            <w:tr w14:paraId="6866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vMerge w:val="continue"/>
                  <w:tcBorders>
                    <w:top w:val="single" w:color="auto" w:sz="4" w:space="0"/>
                    <w:left w:val="single" w:color="auto" w:sz="4" w:space="0"/>
                    <w:bottom w:val="single" w:color="auto" w:sz="4" w:space="0"/>
                    <w:right w:val="single" w:color="auto" w:sz="4" w:space="0"/>
                  </w:tcBorders>
                  <w:vAlign w:val="center"/>
                </w:tcPr>
                <w:p w14:paraId="5219958D">
                  <w:pPr>
                    <w:spacing w:line="324" w:lineRule="auto"/>
                    <w:rPr>
                      <w:rFonts w:hint="eastAsia" w:ascii="宋体" w:hAnsi="宋体" w:eastAsia="宋体" w:cs="宋体"/>
                      <w:color w:val="auto"/>
                      <w:sz w:val="18"/>
                      <w:szCs w:val="18"/>
                    </w:rPr>
                  </w:pPr>
                </w:p>
              </w:tc>
              <w:tc>
                <w:tcPr>
                  <w:tcW w:w="432" w:type="pct"/>
                  <w:tcBorders>
                    <w:top w:val="single" w:color="auto" w:sz="4" w:space="0"/>
                    <w:left w:val="single" w:color="auto" w:sz="4" w:space="0"/>
                    <w:bottom w:val="single" w:color="auto" w:sz="4" w:space="0"/>
                    <w:right w:val="single" w:color="auto" w:sz="4" w:space="0"/>
                  </w:tcBorders>
                  <w:vAlign w:val="center"/>
                </w:tcPr>
                <w:p w14:paraId="580A385C">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文案编辑（1人）</w:t>
                  </w:r>
                </w:p>
              </w:tc>
              <w:tc>
                <w:tcPr>
                  <w:tcW w:w="1506" w:type="pct"/>
                  <w:tcBorders>
                    <w:top w:val="single" w:color="auto" w:sz="4" w:space="0"/>
                    <w:left w:val="single" w:color="auto" w:sz="4" w:space="0"/>
                    <w:bottom w:val="single" w:color="auto" w:sz="4" w:space="0"/>
                    <w:right w:val="single" w:color="auto" w:sz="4" w:space="0"/>
                  </w:tcBorders>
                  <w:vAlign w:val="center"/>
                </w:tcPr>
                <w:p w14:paraId="6BAEB3F4">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1、负责日常文案文稿编写、视频文案编辑、视频标题策划等；</w:t>
                  </w:r>
                </w:p>
                <w:p w14:paraId="49795E24">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2、配合团队完成其他文字文案工作；</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3、负责领导交办的其它工作。</w:t>
                  </w:r>
                </w:p>
              </w:tc>
              <w:tc>
                <w:tcPr>
                  <w:tcW w:w="1302" w:type="pct"/>
                  <w:tcBorders>
                    <w:top w:val="single" w:color="auto" w:sz="4" w:space="0"/>
                    <w:left w:val="single" w:color="auto" w:sz="4" w:space="0"/>
                    <w:bottom w:val="single" w:color="auto" w:sz="4" w:space="0"/>
                    <w:right w:val="single" w:color="auto" w:sz="4" w:space="0"/>
                  </w:tcBorders>
                  <w:vAlign w:val="center"/>
                </w:tcPr>
                <w:p w14:paraId="7F1CCB97">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1、有丰富相关工作经验者优先，有报社或媒体行业编辑经验；</w:t>
                  </w:r>
                </w:p>
                <w:p w14:paraId="01467405">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2、较强的文字功底和理解领悟能力，文笔流畅、文字转化能力强，有较好的排版能力；</w:t>
                  </w:r>
                </w:p>
                <w:p w14:paraId="646D0EB8">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3、视野开阔，思维活跃，观察、思考能力强，善于分析问题。</w:t>
                  </w:r>
                </w:p>
              </w:tc>
              <w:tc>
                <w:tcPr>
                  <w:tcW w:w="1185" w:type="pct"/>
                  <w:tcBorders>
                    <w:top w:val="single" w:color="auto" w:sz="4" w:space="0"/>
                    <w:left w:val="single" w:color="auto" w:sz="4" w:space="0"/>
                    <w:bottom w:val="single" w:color="auto" w:sz="4" w:space="0"/>
                    <w:right w:val="single" w:color="auto" w:sz="4" w:space="0"/>
                  </w:tcBorders>
                  <w:vAlign w:val="center"/>
                </w:tcPr>
                <w:p w14:paraId="0EF2995F">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1、完成季度KPI可获得4000元/季度奖金。完成年度任务后获得2000元年终奖励。累计全年奖金1.8万元。</w:t>
                  </w:r>
                </w:p>
                <w:p w14:paraId="4F29E81F">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2、KPI设定：全年稿件处理不低于400份。其中44份需要达到省级以上媒体平台发稿要求。80份以上达到市级媒体要求，所产出作品获得中国消防的青睐推送2次，省级媒体推送5次。</w:t>
                  </w:r>
                </w:p>
              </w:tc>
            </w:tr>
            <w:tr w14:paraId="5949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vMerge w:val="restart"/>
                  <w:tcBorders>
                    <w:top w:val="single" w:color="auto" w:sz="4" w:space="0"/>
                    <w:left w:val="single" w:color="auto" w:sz="4" w:space="0"/>
                    <w:bottom w:val="single" w:color="auto" w:sz="4" w:space="0"/>
                    <w:right w:val="single" w:color="auto" w:sz="4" w:space="0"/>
                  </w:tcBorders>
                  <w:vAlign w:val="center"/>
                </w:tcPr>
                <w:p w14:paraId="541BB604">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影视制作中心（4人）</w:t>
                  </w:r>
                </w:p>
              </w:tc>
              <w:tc>
                <w:tcPr>
                  <w:tcW w:w="432" w:type="pct"/>
                  <w:tcBorders>
                    <w:top w:val="single" w:color="auto" w:sz="4" w:space="0"/>
                    <w:left w:val="single" w:color="auto" w:sz="4" w:space="0"/>
                    <w:bottom w:val="single" w:color="auto" w:sz="4" w:space="0"/>
                    <w:right w:val="single" w:color="auto" w:sz="4" w:space="0"/>
                  </w:tcBorders>
                  <w:vAlign w:val="center"/>
                </w:tcPr>
                <w:p w14:paraId="708CE5CB">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资深影视制作（组长1人）</w:t>
                  </w:r>
                </w:p>
              </w:tc>
              <w:tc>
                <w:tcPr>
                  <w:tcW w:w="1506" w:type="pct"/>
                  <w:tcBorders>
                    <w:top w:val="single" w:color="auto" w:sz="4" w:space="0"/>
                    <w:left w:val="single" w:color="auto" w:sz="4" w:space="0"/>
                    <w:bottom w:val="single" w:color="auto" w:sz="4" w:space="0"/>
                    <w:right w:val="single" w:color="auto" w:sz="4" w:space="0"/>
                  </w:tcBorders>
                  <w:vAlign w:val="center"/>
                </w:tcPr>
                <w:p w14:paraId="50BC571E">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1、负责影音视听组管理工作；</w:t>
                  </w:r>
                </w:p>
                <w:p w14:paraId="2BA47806">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2、负责把控视频拍摄调度、视频出片质量把关；</w:t>
                  </w:r>
                </w:p>
                <w:p w14:paraId="7AD1AF3D">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3、负责重大宣传片、视频等审核、指导、制作工作；</w:t>
                  </w:r>
                </w:p>
                <w:p w14:paraId="50F6127D">
                  <w:pPr>
                    <w:pStyle w:val="9"/>
                    <w:widowControl/>
                    <w:spacing w:line="324" w:lineRule="auto"/>
                    <w:rPr>
                      <w:rFonts w:hint="eastAsia" w:eastAsia="宋体" w:cs="宋体"/>
                      <w:color w:val="auto"/>
                      <w:sz w:val="18"/>
                      <w:szCs w:val="18"/>
                    </w:rPr>
                  </w:pPr>
                  <w:r>
                    <w:rPr>
                      <w:rFonts w:hint="eastAsia" w:eastAsia="宋体" w:cs="宋体"/>
                      <w:color w:val="auto"/>
                      <w:sz w:val="18"/>
                      <w:szCs w:val="18"/>
                    </w:rPr>
                    <w:t>4、兼职摄影摄像工作。</w:t>
                  </w:r>
                </w:p>
              </w:tc>
              <w:tc>
                <w:tcPr>
                  <w:tcW w:w="1302" w:type="pct"/>
                  <w:tcBorders>
                    <w:top w:val="single" w:color="auto" w:sz="4" w:space="0"/>
                    <w:left w:val="single" w:color="auto" w:sz="4" w:space="0"/>
                    <w:bottom w:val="single" w:color="auto" w:sz="4" w:space="0"/>
                    <w:right w:val="single" w:color="auto" w:sz="4" w:space="0"/>
                  </w:tcBorders>
                  <w:vAlign w:val="center"/>
                </w:tcPr>
                <w:p w14:paraId="192FA881">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1、有相关工作丰富经验者优先；</w:t>
                  </w:r>
                </w:p>
                <w:p w14:paraId="781B58AC">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2、广告、新闻、中文相关专业本科毕业(业务能力特别突出的可适当放宽学历)；</w:t>
                  </w:r>
                </w:p>
                <w:p w14:paraId="2BB81E83">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3、优秀的创意和执行能力，能主导性地提出创意并迅速高质量地执行，善于把握各种文体；擅于归纳总结，文笔犀利独到，具有很强的文字功底，对文字精益求精；</w:t>
                  </w:r>
                </w:p>
                <w:p w14:paraId="16C3C6DC">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4、对短视频有独到见解和创新热情；</w:t>
                  </w:r>
                </w:p>
                <w:p w14:paraId="138FEC3B">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5、精通摄影摄像后期制作等技能；                                                   6、认真负责，踏实肯干，有团队意识、创新意识、进取意识；</w:t>
                  </w:r>
                </w:p>
                <w:p w14:paraId="540CFE14">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7、具备应急宣传车切换导播技能。</w:t>
                  </w:r>
                </w:p>
              </w:tc>
              <w:tc>
                <w:tcPr>
                  <w:tcW w:w="1185" w:type="pct"/>
                  <w:tcBorders>
                    <w:top w:val="single" w:color="auto" w:sz="4" w:space="0"/>
                    <w:left w:val="single" w:color="auto" w:sz="4" w:space="0"/>
                    <w:bottom w:val="single" w:color="auto" w:sz="4" w:space="0"/>
                    <w:right w:val="single" w:color="auto" w:sz="4" w:space="0"/>
                  </w:tcBorders>
                  <w:vAlign w:val="center"/>
                </w:tcPr>
                <w:p w14:paraId="631D0612">
                  <w:pPr>
                    <w:spacing w:line="324" w:lineRule="auto"/>
                    <w:jc w:val="left"/>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1、完成季度KPI可获得5000元/季度的季度奖金，全年完成KPI，可再获得年终奖金1万元。累计全年奖金3万元。</w:t>
                  </w:r>
                </w:p>
                <w:p w14:paraId="75DC4C02">
                  <w:pPr>
                    <w:spacing w:line="324" w:lineRule="auto"/>
                    <w:jc w:val="left"/>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2、KPI设定：根据五大媒体平台的数据指标拆解到个季度。</w:t>
                  </w:r>
                </w:p>
                <w:p w14:paraId="553837F3">
                  <w:pPr>
                    <w:spacing w:line="324" w:lineRule="auto"/>
                    <w:jc w:val="left"/>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拍摄制作短视频发布数量不低于600条，所产出作品获得中国消防的青睐推送2次，省级媒体推送5次。</w:t>
                  </w:r>
                </w:p>
              </w:tc>
            </w:tr>
            <w:tr w14:paraId="5DF7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vMerge w:val="continue"/>
                  <w:tcBorders>
                    <w:top w:val="single" w:color="auto" w:sz="4" w:space="0"/>
                    <w:left w:val="single" w:color="auto" w:sz="4" w:space="0"/>
                    <w:bottom w:val="single" w:color="auto" w:sz="4" w:space="0"/>
                    <w:right w:val="single" w:color="auto" w:sz="4" w:space="0"/>
                  </w:tcBorders>
                  <w:vAlign w:val="center"/>
                </w:tcPr>
                <w:p w14:paraId="25487810">
                  <w:pPr>
                    <w:spacing w:line="324" w:lineRule="auto"/>
                    <w:rPr>
                      <w:rFonts w:hint="eastAsia" w:ascii="宋体" w:hAnsi="宋体" w:eastAsia="宋体" w:cs="宋体"/>
                      <w:color w:val="auto"/>
                      <w:sz w:val="18"/>
                      <w:szCs w:val="18"/>
                    </w:rPr>
                  </w:pPr>
                </w:p>
              </w:tc>
              <w:tc>
                <w:tcPr>
                  <w:tcW w:w="432" w:type="pct"/>
                  <w:tcBorders>
                    <w:top w:val="single" w:color="auto" w:sz="4" w:space="0"/>
                    <w:left w:val="single" w:color="auto" w:sz="4" w:space="0"/>
                    <w:bottom w:val="single" w:color="auto" w:sz="4" w:space="0"/>
                    <w:right w:val="single" w:color="auto" w:sz="4" w:space="0"/>
                  </w:tcBorders>
                  <w:vAlign w:val="center"/>
                </w:tcPr>
                <w:p w14:paraId="07EF269A">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摄影摄像（1人）</w:t>
                  </w:r>
                </w:p>
              </w:tc>
              <w:tc>
                <w:tcPr>
                  <w:tcW w:w="1506" w:type="pct"/>
                  <w:tcBorders>
                    <w:top w:val="single" w:color="auto" w:sz="4" w:space="0"/>
                    <w:left w:val="single" w:color="auto" w:sz="4" w:space="0"/>
                    <w:bottom w:val="single" w:color="auto" w:sz="4" w:space="0"/>
                    <w:right w:val="single" w:color="auto" w:sz="4" w:space="0"/>
                  </w:tcBorders>
                  <w:vAlign w:val="center"/>
                </w:tcPr>
                <w:p w14:paraId="77129E6A">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1、负责日常的图片摄影、视频拍摄（公益片、栏目片等）；</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2、在重大宣传活动中，负责视频拍摄，并存档；</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3、懂视频编辑，必要时可以与视频编辑轮岗；</w:t>
                  </w:r>
                </w:p>
                <w:p w14:paraId="0552DBDE">
                  <w:pPr>
                    <w:pStyle w:val="9"/>
                    <w:widowControl/>
                    <w:spacing w:line="324" w:lineRule="auto"/>
                    <w:rPr>
                      <w:rFonts w:hint="eastAsia" w:eastAsia="宋体" w:cs="宋体"/>
                      <w:color w:val="auto"/>
                      <w:sz w:val="18"/>
                      <w:szCs w:val="18"/>
                    </w:rPr>
                  </w:pPr>
                  <w:r>
                    <w:rPr>
                      <w:rFonts w:hint="eastAsia" w:eastAsia="宋体" w:cs="宋体"/>
                      <w:color w:val="auto"/>
                      <w:sz w:val="18"/>
                      <w:szCs w:val="18"/>
                    </w:rPr>
                    <w:t>4、应急宣传值班，节假日、重大火灾及突发应急等情况，能够及时提供支援，发生重大火灾要到现场，保障工作有效按时按量按质完成。</w:t>
                  </w:r>
                </w:p>
              </w:tc>
              <w:tc>
                <w:tcPr>
                  <w:tcW w:w="1302" w:type="pct"/>
                  <w:vMerge w:val="restart"/>
                  <w:tcBorders>
                    <w:top w:val="single" w:color="auto" w:sz="4" w:space="0"/>
                    <w:left w:val="single" w:color="auto" w:sz="4" w:space="0"/>
                    <w:bottom w:val="single" w:color="auto" w:sz="4" w:space="0"/>
                    <w:right w:val="single" w:color="auto" w:sz="4" w:space="0"/>
                  </w:tcBorders>
                  <w:vAlign w:val="center"/>
                </w:tcPr>
                <w:p w14:paraId="3CA0B41E">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1、影视、摄影、动画、视觉传达、设计艺术等相关专业，大专及以上学历，有丰富相关工作经验者优先；</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2、在市级以上的媒体从事新闻剪辑、摄影、摄像工作经验或有广告片、宣传片、微电影的剪辑经验及作品；</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3、熟练操作佳能、尼康、索尼等主流拍摄器材,并具备具备一定影视灯光能力和现场收声经验；</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4、有一定美术功底，审美能力强，时尚嗅觉敏锐；</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5、能熟练运用AE、PR等合成软件进行动画和合成处理；</w:t>
                  </w:r>
                </w:p>
                <w:p w14:paraId="2E6B9CFF">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6、较强的沟通能力和团队合作精神，抗压力强，注重效率；</w:t>
                  </w:r>
                </w:p>
                <w:p w14:paraId="002F7B69">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7、由于工作性质特殊，会涉及到事故现场出勤，男生优先考虑。</w:t>
                  </w:r>
                </w:p>
              </w:tc>
              <w:tc>
                <w:tcPr>
                  <w:tcW w:w="1185" w:type="pct"/>
                  <w:tcBorders>
                    <w:top w:val="single" w:color="auto" w:sz="4" w:space="0"/>
                    <w:left w:val="single" w:color="auto" w:sz="4" w:space="0"/>
                    <w:bottom w:val="single" w:color="auto" w:sz="4" w:space="0"/>
                    <w:right w:val="single" w:color="auto" w:sz="4" w:space="0"/>
                  </w:tcBorders>
                  <w:vAlign w:val="center"/>
                </w:tcPr>
                <w:p w14:paraId="3B24A4B7">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1、完成季度KPI可获得4000元/季度奖金。完成年度任务后获得2000元年终奖励。</w:t>
                  </w:r>
                </w:p>
                <w:p w14:paraId="5D07FDA9">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2、KPI设定：根据五大媒体平台的数据指标拆解到个季度。拍摄制作短视频发布数量不低于600条，所产出作品获得中国消防的青睐推送2次，省级媒体推送5次。</w:t>
                  </w:r>
                </w:p>
              </w:tc>
            </w:tr>
            <w:tr w14:paraId="25E6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vMerge w:val="continue"/>
                  <w:tcBorders>
                    <w:top w:val="single" w:color="auto" w:sz="4" w:space="0"/>
                    <w:left w:val="single" w:color="auto" w:sz="4" w:space="0"/>
                    <w:bottom w:val="single" w:color="auto" w:sz="4" w:space="0"/>
                    <w:right w:val="single" w:color="auto" w:sz="4" w:space="0"/>
                  </w:tcBorders>
                  <w:vAlign w:val="center"/>
                </w:tcPr>
                <w:p w14:paraId="03ECAFFE">
                  <w:pPr>
                    <w:spacing w:line="324" w:lineRule="auto"/>
                    <w:rPr>
                      <w:rFonts w:hint="eastAsia" w:ascii="宋体" w:hAnsi="宋体" w:eastAsia="宋体" w:cs="宋体"/>
                      <w:color w:val="auto"/>
                      <w:sz w:val="24"/>
                    </w:rPr>
                  </w:pPr>
                </w:p>
              </w:tc>
              <w:tc>
                <w:tcPr>
                  <w:tcW w:w="432" w:type="pct"/>
                  <w:tcBorders>
                    <w:top w:val="single" w:color="auto" w:sz="4" w:space="0"/>
                    <w:left w:val="single" w:color="auto" w:sz="4" w:space="0"/>
                    <w:bottom w:val="single" w:color="auto" w:sz="4" w:space="0"/>
                    <w:right w:val="single" w:color="auto" w:sz="4" w:space="0"/>
                  </w:tcBorders>
                  <w:vAlign w:val="center"/>
                </w:tcPr>
                <w:p w14:paraId="13F39F26">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视频剪辑（2人）</w:t>
                  </w:r>
                </w:p>
              </w:tc>
              <w:tc>
                <w:tcPr>
                  <w:tcW w:w="1506" w:type="pct"/>
                  <w:tcBorders>
                    <w:top w:val="single" w:color="auto" w:sz="4" w:space="0"/>
                    <w:left w:val="single" w:color="auto" w:sz="4" w:space="0"/>
                    <w:bottom w:val="single" w:color="auto" w:sz="4" w:space="0"/>
                    <w:right w:val="single" w:color="auto" w:sz="4" w:space="0"/>
                  </w:tcBorders>
                  <w:vAlign w:val="center"/>
                </w:tcPr>
                <w:p w14:paraId="38CE89F0">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1、负责新媒体视频的制作和剪辑；</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2、完成或配合制作支队专项工作汇报片、课件等；</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3、懂摄影摄像，必要时可以与摄影摄像轮岗。</w:t>
                  </w:r>
                </w:p>
              </w:tc>
              <w:tc>
                <w:tcPr>
                  <w:tcW w:w="1302" w:type="pct"/>
                  <w:vMerge w:val="continue"/>
                  <w:tcBorders>
                    <w:top w:val="single" w:color="auto" w:sz="4" w:space="0"/>
                    <w:left w:val="single" w:color="auto" w:sz="4" w:space="0"/>
                    <w:bottom w:val="single" w:color="auto" w:sz="4" w:space="0"/>
                    <w:right w:val="single" w:color="auto" w:sz="4" w:space="0"/>
                  </w:tcBorders>
                  <w:vAlign w:val="center"/>
                </w:tcPr>
                <w:p w14:paraId="5FC8B36E">
                  <w:pPr>
                    <w:spacing w:line="324" w:lineRule="auto"/>
                    <w:rPr>
                      <w:rFonts w:hint="eastAsia" w:ascii="宋体" w:hAnsi="宋体" w:eastAsia="宋体" w:cs="宋体"/>
                      <w:color w:val="auto"/>
                      <w:sz w:val="18"/>
                      <w:szCs w:val="18"/>
                      <w:lang w:bidi="ar"/>
                    </w:rPr>
                  </w:pPr>
                </w:p>
              </w:tc>
              <w:tc>
                <w:tcPr>
                  <w:tcW w:w="1185" w:type="pct"/>
                  <w:tcBorders>
                    <w:top w:val="single" w:color="auto" w:sz="4" w:space="0"/>
                    <w:left w:val="single" w:color="auto" w:sz="4" w:space="0"/>
                    <w:bottom w:val="single" w:color="auto" w:sz="4" w:space="0"/>
                    <w:right w:val="single" w:color="auto" w:sz="4" w:space="0"/>
                  </w:tcBorders>
                  <w:vAlign w:val="center"/>
                </w:tcPr>
                <w:p w14:paraId="2831FAE5">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1、完成季度KPI可获得4000元/季度奖金。完成年度任务后获得2000元年终奖励。</w:t>
                  </w:r>
                </w:p>
                <w:p w14:paraId="6980F107">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2、KPI设定：根据五大媒体平台的数据指标拆解到个季度。拍摄制作短视频发布数量不低于600条，所产出作品获得中国消防的青睐推送2次，省级媒体推送5次。</w:t>
                  </w:r>
                </w:p>
              </w:tc>
            </w:tr>
          </w:tbl>
          <w:p w14:paraId="2B4A5191">
            <w:pPr>
              <w:pStyle w:val="9"/>
              <w:spacing w:line="324" w:lineRule="auto"/>
              <w:rPr>
                <w:rFonts w:hint="eastAsia" w:cs="宋体"/>
                <w:color w:val="auto"/>
                <w:kern w:val="2"/>
                <w:sz w:val="21"/>
              </w:rPr>
            </w:pPr>
          </w:p>
          <w:p w14:paraId="4FB17A19">
            <w:pPr>
              <w:pStyle w:val="9"/>
              <w:spacing w:line="324" w:lineRule="auto"/>
              <w:rPr>
                <w:rFonts w:hint="eastAsia" w:cs="宋体"/>
                <w:color w:val="auto"/>
                <w:kern w:val="2"/>
                <w:sz w:val="21"/>
              </w:rPr>
            </w:pPr>
            <w:r>
              <w:rPr>
                <w:rFonts w:hint="eastAsia" w:cs="宋体"/>
                <w:color w:val="auto"/>
                <w:kern w:val="2"/>
                <w:sz w:val="21"/>
              </w:rPr>
              <w:t>2、服务团队其它人员要求如下：</w:t>
            </w:r>
          </w:p>
          <w:p w14:paraId="11F1DC4C">
            <w:pPr>
              <w:pStyle w:val="9"/>
              <w:spacing w:line="324" w:lineRule="auto"/>
              <w:rPr>
                <w:rFonts w:hint="eastAsia" w:cs="宋体"/>
                <w:color w:val="auto"/>
                <w:kern w:val="2"/>
                <w:sz w:val="21"/>
              </w:rPr>
            </w:pPr>
            <w:r>
              <w:rPr>
                <w:rFonts w:hint="eastAsia" w:cs="宋体"/>
                <w:color w:val="auto"/>
                <w:kern w:val="2"/>
                <w:sz w:val="21"/>
              </w:rPr>
              <w:t>对于部分专业技术要求较强、日常工作量较少的岗位实行兼职制。须要提供符合任职资格要求的专业兼职人员，兼职人员共4名，部分兼职人员情况如下：</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2328"/>
              <w:gridCol w:w="3811"/>
            </w:tblGrid>
            <w:tr w14:paraId="47D8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pct"/>
                  <w:tcBorders>
                    <w:top w:val="single" w:color="auto" w:sz="4" w:space="0"/>
                    <w:left w:val="single" w:color="auto" w:sz="4" w:space="0"/>
                    <w:bottom w:val="single" w:color="auto" w:sz="4" w:space="0"/>
                    <w:right w:val="single" w:color="auto" w:sz="4" w:space="0"/>
                  </w:tcBorders>
                  <w:shd w:val="clear" w:color="auto" w:fill="EAEAEA"/>
                  <w:vAlign w:val="center"/>
                </w:tcPr>
                <w:p w14:paraId="07A1D2EF">
                  <w:pPr>
                    <w:spacing w:line="324" w:lineRule="auto"/>
                    <w:jc w:val="center"/>
                    <w:rPr>
                      <w:rFonts w:hint="eastAsia" w:ascii="宋体" w:hAnsi="宋体" w:eastAsia="宋体" w:cs="宋体"/>
                      <w:b/>
                      <w:bCs/>
                      <w:color w:val="auto"/>
                      <w:szCs w:val="21"/>
                    </w:rPr>
                  </w:pPr>
                  <w:r>
                    <w:rPr>
                      <w:rFonts w:hint="eastAsia" w:ascii="宋体" w:hAnsi="宋体" w:eastAsia="宋体" w:cs="宋体"/>
                      <w:b/>
                      <w:bCs/>
                      <w:color w:val="auto"/>
                      <w:szCs w:val="21"/>
                      <w:lang w:bidi="ar"/>
                    </w:rPr>
                    <w:t>兼职岗位</w:t>
                  </w:r>
                </w:p>
              </w:tc>
              <w:tc>
                <w:tcPr>
                  <w:tcW w:w="1442" w:type="pct"/>
                  <w:tcBorders>
                    <w:top w:val="single" w:color="auto" w:sz="4" w:space="0"/>
                    <w:left w:val="single" w:color="auto" w:sz="4" w:space="0"/>
                    <w:bottom w:val="single" w:color="auto" w:sz="4" w:space="0"/>
                    <w:right w:val="single" w:color="auto" w:sz="4" w:space="0"/>
                  </w:tcBorders>
                  <w:shd w:val="clear" w:color="auto" w:fill="EAEAEA"/>
                  <w:vAlign w:val="center"/>
                </w:tcPr>
                <w:p w14:paraId="03F7591B">
                  <w:pPr>
                    <w:spacing w:line="324" w:lineRule="auto"/>
                    <w:jc w:val="center"/>
                    <w:rPr>
                      <w:rFonts w:hint="eastAsia" w:ascii="宋体" w:hAnsi="宋体" w:eastAsia="宋体" w:cs="宋体"/>
                      <w:b/>
                      <w:bCs/>
                      <w:color w:val="auto"/>
                      <w:szCs w:val="21"/>
                    </w:rPr>
                  </w:pPr>
                  <w:r>
                    <w:rPr>
                      <w:rFonts w:hint="eastAsia" w:ascii="宋体" w:hAnsi="宋体" w:eastAsia="宋体" w:cs="宋体"/>
                      <w:b/>
                      <w:bCs/>
                      <w:color w:val="auto"/>
                      <w:szCs w:val="21"/>
                      <w:lang w:bidi="ar"/>
                    </w:rPr>
                    <w:t>主要工作</w:t>
                  </w:r>
                </w:p>
              </w:tc>
              <w:tc>
                <w:tcPr>
                  <w:tcW w:w="2362" w:type="pct"/>
                  <w:tcBorders>
                    <w:top w:val="single" w:color="auto" w:sz="4" w:space="0"/>
                    <w:left w:val="single" w:color="auto" w:sz="4" w:space="0"/>
                    <w:bottom w:val="single" w:color="auto" w:sz="4" w:space="0"/>
                    <w:right w:val="single" w:color="auto" w:sz="4" w:space="0"/>
                  </w:tcBorders>
                  <w:shd w:val="clear" w:color="auto" w:fill="EAEAEA"/>
                  <w:vAlign w:val="center"/>
                </w:tcPr>
                <w:p w14:paraId="45CEF66E">
                  <w:pPr>
                    <w:spacing w:line="324" w:lineRule="auto"/>
                    <w:jc w:val="center"/>
                    <w:rPr>
                      <w:rFonts w:hint="eastAsia" w:ascii="宋体" w:hAnsi="宋体" w:eastAsia="宋体" w:cs="宋体"/>
                      <w:b/>
                      <w:bCs/>
                      <w:color w:val="auto"/>
                      <w:szCs w:val="21"/>
                    </w:rPr>
                  </w:pPr>
                  <w:r>
                    <w:rPr>
                      <w:rFonts w:hint="eastAsia" w:ascii="宋体" w:hAnsi="宋体" w:eastAsia="宋体" w:cs="宋体"/>
                      <w:b/>
                      <w:bCs/>
                      <w:color w:val="auto"/>
                      <w:szCs w:val="21"/>
                      <w:lang w:bidi="ar"/>
                    </w:rPr>
                    <w:t>任职要求</w:t>
                  </w:r>
                </w:p>
              </w:tc>
            </w:tr>
            <w:tr w14:paraId="66BA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5" w:type="pct"/>
                  <w:tcBorders>
                    <w:top w:val="single" w:color="auto" w:sz="4" w:space="0"/>
                    <w:left w:val="single" w:color="auto" w:sz="4" w:space="0"/>
                    <w:bottom w:val="single" w:color="auto" w:sz="4" w:space="0"/>
                    <w:right w:val="single" w:color="auto" w:sz="4" w:space="0"/>
                  </w:tcBorders>
                  <w:vAlign w:val="center"/>
                </w:tcPr>
                <w:p w14:paraId="6F577109">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专业配音（2人，一男一女）</w:t>
                  </w:r>
                </w:p>
              </w:tc>
              <w:tc>
                <w:tcPr>
                  <w:tcW w:w="1442" w:type="pct"/>
                  <w:tcBorders>
                    <w:top w:val="single" w:color="auto" w:sz="4" w:space="0"/>
                    <w:left w:val="single" w:color="auto" w:sz="4" w:space="0"/>
                    <w:bottom w:val="single" w:color="auto" w:sz="4" w:space="0"/>
                    <w:right w:val="single" w:color="auto" w:sz="4" w:space="0"/>
                  </w:tcBorders>
                  <w:vAlign w:val="center"/>
                </w:tcPr>
                <w:p w14:paraId="075E6B3A">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为佛山市消防救援支队的视频节目配音；</w:t>
                  </w:r>
                </w:p>
              </w:tc>
              <w:tc>
                <w:tcPr>
                  <w:tcW w:w="2362" w:type="pct"/>
                  <w:tcBorders>
                    <w:top w:val="single" w:color="auto" w:sz="4" w:space="0"/>
                    <w:left w:val="single" w:color="auto" w:sz="4" w:space="0"/>
                    <w:bottom w:val="single" w:color="auto" w:sz="4" w:space="0"/>
                    <w:right w:val="single" w:color="auto" w:sz="4" w:space="0"/>
                  </w:tcBorders>
                  <w:vAlign w:val="center"/>
                </w:tcPr>
                <w:p w14:paraId="0FFD47EA">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1、广播电视、播音主持、声乐、传媒、影视等相关专业大专以上学历；</w:t>
                  </w:r>
                </w:p>
                <w:p w14:paraId="3D2E9900">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2、普通话标准、持有普通话一级乙等以上资格证书，口齿清晰，音色条件好可塑性高；</w:t>
                  </w:r>
                </w:p>
                <w:p w14:paraId="19B8ED11">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3、有良好的戏感及理解能力；</w:t>
                  </w:r>
                </w:p>
                <w:p w14:paraId="70DA8FAE">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4、约定的配音任务需按时完成。</w:t>
                  </w:r>
                </w:p>
              </w:tc>
            </w:tr>
            <w:tr w14:paraId="2AB0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5" w:type="pct"/>
                  <w:tcBorders>
                    <w:top w:val="single" w:color="auto" w:sz="4" w:space="0"/>
                    <w:left w:val="single" w:color="auto" w:sz="4" w:space="0"/>
                    <w:bottom w:val="single" w:color="auto" w:sz="4" w:space="0"/>
                    <w:right w:val="single" w:color="auto" w:sz="4" w:space="0"/>
                  </w:tcBorders>
                  <w:vAlign w:val="center"/>
                </w:tcPr>
                <w:p w14:paraId="475AAA36">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主持人（2人，一男一女）</w:t>
                  </w:r>
                </w:p>
              </w:tc>
              <w:tc>
                <w:tcPr>
                  <w:tcW w:w="1442" w:type="pct"/>
                  <w:tcBorders>
                    <w:top w:val="single" w:color="auto" w:sz="4" w:space="0"/>
                    <w:left w:val="single" w:color="auto" w:sz="4" w:space="0"/>
                    <w:bottom w:val="single" w:color="auto" w:sz="4" w:space="0"/>
                    <w:right w:val="single" w:color="auto" w:sz="4" w:space="0"/>
                  </w:tcBorders>
                  <w:vAlign w:val="center"/>
                </w:tcPr>
                <w:p w14:paraId="00C4E9F6">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配合活动主持、直播主持、演播室录演的出镜；</w:t>
                  </w:r>
                </w:p>
              </w:tc>
              <w:tc>
                <w:tcPr>
                  <w:tcW w:w="2362" w:type="pct"/>
                  <w:tcBorders>
                    <w:top w:val="single" w:color="auto" w:sz="4" w:space="0"/>
                    <w:left w:val="single" w:color="auto" w:sz="4" w:space="0"/>
                    <w:bottom w:val="single" w:color="auto" w:sz="4" w:space="0"/>
                    <w:right w:val="single" w:color="auto" w:sz="4" w:space="0"/>
                  </w:tcBorders>
                  <w:vAlign w:val="center"/>
                </w:tcPr>
                <w:p w14:paraId="218C2AC0">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1、播音主持、声乐、表演、传媒、影视等相关专业本科以上学历；</w:t>
                  </w:r>
                </w:p>
                <w:p w14:paraId="00B13CE7">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2、普通话标准、持有普通话一级乙等以上资格证书，口齿清晰，音色条件好可塑性高；</w:t>
                  </w:r>
                </w:p>
                <w:p w14:paraId="6B105839">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3、具备敏锐的思维及快速理解、应变能力；</w:t>
                  </w:r>
                </w:p>
                <w:p w14:paraId="594EF450">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4、形象良好，五官端正，品行优良，有责任心，无不良嗜好及负面影响。</w:t>
                  </w:r>
                </w:p>
              </w:tc>
            </w:tr>
          </w:tbl>
          <w:p w14:paraId="1C070FFB">
            <w:pPr>
              <w:pStyle w:val="9"/>
              <w:spacing w:line="324" w:lineRule="auto"/>
              <w:rPr>
                <w:rFonts w:hint="eastAsia" w:ascii="微软雅黑 Light" w:hAnsi="微软雅黑 Light" w:eastAsia="微软雅黑 Light" w:cs="微软雅黑 Light"/>
                <w:color w:val="auto"/>
                <w:sz w:val="24"/>
                <w:szCs w:val="32"/>
              </w:rPr>
            </w:pPr>
          </w:p>
        </w:tc>
      </w:tr>
      <w:tr w14:paraId="0392E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53123A33">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说明</w:t>
            </w:r>
          </w:p>
        </w:tc>
        <w:tc>
          <w:tcPr>
            <w:tcW w:w="8797" w:type="dxa"/>
            <w:gridSpan w:val="2"/>
          </w:tcPr>
          <w:p w14:paraId="7492F874">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 xml:space="preserve">打“★”号条款为实质性条款，若有任何一条负偏离或不满足则导致投标无效。 </w:t>
            </w:r>
          </w:p>
          <w:p w14:paraId="541FF015">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打“▲”号条款为重要技术参数，若有部分“▲”条款未响应或不满足，将导致其响应性评审加重扣分，但不作为无效投标条款。</w:t>
            </w:r>
          </w:p>
        </w:tc>
      </w:tr>
    </w:tbl>
    <w:p w14:paraId="2B9E180C">
      <w:pPr>
        <w:spacing w:line="324" w:lineRule="auto"/>
        <w:rPr>
          <w:rFonts w:ascii="Times New Roman" w:hAnsi="Times New Roman" w:cs="Times New Roman"/>
          <w:b/>
          <w:color w:val="auto"/>
          <w:sz w:val="36"/>
        </w:rPr>
      </w:pPr>
      <w:r>
        <w:rPr>
          <w:rFonts w:ascii="Times New Roman" w:hAnsi="Times New Roman" w:cs="Times New Roman"/>
          <w:b/>
          <w:color w:val="auto"/>
          <w:sz w:val="36"/>
        </w:rPr>
        <w:br w:type="page"/>
      </w:r>
    </w:p>
    <w:p w14:paraId="0CCFEAED">
      <w:pPr>
        <w:pStyle w:val="25"/>
        <w:spacing w:line="324" w:lineRule="auto"/>
        <w:jc w:val="center"/>
        <w:outlineLvl w:val="0"/>
        <w:rPr>
          <w:rFonts w:hint="default" w:ascii="Times New Roman" w:hAnsi="Times New Roman" w:cs="Times New Roman"/>
          <w:color w:val="auto"/>
          <w:sz w:val="28"/>
          <w:szCs w:val="28"/>
        </w:rPr>
      </w:pPr>
      <w:bookmarkStart w:id="16" w:name="_Toc24412"/>
      <w:r>
        <w:rPr>
          <w:rFonts w:hint="default" w:ascii="Times New Roman" w:hAnsi="Times New Roman" w:cs="Times New Roman"/>
          <w:b/>
          <w:color w:val="auto"/>
          <w:sz w:val="28"/>
          <w:szCs w:val="28"/>
        </w:rPr>
        <w:t>第三</w:t>
      </w:r>
      <w:r>
        <w:rPr>
          <w:rFonts w:hint="default" w:ascii="Times New Roman" w:hAnsi="Times New Roman" w:cs="Times New Roman"/>
          <w:b/>
          <w:color w:val="auto"/>
          <w:sz w:val="28"/>
          <w:szCs w:val="28"/>
          <w:lang w:eastAsia="zh-CN"/>
        </w:rPr>
        <w:t>部分</w:t>
      </w:r>
      <w:r>
        <w:rPr>
          <w:rFonts w:hint="default" w:ascii="Times New Roman" w:hAnsi="Times New Roman" w:cs="Times New Roman"/>
          <w:b/>
          <w:color w:val="auto"/>
          <w:sz w:val="28"/>
          <w:szCs w:val="28"/>
        </w:rPr>
        <w:t xml:space="preserve"> 供应商须知</w:t>
      </w:r>
      <w:bookmarkEnd w:id="16"/>
    </w:p>
    <w:p w14:paraId="65CB5B58">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3B55960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请注意：供应商需在响应文件截止时间前，将响应文件</w:t>
      </w:r>
      <w:r>
        <w:rPr>
          <w:rFonts w:ascii="Times New Roman" w:hAnsi="Times New Roman" w:cs="Times New Roman"/>
          <w:color w:val="auto"/>
          <w:sz w:val="21"/>
          <w:szCs w:val="21"/>
          <w:lang w:eastAsia="zh-CN"/>
        </w:rPr>
        <w:t>投递到采购公告中规定地点处</w:t>
      </w:r>
      <w:r>
        <w:rPr>
          <w:rFonts w:hint="default" w:ascii="Times New Roman" w:hAnsi="Times New Roman" w:cs="Times New Roman"/>
          <w:color w:val="auto"/>
          <w:sz w:val="21"/>
          <w:szCs w:val="21"/>
        </w:rPr>
        <w:t>，逾期投递送达将导致响应无效。</w:t>
      </w:r>
    </w:p>
    <w:p w14:paraId="03FD3827">
      <w:pPr>
        <w:pStyle w:val="25"/>
        <w:spacing w:line="324" w:lineRule="auto"/>
        <w:outlineLvl w:val="1"/>
        <w:rPr>
          <w:rFonts w:hint="default" w:ascii="Times New Roman" w:hAnsi="Times New Roman" w:cs="Times New Roman"/>
          <w:color w:val="auto"/>
          <w:sz w:val="24"/>
          <w:szCs w:val="24"/>
        </w:rPr>
      </w:pPr>
      <w:bookmarkStart w:id="17" w:name="_Toc23160"/>
      <w:r>
        <w:rPr>
          <w:rFonts w:hint="default" w:ascii="Times New Roman" w:hAnsi="Times New Roman" w:cs="Times New Roman"/>
          <w:b/>
          <w:color w:val="auto"/>
          <w:sz w:val="24"/>
          <w:szCs w:val="24"/>
        </w:rPr>
        <w:t>一、名词解释</w:t>
      </w:r>
      <w:bookmarkEnd w:id="17"/>
    </w:p>
    <w:p w14:paraId="2E86CB56">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1.采购代理机构：本项目是指</w:t>
      </w:r>
      <w:r>
        <w:rPr>
          <w:rFonts w:hint="default" w:ascii="Times New Roman" w:hAnsi="Times New Roman" w:cs="Times New Roman"/>
          <w:color w:val="auto"/>
          <w:sz w:val="21"/>
          <w:szCs w:val="21"/>
          <w:lang w:eastAsia="zh-CN"/>
        </w:rPr>
        <w:t>广东远东招标代理有限公司</w:t>
      </w:r>
      <w:r>
        <w:rPr>
          <w:rFonts w:hint="default" w:ascii="Times New Roman" w:hAnsi="Times New Roman" w:cs="Times New Roman"/>
          <w:color w:val="auto"/>
          <w:sz w:val="21"/>
          <w:szCs w:val="21"/>
        </w:rPr>
        <w:t>，负责整个采购活动的组织，依法负责编制和发布磋商文件，对磋商文件拥有最终的解释权，不以任何身份出任磋商小组成员。</w:t>
      </w:r>
    </w:p>
    <w:p w14:paraId="6CF36CB6">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2.采购人：本项目是指</w:t>
      </w:r>
      <w:r>
        <w:rPr>
          <w:rFonts w:ascii="Times New Roman" w:hAnsi="Times New Roman" w:cs="Times New Roman"/>
          <w:color w:val="auto"/>
          <w:sz w:val="21"/>
          <w:szCs w:val="21"/>
          <w:lang w:eastAsia="zh-CN"/>
        </w:rPr>
        <w:t>佛山市消防救援支队</w:t>
      </w:r>
      <w:r>
        <w:rPr>
          <w:rFonts w:hint="default" w:ascii="Times New Roman" w:hAnsi="Times New Roman" w:cs="Times New Roman"/>
          <w:color w:val="auto"/>
          <w:sz w:val="21"/>
          <w:szCs w:val="21"/>
        </w:rPr>
        <w:t>，是采购活动当事人之一，负责项目的整体规划、技术方案可行性设计论证与实施，作为合同</w:t>
      </w:r>
      <w:r>
        <w:rPr>
          <w:rFonts w:ascii="Times New Roman" w:hAnsi="Times New Roman" w:cs="Times New Roman"/>
          <w:color w:val="auto"/>
          <w:sz w:val="21"/>
          <w:szCs w:val="21"/>
          <w:lang w:eastAsia="zh-CN"/>
        </w:rPr>
        <w:t>采购人</w:t>
      </w:r>
      <w:r>
        <w:rPr>
          <w:rFonts w:hint="default" w:ascii="Times New Roman" w:hAnsi="Times New Roman" w:cs="Times New Roman"/>
          <w:color w:val="auto"/>
          <w:sz w:val="21"/>
          <w:szCs w:val="21"/>
        </w:rPr>
        <w:t>（用户）的主体承担质疑回复、履行合同、验收与评价等义务。</w:t>
      </w:r>
    </w:p>
    <w:p w14:paraId="7CC5CC8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3.供应商：是指完成本项目响应登记并提交电子响应文件的供应商。</w:t>
      </w:r>
    </w:p>
    <w:p w14:paraId="4E7E75F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4.“磋商小组”是指根据《中华人民共和国政府采购法》等法律法规规定，由采购人代表和有关专家组成以确定成交供应商或者推荐成交候选供应商的临时组织。</w:t>
      </w:r>
    </w:p>
    <w:p w14:paraId="55993274">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5.“成交供应商”是指经磋商小组评审确定的对磋商文件做出实质性响应，经采购人按照规定在磋商小组推荐的成交候选供应商中确定的或磋商小组受采购人委托直接确认的供应商。</w:t>
      </w:r>
    </w:p>
    <w:p w14:paraId="4E863BA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6.磋商文件：是指包括磋商公告和磋商文件及其补充、变更和澄清等一系列文件。</w:t>
      </w:r>
    </w:p>
    <w:p w14:paraId="77F461C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7</w:t>
      </w:r>
      <w:r>
        <w:rPr>
          <w:rFonts w:hint="default" w:ascii="Times New Roman" w:hAnsi="Times New Roman" w:cs="Times New Roman"/>
          <w:color w:val="auto"/>
          <w:sz w:val="21"/>
          <w:szCs w:val="21"/>
        </w:rPr>
        <w:t>.“</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代表签字”及“授权代表”：在投标（响应）文件及相关的其他资料中，涉及“</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代表签字”或“授权代表”应在纸质投标（响应）文件上进行手写签名。</w:t>
      </w:r>
    </w:p>
    <w:p w14:paraId="601327D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8</w:t>
      </w:r>
      <w:r>
        <w:rPr>
          <w:rFonts w:hint="default" w:ascii="Times New Roman" w:hAnsi="Times New Roman" w:cs="Times New Roman"/>
          <w:color w:val="auto"/>
          <w:sz w:val="21"/>
          <w:szCs w:val="21"/>
        </w:rPr>
        <w:t>.“法定代表人”：在投标（响应）文件及相关的其他资料中，涉及“法定代表人”应在纸质投标（响应）文件上进行手写签名。</w:t>
      </w:r>
    </w:p>
    <w:p w14:paraId="4491FEA4">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9</w:t>
      </w:r>
      <w:r>
        <w:rPr>
          <w:rFonts w:hint="default" w:ascii="Times New Roman" w:hAnsi="Times New Roman" w:cs="Times New Roman"/>
          <w:color w:val="auto"/>
          <w:sz w:val="21"/>
          <w:szCs w:val="21"/>
        </w:rPr>
        <w:t>.日期、天数、时间：未有特别说明时，均为公历日（天）及北京时间。</w:t>
      </w:r>
    </w:p>
    <w:p w14:paraId="44BF0199">
      <w:pPr>
        <w:spacing w:line="324" w:lineRule="auto"/>
        <w:rPr>
          <w:rFonts w:ascii="Times New Roman" w:hAnsi="Times New Roman" w:cs="Times New Roman"/>
          <w:b/>
          <w:color w:val="auto"/>
          <w:sz w:val="24"/>
        </w:rPr>
      </w:pPr>
      <w:r>
        <w:rPr>
          <w:rFonts w:ascii="Times New Roman" w:hAnsi="Times New Roman" w:cs="Times New Roman"/>
          <w:b/>
          <w:color w:val="auto"/>
          <w:sz w:val="24"/>
        </w:rPr>
        <w:br w:type="page"/>
      </w:r>
    </w:p>
    <w:p w14:paraId="00A58435">
      <w:pPr>
        <w:pStyle w:val="25"/>
        <w:spacing w:line="324" w:lineRule="auto"/>
        <w:outlineLvl w:val="1"/>
        <w:rPr>
          <w:rFonts w:hint="default" w:ascii="Times New Roman" w:hAnsi="Times New Roman" w:cs="Times New Roman"/>
          <w:color w:val="auto"/>
          <w:sz w:val="24"/>
          <w:szCs w:val="24"/>
        </w:rPr>
      </w:pPr>
      <w:bookmarkStart w:id="18" w:name="_Toc15214"/>
      <w:r>
        <w:rPr>
          <w:rFonts w:hint="default" w:ascii="Times New Roman" w:hAnsi="Times New Roman" w:cs="Times New Roman"/>
          <w:b/>
          <w:color w:val="auto"/>
          <w:sz w:val="24"/>
          <w:szCs w:val="24"/>
        </w:rPr>
        <w:t>二、须知前附表</w:t>
      </w:r>
      <w:bookmarkEnd w:id="18"/>
    </w:p>
    <w:tbl>
      <w:tblPr>
        <w:tblStyle w:val="21"/>
        <w:tblW w:w="920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2529"/>
        <w:gridCol w:w="5951"/>
      </w:tblGrid>
      <w:tr w14:paraId="166DD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05" w:type="dxa"/>
            <w:gridSpan w:val="3"/>
          </w:tcPr>
          <w:p w14:paraId="4249D91D">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本表与磋商文件对应章节的内容若不一致，以本表为准。</w:t>
            </w:r>
          </w:p>
        </w:tc>
      </w:tr>
      <w:tr w14:paraId="4DEA0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vAlign w:val="center"/>
          </w:tcPr>
          <w:p w14:paraId="78325592">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529" w:type="dxa"/>
            <w:vAlign w:val="center"/>
          </w:tcPr>
          <w:p w14:paraId="4EF2E096">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条款名称</w:t>
            </w:r>
          </w:p>
        </w:tc>
        <w:tc>
          <w:tcPr>
            <w:tcW w:w="5951" w:type="dxa"/>
            <w:vAlign w:val="center"/>
          </w:tcPr>
          <w:p w14:paraId="4A9F70A1">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内容及要求</w:t>
            </w:r>
          </w:p>
        </w:tc>
      </w:tr>
      <w:tr w14:paraId="19971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78AF2CF">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529" w:type="dxa"/>
          </w:tcPr>
          <w:p w14:paraId="7CED816C">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采购包情况</w:t>
            </w:r>
          </w:p>
        </w:tc>
        <w:tc>
          <w:tcPr>
            <w:tcW w:w="5951" w:type="dxa"/>
          </w:tcPr>
          <w:p w14:paraId="0FDADD1D">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本项目共1个采购包</w:t>
            </w:r>
          </w:p>
        </w:tc>
      </w:tr>
      <w:tr w14:paraId="7968B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AFE854E">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529" w:type="dxa"/>
          </w:tcPr>
          <w:p w14:paraId="2E03EA6E">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开启方式</w:t>
            </w:r>
          </w:p>
        </w:tc>
        <w:tc>
          <w:tcPr>
            <w:tcW w:w="5951" w:type="dxa"/>
          </w:tcPr>
          <w:p w14:paraId="35BD0F49">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开标现场</w:t>
            </w:r>
            <w:r>
              <w:rPr>
                <w:rFonts w:hint="default" w:ascii="Times New Roman" w:hAnsi="Times New Roman" w:cs="Times New Roman"/>
                <w:color w:val="auto"/>
                <w:sz w:val="21"/>
                <w:szCs w:val="21"/>
                <w:lang w:eastAsia="zh-CN"/>
              </w:rPr>
              <w:t>开启</w:t>
            </w:r>
          </w:p>
        </w:tc>
      </w:tr>
      <w:tr w14:paraId="54169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F7EE731">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529" w:type="dxa"/>
          </w:tcPr>
          <w:p w14:paraId="39821325">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评审方式</w:t>
            </w:r>
          </w:p>
        </w:tc>
        <w:tc>
          <w:tcPr>
            <w:tcW w:w="5951" w:type="dxa"/>
          </w:tcPr>
          <w:p w14:paraId="768073EE">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现场</w:t>
            </w:r>
            <w:r>
              <w:rPr>
                <w:rFonts w:hint="default" w:ascii="Times New Roman" w:hAnsi="Times New Roman" w:cs="Times New Roman"/>
                <w:color w:val="auto"/>
                <w:sz w:val="21"/>
                <w:szCs w:val="21"/>
                <w:lang w:eastAsia="zh-CN"/>
              </w:rPr>
              <w:t>评审</w:t>
            </w:r>
          </w:p>
        </w:tc>
      </w:tr>
      <w:tr w14:paraId="34A71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65F642B">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529" w:type="dxa"/>
          </w:tcPr>
          <w:p w14:paraId="0D5610FC">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评审办法</w:t>
            </w:r>
          </w:p>
        </w:tc>
        <w:tc>
          <w:tcPr>
            <w:tcW w:w="5951" w:type="dxa"/>
          </w:tcPr>
          <w:p w14:paraId="4D62FB56">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综合评分法</w:t>
            </w:r>
          </w:p>
        </w:tc>
      </w:tr>
      <w:tr w14:paraId="76B45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312F230C">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529" w:type="dxa"/>
          </w:tcPr>
          <w:p w14:paraId="0160DBC0">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报价形式</w:t>
            </w:r>
          </w:p>
        </w:tc>
        <w:tc>
          <w:tcPr>
            <w:tcW w:w="5951" w:type="dxa"/>
          </w:tcPr>
          <w:p w14:paraId="2B9A041A">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总价</w:t>
            </w:r>
          </w:p>
        </w:tc>
      </w:tr>
      <w:tr w14:paraId="2BCF3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24978449">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529" w:type="dxa"/>
          </w:tcPr>
          <w:p w14:paraId="736DE214">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报价要求</w:t>
            </w:r>
          </w:p>
        </w:tc>
        <w:tc>
          <w:tcPr>
            <w:tcW w:w="5951" w:type="dxa"/>
          </w:tcPr>
          <w:p w14:paraId="0EB86F6B">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报价不得高于本项目</w:t>
            </w:r>
            <w:r>
              <w:rPr>
                <w:rFonts w:ascii="Times New Roman" w:hAnsi="Times New Roman" w:cs="Times New Roman"/>
                <w:color w:val="auto"/>
                <w:sz w:val="21"/>
                <w:szCs w:val="21"/>
                <w:lang w:eastAsia="zh-CN"/>
              </w:rPr>
              <w:t>的总价最高限价</w:t>
            </w:r>
          </w:p>
        </w:tc>
      </w:tr>
      <w:tr w14:paraId="6BDFC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28C74FC">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529" w:type="dxa"/>
          </w:tcPr>
          <w:p w14:paraId="302D7DAC">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现场踏勘</w:t>
            </w:r>
          </w:p>
        </w:tc>
        <w:tc>
          <w:tcPr>
            <w:tcW w:w="5951" w:type="dxa"/>
          </w:tcPr>
          <w:p w14:paraId="22BD2705">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否</w:t>
            </w:r>
          </w:p>
        </w:tc>
      </w:tr>
      <w:tr w14:paraId="61636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D6ABB03">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529" w:type="dxa"/>
          </w:tcPr>
          <w:p w14:paraId="5D2E3858">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响应有效期</w:t>
            </w:r>
          </w:p>
        </w:tc>
        <w:tc>
          <w:tcPr>
            <w:tcW w:w="5951" w:type="dxa"/>
          </w:tcPr>
          <w:p w14:paraId="63755121">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从提交投标（响应）文件的截止之日起90日历天</w:t>
            </w:r>
          </w:p>
        </w:tc>
      </w:tr>
      <w:tr w14:paraId="67B4E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B877B0C">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2529" w:type="dxa"/>
          </w:tcPr>
          <w:p w14:paraId="591E4FF4">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响应保证金</w:t>
            </w:r>
          </w:p>
        </w:tc>
        <w:tc>
          <w:tcPr>
            <w:tcW w:w="5951" w:type="dxa"/>
          </w:tcPr>
          <w:p w14:paraId="30A24BF8">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无要求</w:t>
            </w:r>
          </w:p>
        </w:tc>
      </w:tr>
      <w:tr w14:paraId="34004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2BEC34E4">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529" w:type="dxa"/>
          </w:tcPr>
          <w:p w14:paraId="372C9688">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成交候选供应商推荐家数</w:t>
            </w:r>
          </w:p>
        </w:tc>
        <w:tc>
          <w:tcPr>
            <w:tcW w:w="5951" w:type="dxa"/>
          </w:tcPr>
          <w:p w14:paraId="32C466CE">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3家</w:t>
            </w:r>
          </w:p>
        </w:tc>
      </w:tr>
      <w:tr w14:paraId="04616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5D10EE7">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2529" w:type="dxa"/>
          </w:tcPr>
          <w:p w14:paraId="590E9666">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成交供应商家数</w:t>
            </w:r>
          </w:p>
        </w:tc>
        <w:tc>
          <w:tcPr>
            <w:tcW w:w="5951" w:type="dxa"/>
          </w:tcPr>
          <w:p w14:paraId="776C3E0B">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1家</w:t>
            </w:r>
          </w:p>
        </w:tc>
      </w:tr>
      <w:tr w14:paraId="62835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2A4C2B1">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2529" w:type="dxa"/>
          </w:tcPr>
          <w:p w14:paraId="589D7E98">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有效供应商家数</w:t>
            </w:r>
          </w:p>
        </w:tc>
        <w:tc>
          <w:tcPr>
            <w:tcW w:w="5951" w:type="dxa"/>
          </w:tcPr>
          <w:p w14:paraId="1C538F0C">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3家</w:t>
            </w:r>
          </w:p>
          <w:p w14:paraId="17D13730">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此人数约定了开启与评审过程中的最低有效供应商家数，当家数不足时项目将不得开启、不得评审或直接终止采购。</w:t>
            </w:r>
          </w:p>
        </w:tc>
      </w:tr>
      <w:tr w14:paraId="41075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93E315F">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2529" w:type="dxa"/>
          </w:tcPr>
          <w:p w14:paraId="29DD3326">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项目兼投兼中（兼投不兼中）规则</w:t>
            </w:r>
          </w:p>
        </w:tc>
        <w:tc>
          <w:tcPr>
            <w:tcW w:w="5951" w:type="dxa"/>
          </w:tcPr>
          <w:p w14:paraId="71FB120D">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r>
      <w:tr w14:paraId="4CDF4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09D12C3F">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2529" w:type="dxa"/>
          </w:tcPr>
          <w:p w14:paraId="6102839D">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成交供应商确定方式</w:t>
            </w:r>
          </w:p>
        </w:tc>
        <w:tc>
          <w:tcPr>
            <w:tcW w:w="5951" w:type="dxa"/>
          </w:tcPr>
          <w:p w14:paraId="427CF261">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采购人按照评审报告中推荐的成交候选人确定成交</w:t>
            </w:r>
            <w:r>
              <w:rPr>
                <w:rFonts w:hint="default" w:ascii="Times New Roman" w:hAnsi="Times New Roman" w:cs="Times New Roman"/>
                <w:color w:val="auto"/>
                <w:sz w:val="21"/>
                <w:szCs w:val="21"/>
                <w:lang w:eastAsia="zh-CN"/>
              </w:rPr>
              <w:t>供应商</w:t>
            </w:r>
            <w:r>
              <w:rPr>
                <w:rFonts w:hint="default" w:ascii="Times New Roman" w:hAnsi="Times New Roman" w:cs="Times New Roman"/>
                <w:color w:val="auto"/>
                <w:sz w:val="21"/>
                <w:szCs w:val="21"/>
              </w:rPr>
              <w:t>。</w:t>
            </w:r>
          </w:p>
        </w:tc>
      </w:tr>
      <w:tr w14:paraId="713D8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2199EAEA">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2529" w:type="dxa"/>
          </w:tcPr>
          <w:p w14:paraId="711B7B30">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代理服务费</w:t>
            </w:r>
          </w:p>
        </w:tc>
        <w:tc>
          <w:tcPr>
            <w:tcW w:w="5951" w:type="dxa"/>
          </w:tcPr>
          <w:p w14:paraId="09F9F4DE">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收取。</w:t>
            </w:r>
          </w:p>
          <w:p w14:paraId="382445BE">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采购机构代理服务收费标准：按国家计委颁布的«招标代理服务收费管理暂行办法»（计价格[2002]1980号）中服务类收费。</w:t>
            </w:r>
          </w:p>
        </w:tc>
      </w:tr>
      <w:tr w14:paraId="1372D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7EC3582">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2529" w:type="dxa"/>
          </w:tcPr>
          <w:p w14:paraId="6259C0E5">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代理服务费收取方式</w:t>
            </w:r>
          </w:p>
        </w:tc>
        <w:tc>
          <w:tcPr>
            <w:tcW w:w="5951" w:type="dxa"/>
          </w:tcPr>
          <w:p w14:paraId="028F6D61">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向成交供应商收取</w:t>
            </w:r>
            <w:r>
              <w:rPr>
                <w:rFonts w:ascii="Times New Roman" w:hAnsi="Times New Roman" w:cs="Times New Roman"/>
                <w:color w:val="auto"/>
                <w:sz w:val="21"/>
                <w:szCs w:val="21"/>
                <w:lang w:eastAsia="zh-CN"/>
              </w:rPr>
              <w:t>。</w:t>
            </w:r>
          </w:p>
        </w:tc>
      </w:tr>
      <w:tr w14:paraId="02E7A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845F812">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2529" w:type="dxa"/>
          </w:tcPr>
          <w:p w14:paraId="071F1EE0">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响应文件要求</w:t>
            </w:r>
          </w:p>
        </w:tc>
        <w:tc>
          <w:tcPr>
            <w:tcW w:w="5951" w:type="dxa"/>
          </w:tcPr>
          <w:p w14:paraId="65F78D1F">
            <w:pPr>
              <w:pStyle w:val="25"/>
              <w:spacing w:line="324"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一、响应文件的递交</w:t>
            </w:r>
          </w:p>
          <w:p w14:paraId="4AFAFB75">
            <w:pPr>
              <w:pStyle w:val="25"/>
              <w:spacing w:line="324" w:lineRule="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供应商应凭以下资料递交响应文件（加盖供应商公章），否则，采购代理机构将有权拒收：</w:t>
            </w:r>
          </w:p>
          <w:p w14:paraId="7482E713">
            <w:pPr>
              <w:pStyle w:val="25"/>
              <w:spacing w:line="324" w:lineRule="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eastAsia="zh-CN"/>
              </w:rPr>
              <w:t>1）</w:t>
            </w:r>
            <w:r>
              <w:rPr>
                <w:rFonts w:hint="default" w:ascii="Times New Roman" w:hAnsi="Times New Roman" w:cs="Times New Roman"/>
                <w:color w:val="auto"/>
                <w:sz w:val="21"/>
                <w:szCs w:val="21"/>
                <w:lang w:val="zh-CN"/>
              </w:rPr>
              <w:t>法定代表人/负责人资格证明书 原件；</w:t>
            </w:r>
          </w:p>
          <w:p w14:paraId="1CCCF5C7">
            <w:pPr>
              <w:pStyle w:val="25"/>
              <w:spacing w:line="324" w:lineRule="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eastAsia="zh-CN"/>
              </w:rPr>
              <w:t>2）</w:t>
            </w:r>
            <w:r>
              <w:rPr>
                <w:rFonts w:hint="default" w:ascii="Times New Roman" w:hAnsi="Times New Roman" w:cs="Times New Roman"/>
                <w:color w:val="auto"/>
                <w:sz w:val="21"/>
                <w:szCs w:val="21"/>
                <w:lang w:val="zh-CN"/>
              </w:rPr>
              <w:t>法定代表人授权书 原件【若法定代表人亲临现场参与投标的，则不需提供】；</w:t>
            </w:r>
          </w:p>
          <w:p w14:paraId="66D989D3">
            <w:pPr>
              <w:pStyle w:val="25"/>
              <w:spacing w:line="324" w:lineRule="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eastAsia="zh-CN"/>
              </w:rPr>
              <w:t>3)</w:t>
            </w:r>
            <w:r>
              <w:rPr>
                <w:rFonts w:hint="default" w:ascii="Times New Roman" w:hAnsi="Times New Roman" w:cs="Times New Roman"/>
                <w:color w:val="auto"/>
                <w:sz w:val="21"/>
                <w:szCs w:val="21"/>
                <w:lang w:val="zh-CN"/>
              </w:rPr>
              <w:t>法定代表人或授权代表本人身份证 原件。</w:t>
            </w:r>
          </w:p>
          <w:p w14:paraId="38ECE5AB">
            <w:pPr>
              <w:pStyle w:val="25"/>
              <w:spacing w:line="324" w:lineRule="auto"/>
              <w:rPr>
                <w:rFonts w:hint="default" w:ascii="Times New Roman" w:hAnsi="Times New Roman" w:cs="Times New Roman"/>
                <w:b/>
                <w:bCs/>
                <w:color w:val="auto"/>
                <w:sz w:val="21"/>
                <w:szCs w:val="21"/>
                <w:lang w:val="zh-CN" w:eastAsia="zh-CN"/>
              </w:rPr>
            </w:pPr>
            <w:r>
              <w:rPr>
                <w:rFonts w:hint="default" w:ascii="Times New Roman" w:hAnsi="Times New Roman" w:cs="Times New Roman"/>
                <w:b/>
                <w:bCs/>
                <w:color w:val="auto"/>
                <w:sz w:val="21"/>
                <w:szCs w:val="21"/>
                <w:lang w:val="zh-CN" w:eastAsia="zh-CN"/>
              </w:rPr>
              <w:t>二、响应文件递交数量</w:t>
            </w:r>
          </w:p>
          <w:p w14:paraId="187199AC">
            <w:pPr>
              <w:pStyle w:val="25"/>
              <w:spacing w:line="324" w:lineRule="auto"/>
              <w:rPr>
                <w:rFonts w:hint="default" w:ascii="Times New Roman" w:hAnsi="Times New Roman" w:cs="Times New Roman"/>
                <w:color w:val="auto"/>
                <w:sz w:val="21"/>
                <w:szCs w:val="21"/>
                <w:lang w:val="en-GB"/>
              </w:rPr>
            </w:pPr>
            <w:r>
              <w:rPr>
                <w:rFonts w:hint="default" w:ascii="Times New Roman" w:hAnsi="Times New Roman" w:cs="Times New Roman"/>
                <w:color w:val="auto"/>
                <w:sz w:val="21"/>
                <w:szCs w:val="21"/>
                <w:lang w:val="en-GB" w:eastAsia="zh-CN"/>
              </w:rPr>
              <w:t>1）</w:t>
            </w:r>
            <w:r>
              <w:rPr>
                <w:rFonts w:hint="default" w:ascii="Times New Roman" w:hAnsi="Times New Roman" w:cs="Times New Roman"/>
                <w:b/>
                <w:bCs/>
                <w:color w:val="auto"/>
                <w:sz w:val="21"/>
                <w:szCs w:val="21"/>
                <w:lang w:val="en-GB"/>
              </w:rPr>
              <w:t>《响应文件》</w:t>
            </w:r>
            <w:r>
              <w:rPr>
                <w:rFonts w:hint="default" w:ascii="Times New Roman" w:hAnsi="Times New Roman" w:cs="Times New Roman"/>
                <w:color w:val="auto"/>
                <w:sz w:val="21"/>
                <w:szCs w:val="21"/>
                <w:lang w:val="en-GB"/>
              </w:rPr>
              <w:t>密封包：一份【内含《响应文件》1份正本和</w:t>
            </w:r>
            <w:r>
              <w:rPr>
                <w:rFonts w:hint="default" w:ascii="Times New Roman" w:hAnsi="Times New Roman" w:cs="Times New Roman"/>
                <w:color w:val="auto"/>
                <w:sz w:val="21"/>
                <w:szCs w:val="21"/>
                <w:lang w:val="zh-CN"/>
              </w:rPr>
              <w:t>2</w:t>
            </w:r>
            <w:r>
              <w:rPr>
                <w:rFonts w:hint="default" w:ascii="Times New Roman" w:hAnsi="Times New Roman" w:cs="Times New Roman"/>
                <w:color w:val="auto"/>
                <w:sz w:val="21"/>
                <w:szCs w:val="21"/>
                <w:lang w:val="en-GB"/>
              </w:rPr>
              <w:t>份副本】；</w:t>
            </w:r>
          </w:p>
          <w:p w14:paraId="7FB9AF3A">
            <w:pPr>
              <w:pStyle w:val="25"/>
              <w:spacing w:line="324" w:lineRule="auto"/>
              <w:rPr>
                <w:rFonts w:hint="default" w:ascii="Times New Roman" w:hAnsi="Times New Roman" w:cs="Times New Roman"/>
                <w:color w:val="auto"/>
                <w:sz w:val="21"/>
                <w:szCs w:val="21"/>
                <w:lang w:val="en-GB"/>
              </w:rPr>
            </w:pPr>
            <w:r>
              <w:rPr>
                <w:rFonts w:hint="default" w:ascii="Times New Roman" w:hAnsi="Times New Roman" w:cs="Times New Roman"/>
                <w:color w:val="auto"/>
                <w:sz w:val="21"/>
                <w:szCs w:val="21"/>
                <w:lang w:val="en-GB" w:eastAsia="zh-CN"/>
              </w:rPr>
              <w:t>2）</w:t>
            </w:r>
            <w:r>
              <w:rPr>
                <w:rFonts w:hint="default" w:ascii="Times New Roman" w:hAnsi="Times New Roman" w:cs="Times New Roman"/>
                <w:b/>
                <w:bCs/>
                <w:color w:val="auto"/>
                <w:sz w:val="21"/>
                <w:szCs w:val="21"/>
                <w:lang w:val="en-GB"/>
              </w:rPr>
              <w:t>唱标信封</w:t>
            </w:r>
            <w:r>
              <w:rPr>
                <w:rFonts w:hint="default" w:ascii="Times New Roman" w:hAnsi="Times New Roman" w:cs="Times New Roman"/>
                <w:color w:val="auto"/>
                <w:sz w:val="21"/>
                <w:szCs w:val="21"/>
                <w:lang w:val="en-GB"/>
              </w:rPr>
              <w:t>密封包：一份【内含《报价汇总表》原件1份，响应文件电子光盘</w:t>
            </w:r>
            <w:r>
              <w:rPr>
                <w:rFonts w:hint="default" w:ascii="Times New Roman" w:hAnsi="Times New Roman" w:cs="Times New Roman"/>
                <w:color w:val="auto"/>
                <w:sz w:val="21"/>
                <w:szCs w:val="21"/>
                <w:lang w:val="zh-CN"/>
              </w:rPr>
              <w:t>/U盘</w:t>
            </w:r>
            <w:r>
              <w:rPr>
                <w:rFonts w:hint="default" w:ascii="Times New Roman" w:hAnsi="Times New Roman" w:cs="Times New Roman"/>
                <w:color w:val="auto"/>
                <w:sz w:val="21"/>
                <w:szCs w:val="21"/>
                <w:lang w:val="en-GB"/>
              </w:rPr>
              <w:t>1份】。</w:t>
            </w:r>
          </w:p>
          <w:p w14:paraId="7F94DAD2">
            <w:pPr>
              <w:pStyle w:val="25"/>
              <w:spacing w:line="324" w:lineRule="auto"/>
              <w:rPr>
                <w:rFonts w:hint="default" w:ascii="Times New Roman" w:hAnsi="Times New Roman" w:cs="Times New Roman"/>
                <w:b/>
                <w:bCs/>
                <w:color w:val="auto"/>
                <w:sz w:val="21"/>
                <w:szCs w:val="21"/>
                <w:lang w:val="en-GB" w:eastAsia="zh-CN"/>
              </w:rPr>
            </w:pPr>
            <w:r>
              <w:rPr>
                <w:rFonts w:hint="default" w:ascii="Times New Roman" w:hAnsi="Times New Roman" w:cs="Times New Roman"/>
                <w:b/>
                <w:bCs/>
                <w:color w:val="auto"/>
                <w:sz w:val="21"/>
                <w:szCs w:val="21"/>
                <w:lang w:val="en-GB" w:eastAsia="zh-CN"/>
              </w:rPr>
              <w:t>三、响应文件的制作要求及密封要求</w:t>
            </w:r>
          </w:p>
          <w:p w14:paraId="7BC8003D">
            <w:pPr>
              <w:pStyle w:val="25"/>
              <w:spacing w:line="324" w:lineRule="auto"/>
              <w:rPr>
                <w:rFonts w:hint="default" w:ascii="Times New Roman" w:hAnsi="Times New Roman" w:cs="Times New Roman"/>
                <w:color w:val="auto"/>
                <w:sz w:val="21"/>
                <w:szCs w:val="21"/>
                <w:lang w:val="en-GB"/>
              </w:rPr>
            </w:pPr>
            <w:r>
              <w:rPr>
                <w:rFonts w:hint="default" w:ascii="Times New Roman" w:hAnsi="Times New Roman" w:cs="Times New Roman"/>
                <w:color w:val="auto"/>
                <w:sz w:val="21"/>
                <w:szCs w:val="21"/>
                <w:lang w:val="en-GB" w:eastAsia="zh-CN"/>
              </w:rPr>
              <w:t>1）</w:t>
            </w:r>
            <w:r>
              <w:rPr>
                <w:rFonts w:hint="default" w:ascii="Times New Roman" w:hAnsi="Times New Roman" w:cs="Times New Roman"/>
                <w:color w:val="auto"/>
                <w:sz w:val="21"/>
                <w:szCs w:val="21"/>
                <w:lang w:val="en-GB"/>
              </w:rPr>
              <w:t>《响应文件》由资格性文件、评审内容索引、商务部分、技术部分、价格部分及其他文件共六部分组成。</w:t>
            </w:r>
          </w:p>
          <w:p w14:paraId="54E2D1C3">
            <w:pPr>
              <w:pStyle w:val="25"/>
              <w:spacing w:line="324" w:lineRule="auto"/>
              <w:rPr>
                <w:rFonts w:hint="default" w:ascii="Times New Roman" w:hAnsi="Times New Roman" w:cs="Times New Roman"/>
                <w:color w:val="auto"/>
                <w:sz w:val="21"/>
                <w:szCs w:val="21"/>
                <w:lang w:val="en-GB"/>
              </w:rPr>
            </w:pPr>
            <w:r>
              <w:rPr>
                <w:rFonts w:hint="default" w:ascii="Times New Roman" w:hAnsi="Times New Roman" w:cs="Times New Roman"/>
                <w:color w:val="auto"/>
                <w:sz w:val="21"/>
                <w:szCs w:val="21"/>
                <w:lang w:val="en-GB" w:eastAsia="zh-CN"/>
              </w:rPr>
              <w:t>2）</w:t>
            </w:r>
            <w:r>
              <w:rPr>
                <w:rFonts w:hint="default" w:ascii="Times New Roman" w:hAnsi="Times New Roman" w:cs="Times New Roman"/>
                <w:color w:val="auto"/>
                <w:sz w:val="21"/>
                <w:szCs w:val="21"/>
                <w:lang w:val="en-GB"/>
              </w:rPr>
              <w:t>《响应文件》的【正本】及所有【副本】的封面及骑缝均须加盖</w:t>
            </w:r>
            <w:r>
              <w:rPr>
                <w:rFonts w:ascii="Times New Roman" w:hAnsi="Times New Roman" w:cs="Times New Roman"/>
                <w:color w:val="auto"/>
                <w:sz w:val="21"/>
                <w:szCs w:val="21"/>
                <w:lang w:val="en-GB" w:eastAsia="zh-CN"/>
              </w:rPr>
              <w:t>成交供应商</w:t>
            </w:r>
            <w:r>
              <w:rPr>
                <w:rFonts w:hint="default" w:ascii="Times New Roman" w:hAnsi="Times New Roman" w:cs="Times New Roman"/>
                <w:color w:val="auto"/>
                <w:sz w:val="21"/>
                <w:szCs w:val="21"/>
                <w:lang w:val="en-GB"/>
              </w:rPr>
              <w:t>公章。</w:t>
            </w:r>
          </w:p>
          <w:p w14:paraId="322B8846">
            <w:pPr>
              <w:pStyle w:val="25"/>
              <w:spacing w:line="324" w:lineRule="auto"/>
              <w:rPr>
                <w:rFonts w:hint="default" w:ascii="Times New Roman" w:hAnsi="Times New Roman" w:cs="Times New Roman"/>
                <w:color w:val="auto"/>
                <w:sz w:val="21"/>
                <w:szCs w:val="21"/>
                <w:lang w:val="en-GB"/>
              </w:rPr>
            </w:pPr>
            <w:r>
              <w:rPr>
                <w:rFonts w:hint="default" w:ascii="Times New Roman" w:hAnsi="Times New Roman" w:cs="Times New Roman"/>
                <w:color w:val="auto"/>
                <w:sz w:val="21"/>
                <w:szCs w:val="21"/>
                <w:lang w:val="en-GB" w:eastAsia="zh-CN"/>
              </w:rPr>
              <w:t>3）</w:t>
            </w:r>
            <w:r>
              <w:rPr>
                <w:rFonts w:hint="default" w:ascii="Times New Roman" w:hAnsi="Times New Roman" w:cs="Times New Roman"/>
                <w:b/>
                <w:bCs/>
                <w:color w:val="auto"/>
                <w:sz w:val="21"/>
                <w:szCs w:val="21"/>
                <w:lang w:val="en-GB"/>
              </w:rPr>
              <w:t>唱标信封必须与响应文件【正、副本】分开单独密封，并应在规定时间内同时递交，每份密封文件应在封口处加盖</w:t>
            </w:r>
            <w:r>
              <w:rPr>
                <w:rFonts w:ascii="Times New Roman" w:hAnsi="Times New Roman" w:cs="Times New Roman"/>
                <w:b/>
                <w:bCs/>
                <w:color w:val="auto"/>
                <w:sz w:val="21"/>
                <w:szCs w:val="21"/>
                <w:lang w:val="en-GB" w:eastAsia="zh-CN"/>
              </w:rPr>
              <w:t>成交供应商</w:t>
            </w:r>
            <w:r>
              <w:rPr>
                <w:rFonts w:hint="default" w:ascii="Times New Roman" w:hAnsi="Times New Roman" w:cs="Times New Roman"/>
                <w:b/>
                <w:bCs/>
                <w:color w:val="auto"/>
                <w:sz w:val="21"/>
                <w:szCs w:val="21"/>
                <w:lang w:val="en-GB"/>
              </w:rPr>
              <w:t>公章。“电子文档”（光盘</w:t>
            </w:r>
            <w:r>
              <w:rPr>
                <w:rFonts w:hint="default" w:ascii="Times New Roman" w:hAnsi="Times New Roman" w:cs="Times New Roman"/>
                <w:b/>
                <w:bCs/>
                <w:color w:val="auto"/>
                <w:sz w:val="21"/>
                <w:szCs w:val="21"/>
                <w:lang w:val="zh-CN"/>
              </w:rPr>
              <w:t>/U盘</w:t>
            </w:r>
            <w:r>
              <w:rPr>
                <w:rFonts w:hint="default" w:ascii="Times New Roman" w:hAnsi="Times New Roman" w:cs="Times New Roman"/>
                <w:b/>
                <w:bCs/>
                <w:color w:val="auto"/>
                <w:sz w:val="21"/>
                <w:szCs w:val="21"/>
                <w:lang w:val="en-GB"/>
              </w:rPr>
              <w:t>）表面须标明</w:t>
            </w:r>
            <w:r>
              <w:rPr>
                <w:rFonts w:ascii="Times New Roman" w:hAnsi="Times New Roman" w:cs="Times New Roman"/>
                <w:b/>
                <w:bCs/>
                <w:color w:val="auto"/>
                <w:sz w:val="21"/>
                <w:szCs w:val="21"/>
                <w:lang w:val="en-GB" w:eastAsia="zh-CN"/>
              </w:rPr>
              <w:t>成交供应商</w:t>
            </w:r>
            <w:r>
              <w:rPr>
                <w:rFonts w:hint="default" w:ascii="Times New Roman" w:hAnsi="Times New Roman" w:cs="Times New Roman"/>
                <w:b/>
                <w:bCs/>
                <w:color w:val="auto"/>
                <w:sz w:val="21"/>
                <w:szCs w:val="21"/>
                <w:lang w:val="en-GB"/>
              </w:rPr>
              <w:t>名称，密封于唱标信封之内。</w:t>
            </w:r>
          </w:p>
          <w:p w14:paraId="529EB0F8">
            <w:pPr>
              <w:pStyle w:val="25"/>
              <w:spacing w:line="324" w:lineRule="auto"/>
              <w:rPr>
                <w:rFonts w:hint="default" w:ascii="Times New Roman" w:hAnsi="Times New Roman" w:cs="Times New Roman"/>
                <w:b/>
                <w:bCs/>
                <w:color w:val="auto"/>
                <w:sz w:val="21"/>
                <w:szCs w:val="21"/>
                <w:lang w:val="zh-CN" w:eastAsia="zh-CN"/>
              </w:rPr>
            </w:pPr>
            <w:r>
              <w:rPr>
                <w:rFonts w:hint="default" w:ascii="Times New Roman" w:hAnsi="Times New Roman" w:cs="Times New Roman"/>
                <w:color w:val="auto"/>
                <w:sz w:val="21"/>
                <w:szCs w:val="21"/>
                <w:lang w:val="en-GB" w:eastAsia="zh-CN"/>
              </w:rPr>
              <w:t>4）</w:t>
            </w:r>
            <w:r>
              <w:rPr>
                <w:rFonts w:hint="default" w:ascii="Times New Roman" w:hAnsi="Times New Roman" w:cs="Times New Roman"/>
                <w:color w:val="auto"/>
                <w:sz w:val="21"/>
                <w:szCs w:val="21"/>
                <w:lang w:val="en-GB"/>
              </w:rPr>
              <w:t>所有密封文件封套正面统一按“文件包装袋封面”格式填写标贴。</w:t>
            </w:r>
          </w:p>
        </w:tc>
      </w:tr>
      <w:tr w14:paraId="61530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A7AAC5F">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2529" w:type="dxa"/>
          </w:tcPr>
          <w:p w14:paraId="03716C51">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其他</w:t>
            </w:r>
          </w:p>
        </w:tc>
        <w:tc>
          <w:tcPr>
            <w:tcW w:w="5951" w:type="dxa"/>
          </w:tcPr>
          <w:p w14:paraId="1E49127E">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w:t>
            </w:r>
          </w:p>
        </w:tc>
      </w:tr>
      <w:tr w14:paraId="52A8F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157B26E">
            <w:pPr>
              <w:pStyle w:val="25"/>
              <w:spacing w:line="324"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19</w:t>
            </w:r>
          </w:p>
        </w:tc>
        <w:tc>
          <w:tcPr>
            <w:tcW w:w="2529" w:type="dxa"/>
          </w:tcPr>
          <w:p w14:paraId="3B3931A0">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专门面向中小企业采购</w:t>
            </w:r>
          </w:p>
        </w:tc>
        <w:tc>
          <w:tcPr>
            <w:tcW w:w="5951" w:type="dxa"/>
          </w:tcPr>
          <w:p w14:paraId="2A781BDF">
            <w:pPr>
              <w:pStyle w:val="25"/>
              <w:spacing w:line="324"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面向中小企业，采购包专门预留</w:t>
            </w:r>
            <w:r>
              <w:rPr>
                <w:rFonts w:ascii="Times New Roman" w:hAnsi="Times New Roman" w:cs="Times New Roman"/>
                <w:color w:val="auto"/>
                <w:sz w:val="21"/>
                <w:szCs w:val="21"/>
                <w:lang w:eastAsia="zh-CN"/>
              </w:rPr>
              <w:t>。</w:t>
            </w:r>
          </w:p>
        </w:tc>
      </w:tr>
    </w:tbl>
    <w:p w14:paraId="119E2E81">
      <w:pPr>
        <w:pStyle w:val="25"/>
        <w:spacing w:line="324" w:lineRule="auto"/>
        <w:outlineLvl w:val="1"/>
        <w:rPr>
          <w:rFonts w:hint="default" w:ascii="Times New Roman" w:hAnsi="Times New Roman" w:cs="Times New Roman"/>
          <w:b/>
          <w:color w:val="auto"/>
          <w:sz w:val="24"/>
          <w:szCs w:val="24"/>
        </w:rPr>
      </w:pPr>
      <w:bookmarkStart w:id="19" w:name="_Toc30236"/>
    </w:p>
    <w:p w14:paraId="1286648B">
      <w:pPr>
        <w:pStyle w:val="25"/>
        <w:spacing w:line="324" w:lineRule="auto"/>
        <w:outlineLvl w:val="1"/>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三、说明</w:t>
      </w:r>
      <w:bookmarkEnd w:id="19"/>
    </w:p>
    <w:p w14:paraId="3D2B05B1">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1.总则</w:t>
      </w:r>
    </w:p>
    <w:p w14:paraId="0521AF8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本磋商文件依据《中华人民共和国政府采购法》、《中华人民共和国政府采购法实施条例》（国务院令第658号）和《政府采购竞争性磋商</w:t>
      </w:r>
      <w:r>
        <w:rPr>
          <w:rFonts w:ascii="Times New Roman" w:hAnsi="Times New Roman" w:cs="Times New Roman"/>
          <w:color w:val="auto"/>
          <w:sz w:val="21"/>
          <w:szCs w:val="21"/>
          <w:lang w:eastAsia="zh-CN"/>
        </w:rPr>
        <w:t>采购方式</w:t>
      </w:r>
      <w:r>
        <w:rPr>
          <w:rFonts w:hint="default" w:ascii="Times New Roman" w:hAnsi="Times New Roman" w:cs="Times New Roman"/>
          <w:color w:val="auto"/>
          <w:sz w:val="21"/>
          <w:szCs w:val="21"/>
        </w:rPr>
        <w:t>管理暂行办法》（财库〔2014〕214号）及国家有关法律、法规、规章制度编制。</w:t>
      </w:r>
    </w:p>
    <w:p w14:paraId="1A503FC3">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供应商应仔细阅读本项目信息公告及磋商文件的所有内容（包括变更、补充、澄清以及修改等，且均为磋商文件的组成部分），按照磋商文件要求以及格式编制响应文件，并保证其真实性，否则一切后果自负。</w:t>
      </w:r>
    </w:p>
    <w:p w14:paraId="389821C5">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本次竞争性磋商项目，是以磋商公告的方式邀请非特定的供应商参加磋商。</w:t>
      </w:r>
    </w:p>
    <w:p w14:paraId="7659A1E9">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2.适用范围</w:t>
      </w:r>
    </w:p>
    <w:p w14:paraId="005DF30D">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本磋商文件仅适用于本次磋商公告中所涉及的项目和内容。</w:t>
      </w:r>
    </w:p>
    <w:p w14:paraId="05E25797">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3.进口产品</w:t>
      </w:r>
    </w:p>
    <w:p w14:paraId="7BB3CFB4">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若本项目允许采购进口产品，供应商应保证所投产品可履行合法报通关手续进入中国关境内。</w:t>
      </w:r>
    </w:p>
    <w:p w14:paraId="76144B0D">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若本项目不允许采购进口产品，如供应商所投产品为进口产品，其响应将被认定为响应无效。</w:t>
      </w:r>
    </w:p>
    <w:p w14:paraId="2BF06D91">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4.磋商费用</w:t>
      </w:r>
    </w:p>
    <w:p w14:paraId="764BFF65">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不论磋商结果如何，供应商应承担所有与准备和参加磋商有关的费用。采购代理机构和采购人均无义务和责任承担相关费用。</w:t>
      </w:r>
    </w:p>
    <w:p w14:paraId="25F40E58">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5.关联企业响应说明</w:t>
      </w:r>
    </w:p>
    <w:p w14:paraId="0F038FD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5</w:t>
      </w:r>
      <w:r>
        <w:rPr>
          <w:rFonts w:hint="default" w:ascii="Times New Roman" w:hAnsi="Times New Roman" w:cs="Times New Roman"/>
          <w:color w:val="auto"/>
          <w:sz w:val="21"/>
          <w:szCs w:val="21"/>
        </w:rPr>
        <w:t>.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55FE451D">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5</w:t>
      </w:r>
      <w:r>
        <w:rPr>
          <w:rFonts w:hint="default" w:ascii="Times New Roman" w:hAnsi="Times New Roman" w:cs="Times New Roman"/>
          <w:color w:val="auto"/>
          <w:sz w:val="21"/>
          <w:szCs w:val="21"/>
        </w:rPr>
        <w:t>.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60FB7866">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lang w:eastAsia="zh-CN"/>
        </w:rPr>
        <w:t>6</w:t>
      </w:r>
      <w:r>
        <w:rPr>
          <w:rFonts w:hint="default" w:ascii="Times New Roman" w:hAnsi="Times New Roman" w:cs="Times New Roman"/>
          <w:b/>
          <w:color w:val="auto"/>
          <w:sz w:val="21"/>
          <w:szCs w:val="21"/>
        </w:rPr>
        <w:t>.关于中小微企业响应</w:t>
      </w:r>
    </w:p>
    <w:p w14:paraId="49730DE6">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2B524F6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219C4BA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107F2A1D">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lang w:eastAsia="zh-CN"/>
        </w:rPr>
        <w:t>7</w:t>
      </w:r>
      <w:r>
        <w:rPr>
          <w:rFonts w:hint="default" w:ascii="Times New Roman" w:hAnsi="Times New Roman" w:cs="Times New Roman"/>
          <w:b/>
          <w:color w:val="auto"/>
          <w:sz w:val="21"/>
          <w:szCs w:val="21"/>
        </w:rPr>
        <w:t>.纪律与保密事项</w:t>
      </w:r>
    </w:p>
    <w:p w14:paraId="06C028F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7</w:t>
      </w:r>
      <w:r>
        <w:rPr>
          <w:rFonts w:hint="default" w:ascii="Times New Roman" w:hAnsi="Times New Roman" w:cs="Times New Roman"/>
          <w:color w:val="auto"/>
          <w:sz w:val="21"/>
          <w:szCs w:val="21"/>
        </w:rPr>
        <w:t>.1供应商不得相互串通磋商报价，不得妨碍其他供应商的公平竞争，不得损害采购人或其他供应商的合法权益，供应商不得以向采购人、磋商小组成员行贿或者采取其他不正当手段谋取成交。</w:t>
      </w:r>
    </w:p>
    <w:p w14:paraId="6AE5A7C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7</w:t>
      </w:r>
      <w:r>
        <w:rPr>
          <w:rFonts w:hint="default" w:ascii="Times New Roman" w:hAnsi="Times New Roman" w:cs="Times New Roman"/>
          <w:color w:val="auto"/>
          <w:sz w:val="21"/>
          <w:szCs w:val="21"/>
        </w:rPr>
        <w:t>.2供应商不得与采购人就响应价格、响应方案等实质性内容进行磋商，也不得私下接触磋商小组成员。</w:t>
      </w:r>
    </w:p>
    <w:p w14:paraId="6C96585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7</w:t>
      </w:r>
      <w:r>
        <w:rPr>
          <w:rFonts w:hint="default" w:ascii="Times New Roman" w:hAnsi="Times New Roman" w:cs="Times New Roman"/>
          <w:color w:val="auto"/>
          <w:sz w:val="21"/>
          <w:szCs w:val="21"/>
        </w:rPr>
        <w:t>.3在确定成交供应商之前，供应商试图在响应文件审查、澄清、比较和评价时对磋商小组、采购人和采购代理机构施加任何影响都可能导致其响应无效。</w:t>
      </w:r>
    </w:p>
    <w:p w14:paraId="5159D9F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7</w:t>
      </w:r>
      <w:r>
        <w:rPr>
          <w:rFonts w:hint="default" w:ascii="Times New Roman" w:hAnsi="Times New Roman" w:cs="Times New Roman"/>
          <w:color w:val="auto"/>
          <w:sz w:val="21"/>
          <w:szCs w:val="21"/>
        </w:rPr>
        <w:t>.4获得本磋商文件者，须履行本磋商项目下保密义务，不得将因本次磋商获得的信息向第三人外传，不得将磋商文件用作本次响应以外的任何用途。</w:t>
      </w:r>
    </w:p>
    <w:p w14:paraId="4EEBF795">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7</w:t>
      </w:r>
      <w:r>
        <w:rPr>
          <w:rFonts w:hint="default" w:ascii="Times New Roman" w:hAnsi="Times New Roman" w:cs="Times New Roman"/>
          <w:color w:val="auto"/>
          <w:sz w:val="21"/>
          <w:szCs w:val="21"/>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5B5A23D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7</w:t>
      </w:r>
      <w:r>
        <w:rPr>
          <w:rFonts w:hint="default" w:ascii="Times New Roman" w:hAnsi="Times New Roman" w:cs="Times New Roman"/>
          <w:color w:val="auto"/>
          <w:sz w:val="21"/>
          <w:szCs w:val="21"/>
        </w:rPr>
        <w:t>.6采购人或采购代理机构有权将供应商提供的所有资料向有关政府部门或询价小组披露。</w:t>
      </w:r>
    </w:p>
    <w:p w14:paraId="6616F9B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7</w:t>
      </w:r>
      <w:r>
        <w:rPr>
          <w:rFonts w:hint="default" w:ascii="Times New Roman" w:hAnsi="Times New Roman" w:cs="Times New Roman"/>
          <w:color w:val="auto"/>
          <w:sz w:val="21"/>
          <w:szCs w:val="21"/>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CD211CF">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lang w:eastAsia="zh-CN"/>
        </w:rPr>
        <w:t>8</w:t>
      </w:r>
      <w:r>
        <w:rPr>
          <w:rFonts w:hint="default" w:ascii="Times New Roman" w:hAnsi="Times New Roman" w:cs="Times New Roman"/>
          <w:b/>
          <w:color w:val="auto"/>
          <w:sz w:val="21"/>
          <w:szCs w:val="21"/>
        </w:rPr>
        <w:t>.语言文字以及度量衡单位</w:t>
      </w:r>
    </w:p>
    <w:p w14:paraId="32106F2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8</w:t>
      </w:r>
      <w:r>
        <w:rPr>
          <w:rFonts w:hint="default" w:ascii="Times New Roman" w:hAnsi="Times New Roman" w:cs="Times New Roman"/>
          <w:color w:val="auto"/>
          <w:sz w:val="21"/>
          <w:szCs w:val="21"/>
        </w:rPr>
        <w:t>.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76576D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8</w:t>
      </w:r>
      <w:r>
        <w:rPr>
          <w:rFonts w:hint="default" w:ascii="Times New Roman" w:hAnsi="Times New Roman" w:cs="Times New Roman"/>
          <w:color w:val="auto"/>
          <w:sz w:val="21"/>
          <w:szCs w:val="21"/>
        </w:rPr>
        <w:t>.2除非磋商文件的技术规格中另有规定，供应商在响应文件中及其与采购人和采购代理机构的所有往来文件中的计量单位均应采用中华人民共和国法定计量单位。</w:t>
      </w:r>
    </w:p>
    <w:p w14:paraId="093D21E8">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8</w:t>
      </w:r>
      <w:r>
        <w:rPr>
          <w:rFonts w:hint="default" w:ascii="Times New Roman" w:hAnsi="Times New Roman" w:cs="Times New Roman"/>
          <w:color w:val="auto"/>
          <w:sz w:val="21"/>
          <w:szCs w:val="21"/>
        </w:rPr>
        <w:t>.3供应商所提供的货物和服务均应以人民币报价，货币单位：元。</w:t>
      </w:r>
    </w:p>
    <w:p w14:paraId="119AB2DC">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lang w:eastAsia="zh-CN"/>
        </w:rPr>
        <w:t>9</w:t>
      </w:r>
      <w:r>
        <w:rPr>
          <w:rFonts w:hint="default" w:ascii="Times New Roman" w:hAnsi="Times New Roman" w:cs="Times New Roman"/>
          <w:b/>
          <w:color w:val="auto"/>
          <w:sz w:val="21"/>
          <w:szCs w:val="21"/>
        </w:rPr>
        <w:t>. 现场踏勘（如有）</w:t>
      </w:r>
    </w:p>
    <w:p w14:paraId="6F116ED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9</w:t>
      </w:r>
      <w:r>
        <w:rPr>
          <w:rFonts w:hint="default" w:ascii="Times New Roman" w:hAnsi="Times New Roman" w:cs="Times New Roman"/>
          <w:color w:val="auto"/>
          <w:sz w:val="21"/>
          <w:szCs w:val="21"/>
        </w:rPr>
        <w:t>.1磋商文件规定组织踏勘现场的，采购人按磋商文件规定的时间、地点组织供应商踏勘项目现场。</w:t>
      </w:r>
    </w:p>
    <w:p w14:paraId="52A4E756">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9</w:t>
      </w:r>
      <w:r>
        <w:rPr>
          <w:rFonts w:hint="default" w:ascii="Times New Roman" w:hAnsi="Times New Roman" w:cs="Times New Roman"/>
          <w:color w:val="auto"/>
          <w:sz w:val="21"/>
          <w:szCs w:val="21"/>
        </w:rPr>
        <w:t>.2供应商自行承担踏勘现场发生的责任、风险和自身费用。</w:t>
      </w:r>
    </w:p>
    <w:p w14:paraId="256D149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9</w:t>
      </w:r>
      <w:r>
        <w:rPr>
          <w:rFonts w:hint="default" w:ascii="Times New Roman" w:hAnsi="Times New Roman" w:cs="Times New Roman"/>
          <w:color w:val="auto"/>
          <w:sz w:val="21"/>
          <w:szCs w:val="21"/>
        </w:rPr>
        <w:t>.3采购人在踏勘现场中介绍的资料和数据等，不构成对磋商文件的修改或不作为供应商编制响应文件的依据。</w:t>
      </w:r>
    </w:p>
    <w:p w14:paraId="542B38FA">
      <w:pPr>
        <w:pStyle w:val="25"/>
        <w:spacing w:line="324" w:lineRule="auto"/>
        <w:ind w:firstLine="480"/>
        <w:rPr>
          <w:rFonts w:hint="default" w:ascii="Times New Roman" w:hAnsi="Times New Roman" w:cs="Times New Roman"/>
          <w:color w:val="auto"/>
          <w:sz w:val="21"/>
          <w:szCs w:val="21"/>
        </w:rPr>
      </w:pPr>
    </w:p>
    <w:p w14:paraId="593D30F9">
      <w:pPr>
        <w:pStyle w:val="25"/>
        <w:spacing w:line="324" w:lineRule="auto"/>
        <w:outlineLvl w:val="1"/>
        <w:rPr>
          <w:rFonts w:hint="default" w:ascii="Times New Roman" w:hAnsi="Times New Roman" w:cs="Times New Roman"/>
          <w:color w:val="auto"/>
          <w:sz w:val="24"/>
          <w:szCs w:val="24"/>
        </w:rPr>
      </w:pPr>
      <w:bookmarkStart w:id="20" w:name="_Toc28688"/>
      <w:r>
        <w:rPr>
          <w:rFonts w:hint="default" w:ascii="Times New Roman" w:hAnsi="Times New Roman" w:cs="Times New Roman"/>
          <w:b/>
          <w:color w:val="auto"/>
          <w:sz w:val="24"/>
          <w:szCs w:val="24"/>
        </w:rPr>
        <w:t>四、磋商文件的澄清和修改</w:t>
      </w:r>
      <w:bookmarkEnd w:id="20"/>
    </w:p>
    <w:p w14:paraId="18517F1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57AADFB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70582B7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3.供应商在规定的时间内未对磋商文件提出疑问、质疑或要求澄清的，将视其为无异议。对磋商文件中描述有歧义或前后不一致的地方，磋商小组有权进行评判，但对同一条款的评判应适用于每个供应商。</w:t>
      </w:r>
    </w:p>
    <w:p w14:paraId="3390BC82">
      <w:pPr>
        <w:pStyle w:val="25"/>
        <w:spacing w:line="324" w:lineRule="auto"/>
        <w:ind w:firstLine="480"/>
        <w:rPr>
          <w:rFonts w:hint="default" w:ascii="Times New Roman" w:hAnsi="Times New Roman" w:cs="Times New Roman"/>
          <w:color w:val="auto"/>
          <w:sz w:val="21"/>
          <w:szCs w:val="21"/>
        </w:rPr>
      </w:pPr>
    </w:p>
    <w:p w14:paraId="1B8B1A61">
      <w:pPr>
        <w:pStyle w:val="25"/>
        <w:spacing w:line="324" w:lineRule="auto"/>
        <w:outlineLvl w:val="1"/>
        <w:rPr>
          <w:rFonts w:hint="default" w:ascii="Times New Roman" w:hAnsi="Times New Roman" w:cs="Times New Roman"/>
          <w:color w:val="auto"/>
          <w:sz w:val="24"/>
          <w:szCs w:val="24"/>
        </w:rPr>
      </w:pPr>
      <w:bookmarkStart w:id="21" w:name="_Toc31787"/>
      <w:r>
        <w:rPr>
          <w:rFonts w:hint="default" w:ascii="Times New Roman" w:hAnsi="Times New Roman" w:cs="Times New Roman"/>
          <w:b/>
          <w:color w:val="auto"/>
          <w:sz w:val="24"/>
          <w:szCs w:val="24"/>
        </w:rPr>
        <w:t>五、响应要求</w:t>
      </w:r>
      <w:bookmarkEnd w:id="21"/>
    </w:p>
    <w:p w14:paraId="110841EE">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1.响应登记</w:t>
      </w:r>
    </w:p>
    <w:p w14:paraId="0A9186A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供应商应</w:t>
      </w:r>
      <w:r>
        <w:rPr>
          <w:rFonts w:hint="default" w:ascii="Times New Roman" w:hAnsi="Times New Roman" w:cs="Times New Roman"/>
          <w:color w:val="auto"/>
          <w:sz w:val="21"/>
          <w:szCs w:val="21"/>
          <w:lang w:eastAsia="zh-CN"/>
        </w:rPr>
        <w:t>按“获取磋商文件”流程</w:t>
      </w:r>
      <w:r>
        <w:rPr>
          <w:rFonts w:hint="default" w:ascii="Times New Roman" w:hAnsi="Times New Roman" w:cs="Times New Roman"/>
          <w:color w:val="auto"/>
          <w:sz w:val="21"/>
          <w:szCs w:val="21"/>
        </w:rPr>
        <w:t>获取磋商文件（未按上述方式获取磋商文件的供应商，其响应资格将被视为无效）。</w:t>
      </w:r>
    </w:p>
    <w:p w14:paraId="6078968D">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2.响应文件的制作</w:t>
      </w:r>
    </w:p>
    <w:p w14:paraId="68BA01D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2.1响应文件由资格性文件、评审内容索引、商务部分、技术部分、价格部分、其他文件共六部分组成，具体按采购文件中第五部分“响应文件格式”的要求以A4版面统一编制。</w:t>
      </w:r>
    </w:p>
    <w:p w14:paraId="5773CD8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2.2响应文件的制作、不同文字文本的释义均以简体中文文本为准，重要的外文资料须附有中文译注。</w:t>
      </w:r>
    </w:p>
    <w:p w14:paraId="2931D8B6">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2.3响应文件所使用的公章必须为机构公章，且与参与磋商与报价的供应商名称一致，不能以其它业务章或附属机构章代替。需签名之处必须由当事人亲笔签署。</w:t>
      </w:r>
    </w:p>
    <w:p w14:paraId="4AA543E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响应承诺函》、《法定代表人/法定负责人证明书》、《法定代表人/法定负责人授权书》、《具有履行合同所必需的设备和专业技术能力的承诺》、《参与采购活动前三年内在经营活动中没有重大违法记录的书面声明函》的格式内容不允许擅自删改。</w:t>
      </w:r>
    </w:p>
    <w:p w14:paraId="0FA5B28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2.5响应文件自制部分必须打印，每份内页须按序加注页码，整册装订牢固可靠且不能轻易脱落。如因装订问题而出现漏页或缺页，由此产生的一切后果由供应商自行承担。</w:t>
      </w:r>
    </w:p>
    <w:p w14:paraId="62EC01F2">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eastAsia="zh-CN"/>
        </w:rPr>
        <w:t>6</w:t>
      </w:r>
      <w:r>
        <w:rPr>
          <w:rFonts w:hint="default" w:ascii="Times New Roman" w:hAnsi="Times New Roman" w:cs="Times New Roman"/>
          <w:color w:val="auto"/>
          <w:sz w:val="21"/>
          <w:szCs w:val="21"/>
        </w:rPr>
        <w:t>任何行间插字、涂改和增删，必须由供应商授权代表在旁边签字或加盖供应商公章后方为有效。</w:t>
      </w:r>
    </w:p>
    <w:p w14:paraId="0F5B9A86">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2.7响应文件应包含正本、副本。唱标报价信封须和正本、副本分开单独密封并同时递交。包装文件的封口处须加盖供应商公章或授权代表签名，每一份响应文件上应明确注明“正本”或“副本”字样。</w:t>
      </w:r>
    </w:p>
    <w:p w14:paraId="33BDC8A3">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2.8所有密封文件封套正面统一按“响应文件包装袋封面”格式填写标贴。</w:t>
      </w:r>
    </w:p>
    <w:p w14:paraId="45F3271D">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2.9采购机构有权拒绝接受报价的情形：以电报、电话传真形式响应；密封、数量、规格、册装不合要求或逾期提交的响应文件；不按要求提供重要物证资料；不按时交纳足额磋商保证金。</w:t>
      </w:r>
    </w:p>
    <w:p w14:paraId="1A9F6204">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3.响应报价</w:t>
      </w:r>
    </w:p>
    <w:p w14:paraId="52B7776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任何报价是以参与磋商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14:paraId="197920B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3.2对超出常规、具有特别意义的报价，或报价明显低于成本价或高于同业同期市场平均价时须作出重点说明，详述其理由和依据。</w:t>
      </w:r>
    </w:p>
    <w:p w14:paraId="57FA36E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3.3在提交首次响应文件时间截止后至响应有效期截止前的任何报价为固定不变价，此报价将作为评审的重要依据之一，但并不是确定</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的唯一依据。</w:t>
      </w:r>
    </w:p>
    <w:p w14:paraId="62ED1E01">
      <w:pPr>
        <w:pStyle w:val="25"/>
        <w:spacing w:line="324" w:lineRule="auto"/>
        <w:ind w:firstLine="48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3.4响应报价提出有折扣优惠者，以折扣后的最终优惠价为准。</w:t>
      </w:r>
    </w:p>
    <w:p w14:paraId="3C7611BF">
      <w:pPr>
        <w:pStyle w:val="25"/>
        <w:spacing w:line="324"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4.响应文件差异修正准则</w:t>
      </w:r>
    </w:p>
    <w:p w14:paraId="3EC3E421">
      <w:pPr>
        <w:pStyle w:val="25"/>
        <w:spacing w:line="324" w:lineRule="auto"/>
        <w:ind w:firstLine="420" w:firstLineChars="200"/>
        <w:rPr>
          <w:rFonts w:hint="default" w:ascii="Times New Roman" w:hAnsi="Times New Roman" w:cs="Times New Roman"/>
          <w:b/>
          <w:color w:val="auto"/>
          <w:sz w:val="21"/>
          <w:szCs w:val="21"/>
        </w:rPr>
      </w:pPr>
      <w:r>
        <w:rPr>
          <w:rFonts w:hint="default" w:ascii="Times New Roman" w:hAnsi="Times New Roman" w:cs="Times New Roman"/>
          <w:bCs/>
          <w:color w:val="auto"/>
          <w:sz w:val="21"/>
          <w:szCs w:val="21"/>
        </w:rPr>
        <w:t>响应文件出现差异时，修正原则如下：</w:t>
      </w:r>
    </w:p>
    <w:p w14:paraId="04AFBCD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4.1公开唱读内容与响应文件对应内容不一致，均以公开唱读内容为准。正本和副本之间内容有差异，以正本为准；</w:t>
      </w:r>
    </w:p>
    <w:p w14:paraId="583AF587">
      <w:pPr>
        <w:pStyle w:val="25"/>
        <w:spacing w:line="324" w:lineRule="auto"/>
        <w:ind w:firstLine="48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4.2响应文件描述内容与原始材料引述内容不一致时，以原始材料内容为准；</w:t>
      </w:r>
    </w:p>
    <w:p w14:paraId="7E69C059">
      <w:pPr>
        <w:pStyle w:val="25"/>
        <w:spacing w:line="324" w:lineRule="auto"/>
        <w:ind w:firstLine="48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4.3对出现以上情况或因明显笔误而需修正任何内容时，均以磋商小组审定通过方为有效；</w:t>
      </w:r>
    </w:p>
    <w:p w14:paraId="23FCD207">
      <w:pPr>
        <w:pStyle w:val="25"/>
        <w:spacing w:line="324" w:lineRule="auto"/>
        <w:ind w:firstLine="48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4.4磋商小组认定为表述不清晰或无法确定的报价均不予修正。</w:t>
      </w:r>
    </w:p>
    <w:p w14:paraId="259B311F">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5.磋商保证金（本项目不适用）</w:t>
      </w:r>
    </w:p>
    <w:p w14:paraId="78D0F82D">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lang w:eastAsia="zh-CN"/>
        </w:rPr>
        <w:t>6</w:t>
      </w:r>
      <w:r>
        <w:rPr>
          <w:rFonts w:hint="default" w:ascii="Times New Roman" w:hAnsi="Times New Roman" w:cs="Times New Roman"/>
          <w:b/>
          <w:color w:val="auto"/>
          <w:sz w:val="21"/>
          <w:szCs w:val="21"/>
        </w:rPr>
        <w:t>.响应有效期</w:t>
      </w:r>
    </w:p>
    <w:p w14:paraId="0AB819C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6</w:t>
      </w:r>
      <w:r>
        <w:rPr>
          <w:rFonts w:hint="default" w:ascii="Times New Roman" w:hAnsi="Times New Roman" w:cs="Times New Roman"/>
          <w:color w:val="auto"/>
          <w:sz w:val="21"/>
          <w:szCs w:val="21"/>
        </w:rPr>
        <w:t>.1响应有效期内供应商撤销响应文件的，采购人或者采购代理机构可以不退还响应保证金（如有）。采用响应保函方式替代保证金的，采购人或者采购代理机构可以向担保机构索赔保证金。</w:t>
      </w:r>
    </w:p>
    <w:p w14:paraId="0C3ADA05">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6</w:t>
      </w:r>
      <w:r>
        <w:rPr>
          <w:rFonts w:hint="default" w:ascii="Times New Roman" w:hAnsi="Times New Roman" w:cs="Times New Roman"/>
          <w:color w:val="auto"/>
          <w:sz w:val="21"/>
          <w:szCs w:val="21"/>
        </w:rPr>
        <w:t>.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34E4EDAF">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8.样品（演示）</w:t>
      </w:r>
    </w:p>
    <w:p w14:paraId="300F014A">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8.1磋商文件规定供应商提交样品的，样品属于响应文件的组成部分。样品的生产、运输、安装、保全等一切费用由供应商自理。</w:t>
      </w:r>
    </w:p>
    <w:p w14:paraId="1E61F70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8.2递交响应文件截止时间前，供应商应将样品送达至指定地点。若需要现场演示的，供应商应提前做好演示准备（包括演示设备）。</w:t>
      </w:r>
    </w:p>
    <w:p w14:paraId="408216F4">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13E0BB00">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9.除磋商文件另有规定外，有下列情形之一的，响应无效：</w:t>
      </w:r>
    </w:p>
    <w:p w14:paraId="0579D8B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9.1响应文件未按照磋商文件要求签署、盖章；</w:t>
      </w:r>
    </w:p>
    <w:p w14:paraId="43C0403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9.2不符合磋商文件中规定的资格要求；</w:t>
      </w:r>
    </w:p>
    <w:p w14:paraId="1FD2289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9.3磋商报价超过磋商文件中规定的预算金额或最高限价；</w:t>
      </w:r>
    </w:p>
    <w:p w14:paraId="1497082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9.4响应文件含有采购人不能接受的附加条件；</w:t>
      </w:r>
    </w:p>
    <w:p w14:paraId="6DCDF146">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9.5有关法律、法规和规章及磋商文件规定的其他无效情形。</w:t>
      </w:r>
    </w:p>
    <w:p w14:paraId="49280D28">
      <w:pPr>
        <w:pStyle w:val="25"/>
        <w:spacing w:line="324" w:lineRule="auto"/>
        <w:outlineLvl w:val="1"/>
        <w:rPr>
          <w:rFonts w:hint="default" w:ascii="Times New Roman" w:hAnsi="Times New Roman" w:cs="Times New Roman"/>
          <w:color w:val="auto"/>
          <w:sz w:val="24"/>
          <w:szCs w:val="24"/>
        </w:rPr>
      </w:pPr>
      <w:bookmarkStart w:id="22" w:name="_Toc16931"/>
      <w:r>
        <w:rPr>
          <w:rFonts w:hint="default" w:ascii="Times New Roman" w:hAnsi="Times New Roman" w:cs="Times New Roman"/>
          <w:b/>
          <w:color w:val="auto"/>
          <w:sz w:val="24"/>
          <w:szCs w:val="24"/>
        </w:rPr>
        <w:t>六、磋商、评审和结果确定</w:t>
      </w:r>
      <w:bookmarkEnd w:id="22"/>
    </w:p>
    <w:p w14:paraId="32825AE3">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1.响应文件的开启</w:t>
      </w:r>
    </w:p>
    <w:p w14:paraId="3FDDC77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1.1异议</w:t>
      </w:r>
    </w:p>
    <w:p w14:paraId="3CC6C86A">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供应商代表对开启过程和开启记录有疑义，以及认为采购人、采购代理机构相关工作人员有需要回避的情形的，应当场提出询问或者回避申请。供应商未参加开启的，视同认可开启结果。</w:t>
      </w:r>
    </w:p>
    <w:p w14:paraId="7D32A809">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2.评审（详见第四章）</w:t>
      </w:r>
    </w:p>
    <w:p w14:paraId="4CB6902E">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3.成交</w:t>
      </w:r>
    </w:p>
    <w:p w14:paraId="168BFEA2">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成交结果公告：</w:t>
      </w:r>
    </w:p>
    <w:p w14:paraId="5ADBF324">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成交供应商确定之日起2个工作日内，采购人或采购代理机构将在</w:t>
      </w:r>
      <w:r>
        <w:rPr>
          <w:rFonts w:hint="default" w:ascii="Times New Roman" w:hAnsi="Times New Roman" w:cs="Times New Roman"/>
          <w:color w:val="auto"/>
          <w:sz w:val="21"/>
          <w:szCs w:val="21"/>
          <w:lang w:eastAsia="zh-CN"/>
        </w:rPr>
        <w:t>相关网站</w:t>
      </w:r>
      <w:r>
        <w:rPr>
          <w:rFonts w:hint="default" w:ascii="Times New Roman" w:hAnsi="Times New Roman" w:cs="Times New Roman"/>
          <w:color w:val="auto"/>
          <w:sz w:val="21"/>
          <w:szCs w:val="21"/>
        </w:rPr>
        <w:t>以公告的形式发布成交结果，结果公告的公告期限为 1 个工作日。结果公告同时作为采购代理机构通知除成交供应商外的其他供应商没有成交的书面形式，采购代理机构不再以其它方式另行通知。</w:t>
      </w:r>
    </w:p>
    <w:p w14:paraId="79C6C937">
      <w:pPr>
        <w:pStyle w:val="25"/>
        <w:spacing w:line="324" w:lineRule="auto"/>
        <w:outlineLvl w:val="1"/>
        <w:rPr>
          <w:rFonts w:hint="default" w:ascii="Times New Roman" w:hAnsi="Times New Roman" w:cs="Times New Roman"/>
          <w:color w:val="auto"/>
          <w:sz w:val="21"/>
          <w:szCs w:val="21"/>
        </w:rPr>
      </w:pPr>
      <w:bookmarkStart w:id="23" w:name="_Toc26837"/>
      <w:r>
        <w:rPr>
          <w:rFonts w:hint="default" w:ascii="Times New Roman" w:hAnsi="Times New Roman" w:cs="Times New Roman"/>
          <w:b/>
          <w:color w:val="auto"/>
          <w:sz w:val="21"/>
          <w:szCs w:val="21"/>
        </w:rPr>
        <w:t>七、询问、质疑与投诉</w:t>
      </w:r>
      <w:bookmarkEnd w:id="23"/>
    </w:p>
    <w:p w14:paraId="6CCEE18D">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1.询问</w:t>
      </w:r>
    </w:p>
    <w:p w14:paraId="58335A56">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3C30E4F8">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2.质疑</w:t>
      </w:r>
    </w:p>
    <w:p w14:paraId="2EDCB213">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BCB6DC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（1）对磋商文件提出质疑的，为获取磋商文件之日或者磋商文件公告期限届满之日；</w:t>
      </w:r>
    </w:p>
    <w:p w14:paraId="2B28C71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（2）对采购过程提出质疑的，为各采购程序环节结束之日；</w:t>
      </w:r>
    </w:p>
    <w:p w14:paraId="2F009FB4">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（3）对成交结果提出质疑的，为成交结果公告期限届满之日。</w:t>
      </w:r>
    </w:p>
    <w:p w14:paraId="010B3FB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2.2质疑函应当包括下列主要内容：</w:t>
      </w:r>
    </w:p>
    <w:p w14:paraId="0AC691D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（1）质疑供应商和相关供应商的名称、地址、邮编、联系人及联系电话等；</w:t>
      </w:r>
    </w:p>
    <w:p w14:paraId="413AF43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（2）质疑项目名称及编号、具体明确的质疑事项和与质疑事项相关的请求；</w:t>
      </w:r>
    </w:p>
    <w:p w14:paraId="47FE00E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（3）认为磋商文件、采购过程和成交结果使自己的合法权益受到损害的法律依据、事实依据、相关证明材料及证据来源；</w:t>
      </w:r>
    </w:p>
    <w:p w14:paraId="46C9659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（4）提出质疑的日期。</w:t>
      </w:r>
    </w:p>
    <w:p w14:paraId="556345D8">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2.3质疑函应当署名。质疑供应商为自然人的，应当由本人签字；质疑供应商为法人或者其他组织的，应当由法定代表人、主要负责人，或者其授权代表签字或者盖章，并加盖公章。</w:t>
      </w:r>
    </w:p>
    <w:p w14:paraId="389883C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2.4以联合体形式参加政府采购活动的，其质疑应当由联合体成员委托主体提出。</w:t>
      </w:r>
    </w:p>
    <w:p w14:paraId="636BE993">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16DB3CC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2.6质疑联系方式如下：</w:t>
      </w:r>
    </w:p>
    <w:p w14:paraId="727859AD">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质疑联系人：</w:t>
      </w:r>
      <w:r>
        <w:rPr>
          <w:rFonts w:ascii="Times New Roman" w:hAnsi="Times New Roman" w:cs="Times New Roman"/>
          <w:color w:val="auto"/>
          <w:sz w:val="21"/>
          <w:szCs w:val="21"/>
          <w:lang w:eastAsia="zh-CN"/>
        </w:rPr>
        <w:t>李</w:t>
      </w:r>
      <w:r>
        <w:rPr>
          <w:rFonts w:hint="default" w:ascii="Times New Roman" w:hAnsi="Times New Roman" w:cs="Times New Roman"/>
          <w:color w:val="auto"/>
          <w:sz w:val="21"/>
          <w:szCs w:val="21"/>
        </w:rPr>
        <w:t>先生</w:t>
      </w:r>
    </w:p>
    <w:p w14:paraId="6A55CA3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电话：0757-83332518</w:t>
      </w:r>
    </w:p>
    <w:p w14:paraId="4A4FA6D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传真：0757-83332578</w:t>
      </w:r>
    </w:p>
    <w:p w14:paraId="764CBA5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邮箱：zgydfs@126.com</w:t>
      </w:r>
    </w:p>
    <w:p w14:paraId="13B9E1A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地址：佛山市禅城区季华五路10号金融广场17楼A区之一</w:t>
      </w:r>
    </w:p>
    <w:p w14:paraId="5BAD656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邮编：528000</w:t>
      </w:r>
    </w:p>
    <w:p w14:paraId="31F16F4E">
      <w:pPr>
        <w:pStyle w:val="25"/>
        <w:spacing w:line="324" w:lineRule="auto"/>
        <w:ind w:firstLine="480"/>
        <w:rPr>
          <w:rFonts w:hint="default" w:ascii="Times New Roman" w:hAnsi="Times New Roman" w:cs="Times New Roman"/>
          <w:color w:val="auto"/>
          <w:sz w:val="21"/>
          <w:szCs w:val="21"/>
        </w:rPr>
      </w:pPr>
    </w:p>
    <w:p w14:paraId="510749D0">
      <w:pPr>
        <w:pStyle w:val="25"/>
        <w:spacing w:line="324" w:lineRule="auto"/>
        <w:outlineLvl w:val="1"/>
        <w:rPr>
          <w:rFonts w:hint="default" w:ascii="Times New Roman" w:hAnsi="Times New Roman" w:cs="Times New Roman"/>
          <w:color w:val="auto"/>
          <w:sz w:val="24"/>
          <w:szCs w:val="24"/>
        </w:rPr>
      </w:pPr>
      <w:bookmarkStart w:id="24" w:name="_Toc9375"/>
      <w:r>
        <w:rPr>
          <w:rFonts w:hint="default" w:ascii="Times New Roman" w:hAnsi="Times New Roman" w:cs="Times New Roman"/>
          <w:b/>
          <w:color w:val="auto"/>
          <w:sz w:val="24"/>
          <w:szCs w:val="24"/>
        </w:rPr>
        <w:t>八、合同签订和履行</w:t>
      </w:r>
      <w:bookmarkEnd w:id="24"/>
    </w:p>
    <w:p w14:paraId="59C6ED96">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1.合同签订</w:t>
      </w:r>
    </w:p>
    <w:p w14:paraId="16AE91C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1.1采购人应当自《成交通知书》发出之日起三十日内，按照磋商文件和成交供应商响应文件的约定，与成交供应商签订合同。所签订的合同不得对磋商文件和成交供应商响应文件作实质性修改。</w:t>
      </w:r>
    </w:p>
    <w:p w14:paraId="6F15F7C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1.2采购人不得提出试用合格等任何不合理的要求作为签订合同的条件，且不得与成交供应商私下订立背离合同实质性内容的协议。</w:t>
      </w:r>
    </w:p>
    <w:p w14:paraId="691D81A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1.3合同条款中应规定，乙方完全遵守《中华人民共和国劳动合同法》有关规定和《中华人民共和国妇女权益保障法》中关于“劳动和社会保障权益”的有关要求。</w:t>
      </w:r>
    </w:p>
    <w:p w14:paraId="2089B281">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2.合同的履行</w:t>
      </w:r>
    </w:p>
    <w:p w14:paraId="276DCF64">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2.1采购合同订立后，合同各方不得擅自变更、中止或者终止合同。采购合同需要变更的，采购人应签订</w:t>
      </w:r>
      <w:r>
        <w:rPr>
          <w:rFonts w:hint="default" w:ascii="Times New Roman" w:hAnsi="Times New Roman" w:cs="Times New Roman"/>
          <w:color w:val="auto"/>
          <w:sz w:val="21"/>
          <w:szCs w:val="21"/>
          <w:lang w:eastAsia="zh-CN"/>
        </w:rPr>
        <w:t>补充合同</w:t>
      </w:r>
      <w:r>
        <w:rPr>
          <w:rFonts w:hint="default" w:ascii="Times New Roman" w:hAnsi="Times New Roman" w:cs="Times New Roman"/>
          <w:color w:val="auto"/>
          <w:sz w:val="21"/>
          <w:szCs w:val="21"/>
        </w:rPr>
        <w:t>。</w:t>
      </w:r>
    </w:p>
    <w:p w14:paraId="3A0180A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2.2采购合同履行中，采购人需追加与合同标的相同的货物、工程或者服务的，在不改变合同其他条款的前提下，可以与成交供应商签订补充合同，但所补充合同的采购金额不得超过原采购金额的10%。</w:t>
      </w:r>
    </w:p>
    <w:p w14:paraId="40D1F19E">
      <w:pPr>
        <w:spacing w:line="324" w:lineRule="auto"/>
        <w:rPr>
          <w:rFonts w:ascii="Times New Roman" w:hAnsi="Times New Roman" w:cs="Times New Roman"/>
          <w:b/>
          <w:color w:val="auto"/>
          <w:szCs w:val="21"/>
        </w:rPr>
      </w:pPr>
      <w:r>
        <w:rPr>
          <w:rFonts w:ascii="Times New Roman" w:hAnsi="Times New Roman" w:cs="Times New Roman"/>
          <w:b/>
          <w:color w:val="auto"/>
          <w:szCs w:val="21"/>
        </w:rPr>
        <w:br w:type="page"/>
      </w:r>
    </w:p>
    <w:p w14:paraId="34D6BD1E">
      <w:pPr>
        <w:pStyle w:val="25"/>
        <w:spacing w:line="324" w:lineRule="auto"/>
        <w:jc w:val="center"/>
        <w:outlineLvl w:val="0"/>
        <w:rPr>
          <w:rFonts w:hint="default" w:ascii="Times New Roman" w:hAnsi="Times New Roman" w:cs="Times New Roman"/>
          <w:color w:val="auto"/>
          <w:sz w:val="28"/>
          <w:szCs w:val="28"/>
        </w:rPr>
      </w:pPr>
      <w:bookmarkStart w:id="25" w:name="_Toc21650"/>
      <w:r>
        <w:rPr>
          <w:rFonts w:hint="default" w:ascii="Times New Roman" w:hAnsi="Times New Roman" w:cs="Times New Roman"/>
          <w:b/>
          <w:color w:val="auto"/>
          <w:sz w:val="28"/>
          <w:szCs w:val="28"/>
        </w:rPr>
        <w:t>第四</w:t>
      </w:r>
      <w:r>
        <w:rPr>
          <w:rFonts w:hint="default" w:ascii="Times New Roman" w:hAnsi="Times New Roman" w:cs="Times New Roman"/>
          <w:b/>
          <w:color w:val="auto"/>
          <w:sz w:val="28"/>
          <w:szCs w:val="28"/>
          <w:lang w:eastAsia="zh-CN"/>
        </w:rPr>
        <w:t>部分</w:t>
      </w:r>
      <w:r>
        <w:rPr>
          <w:rFonts w:hint="default" w:ascii="Times New Roman" w:hAnsi="Times New Roman" w:cs="Times New Roman"/>
          <w:b/>
          <w:color w:val="auto"/>
          <w:sz w:val="28"/>
          <w:szCs w:val="28"/>
        </w:rPr>
        <w:t xml:space="preserve"> 评审</w:t>
      </w:r>
      <w:bookmarkEnd w:id="25"/>
    </w:p>
    <w:p w14:paraId="2E298A58">
      <w:pPr>
        <w:pStyle w:val="25"/>
        <w:spacing w:line="324" w:lineRule="auto"/>
        <w:outlineLvl w:val="1"/>
        <w:rPr>
          <w:rFonts w:hint="default" w:ascii="Times New Roman" w:hAnsi="Times New Roman" w:cs="Times New Roman"/>
          <w:color w:val="auto"/>
          <w:sz w:val="24"/>
          <w:szCs w:val="24"/>
        </w:rPr>
      </w:pPr>
      <w:bookmarkStart w:id="26" w:name="_Toc504"/>
      <w:r>
        <w:rPr>
          <w:rFonts w:hint="default" w:ascii="Times New Roman" w:hAnsi="Times New Roman" w:cs="Times New Roman"/>
          <w:b/>
          <w:color w:val="auto"/>
          <w:sz w:val="24"/>
          <w:szCs w:val="24"/>
        </w:rPr>
        <w:t>一、评审要求</w:t>
      </w:r>
      <w:bookmarkEnd w:id="26"/>
    </w:p>
    <w:p w14:paraId="0FDBEEA7">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1.评审方法</w:t>
      </w:r>
    </w:p>
    <w:p w14:paraId="304382CD">
      <w:pPr>
        <w:pStyle w:val="25"/>
        <w:spacing w:line="324" w:lineRule="auto"/>
        <w:rPr>
          <w:rFonts w:hint="default" w:ascii="Times New Roman" w:hAnsi="Times New Roman" w:cs="Times New Roman"/>
          <w:color w:val="auto"/>
          <w:sz w:val="21"/>
          <w:szCs w:val="21"/>
        </w:rPr>
      </w:pPr>
      <w:r>
        <w:rPr>
          <w:rFonts w:ascii="Times New Roman" w:hAnsi="Times New Roman" w:cs="Times New Roman"/>
          <w:color w:val="auto"/>
          <w:sz w:val="21"/>
          <w:szCs w:val="21"/>
          <w:lang w:eastAsia="zh-CN"/>
        </w:rPr>
        <w:t xml:space="preserve">    </w:t>
      </w:r>
      <w:r>
        <w:rPr>
          <w:rFonts w:hint="default" w:ascii="Times New Roman" w:hAnsi="Times New Roman" w:cs="Times New Roman"/>
          <w:color w:val="auto"/>
          <w:sz w:val="21"/>
          <w:szCs w:val="21"/>
        </w:rPr>
        <w:t>综合评分法,是指响应文件满足磋商文件全部实质性要求，且按照评审因素的量化指标评审得分最高的</w:t>
      </w:r>
      <w:r>
        <w:rPr>
          <w:rFonts w:ascii="Times New Roman" w:hAnsi="Times New Roman" w:cs="Times New Roman"/>
          <w:color w:val="auto"/>
          <w:sz w:val="21"/>
          <w:szCs w:val="21"/>
          <w:lang w:eastAsia="zh-CN"/>
        </w:rPr>
        <w:t>成交供应商</w:t>
      </w:r>
      <w:r>
        <w:rPr>
          <w:rFonts w:hint="default" w:ascii="Times New Roman" w:hAnsi="Times New Roman" w:cs="Times New Roman"/>
          <w:color w:val="auto"/>
          <w:sz w:val="21"/>
          <w:szCs w:val="21"/>
        </w:rPr>
        <w:t>为成交候选人的评标方法。（最低报价不是成交的唯一依据。）</w:t>
      </w:r>
    </w:p>
    <w:p w14:paraId="5F5951C0">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2.评审原则</w:t>
      </w:r>
    </w:p>
    <w:p w14:paraId="24EB90B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2.1评审活动遵循公平、公正、科学和择优的原则，以磋商文件和响应文件为评审的基本依据，并按照磋商文件规定的评审方法和评审标准进行评审。</w:t>
      </w:r>
    </w:p>
    <w:p w14:paraId="77BB012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06DA7F02">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3.磋商小组</w:t>
      </w:r>
    </w:p>
    <w:p w14:paraId="583EE8DD">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3.1磋商小组由采购人代表和评审专家组成，成员人数应当为3人及以上单数，其中技术、经济等方面的评审专家不得少于成员总数的三分之二。</w:t>
      </w:r>
    </w:p>
    <w:p w14:paraId="60EF9B6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3.2评审应遵守下列评审纪律：</w:t>
      </w:r>
    </w:p>
    <w:p w14:paraId="68F17245">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（1）评审情况不得私自外泄，有关信息由</w:t>
      </w:r>
      <w:r>
        <w:rPr>
          <w:rFonts w:hint="default" w:ascii="Times New Roman" w:hAnsi="Times New Roman" w:cs="Times New Roman"/>
          <w:color w:val="auto"/>
          <w:sz w:val="21"/>
          <w:szCs w:val="21"/>
          <w:lang w:eastAsia="zh-CN"/>
        </w:rPr>
        <w:t>广东远东招标代理有限公司</w:t>
      </w:r>
      <w:r>
        <w:rPr>
          <w:rFonts w:hint="default" w:ascii="Times New Roman" w:hAnsi="Times New Roman" w:cs="Times New Roman"/>
          <w:color w:val="auto"/>
          <w:sz w:val="21"/>
          <w:szCs w:val="21"/>
        </w:rPr>
        <w:t>统一对外发布。</w:t>
      </w:r>
    </w:p>
    <w:p w14:paraId="74521E1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（2）对</w:t>
      </w:r>
      <w:r>
        <w:rPr>
          <w:rFonts w:hint="default" w:ascii="Times New Roman" w:hAnsi="Times New Roman" w:cs="Times New Roman"/>
          <w:color w:val="auto"/>
          <w:sz w:val="21"/>
          <w:szCs w:val="21"/>
          <w:lang w:eastAsia="zh-CN"/>
        </w:rPr>
        <w:t>广东远东招标代理有限公司</w:t>
      </w:r>
      <w:r>
        <w:rPr>
          <w:rFonts w:hint="default" w:ascii="Times New Roman" w:hAnsi="Times New Roman" w:cs="Times New Roman"/>
          <w:color w:val="auto"/>
          <w:sz w:val="21"/>
          <w:szCs w:val="21"/>
        </w:rPr>
        <w:t>或供应商提供的要求保密的资料，不得摘记翻印和外传。</w:t>
      </w:r>
    </w:p>
    <w:p w14:paraId="6C11CFA8">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（3）不得收受响应供应商或有关人员的任何礼物，不得串联鼓动其他人袒护某供应商。若与供应商存在利害关系，则应主动声明并回避。</w:t>
      </w:r>
    </w:p>
    <w:p w14:paraId="6ED9E60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（4）全体评委应按照磋商文件规定进行评审，一切认定事项应查有实据且不得弄虚作假。</w:t>
      </w:r>
    </w:p>
    <w:p w14:paraId="76439D05">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（5）磋商小组各成员应当独立对每个响应供应商的响应文件进行评价，并对评价意见承担个人责任。评审过程中，不得发表倾向性言论。</w:t>
      </w:r>
    </w:p>
    <w:p w14:paraId="22044145">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※对违反评审纪律的评委，将取消其评委资格，对评审工作造成严重损失者将予以通报批评乃至追究法律责任。</w:t>
      </w:r>
    </w:p>
    <w:p w14:paraId="05E058A0">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4.有下列情形之一的，视为供应商串通响应，其响应无效</w:t>
      </w:r>
    </w:p>
    <w:p w14:paraId="7FBC440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4.1不同供应商的响应文件由同一单位或者个人编制；</w:t>
      </w:r>
    </w:p>
    <w:p w14:paraId="297014AD">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4.2不同供应商委托同一单位或者个人办理响应事宜；</w:t>
      </w:r>
    </w:p>
    <w:p w14:paraId="4D78BE1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4.3不同供应商的响应文件载明的项目管理成员或者联系人员为同一人；</w:t>
      </w:r>
    </w:p>
    <w:p w14:paraId="2541568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4.4不同供应商的响应文件异常一致或者响应报价呈规律性差异；</w:t>
      </w:r>
    </w:p>
    <w:p w14:paraId="380B7DC8">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4.5不同供应商的响应文件相互混装；</w:t>
      </w:r>
    </w:p>
    <w:p w14:paraId="7AECECC3">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4.6不同供应商的响应保证金或购买电子保函支付款为从同一单位或个人的账户转出。</w:t>
      </w:r>
    </w:p>
    <w:p w14:paraId="6A25D663">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说明：在评审过程中发现供应商有上述情形的，磋商小组应当认定其响应无效。同时，项目评审时被认定为串通响应的供应商不得参加该合同项下的采购活动。</w:t>
      </w:r>
    </w:p>
    <w:p w14:paraId="55BBD3A2">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5.有下列情形之一的，属于恶意串通响应：</w:t>
      </w:r>
    </w:p>
    <w:p w14:paraId="364D5D6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（1）供应商直接或者间接从采购人或者采购代理机构处获得其他供应商的相关情况并修改其响应文件；</w:t>
      </w:r>
    </w:p>
    <w:p w14:paraId="5855A75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（2）供应商按照采购人或者采购代理机构的授意撤换、修改响应文件；</w:t>
      </w:r>
    </w:p>
    <w:p w14:paraId="1AACC6D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（3）供应商之间协商报价、技术方案等响应文件的实质性内容；</w:t>
      </w:r>
    </w:p>
    <w:p w14:paraId="2072E7B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（4）属于同一集团、协会、商会等组织成员的供应商按照该组织要求协同参加政府采购活动；</w:t>
      </w:r>
    </w:p>
    <w:p w14:paraId="180F5F66">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（5）供应商之间事先约定由某一特定供应商成交；</w:t>
      </w:r>
    </w:p>
    <w:p w14:paraId="6BE27E8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（6）供应商之间商定部分供应商放弃参加政府采购活动或者放弃成交；</w:t>
      </w:r>
    </w:p>
    <w:p w14:paraId="4C9D6E3A">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（7）供应商与采购人或者采购代理机构之间、供应商相互之间，为谋求特定供应商成交或者排斥其他供应商的其他串通行为。</w:t>
      </w:r>
    </w:p>
    <w:p w14:paraId="17B10952">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6.其他响应无效的情形</w:t>
      </w:r>
    </w:p>
    <w:p w14:paraId="02F0DFC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详见资格性审查、符合性审查和磋商文件其他响应无效条款。</w:t>
      </w:r>
    </w:p>
    <w:p w14:paraId="548CECC8">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7.终止竞争性磋商采购活动的情形</w:t>
      </w:r>
    </w:p>
    <w:p w14:paraId="79A86CE5">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出现下列情形之一的，采购人或者采购代理机构应当终止竞争性磋商采购活动，发布项目终止公告并说明原因，重新开展采购活动：</w:t>
      </w:r>
    </w:p>
    <w:p w14:paraId="18B4CBA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（1）因情况变化，不再符合规定的竞争性磋商</w:t>
      </w:r>
      <w:r>
        <w:rPr>
          <w:rFonts w:ascii="Times New Roman" w:hAnsi="Times New Roman" w:cs="Times New Roman"/>
          <w:color w:val="auto"/>
          <w:sz w:val="21"/>
          <w:szCs w:val="21"/>
          <w:lang w:eastAsia="zh-CN"/>
        </w:rPr>
        <w:t>采购方式</w:t>
      </w:r>
      <w:r>
        <w:rPr>
          <w:rFonts w:hint="default" w:ascii="Times New Roman" w:hAnsi="Times New Roman" w:cs="Times New Roman"/>
          <w:color w:val="auto"/>
          <w:sz w:val="21"/>
          <w:szCs w:val="21"/>
        </w:rPr>
        <w:t>适用情形的；</w:t>
      </w:r>
    </w:p>
    <w:p w14:paraId="4D633233">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（2）出现影响采购公正的违法、违规行为的；</w:t>
      </w:r>
    </w:p>
    <w:p w14:paraId="3BA47CC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（3）除《政府采购竞争性磋商</w:t>
      </w:r>
      <w:r>
        <w:rPr>
          <w:rFonts w:ascii="Times New Roman" w:hAnsi="Times New Roman" w:cs="Times New Roman"/>
          <w:color w:val="auto"/>
          <w:sz w:val="21"/>
          <w:szCs w:val="21"/>
          <w:lang w:eastAsia="zh-CN"/>
        </w:rPr>
        <w:t>采购方式</w:t>
      </w:r>
      <w:r>
        <w:rPr>
          <w:rFonts w:hint="default" w:ascii="Times New Roman" w:hAnsi="Times New Roman" w:cs="Times New Roman"/>
          <w:color w:val="auto"/>
          <w:sz w:val="21"/>
          <w:szCs w:val="21"/>
        </w:rPr>
        <w:t>暂行办法》第二十一条第三款，《财政部关于政府采购竞争性磋商</w:t>
      </w:r>
      <w:r>
        <w:rPr>
          <w:rFonts w:ascii="Times New Roman" w:hAnsi="Times New Roman" w:cs="Times New Roman"/>
          <w:color w:val="auto"/>
          <w:sz w:val="21"/>
          <w:szCs w:val="21"/>
          <w:lang w:eastAsia="zh-CN"/>
        </w:rPr>
        <w:t>采购方式</w:t>
      </w:r>
      <w:r>
        <w:rPr>
          <w:rFonts w:hint="default" w:ascii="Times New Roman" w:hAnsi="Times New Roman" w:cs="Times New Roman"/>
          <w:color w:val="auto"/>
          <w:sz w:val="21"/>
          <w:szCs w:val="21"/>
        </w:rPr>
        <w:t>管理暂行办法有关问题的补充通知》（财库〔2015〕124号）规定的情形外，在采购过程中符合要求的供应商或者报价未超过采购预算的供应商不足3家的；</w:t>
      </w:r>
    </w:p>
    <w:p w14:paraId="5550F7DA">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（4）法律、法规以及磋商文件规定其他情形。</w:t>
      </w:r>
    </w:p>
    <w:p w14:paraId="4E12A5C4">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8.确定成交供应商</w:t>
      </w:r>
    </w:p>
    <w:p w14:paraId="2E204B6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磋商小组按照磋商文件确定的评审方法、步骤、标准，对响应文件进行评审。评审结束后，对供应商的评审名次进行排序，确定成交供应商或者推荐成交候选供应商。</w:t>
      </w:r>
    </w:p>
    <w:p w14:paraId="7AFAA56B">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9.价格修正</w:t>
      </w:r>
    </w:p>
    <w:p w14:paraId="30B87F76">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对报价的计算错误按以下原则修正：</w:t>
      </w:r>
    </w:p>
    <w:p w14:paraId="17B836DA">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（1）响应文件中首轮报价表（报价表）内容与响应文件中相应内容不一致的，以首轮报价表（报价表）为准；</w:t>
      </w:r>
    </w:p>
    <w:p w14:paraId="3237EEE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（2）大写金额和小写金额不一致的，以大写金额为准；</w:t>
      </w:r>
    </w:p>
    <w:p w14:paraId="75D267A2">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（3）单价金额小数点或者百分比有明显错位的，以首轮报价表的总价为准，并修改单价；</w:t>
      </w:r>
    </w:p>
    <w:p w14:paraId="4D49E2A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（4）总价金额与按单价汇总金额不一致的，以单价金额计算结果为准。但是单价金额计算结果超过预算价的，对其按无效响应处理；</w:t>
      </w:r>
    </w:p>
    <w:p w14:paraId="0536D9A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注：同时出现两种以上不一致的，按照前款规定的顺序进行价格澄清。供应商澄清后的价格加</w:t>
      </w:r>
      <w:r>
        <w:rPr>
          <w:rFonts w:hint="default" w:ascii="Times New Roman" w:hAnsi="Times New Roman" w:cs="Times New Roman"/>
          <w:color w:val="auto"/>
          <w:sz w:val="21"/>
          <w:szCs w:val="21"/>
          <w:lang w:eastAsia="zh-CN"/>
        </w:rPr>
        <w:t>盖公章</w:t>
      </w:r>
      <w:r>
        <w:rPr>
          <w:rFonts w:hint="default" w:ascii="Times New Roman" w:hAnsi="Times New Roman" w:cs="Times New Roman"/>
          <w:color w:val="auto"/>
          <w:sz w:val="21"/>
          <w:szCs w:val="21"/>
        </w:rPr>
        <w:t>确认后产生约束力，但不得超出响应文件的范围或者改变响应文件的实质性内容，供应商不确认的，其响应无效。</w:t>
      </w:r>
    </w:p>
    <w:p w14:paraId="0F688600">
      <w:pPr>
        <w:pStyle w:val="25"/>
        <w:spacing w:line="324" w:lineRule="auto"/>
        <w:ind w:firstLine="480"/>
        <w:rPr>
          <w:rFonts w:hint="default" w:ascii="Times New Roman" w:hAnsi="Times New Roman" w:cs="Times New Roman"/>
          <w:color w:val="auto"/>
          <w:sz w:val="21"/>
          <w:szCs w:val="21"/>
        </w:rPr>
      </w:pPr>
    </w:p>
    <w:p w14:paraId="45188A13">
      <w:pPr>
        <w:pStyle w:val="25"/>
        <w:spacing w:line="324" w:lineRule="auto"/>
        <w:outlineLvl w:val="1"/>
        <w:rPr>
          <w:rFonts w:hint="default" w:ascii="Times New Roman" w:hAnsi="Times New Roman" w:cs="Times New Roman"/>
          <w:color w:val="auto"/>
          <w:sz w:val="24"/>
          <w:szCs w:val="24"/>
        </w:rPr>
      </w:pPr>
      <w:bookmarkStart w:id="27" w:name="_Toc19574"/>
      <w:r>
        <w:rPr>
          <w:rFonts w:hint="default" w:ascii="Times New Roman" w:hAnsi="Times New Roman" w:cs="Times New Roman"/>
          <w:b/>
          <w:color w:val="auto"/>
          <w:sz w:val="24"/>
          <w:szCs w:val="24"/>
        </w:rPr>
        <w:t>二</w:t>
      </w:r>
      <w:r>
        <w:rPr>
          <w:rFonts w:hint="default" w:ascii="Times New Roman" w:hAnsi="Times New Roman" w:cs="Times New Roman"/>
          <w:b/>
          <w:color w:val="auto"/>
          <w:sz w:val="24"/>
          <w:szCs w:val="24"/>
          <w:lang w:eastAsia="zh-CN"/>
        </w:rPr>
        <w:t>、</w:t>
      </w:r>
      <w:r>
        <w:rPr>
          <w:rFonts w:hint="default" w:ascii="Times New Roman" w:hAnsi="Times New Roman" w:cs="Times New Roman"/>
          <w:b/>
          <w:color w:val="auto"/>
          <w:sz w:val="24"/>
          <w:szCs w:val="24"/>
        </w:rPr>
        <w:t>政府采购政策落实</w:t>
      </w:r>
      <w:bookmarkEnd w:id="27"/>
    </w:p>
    <w:p w14:paraId="44A95747">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1.节能、环保要求</w:t>
      </w:r>
    </w:p>
    <w:p w14:paraId="7771ED05">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361B182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相关认证机构和获证产品信息以市场监管总局组织建立的节能产品、环境标志产品认证结果信息发布平台公布为准。</w:t>
      </w:r>
    </w:p>
    <w:p w14:paraId="7DBED5B9">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2.对小型、微型企业、监狱企业或残疾人福利性单位给予价格扣除</w:t>
      </w:r>
    </w:p>
    <w:p w14:paraId="2B21915D">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2CDFB489">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3.价格扣除相关要求</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2413"/>
        <w:gridCol w:w="2110"/>
        <w:gridCol w:w="1694"/>
        <w:gridCol w:w="2413"/>
      </w:tblGrid>
      <w:tr w14:paraId="22EFE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649" w:type="dxa"/>
            <w:vAlign w:val="center"/>
          </w:tcPr>
          <w:p w14:paraId="19C0E50D">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413" w:type="dxa"/>
            <w:vAlign w:val="center"/>
          </w:tcPr>
          <w:p w14:paraId="060EA82F">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情形</w:t>
            </w:r>
          </w:p>
        </w:tc>
        <w:tc>
          <w:tcPr>
            <w:tcW w:w="2110" w:type="dxa"/>
            <w:vAlign w:val="center"/>
          </w:tcPr>
          <w:p w14:paraId="7DE9E9E3">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适用对象</w:t>
            </w:r>
          </w:p>
        </w:tc>
        <w:tc>
          <w:tcPr>
            <w:tcW w:w="1694" w:type="dxa"/>
            <w:vAlign w:val="center"/>
          </w:tcPr>
          <w:p w14:paraId="219BEA28">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价格扣除比例</w:t>
            </w:r>
          </w:p>
        </w:tc>
        <w:tc>
          <w:tcPr>
            <w:tcW w:w="2413" w:type="dxa"/>
            <w:vAlign w:val="center"/>
          </w:tcPr>
          <w:p w14:paraId="3EDA1756">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计算公式</w:t>
            </w:r>
          </w:p>
        </w:tc>
      </w:tr>
      <w:tr w14:paraId="789A9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4" w:hRule="atLeast"/>
        </w:trPr>
        <w:tc>
          <w:tcPr>
            <w:tcW w:w="9279" w:type="dxa"/>
            <w:gridSpan w:val="5"/>
          </w:tcPr>
          <w:p w14:paraId="3EF4B76E">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注：（1）上述评标价仅用于计算价格分，成交金额以实际投标价为准。</w:t>
            </w:r>
          </w:p>
          <w:p w14:paraId="02F86157">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（2）组成联合体的大中型企业和其他自然人、法人或者其他组织、与小型、微型企业之间不得存在投资关系。</w:t>
            </w:r>
          </w:p>
        </w:tc>
      </w:tr>
    </w:tbl>
    <w:p w14:paraId="17DE1028">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（1）所称小型和微型企业应当符合以下条件：</w:t>
      </w:r>
    </w:p>
    <w:p w14:paraId="7ACB61F4">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2A3903A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符合中小企业划分标准的个体工商户，在政府采购活动中视同中小企业。</w:t>
      </w:r>
    </w:p>
    <w:p w14:paraId="22690357">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提供本企业（属于小微企业）制造的货物或者提供其他小型或微型企业制造的货物/提供本企业（属于小微企业）承接的服务。</w:t>
      </w:r>
    </w:p>
    <w:p w14:paraId="4546BED5">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45D02976">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说明：供应商应当对其出具的《中小企业声明函》真实性负责，供应商出具的《中小企业声明函》内容不实的，属于提供虚假材料谋取成交。</w:t>
      </w:r>
    </w:p>
    <w:p w14:paraId="33442A02">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0B611EF7">
      <w:pPr>
        <w:pStyle w:val="25"/>
        <w:spacing w:line="324" w:lineRule="auto"/>
        <w:ind w:firstLine="480"/>
        <w:rPr>
          <w:rFonts w:hint="default" w:ascii="Times New Roman" w:hAnsi="Times New Roman" w:cs="Times New Roman"/>
          <w:color w:val="auto"/>
          <w:sz w:val="21"/>
          <w:szCs w:val="21"/>
        </w:rPr>
      </w:pPr>
    </w:p>
    <w:p w14:paraId="3B7E3B3A">
      <w:pPr>
        <w:pStyle w:val="25"/>
        <w:spacing w:line="324" w:lineRule="auto"/>
        <w:outlineLvl w:val="1"/>
        <w:rPr>
          <w:rFonts w:hint="default" w:ascii="Times New Roman" w:hAnsi="Times New Roman" w:cs="Times New Roman"/>
          <w:color w:val="auto"/>
          <w:sz w:val="24"/>
          <w:szCs w:val="24"/>
        </w:rPr>
      </w:pPr>
      <w:bookmarkStart w:id="28" w:name="_Toc5531"/>
      <w:r>
        <w:rPr>
          <w:rFonts w:hint="default" w:ascii="Times New Roman" w:hAnsi="Times New Roman" w:cs="Times New Roman"/>
          <w:b/>
          <w:color w:val="auto"/>
          <w:sz w:val="24"/>
          <w:szCs w:val="24"/>
        </w:rPr>
        <w:t>三、评审程序</w:t>
      </w:r>
      <w:bookmarkEnd w:id="28"/>
    </w:p>
    <w:p w14:paraId="066CE394">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1.资格性审查和符合性审查</w:t>
      </w:r>
    </w:p>
    <w:p w14:paraId="67BBB7E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133B3D52">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磋商小组对各磋商供应商进行资格性和符合性审查过程中，对初步被认定为初审不合格或无效响应者应实行及时告知，由磋商小组组长或采购人代表将集体意见及时告知报价当事人。</w:t>
      </w:r>
    </w:p>
    <w:p w14:paraId="72999C8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表一资格性审查表：</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9"/>
        <w:gridCol w:w="2050"/>
        <w:gridCol w:w="6418"/>
      </w:tblGrid>
      <w:tr w14:paraId="07454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vAlign w:val="center"/>
          </w:tcPr>
          <w:p w14:paraId="762B5CEA">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8468" w:type="dxa"/>
            <w:gridSpan w:val="2"/>
            <w:vAlign w:val="center"/>
          </w:tcPr>
          <w:p w14:paraId="3AFE62D9">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资格审查内容</w:t>
            </w:r>
          </w:p>
        </w:tc>
      </w:tr>
      <w:tr w14:paraId="4FCFB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339844DC">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050" w:type="dxa"/>
          </w:tcPr>
          <w:p w14:paraId="2E838E2C">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具有独立承担民事责任的能力</w:t>
            </w:r>
          </w:p>
        </w:tc>
        <w:tc>
          <w:tcPr>
            <w:tcW w:w="6418" w:type="dxa"/>
          </w:tcPr>
          <w:p w14:paraId="79F573DD">
            <w:pPr>
              <w:pStyle w:val="25"/>
              <w:spacing w:line="324" w:lineRule="auto"/>
              <w:rPr>
                <w:rFonts w:hint="default" w:ascii="Times New Roman" w:hAnsi="Times New Roman" w:cs="Times New Roman"/>
                <w:color w:val="auto"/>
                <w:sz w:val="21"/>
                <w:szCs w:val="21"/>
              </w:rPr>
            </w:pPr>
            <w:r>
              <w:rPr>
                <w:rFonts w:ascii="Times New Roman" w:hAnsi="Times New Roman" w:cs="Times New Roman"/>
                <w:color w:val="auto"/>
                <w:sz w:val="21"/>
                <w:szCs w:val="21"/>
                <w:lang w:eastAsia="zh-CN"/>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default" w:ascii="Times New Roman" w:hAnsi="Times New Roman" w:cs="Times New Roman"/>
                <w:color w:val="auto"/>
                <w:sz w:val="21"/>
                <w:szCs w:val="21"/>
              </w:rPr>
              <w:t>。</w:t>
            </w:r>
          </w:p>
        </w:tc>
      </w:tr>
      <w:tr w14:paraId="33D8C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5980E21">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050" w:type="dxa"/>
          </w:tcPr>
          <w:p w14:paraId="124C148B">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有依法缴纳税收和社会保障资金的良好记录</w:t>
            </w:r>
          </w:p>
        </w:tc>
        <w:tc>
          <w:tcPr>
            <w:tcW w:w="6418" w:type="dxa"/>
          </w:tcPr>
          <w:p w14:paraId="095663D6">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提供投标截止日前6个月内任意1个月依法缴纳税收和社会保障资金的相关材料。如依法免税或不需要缴纳社会保障资金的，提供相应证明材料。</w:t>
            </w:r>
          </w:p>
        </w:tc>
      </w:tr>
      <w:tr w14:paraId="7B79E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C806EC3">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050" w:type="dxa"/>
          </w:tcPr>
          <w:p w14:paraId="1C774F8F">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具有良好的商业信誉和健全的财务会计制度</w:t>
            </w:r>
          </w:p>
        </w:tc>
        <w:tc>
          <w:tcPr>
            <w:tcW w:w="6418" w:type="dxa"/>
          </w:tcPr>
          <w:p w14:paraId="5F0421E3">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提供以下</w:t>
            </w:r>
            <w:r>
              <w:rPr>
                <w:rFonts w:ascii="Times New Roman" w:hAnsi="Times New Roman" w:cs="Times New Roman"/>
                <w:color w:val="auto"/>
                <w:sz w:val="21"/>
                <w:szCs w:val="21"/>
                <w:lang w:eastAsia="zh-CN"/>
              </w:rPr>
              <w:t>两</w:t>
            </w:r>
            <w:r>
              <w:rPr>
                <w:rFonts w:hint="default" w:ascii="Times New Roman" w:hAnsi="Times New Roman" w:cs="Times New Roman"/>
                <w:color w:val="auto"/>
                <w:sz w:val="21"/>
                <w:szCs w:val="21"/>
              </w:rPr>
              <w:t>种证明材料之一：1.提供2022或2023年度财务状况报告，财务状况报告须由第三方会计师事务所出具，能清晰显示第三方会计师事务所的印章，并能反映审计结论；</w:t>
            </w:r>
            <w:r>
              <w:rPr>
                <w:rFonts w:ascii="Times New Roman" w:hAnsi="Times New Roman" w:cs="Times New Roman"/>
                <w:color w:val="auto"/>
                <w:sz w:val="21"/>
                <w:szCs w:val="21"/>
                <w:lang w:eastAsia="zh-CN"/>
              </w:rPr>
              <w:t>2</w:t>
            </w:r>
            <w:r>
              <w:rPr>
                <w:rFonts w:hint="default" w:ascii="Times New Roman" w:hAnsi="Times New Roman" w:cs="Times New Roman"/>
                <w:color w:val="auto"/>
                <w:sz w:val="21"/>
                <w:szCs w:val="21"/>
              </w:rPr>
              <w:t>.提供投标截止日前6个月内基本开户银行出具的资信证明，并同时提交开户（基本户）许可证扫描件，开户（基本户）许可证已取消的，应提供能体现基本开户银行的“基本存款账户编号”的相关证明。</w:t>
            </w:r>
          </w:p>
        </w:tc>
      </w:tr>
      <w:tr w14:paraId="5FDC7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087FE3F8">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050" w:type="dxa"/>
          </w:tcPr>
          <w:p w14:paraId="025006DF">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履行合同所必需的设备和专业技术能力</w:t>
            </w:r>
          </w:p>
        </w:tc>
        <w:tc>
          <w:tcPr>
            <w:tcW w:w="6418" w:type="dxa"/>
          </w:tcPr>
          <w:p w14:paraId="066C5966">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按投标（响应）文件格式填写《具有履行合同所必需的设备和专业技术能力的承诺函》。</w:t>
            </w:r>
          </w:p>
        </w:tc>
      </w:tr>
      <w:tr w14:paraId="0AEE4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43D4D93F">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050" w:type="dxa"/>
          </w:tcPr>
          <w:p w14:paraId="0430C6E9">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参加采购活动前3年内，在经营活动中没有重大违法记录</w:t>
            </w:r>
          </w:p>
        </w:tc>
        <w:tc>
          <w:tcPr>
            <w:tcW w:w="6418" w:type="dxa"/>
          </w:tcPr>
          <w:p w14:paraId="06FA37CE">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936C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3355DA57">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050" w:type="dxa"/>
          </w:tcPr>
          <w:p w14:paraId="3D1BD7BE">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信用记录</w:t>
            </w:r>
          </w:p>
        </w:tc>
        <w:tc>
          <w:tcPr>
            <w:tcW w:w="6418" w:type="dxa"/>
          </w:tcPr>
          <w:p w14:paraId="595779D1">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tc>
      </w:tr>
      <w:tr w14:paraId="61F10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A540BC6">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050" w:type="dxa"/>
          </w:tcPr>
          <w:p w14:paraId="5D1095C5">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供应商必须符合法律、行政法规规定的其他条件</w:t>
            </w:r>
          </w:p>
        </w:tc>
        <w:tc>
          <w:tcPr>
            <w:tcW w:w="6418" w:type="dxa"/>
          </w:tcPr>
          <w:p w14:paraId="01546613">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单位负责人为同一人或者存在直接控股、管理关系的不同供应商，不得同时参加本采购项目投标（响应）。投标（报价）函相关承诺要求内容。</w:t>
            </w:r>
          </w:p>
        </w:tc>
      </w:tr>
      <w:tr w14:paraId="01F9C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89B5EB9">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050" w:type="dxa"/>
          </w:tcPr>
          <w:p w14:paraId="234F653F">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本项目属于专门面向中小企业采购</w:t>
            </w:r>
          </w:p>
        </w:tc>
        <w:tc>
          <w:tcPr>
            <w:tcW w:w="6418" w:type="dxa"/>
          </w:tcPr>
          <w:p w14:paraId="1A1343C8">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本项目属于专门面向中小企业采购，本项目所属行业为</w:t>
            </w:r>
            <w:r>
              <w:rPr>
                <w:rFonts w:ascii="Times New Roman" w:hAnsi="Times New Roman" w:cs="Times New Roman"/>
                <w:color w:val="auto"/>
                <w:sz w:val="21"/>
                <w:szCs w:val="21"/>
                <w:lang w:eastAsia="zh-CN"/>
              </w:rPr>
              <w:t>其他未列明行业</w:t>
            </w:r>
            <w:r>
              <w:rPr>
                <w:rFonts w:hint="default" w:ascii="Times New Roman" w:hAnsi="Times New Roman" w:cs="Times New Roman"/>
                <w:color w:val="auto"/>
                <w:sz w:val="21"/>
                <w:szCs w:val="21"/>
                <w:lang w:eastAsia="zh-CN"/>
              </w:rPr>
              <w:t>。</w:t>
            </w:r>
          </w:p>
        </w:tc>
      </w:tr>
      <w:tr w14:paraId="2E7C4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914E081">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9</w:t>
            </w:r>
          </w:p>
        </w:tc>
        <w:tc>
          <w:tcPr>
            <w:tcW w:w="2050" w:type="dxa"/>
          </w:tcPr>
          <w:p w14:paraId="76CAB2CA">
            <w:pPr>
              <w:pStyle w:val="25"/>
              <w:spacing w:line="324" w:lineRule="auto"/>
              <w:rPr>
                <w:rFonts w:hint="default"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企业资质</w:t>
            </w:r>
          </w:p>
        </w:tc>
        <w:tc>
          <w:tcPr>
            <w:tcW w:w="6418" w:type="dxa"/>
          </w:tcPr>
          <w:p w14:paraId="3B1C563F">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p>
        </w:tc>
      </w:tr>
    </w:tbl>
    <w:p w14:paraId="4B4C707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表二符合性审查表：</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3550"/>
        <w:gridCol w:w="4734"/>
      </w:tblGrid>
      <w:tr w14:paraId="056D5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51E52095">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550" w:type="dxa"/>
            <w:vAlign w:val="center"/>
          </w:tcPr>
          <w:p w14:paraId="47AA024C">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评审点要求概况</w:t>
            </w:r>
          </w:p>
        </w:tc>
        <w:tc>
          <w:tcPr>
            <w:tcW w:w="4734" w:type="dxa"/>
            <w:vAlign w:val="center"/>
          </w:tcPr>
          <w:p w14:paraId="06C6F3E0">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评审点具体描述</w:t>
            </w:r>
          </w:p>
        </w:tc>
      </w:tr>
      <w:tr w14:paraId="529C1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2" w:hRule="atLeast"/>
        </w:trPr>
        <w:tc>
          <w:tcPr>
            <w:tcW w:w="994" w:type="dxa"/>
            <w:vAlign w:val="center"/>
          </w:tcPr>
          <w:p w14:paraId="3CC35BA7">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550" w:type="dxa"/>
            <w:vAlign w:val="center"/>
          </w:tcPr>
          <w:p w14:paraId="5418380F">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投标文件有效性</w:t>
            </w:r>
          </w:p>
        </w:tc>
        <w:tc>
          <w:tcPr>
            <w:tcW w:w="4734" w:type="dxa"/>
          </w:tcPr>
          <w:p w14:paraId="7A260E18">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按照采购文件规定要求签署、盖章且投标文件有法定代表人签字或盖章，或签字人有法定代表人有效授权书的。</w:t>
            </w:r>
          </w:p>
        </w:tc>
      </w:tr>
      <w:tr w14:paraId="53D5B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7556ABE1">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550" w:type="dxa"/>
            <w:vAlign w:val="center"/>
          </w:tcPr>
          <w:p w14:paraId="47AA6CBB">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响应承诺函</w:t>
            </w:r>
          </w:p>
        </w:tc>
        <w:tc>
          <w:tcPr>
            <w:tcW w:w="4734" w:type="dxa"/>
          </w:tcPr>
          <w:p w14:paraId="62553C68">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响应承诺函已提交并符合采购文件要求的。</w:t>
            </w:r>
          </w:p>
        </w:tc>
      </w:tr>
      <w:tr w14:paraId="3895A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1C6F8F51">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550" w:type="dxa"/>
            <w:vAlign w:val="center"/>
          </w:tcPr>
          <w:p w14:paraId="69DB6A09">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实质性响应条款（即标注★号条款）</w:t>
            </w:r>
          </w:p>
        </w:tc>
        <w:tc>
          <w:tcPr>
            <w:tcW w:w="4734" w:type="dxa"/>
          </w:tcPr>
          <w:p w14:paraId="03DB5442">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满足招标文件中要求的实质性响应条款的（即标注★号条款）。</w:t>
            </w:r>
          </w:p>
        </w:tc>
      </w:tr>
      <w:tr w14:paraId="40E4B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63E6A19D">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3550" w:type="dxa"/>
            <w:vAlign w:val="center"/>
          </w:tcPr>
          <w:p w14:paraId="4FC8525D">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报价要求</w:t>
            </w:r>
          </w:p>
        </w:tc>
        <w:tc>
          <w:tcPr>
            <w:tcW w:w="4734" w:type="dxa"/>
          </w:tcPr>
          <w:p w14:paraId="5A0091B9">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投标报价方案是唯一的，符合招标文件的其他投标报价相关要求。</w:t>
            </w:r>
          </w:p>
        </w:tc>
      </w:tr>
      <w:tr w14:paraId="5EFBF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6" w:hRule="atLeast"/>
        </w:trPr>
        <w:tc>
          <w:tcPr>
            <w:tcW w:w="994" w:type="dxa"/>
            <w:vAlign w:val="center"/>
          </w:tcPr>
          <w:p w14:paraId="600EB7B3">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550" w:type="dxa"/>
            <w:vAlign w:val="center"/>
          </w:tcPr>
          <w:p w14:paraId="2FA4D926">
            <w:pPr>
              <w:pStyle w:val="25"/>
              <w:spacing w:line="324"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其它</w:t>
            </w:r>
          </w:p>
        </w:tc>
        <w:tc>
          <w:tcPr>
            <w:tcW w:w="4734" w:type="dxa"/>
          </w:tcPr>
          <w:p w14:paraId="3FC34614">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没有违反有关法律、法规、规章要求，没有采购文件中规定的其它无效投标条款的。</w:t>
            </w:r>
          </w:p>
        </w:tc>
      </w:tr>
    </w:tbl>
    <w:p w14:paraId="6DC26053">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2.响应文件澄清</w:t>
      </w:r>
    </w:p>
    <w:p w14:paraId="1CF11C8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对于响应文件中含义不明确、同类问题表述不一致或者有明显文字和计算错误的内容，磋商小组应当在评审过程中发起澄清，要求供应商针对价格或内容做出必要的澄清、说明或补正。代理机构可根据开启环节记录的</w:t>
      </w:r>
      <w:r>
        <w:rPr>
          <w:rFonts w:hint="default" w:ascii="Times New Roman" w:hAnsi="Times New Roman" w:cs="Times New Roman"/>
          <w:b/>
          <w:color w:val="auto"/>
          <w:sz w:val="21"/>
          <w:szCs w:val="21"/>
        </w:rPr>
        <w:t>授权代表人联系方式</w:t>
      </w:r>
      <w:r>
        <w:rPr>
          <w:rFonts w:hint="default" w:ascii="Times New Roman" w:hAnsi="Times New Roman" w:cs="Times New Roman"/>
          <w:color w:val="auto"/>
          <w:sz w:val="21"/>
          <w:szCs w:val="21"/>
        </w:rPr>
        <w:t>发送短信提醒或电话告知。</w:t>
      </w:r>
    </w:p>
    <w:p w14:paraId="6870D44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若因供应商联系方式错误未接收短信、未接听电话或超时未进行澄清（响应）造成的不利后果由供应商自行承担。供应商的澄清、说明或者补正不得超出响应文件的范围或者改变响应文件的实质性内容。</w:t>
      </w:r>
    </w:p>
    <w:p w14:paraId="5524D94A">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2.2磋商小组不接受供应商主动提出的澄清、说明或补正。</w:t>
      </w:r>
    </w:p>
    <w:p w14:paraId="2279D369">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2.3磋商小组对供应商提交的澄清、说明或补正有疑问的，可以要求供应商进一步澄清、说明或补正。</w:t>
      </w:r>
    </w:p>
    <w:p w14:paraId="6EE3C710">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3.磋商</w:t>
      </w:r>
    </w:p>
    <w:p w14:paraId="6F8E897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3.1磋商小组所有成员应当集中与单一供应商分别进行磋商，并给予所有参加磋商的供应商平等的磋商机会。</w:t>
      </w:r>
    </w:p>
    <w:p w14:paraId="5439F04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3.2在磋商过程中，磋商小组可以根据磋商文件和磋商情况实质性变动采购需求中的技术、服务要求以及合同草案条款，但不得变动磋商文件中的其他内容。实质性变动的内容，须经采购人代表确认。</w:t>
      </w:r>
    </w:p>
    <w:p w14:paraId="7AFEE28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3.3对磋商文件作出的实质性变动是磋商文件的有效组成部分，磋商小组应当及时、同时通知所有参加磋商的供应商。</w:t>
      </w:r>
    </w:p>
    <w:p w14:paraId="2E94158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4AAAC975">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4.最后报价</w:t>
      </w:r>
    </w:p>
    <w:p w14:paraId="77D4452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4.1磋商结束后，磋商小组应当要求所有实质性响应的供应商在规定时间内提交最后报价。最后报价是供应商响应文件的有效组成部分。</w:t>
      </w:r>
    </w:p>
    <w:p w14:paraId="5C2D9E83">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4.2已提交响应文件的供应商，在提交最后报价之前，可以根据磋商情况退出磋商。</w:t>
      </w:r>
    </w:p>
    <w:p w14:paraId="41C0F70F">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4.3除法规规定的特殊性情形外，提交最后报价的供应商不得少于3家。</w:t>
      </w:r>
    </w:p>
    <w:p w14:paraId="23418C35">
      <w:pPr>
        <w:spacing w:line="324" w:lineRule="auto"/>
        <w:rPr>
          <w:rFonts w:ascii="Times New Roman" w:hAnsi="Times New Roman" w:cs="Times New Roman"/>
          <w:b/>
          <w:color w:val="auto"/>
          <w:szCs w:val="21"/>
        </w:rPr>
      </w:pPr>
      <w:r>
        <w:rPr>
          <w:rFonts w:ascii="Times New Roman" w:hAnsi="Times New Roman" w:cs="Times New Roman"/>
          <w:b/>
          <w:color w:val="auto"/>
          <w:szCs w:val="21"/>
        </w:rPr>
        <w:br w:type="page"/>
      </w:r>
    </w:p>
    <w:p w14:paraId="754B14CD">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5.详细评审</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8"/>
        <w:gridCol w:w="1035"/>
        <w:gridCol w:w="6789"/>
      </w:tblGrid>
      <w:tr w14:paraId="4305A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Align w:val="center"/>
          </w:tcPr>
          <w:p w14:paraId="646DFA74">
            <w:pPr>
              <w:pStyle w:val="25"/>
              <w:spacing w:line="324" w:lineRule="auto"/>
              <w:jc w:val="center"/>
              <w:rPr>
                <w:rFonts w:ascii="宋体" w:hAnsi="宋体" w:eastAsia="宋体" w:cs="宋体"/>
                <w:color w:val="auto"/>
                <w:sz w:val="21"/>
                <w:szCs w:val="21"/>
              </w:rPr>
            </w:pPr>
            <w:r>
              <w:rPr>
                <w:rFonts w:ascii="宋体" w:hAnsi="宋体" w:eastAsia="宋体" w:cs="宋体"/>
                <w:color w:val="auto"/>
                <w:sz w:val="21"/>
                <w:szCs w:val="21"/>
              </w:rPr>
              <w:t>评审因素</w:t>
            </w:r>
          </w:p>
        </w:tc>
        <w:tc>
          <w:tcPr>
            <w:tcW w:w="7824" w:type="dxa"/>
            <w:gridSpan w:val="2"/>
            <w:vAlign w:val="center"/>
          </w:tcPr>
          <w:p w14:paraId="3F30497C">
            <w:pPr>
              <w:pStyle w:val="25"/>
              <w:spacing w:line="324" w:lineRule="auto"/>
              <w:jc w:val="center"/>
              <w:rPr>
                <w:rFonts w:ascii="宋体" w:hAnsi="宋体" w:eastAsia="宋体" w:cs="宋体"/>
                <w:color w:val="auto"/>
                <w:sz w:val="21"/>
                <w:szCs w:val="21"/>
              </w:rPr>
            </w:pPr>
            <w:r>
              <w:rPr>
                <w:rFonts w:ascii="宋体" w:hAnsi="宋体" w:eastAsia="宋体" w:cs="宋体"/>
                <w:color w:val="auto"/>
                <w:sz w:val="21"/>
                <w:szCs w:val="21"/>
              </w:rPr>
              <w:t>评审标准</w:t>
            </w:r>
          </w:p>
        </w:tc>
      </w:tr>
      <w:tr w14:paraId="2DC42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1EDD3AB9">
            <w:pPr>
              <w:pStyle w:val="25"/>
              <w:spacing w:line="324" w:lineRule="auto"/>
              <w:jc w:val="center"/>
              <w:rPr>
                <w:rFonts w:ascii="宋体" w:hAnsi="宋体" w:eastAsia="宋体" w:cs="宋体"/>
                <w:color w:val="auto"/>
                <w:sz w:val="21"/>
                <w:szCs w:val="21"/>
              </w:rPr>
            </w:pPr>
            <w:r>
              <w:rPr>
                <w:rFonts w:ascii="宋体" w:hAnsi="宋体" w:eastAsia="宋体" w:cs="宋体"/>
                <w:color w:val="auto"/>
                <w:sz w:val="21"/>
                <w:szCs w:val="21"/>
              </w:rPr>
              <w:t>分值构成</w:t>
            </w:r>
          </w:p>
        </w:tc>
        <w:tc>
          <w:tcPr>
            <w:tcW w:w="7824" w:type="dxa"/>
            <w:gridSpan w:val="2"/>
          </w:tcPr>
          <w:p w14:paraId="25EAFADD">
            <w:pPr>
              <w:pStyle w:val="25"/>
              <w:spacing w:line="324" w:lineRule="auto"/>
              <w:rPr>
                <w:rFonts w:ascii="宋体" w:hAnsi="宋体" w:eastAsia="宋体" w:cs="宋体"/>
                <w:color w:val="auto"/>
                <w:sz w:val="21"/>
                <w:szCs w:val="21"/>
              </w:rPr>
            </w:pPr>
            <w:r>
              <w:rPr>
                <w:rFonts w:ascii="宋体" w:hAnsi="宋体" w:eastAsia="宋体" w:cs="宋体"/>
                <w:color w:val="auto"/>
                <w:sz w:val="21"/>
                <w:szCs w:val="21"/>
              </w:rPr>
              <w:t>商务部分</w:t>
            </w:r>
            <w:r>
              <w:rPr>
                <w:rFonts w:ascii="宋体" w:hAnsi="宋体" w:cs="宋体"/>
                <w:color w:val="auto"/>
                <w:sz w:val="21"/>
                <w:szCs w:val="21"/>
                <w:lang w:eastAsia="zh-CN"/>
              </w:rPr>
              <w:t>40</w:t>
            </w:r>
            <w:r>
              <w:rPr>
                <w:rFonts w:ascii="宋体" w:hAnsi="宋体" w:eastAsia="宋体" w:cs="宋体"/>
                <w:color w:val="auto"/>
                <w:sz w:val="21"/>
                <w:szCs w:val="21"/>
              </w:rPr>
              <w:t>.0分</w:t>
            </w:r>
          </w:p>
          <w:p w14:paraId="107578AC">
            <w:pPr>
              <w:pStyle w:val="25"/>
              <w:spacing w:line="324" w:lineRule="auto"/>
              <w:rPr>
                <w:rFonts w:ascii="宋体" w:hAnsi="宋体" w:eastAsia="宋体" w:cs="宋体"/>
                <w:color w:val="auto"/>
                <w:sz w:val="21"/>
                <w:szCs w:val="21"/>
              </w:rPr>
            </w:pPr>
            <w:r>
              <w:rPr>
                <w:rFonts w:ascii="宋体" w:hAnsi="宋体" w:eastAsia="宋体" w:cs="宋体"/>
                <w:color w:val="auto"/>
                <w:sz w:val="21"/>
                <w:szCs w:val="21"/>
              </w:rPr>
              <w:t>技术部分</w:t>
            </w:r>
            <w:r>
              <w:rPr>
                <w:rFonts w:ascii="宋体" w:hAnsi="宋体" w:cs="宋体"/>
                <w:color w:val="auto"/>
                <w:sz w:val="21"/>
                <w:szCs w:val="21"/>
                <w:lang w:eastAsia="zh-CN"/>
              </w:rPr>
              <w:t>40</w:t>
            </w:r>
            <w:r>
              <w:rPr>
                <w:rFonts w:ascii="宋体" w:hAnsi="宋体" w:eastAsia="宋体" w:cs="宋体"/>
                <w:color w:val="auto"/>
                <w:sz w:val="21"/>
                <w:szCs w:val="21"/>
              </w:rPr>
              <w:t>.0分</w:t>
            </w:r>
          </w:p>
          <w:p w14:paraId="5DC9C411">
            <w:pPr>
              <w:pStyle w:val="25"/>
              <w:spacing w:line="324" w:lineRule="auto"/>
              <w:rPr>
                <w:rFonts w:ascii="宋体" w:hAnsi="宋体" w:eastAsia="宋体" w:cs="宋体"/>
                <w:color w:val="auto"/>
                <w:sz w:val="21"/>
                <w:szCs w:val="21"/>
              </w:rPr>
            </w:pPr>
            <w:r>
              <w:rPr>
                <w:rFonts w:ascii="宋体" w:hAnsi="宋体" w:eastAsia="宋体" w:cs="宋体"/>
                <w:color w:val="auto"/>
                <w:sz w:val="21"/>
                <w:szCs w:val="21"/>
              </w:rPr>
              <w:t>报价得分</w:t>
            </w:r>
            <w:r>
              <w:rPr>
                <w:rFonts w:ascii="宋体" w:hAnsi="宋体" w:eastAsia="宋体" w:cs="宋体"/>
                <w:color w:val="auto"/>
                <w:sz w:val="21"/>
                <w:szCs w:val="21"/>
                <w:lang w:eastAsia="zh-CN"/>
              </w:rPr>
              <w:t>2</w:t>
            </w:r>
            <w:r>
              <w:rPr>
                <w:rFonts w:ascii="宋体" w:hAnsi="宋体" w:eastAsia="宋体" w:cs="宋体"/>
                <w:color w:val="auto"/>
                <w:sz w:val="21"/>
                <w:szCs w:val="21"/>
              </w:rPr>
              <w:t>0.0分</w:t>
            </w:r>
          </w:p>
        </w:tc>
      </w:tr>
      <w:tr w14:paraId="7B9B0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Merge w:val="restart"/>
          </w:tcPr>
          <w:p w14:paraId="2AA391FB">
            <w:pPr>
              <w:pStyle w:val="25"/>
              <w:spacing w:line="324" w:lineRule="auto"/>
              <w:jc w:val="center"/>
              <w:rPr>
                <w:rFonts w:ascii="宋体" w:hAnsi="宋体" w:eastAsia="宋体" w:cs="宋体"/>
                <w:color w:val="auto"/>
                <w:sz w:val="21"/>
                <w:szCs w:val="21"/>
              </w:rPr>
            </w:pPr>
            <w:r>
              <w:rPr>
                <w:rFonts w:ascii="宋体" w:hAnsi="宋体" w:eastAsia="宋体" w:cs="宋体"/>
                <w:color w:val="auto"/>
                <w:sz w:val="21"/>
                <w:szCs w:val="21"/>
              </w:rPr>
              <w:t>技术部分</w:t>
            </w:r>
          </w:p>
        </w:tc>
        <w:tc>
          <w:tcPr>
            <w:tcW w:w="1035" w:type="dxa"/>
            <w:vAlign w:val="center"/>
          </w:tcPr>
          <w:p w14:paraId="49EEE07C">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rPr>
              <w:t>技术条款响应（13分）</w:t>
            </w:r>
          </w:p>
        </w:tc>
        <w:tc>
          <w:tcPr>
            <w:tcW w:w="6789" w:type="dxa"/>
          </w:tcPr>
          <w:p w14:paraId="16AB5EA4">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根据供应商对采购文件“第二部分  采购需求  四、技术标准与要求”的响应情况进行评审:</w:t>
            </w:r>
          </w:p>
          <w:p w14:paraId="40C580DC">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1.带“▲”技术条款(共2项)完全满足得6分，每项负偏离或不响应的扣3分。</w:t>
            </w:r>
          </w:p>
          <w:p w14:paraId="14454128">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2.一般技术条款(共26项，即序号(1)至(11)，“▲”和“★”条款除外的内容):</w:t>
            </w:r>
          </w:p>
          <w:p w14:paraId="67E284D1">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(1)完全满足或优于(正偏离)，得7分；</w:t>
            </w:r>
          </w:p>
          <w:p w14:paraId="1759CD2C">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(2)有1-2项负偏离的，得5分；</w:t>
            </w:r>
          </w:p>
          <w:p w14:paraId="20E6485F">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(3)有3-4项负偏离的，得3分；</w:t>
            </w:r>
          </w:p>
          <w:p w14:paraId="7E5D0AC7">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(4)有5-6项负偏离的，得1分；</w:t>
            </w:r>
          </w:p>
          <w:p w14:paraId="145DE0FD">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(5)有7项及以上负偏离的，得0分。</w:t>
            </w:r>
          </w:p>
          <w:p w14:paraId="55EB0793">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注:如采购项目技术要求中有明确提供的证明资料，则以采购项目技术要求的为准，无或未按要求提供证明材料的不得分:如采购项目技术要求中无明确证明材料的，以供应商响应文件中的《技术条款响应表》中的响应情况填写内容为准，未填写的视为负偏离。)</w:t>
            </w:r>
          </w:p>
        </w:tc>
      </w:tr>
      <w:tr w14:paraId="07514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Merge w:val="continue"/>
          </w:tcPr>
          <w:p w14:paraId="2CC5198A">
            <w:pPr>
              <w:pStyle w:val="25"/>
              <w:spacing w:line="324" w:lineRule="auto"/>
              <w:jc w:val="center"/>
              <w:rPr>
                <w:rFonts w:ascii="宋体" w:hAnsi="宋体" w:eastAsia="宋体" w:cs="宋体"/>
                <w:color w:val="auto"/>
                <w:sz w:val="21"/>
                <w:szCs w:val="21"/>
              </w:rPr>
            </w:pPr>
          </w:p>
        </w:tc>
        <w:tc>
          <w:tcPr>
            <w:tcW w:w="1035" w:type="dxa"/>
            <w:vAlign w:val="center"/>
          </w:tcPr>
          <w:p w14:paraId="5632CECE">
            <w:pPr>
              <w:pStyle w:val="25"/>
              <w:spacing w:line="324" w:lineRule="auto"/>
              <w:jc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总体运营服务方案（1</w:t>
            </w:r>
            <w:r>
              <w:rPr>
                <w:rFonts w:ascii="宋体" w:hAnsi="宋体" w:cs="宋体"/>
                <w:color w:val="auto"/>
                <w:sz w:val="21"/>
                <w:szCs w:val="21"/>
                <w:lang w:eastAsia="zh-CN"/>
              </w:rPr>
              <w:t>0</w:t>
            </w:r>
            <w:r>
              <w:rPr>
                <w:rFonts w:ascii="宋体" w:hAnsi="宋体" w:eastAsia="宋体" w:cs="宋体"/>
                <w:color w:val="auto"/>
                <w:sz w:val="21"/>
                <w:szCs w:val="21"/>
                <w:lang w:eastAsia="zh-CN"/>
              </w:rPr>
              <w:t>分）</w:t>
            </w:r>
          </w:p>
        </w:tc>
        <w:tc>
          <w:tcPr>
            <w:tcW w:w="6789" w:type="dxa"/>
          </w:tcPr>
          <w:p w14:paraId="2BEEF4BB">
            <w:pPr>
              <w:pStyle w:val="25"/>
              <w:spacing w:line="324" w:lineRule="auto"/>
              <w:rPr>
                <w:rFonts w:ascii="宋体" w:hAnsi="宋体" w:eastAsia="宋体" w:cs="宋体"/>
                <w:color w:val="auto"/>
                <w:sz w:val="21"/>
                <w:szCs w:val="21"/>
              </w:rPr>
            </w:pPr>
            <w:r>
              <w:rPr>
                <w:rFonts w:ascii="宋体" w:hAnsi="宋体" w:eastAsia="宋体" w:cs="宋体"/>
                <w:color w:val="auto"/>
                <w:sz w:val="21"/>
                <w:szCs w:val="21"/>
              </w:rPr>
              <w:t>供应商根据项目需求制定总体运营服务方案</w:t>
            </w:r>
            <w:r>
              <w:rPr>
                <w:rFonts w:ascii="宋体" w:hAnsi="宋体" w:eastAsia="宋体" w:cs="宋体"/>
                <w:color w:val="auto"/>
                <w:sz w:val="21"/>
                <w:szCs w:val="21"/>
                <w:lang w:eastAsia="zh-CN"/>
              </w:rPr>
              <w:t>进行评审</w:t>
            </w:r>
            <w:r>
              <w:rPr>
                <w:rFonts w:ascii="宋体" w:hAnsi="宋体" w:eastAsia="宋体" w:cs="宋体"/>
                <w:color w:val="auto"/>
                <w:sz w:val="21"/>
                <w:szCs w:val="21"/>
              </w:rPr>
              <w:t>(包括不限于拍摄设备方案、人员团队配置、考核方案、配合措施、成果验收、成果提交)，要求内容详细清晰、科学合理、针对性强，可行性高:</w:t>
            </w:r>
          </w:p>
          <w:p w14:paraId="070E7BEC">
            <w:pPr>
              <w:pStyle w:val="25"/>
              <w:spacing w:line="324" w:lineRule="auto"/>
              <w:rPr>
                <w:rFonts w:ascii="宋体" w:hAnsi="宋体" w:eastAsia="宋体" w:cs="宋体"/>
                <w:color w:val="auto"/>
                <w:sz w:val="21"/>
                <w:szCs w:val="21"/>
                <w:lang w:eastAsia="zh-CN"/>
              </w:rPr>
            </w:pPr>
            <w:r>
              <w:rPr>
                <w:rFonts w:ascii="宋体" w:hAnsi="宋体" w:eastAsia="宋体" w:cs="宋体"/>
                <w:color w:val="auto"/>
                <w:sz w:val="21"/>
                <w:szCs w:val="21"/>
              </w:rPr>
              <w:t>(1)以上内容不存在瑕疵，完全满足且优于采购需求，得1</w:t>
            </w:r>
            <w:r>
              <w:rPr>
                <w:rFonts w:ascii="宋体" w:hAnsi="宋体" w:cs="宋体"/>
                <w:color w:val="auto"/>
                <w:sz w:val="21"/>
                <w:szCs w:val="21"/>
                <w:lang w:eastAsia="zh-CN"/>
              </w:rPr>
              <w:t>0</w:t>
            </w:r>
            <w:r>
              <w:rPr>
                <w:rFonts w:ascii="宋体" w:hAnsi="宋体" w:eastAsia="宋体" w:cs="宋体"/>
                <w:color w:val="auto"/>
                <w:sz w:val="21"/>
                <w:szCs w:val="21"/>
              </w:rPr>
              <w:t>分</w:t>
            </w:r>
            <w:r>
              <w:rPr>
                <w:rFonts w:ascii="宋体" w:hAnsi="宋体" w:eastAsia="宋体" w:cs="宋体"/>
                <w:color w:val="auto"/>
                <w:sz w:val="21"/>
                <w:szCs w:val="21"/>
                <w:lang w:eastAsia="zh-CN"/>
              </w:rPr>
              <w:t>；</w:t>
            </w:r>
          </w:p>
          <w:p w14:paraId="350E3F08">
            <w:pPr>
              <w:pStyle w:val="25"/>
              <w:spacing w:line="324" w:lineRule="auto"/>
              <w:rPr>
                <w:rFonts w:ascii="宋体" w:hAnsi="宋体" w:eastAsia="宋体" w:cs="宋体"/>
                <w:color w:val="auto"/>
                <w:sz w:val="21"/>
                <w:szCs w:val="21"/>
                <w:lang w:eastAsia="zh-CN"/>
              </w:rPr>
            </w:pPr>
            <w:r>
              <w:rPr>
                <w:rFonts w:ascii="宋体" w:hAnsi="宋体" w:eastAsia="宋体" w:cs="宋体"/>
                <w:color w:val="auto"/>
                <w:sz w:val="21"/>
                <w:szCs w:val="21"/>
              </w:rPr>
              <w:t>(2)以上内容不存在瑕疵，能满足采购需求，得</w:t>
            </w:r>
            <w:r>
              <w:rPr>
                <w:rFonts w:ascii="宋体" w:hAnsi="宋体" w:cs="宋体"/>
                <w:color w:val="auto"/>
                <w:sz w:val="21"/>
                <w:szCs w:val="21"/>
                <w:lang w:eastAsia="zh-CN"/>
              </w:rPr>
              <w:t>8</w:t>
            </w:r>
            <w:r>
              <w:rPr>
                <w:rFonts w:ascii="宋体" w:hAnsi="宋体" w:eastAsia="宋体" w:cs="宋体"/>
                <w:color w:val="auto"/>
                <w:sz w:val="21"/>
                <w:szCs w:val="21"/>
              </w:rPr>
              <w:t>分</w:t>
            </w:r>
            <w:r>
              <w:rPr>
                <w:rFonts w:ascii="宋体" w:hAnsi="宋体" w:eastAsia="宋体" w:cs="宋体"/>
                <w:color w:val="auto"/>
                <w:sz w:val="21"/>
                <w:szCs w:val="21"/>
                <w:lang w:eastAsia="zh-CN"/>
              </w:rPr>
              <w:t>；</w:t>
            </w:r>
          </w:p>
          <w:p w14:paraId="4A346462">
            <w:pPr>
              <w:pStyle w:val="25"/>
              <w:spacing w:line="324" w:lineRule="auto"/>
              <w:rPr>
                <w:rFonts w:ascii="宋体" w:hAnsi="宋体" w:eastAsia="宋体" w:cs="宋体"/>
                <w:color w:val="auto"/>
                <w:sz w:val="21"/>
                <w:szCs w:val="21"/>
                <w:lang w:eastAsia="zh-CN"/>
              </w:rPr>
            </w:pPr>
            <w:r>
              <w:rPr>
                <w:rFonts w:ascii="宋体" w:hAnsi="宋体" w:eastAsia="宋体" w:cs="宋体"/>
                <w:color w:val="auto"/>
                <w:sz w:val="21"/>
                <w:szCs w:val="21"/>
              </w:rPr>
              <w:t>(3)以上内容存在1-2处瑕疵，不能完全满足采购需求，得5分</w:t>
            </w:r>
            <w:r>
              <w:rPr>
                <w:rFonts w:ascii="宋体" w:hAnsi="宋体" w:eastAsia="宋体" w:cs="宋体"/>
                <w:color w:val="auto"/>
                <w:sz w:val="21"/>
                <w:szCs w:val="21"/>
                <w:lang w:eastAsia="zh-CN"/>
              </w:rPr>
              <w:t>；</w:t>
            </w:r>
          </w:p>
          <w:p w14:paraId="1272105F">
            <w:pPr>
              <w:pStyle w:val="25"/>
              <w:spacing w:line="324" w:lineRule="auto"/>
              <w:rPr>
                <w:rFonts w:ascii="宋体" w:hAnsi="宋体" w:eastAsia="宋体" w:cs="宋体"/>
                <w:color w:val="auto"/>
                <w:sz w:val="21"/>
                <w:szCs w:val="21"/>
                <w:lang w:eastAsia="zh-CN"/>
              </w:rPr>
            </w:pPr>
            <w:r>
              <w:rPr>
                <w:rFonts w:ascii="宋体" w:hAnsi="宋体" w:eastAsia="宋体" w:cs="宋体"/>
                <w:color w:val="auto"/>
                <w:sz w:val="21"/>
                <w:szCs w:val="21"/>
              </w:rPr>
              <w:t>(4)以上内容存在3处以上瑕疵，或不满足项目需求，得1分</w:t>
            </w:r>
            <w:r>
              <w:rPr>
                <w:rFonts w:ascii="宋体" w:hAnsi="宋体" w:eastAsia="宋体" w:cs="宋体"/>
                <w:color w:val="auto"/>
                <w:sz w:val="21"/>
                <w:szCs w:val="21"/>
                <w:lang w:eastAsia="zh-CN"/>
              </w:rPr>
              <w:t>；</w:t>
            </w:r>
          </w:p>
          <w:p w14:paraId="43324C3B">
            <w:pPr>
              <w:pStyle w:val="25"/>
              <w:spacing w:line="324" w:lineRule="auto"/>
              <w:rPr>
                <w:rFonts w:ascii="宋体" w:hAnsi="宋体" w:eastAsia="宋体" w:cs="宋体"/>
                <w:color w:val="auto"/>
                <w:sz w:val="21"/>
                <w:szCs w:val="21"/>
              </w:rPr>
            </w:pPr>
            <w:r>
              <w:rPr>
                <w:rFonts w:ascii="宋体" w:hAnsi="宋体" w:eastAsia="宋体" w:cs="宋体"/>
                <w:color w:val="auto"/>
                <w:sz w:val="21"/>
                <w:szCs w:val="21"/>
              </w:rPr>
              <w:t>(5)未提供方案的不得分。</w:t>
            </w:r>
          </w:p>
          <w:p w14:paraId="53E83BF0">
            <w:pPr>
              <w:autoSpaceDE w:val="0"/>
              <w:autoSpaceDN w:val="0"/>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注：本项所称“瑕疵”是指：</w:t>
            </w:r>
          </w:p>
          <w:p w14:paraId="38A5DABB">
            <w:pPr>
              <w:autoSpaceDE w:val="0"/>
              <w:autoSpaceDN w:val="0"/>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1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①</w:t>
            </w:r>
            <w:r>
              <w:rPr>
                <w:rFonts w:hint="eastAsia" w:ascii="宋体" w:hAnsi="宋体" w:eastAsia="宋体" w:cs="宋体"/>
                <w:color w:val="auto"/>
                <w:szCs w:val="21"/>
              </w:rPr>
              <w:fldChar w:fldCharType="end"/>
            </w:r>
            <w:r>
              <w:rPr>
                <w:rFonts w:hint="eastAsia" w:ascii="宋体" w:hAnsi="宋体" w:eastAsia="宋体" w:cs="宋体"/>
                <w:color w:val="auto"/>
                <w:szCs w:val="21"/>
              </w:rPr>
              <w:t>对拍摄设备方案、人员团队配置、考核方案、配合措施、成果验收、成果提交描述不完整；</w:t>
            </w:r>
          </w:p>
          <w:p w14:paraId="53603FF6">
            <w:pPr>
              <w:autoSpaceDE w:val="0"/>
              <w:autoSpaceDN w:val="0"/>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2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②</w:t>
            </w:r>
            <w:r>
              <w:rPr>
                <w:rFonts w:hint="eastAsia" w:ascii="宋体" w:hAnsi="宋体" w:eastAsia="宋体" w:cs="宋体"/>
                <w:color w:val="auto"/>
                <w:szCs w:val="21"/>
              </w:rPr>
              <w:fldChar w:fldCharType="end"/>
            </w:r>
            <w:r>
              <w:rPr>
                <w:rFonts w:hint="eastAsia" w:ascii="宋体" w:hAnsi="宋体" w:eastAsia="宋体" w:cs="宋体"/>
                <w:color w:val="auto"/>
                <w:szCs w:val="21"/>
              </w:rPr>
              <w:t>拍摄设备方案、人员团队配置、考核方案、配合措施、成果验收、成果提交前后表述矛盾：存在逻辑漏洞、常识错误；</w:t>
            </w:r>
          </w:p>
          <w:p w14:paraId="0F3CD42C">
            <w:pPr>
              <w:pStyle w:val="25"/>
              <w:spacing w:line="324" w:lineRule="auto"/>
              <w:rPr>
                <w:rFonts w:ascii="宋体" w:hAnsi="宋体" w:eastAsia="宋体" w:cs="宋体"/>
                <w:color w:val="auto"/>
                <w:sz w:val="21"/>
                <w:szCs w:val="21"/>
              </w:rPr>
            </w:pPr>
            <w:r>
              <w:rPr>
                <w:rFonts w:ascii="宋体" w:hAnsi="宋体" w:eastAsia="宋体" w:cs="宋体"/>
                <w:color w:val="auto"/>
                <w:sz w:val="21"/>
                <w:szCs w:val="21"/>
              </w:rPr>
              <w:fldChar w:fldCharType="begin"/>
            </w:r>
            <w:r>
              <w:rPr>
                <w:rFonts w:ascii="宋体" w:hAnsi="宋体" w:eastAsia="宋体" w:cs="宋体"/>
                <w:color w:val="auto"/>
                <w:sz w:val="21"/>
                <w:szCs w:val="21"/>
              </w:rPr>
              <w:instrText xml:space="preserve"> = 3 \* GB3 </w:instrText>
            </w:r>
            <w:r>
              <w:rPr>
                <w:rFonts w:ascii="宋体" w:hAnsi="宋体" w:eastAsia="宋体" w:cs="宋体"/>
                <w:color w:val="auto"/>
                <w:sz w:val="21"/>
                <w:szCs w:val="21"/>
              </w:rPr>
              <w:fldChar w:fldCharType="separate"/>
            </w:r>
            <w:r>
              <w:rPr>
                <w:rFonts w:ascii="宋体" w:hAnsi="宋体" w:eastAsia="宋体" w:cs="宋体"/>
                <w:color w:val="auto"/>
                <w:sz w:val="21"/>
                <w:szCs w:val="21"/>
              </w:rPr>
              <w:t>③</w:t>
            </w:r>
            <w:r>
              <w:rPr>
                <w:rFonts w:ascii="宋体" w:hAnsi="宋体" w:eastAsia="宋体" w:cs="宋体"/>
                <w:color w:val="auto"/>
                <w:sz w:val="21"/>
                <w:szCs w:val="21"/>
              </w:rPr>
              <w:fldChar w:fldCharType="end"/>
            </w:r>
            <w:r>
              <w:rPr>
                <w:rFonts w:ascii="宋体" w:hAnsi="宋体" w:eastAsia="宋体" w:cs="宋体"/>
                <w:color w:val="auto"/>
                <w:sz w:val="21"/>
                <w:szCs w:val="21"/>
              </w:rPr>
              <w:t>其它不利于的实现、现有技术条件下不可能出现的情形等任意一种情形。</w:t>
            </w:r>
          </w:p>
        </w:tc>
      </w:tr>
      <w:tr w14:paraId="285A1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Merge w:val="continue"/>
          </w:tcPr>
          <w:p w14:paraId="455FC22C">
            <w:pPr>
              <w:pStyle w:val="25"/>
              <w:spacing w:line="324" w:lineRule="auto"/>
              <w:jc w:val="center"/>
              <w:rPr>
                <w:rFonts w:ascii="宋体" w:hAnsi="宋体" w:eastAsia="宋体" w:cs="宋体"/>
                <w:color w:val="auto"/>
                <w:sz w:val="21"/>
                <w:szCs w:val="21"/>
              </w:rPr>
            </w:pPr>
          </w:p>
        </w:tc>
        <w:tc>
          <w:tcPr>
            <w:tcW w:w="1035" w:type="dxa"/>
            <w:vAlign w:val="center"/>
          </w:tcPr>
          <w:p w14:paraId="4BAF34A0">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rPr>
              <w:t>服务质量保障措施（5分）</w:t>
            </w:r>
          </w:p>
        </w:tc>
        <w:tc>
          <w:tcPr>
            <w:tcW w:w="6789" w:type="dxa"/>
          </w:tcPr>
          <w:p w14:paraId="429E503C">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供应商根据本项目需求制定服务质量保障措施进行评审(包括不限于服务关键指标建设、质量保证计划、保证措施的实施)，要求内容详细清晰、科学合理、针对性强，可行性高:</w:t>
            </w:r>
          </w:p>
          <w:p w14:paraId="57455B04">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(1)以上内容不存在瑕疵，完全满足且优于采购需求，得5分；</w:t>
            </w:r>
          </w:p>
          <w:p w14:paraId="09AB0A9F">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(2)以上内容不存在瑕瓷，能满足采购需求，得4分；</w:t>
            </w:r>
          </w:p>
          <w:p w14:paraId="6152D031">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(3)以上内容存在1-2处瑕疵，不能究全满足采购需求，得3分；</w:t>
            </w:r>
          </w:p>
          <w:p w14:paraId="7848C532">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(4)以上内容存在3处以上瑕疵，或不满足项目需求，得1分；</w:t>
            </w:r>
          </w:p>
          <w:p w14:paraId="55B24DC3">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(5)未提供方案的不得分。</w:t>
            </w:r>
          </w:p>
          <w:p w14:paraId="6462F2DC">
            <w:pPr>
              <w:autoSpaceDE w:val="0"/>
              <w:autoSpaceDN w:val="0"/>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注：本项所称“瑕疵”是指：</w:t>
            </w:r>
          </w:p>
          <w:p w14:paraId="548A0367">
            <w:pPr>
              <w:autoSpaceDE w:val="0"/>
              <w:autoSpaceDN w:val="0"/>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1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①</w:t>
            </w:r>
            <w:r>
              <w:rPr>
                <w:rFonts w:hint="eastAsia" w:ascii="宋体" w:hAnsi="宋体" w:eastAsia="宋体" w:cs="宋体"/>
                <w:color w:val="auto"/>
                <w:szCs w:val="21"/>
              </w:rPr>
              <w:fldChar w:fldCharType="end"/>
            </w:r>
            <w:r>
              <w:rPr>
                <w:rFonts w:hint="eastAsia" w:ascii="宋体" w:hAnsi="宋体" w:eastAsia="宋体" w:cs="宋体"/>
                <w:color w:val="auto"/>
                <w:szCs w:val="21"/>
              </w:rPr>
              <w:t>对服务关键指标建设、质量保证计划、保证措施的实施描述不完整；</w:t>
            </w:r>
          </w:p>
          <w:p w14:paraId="53DDA986">
            <w:pPr>
              <w:autoSpaceDE w:val="0"/>
              <w:autoSpaceDN w:val="0"/>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2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②</w:t>
            </w:r>
            <w:r>
              <w:rPr>
                <w:rFonts w:hint="eastAsia" w:ascii="宋体" w:hAnsi="宋体" w:eastAsia="宋体" w:cs="宋体"/>
                <w:color w:val="auto"/>
                <w:szCs w:val="21"/>
              </w:rPr>
              <w:fldChar w:fldCharType="end"/>
            </w:r>
            <w:r>
              <w:rPr>
                <w:rFonts w:hint="eastAsia" w:ascii="宋体" w:hAnsi="宋体" w:eastAsia="宋体" w:cs="宋体"/>
                <w:color w:val="auto"/>
                <w:szCs w:val="21"/>
              </w:rPr>
              <w:t>服务关键指标建设、质量保证计划、保证措施的实施前后表述矛盾：存在逻辑漏洞、常识错误；</w:t>
            </w:r>
          </w:p>
          <w:p w14:paraId="191A4350">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3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③</w:t>
            </w:r>
            <w:r>
              <w:rPr>
                <w:rFonts w:hint="eastAsia" w:ascii="宋体" w:hAnsi="宋体" w:eastAsia="宋体" w:cs="宋体"/>
                <w:color w:val="auto"/>
                <w:szCs w:val="21"/>
              </w:rPr>
              <w:fldChar w:fldCharType="end"/>
            </w:r>
            <w:r>
              <w:rPr>
                <w:rFonts w:hint="eastAsia" w:ascii="宋体" w:hAnsi="宋体" w:eastAsia="宋体" w:cs="宋体"/>
                <w:color w:val="auto"/>
                <w:szCs w:val="21"/>
              </w:rPr>
              <w:t>其它不利于的实现、现有技术条件下不可能出现的情形等任意一种情形。</w:t>
            </w:r>
          </w:p>
        </w:tc>
      </w:tr>
      <w:tr w14:paraId="6F8C7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Merge w:val="continue"/>
          </w:tcPr>
          <w:p w14:paraId="062A0569">
            <w:pPr>
              <w:spacing w:line="324" w:lineRule="auto"/>
              <w:rPr>
                <w:rFonts w:hint="eastAsia" w:ascii="宋体" w:hAnsi="宋体" w:eastAsia="宋体" w:cs="宋体"/>
                <w:color w:val="auto"/>
                <w:szCs w:val="21"/>
              </w:rPr>
            </w:pPr>
          </w:p>
        </w:tc>
        <w:tc>
          <w:tcPr>
            <w:tcW w:w="1035" w:type="dxa"/>
            <w:vAlign w:val="center"/>
          </w:tcPr>
          <w:p w14:paraId="25FB6250">
            <w:pPr>
              <w:pStyle w:val="25"/>
              <w:spacing w:line="324" w:lineRule="auto"/>
              <w:jc w:val="center"/>
              <w:rPr>
                <w:rFonts w:ascii="宋体" w:hAnsi="宋体" w:eastAsia="宋体" w:cs="宋体"/>
                <w:color w:val="auto"/>
                <w:sz w:val="21"/>
                <w:szCs w:val="21"/>
                <w:lang w:eastAsia="zh-CN"/>
              </w:rPr>
            </w:pPr>
            <w:r>
              <w:rPr>
                <w:rFonts w:ascii="宋体" w:hAnsi="宋体" w:eastAsia="宋体" w:cs="宋体"/>
                <w:color w:val="auto"/>
                <w:sz w:val="21"/>
                <w:szCs w:val="21"/>
                <w:lang w:eastAsia="zh-CN"/>
              </w:rPr>
              <w:t>团队管理规章制度（</w:t>
            </w:r>
            <w:r>
              <w:rPr>
                <w:rFonts w:ascii="宋体" w:hAnsi="宋体" w:cs="宋体"/>
                <w:color w:val="auto"/>
                <w:sz w:val="21"/>
                <w:szCs w:val="21"/>
                <w:lang w:eastAsia="zh-CN"/>
              </w:rPr>
              <w:t>7</w:t>
            </w:r>
            <w:r>
              <w:rPr>
                <w:rFonts w:ascii="宋体" w:hAnsi="宋体" w:eastAsia="宋体" w:cs="宋体"/>
                <w:color w:val="auto"/>
                <w:sz w:val="21"/>
                <w:szCs w:val="21"/>
                <w:lang w:eastAsia="zh-CN"/>
              </w:rPr>
              <w:t>分）</w:t>
            </w:r>
          </w:p>
        </w:tc>
        <w:tc>
          <w:tcPr>
            <w:tcW w:w="6789" w:type="dxa"/>
          </w:tcPr>
          <w:p w14:paraId="46C0E8E2">
            <w:pPr>
              <w:pStyle w:val="25"/>
              <w:spacing w:line="324" w:lineRule="auto"/>
              <w:rPr>
                <w:rFonts w:ascii="宋体" w:hAnsi="宋体" w:eastAsia="宋体" w:cs="宋体"/>
                <w:color w:val="auto"/>
                <w:sz w:val="21"/>
                <w:szCs w:val="21"/>
              </w:rPr>
            </w:pPr>
            <w:r>
              <w:rPr>
                <w:rFonts w:ascii="宋体" w:hAnsi="宋体" w:eastAsia="宋体" w:cs="宋体"/>
                <w:color w:val="auto"/>
                <w:sz w:val="21"/>
                <w:szCs w:val="21"/>
              </w:rPr>
              <w:t>根据供应商提供的团队管理规章制度情况进行评审(包括不限于考勤管理制度、着装规范管理、培训机制、薪酬评估制度)，要求内容详细清晰、健全、规范完善，可行性高:</w:t>
            </w:r>
          </w:p>
          <w:p w14:paraId="504C3C43">
            <w:pPr>
              <w:pStyle w:val="25"/>
              <w:spacing w:line="324" w:lineRule="auto"/>
              <w:rPr>
                <w:rFonts w:ascii="宋体" w:hAnsi="宋体" w:eastAsia="宋体" w:cs="宋体"/>
                <w:color w:val="auto"/>
                <w:sz w:val="21"/>
                <w:szCs w:val="21"/>
                <w:lang w:eastAsia="zh-CN"/>
              </w:rPr>
            </w:pPr>
            <w:r>
              <w:rPr>
                <w:rFonts w:ascii="宋体" w:hAnsi="宋体" w:eastAsia="宋体" w:cs="宋体"/>
                <w:color w:val="auto"/>
                <w:sz w:val="21"/>
                <w:szCs w:val="21"/>
              </w:rPr>
              <w:t>(1)以上内容不存在瑕疵，能充分促进本项目实施，得</w:t>
            </w:r>
            <w:r>
              <w:rPr>
                <w:rFonts w:ascii="宋体" w:hAnsi="宋体" w:cs="宋体"/>
                <w:color w:val="auto"/>
                <w:sz w:val="21"/>
                <w:szCs w:val="21"/>
                <w:lang w:eastAsia="zh-CN"/>
              </w:rPr>
              <w:t>7</w:t>
            </w:r>
            <w:r>
              <w:rPr>
                <w:rFonts w:ascii="宋体" w:hAnsi="宋体" w:eastAsia="宋体" w:cs="宋体"/>
                <w:color w:val="auto"/>
                <w:sz w:val="21"/>
                <w:szCs w:val="21"/>
              </w:rPr>
              <w:t>分</w:t>
            </w:r>
            <w:r>
              <w:rPr>
                <w:rFonts w:ascii="宋体" w:hAnsi="宋体" w:eastAsia="宋体" w:cs="宋体"/>
                <w:color w:val="auto"/>
                <w:sz w:val="21"/>
                <w:szCs w:val="21"/>
                <w:lang w:eastAsia="zh-CN"/>
              </w:rPr>
              <w:t>；</w:t>
            </w:r>
          </w:p>
          <w:p w14:paraId="4132A2D2">
            <w:pPr>
              <w:pStyle w:val="25"/>
              <w:spacing w:line="324" w:lineRule="auto"/>
              <w:rPr>
                <w:rFonts w:ascii="宋体" w:hAnsi="宋体" w:eastAsia="宋体" w:cs="宋体"/>
                <w:color w:val="auto"/>
                <w:sz w:val="21"/>
                <w:szCs w:val="21"/>
                <w:lang w:eastAsia="zh-CN"/>
              </w:rPr>
            </w:pPr>
            <w:r>
              <w:rPr>
                <w:rFonts w:ascii="宋体" w:hAnsi="宋体" w:eastAsia="宋体" w:cs="宋体"/>
                <w:color w:val="auto"/>
                <w:sz w:val="21"/>
                <w:szCs w:val="21"/>
              </w:rPr>
              <w:t>(2)以上内容不存在瑕疵，能较好促进本项目实施，得</w:t>
            </w:r>
            <w:r>
              <w:rPr>
                <w:rFonts w:ascii="宋体" w:hAnsi="宋体" w:cs="宋体"/>
                <w:color w:val="auto"/>
                <w:sz w:val="21"/>
                <w:szCs w:val="21"/>
                <w:lang w:eastAsia="zh-CN"/>
              </w:rPr>
              <w:t>6</w:t>
            </w:r>
            <w:r>
              <w:rPr>
                <w:rFonts w:ascii="宋体" w:hAnsi="宋体" w:eastAsia="宋体" w:cs="宋体"/>
                <w:color w:val="auto"/>
                <w:sz w:val="21"/>
                <w:szCs w:val="21"/>
              </w:rPr>
              <w:t>分</w:t>
            </w:r>
            <w:r>
              <w:rPr>
                <w:rFonts w:ascii="宋体" w:hAnsi="宋体" w:eastAsia="宋体" w:cs="宋体"/>
                <w:color w:val="auto"/>
                <w:sz w:val="21"/>
                <w:szCs w:val="21"/>
                <w:lang w:eastAsia="zh-CN"/>
              </w:rPr>
              <w:t>；</w:t>
            </w:r>
          </w:p>
          <w:p w14:paraId="2F24BF23">
            <w:pPr>
              <w:pStyle w:val="25"/>
              <w:spacing w:line="324" w:lineRule="auto"/>
              <w:rPr>
                <w:rFonts w:ascii="宋体" w:hAnsi="宋体" w:eastAsia="宋体" w:cs="宋体"/>
                <w:color w:val="auto"/>
                <w:sz w:val="21"/>
                <w:szCs w:val="21"/>
                <w:lang w:eastAsia="zh-CN"/>
              </w:rPr>
            </w:pPr>
            <w:r>
              <w:rPr>
                <w:rFonts w:ascii="宋体" w:hAnsi="宋体" w:eastAsia="宋体" w:cs="宋体"/>
                <w:color w:val="auto"/>
                <w:sz w:val="21"/>
                <w:szCs w:val="21"/>
              </w:rPr>
              <w:t>(3)以上内容存在1-2处瑕疵，一般促进本项目实施，得</w:t>
            </w:r>
            <w:r>
              <w:rPr>
                <w:rFonts w:ascii="宋体" w:hAnsi="宋体" w:cs="宋体"/>
                <w:color w:val="auto"/>
                <w:sz w:val="21"/>
                <w:szCs w:val="21"/>
                <w:lang w:eastAsia="zh-CN"/>
              </w:rPr>
              <w:t>5</w:t>
            </w:r>
            <w:r>
              <w:rPr>
                <w:rFonts w:ascii="宋体" w:hAnsi="宋体" w:eastAsia="宋体" w:cs="宋体"/>
                <w:color w:val="auto"/>
                <w:sz w:val="21"/>
                <w:szCs w:val="21"/>
              </w:rPr>
              <w:t>分</w:t>
            </w:r>
            <w:r>
              <w:rPr>
                <w:rFonts w:ascii="宋体" w:hAnsi="宋体" w:eastAsia="宋体" w:cs="宋体"/>
                <w:color w:val="auto"/>
                <w:sz w:val="21"/>
                <w:szCs w:val="21"/>
                <w:lang w:eastAsia="zh-CN"/>
              </w:rPr>
              <w:t>；</w:t>
            </w:r>
          </w:p>
          <w:p w14:paraId="1368165D">
            <w:pPr>
              <w:pStyle w:val="25"/>
              <w:spacing w:line="324" w:lineRule="auto"/>
              <w:rPr>
                <w:rFonts w:ascii="宋体" w:hAnsi="宋体" w:eastAsia="宋体" w:cs="宋体"/>
                <w:color w:val="auto"/>
                <w:sz w:val="21"/>
                <w:szCs w:val="21"/>
                <w:lang w:eastAsia="zh-CN"/>
              </w:rPr>
            </w:pPr>
            <w:r>
              <w:rPr>
                <w:rFonts w:ascii="宋体" w:hAnsi="宋体" w:eastAsia="宋体" w:cs="宋体"/>
                <w:color w:val="auto"/>
                <w:sz w:val="21"/>
                <w:szCs w:val="21"/>
              </w:rPr>
              <w:t>(4)以上内容存在3处以上瑕疵，或不满足项目需求，得1分</w:t>
            </w:r>
            <w:r>
              <w:rPr>
                <w:rFonts w:ascii="宋体" w:hAnsi="宋体" w:eastAsia="宋体" w:cs="宋体"/>
                <w:color w:val="auto"/>
                <w:sz w:val="21"/>
                <w:szCs w:val="21"/>
                <w:lang w:eastAsia="zh-CN"/>
              </w:rPr>
              <w:t>；</w:t>
            </w:r>
          </w:p>
          <w:p w14:paraId="2DC7055A">
            <w:pPr>
              <w:pStyle w:val="25"/>
              <w:spacing w:line="324" w:lineRule="auto"/>
              <w:rPr>
                <w:rFonts w:ascii="宋体" w:hAnsi="宋体" w:eastAsia="宋体" w:cs="宋体"/>
                <w:color w:val="auto"/>
                <w:sz w:val="21"/>
                <w:szCs w:val="21"/>
              </w:rPr>
            </w:pPr>
            <w:r>
              <w:rPr>
                <w:rFonts w:ascii="宋体" w:hAnsi="宋体" w:eastAsia="宋体" w:cs="宋体"/>
                <w:color w:val="auto"/>
                <w:sz w:val="21"/>
                <w:szCs w:val="21"/>
              </w:rPr>
              <w:t>(5)未提供方案的不得分。</w:t>
            </w:r>
          </w:p>
          <w:p w14:paraId="29C85E59">
            <w:pPr>
              <w:autoSpaceDE w:val="0"/>
              <w:autoSpaceDN w:val="0"/>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注：本项所称“瑕疵”是指：</w:t>
            </w:r>
          </w:p>
          <w:p w14:paraId="51F05348">
            <w:pPr>
              <w:autoSpaceDE w:val="0"/>
              <w:autoSpaceDN w:val="0"/>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1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①</w:t>
            </w:r>
            <w:r>
              <w:rPr>
                <w:rFonts w:hint="eastAsia" w:ascii="宋体" w:hAnsi="宋体" w:eastAsia="宋体" w:cs="宋体"/>
                <w:color w:val="auto"/>
                <w:szCs w:val="21"/>
              </w:rPr>
              <w:fldChar w:fldCharType="end"/>
            </w:r>
            <w:r>
              <w:rPr>
                <w:rFonts w:hint="eastAsia" w:ascii="宋体" w:hAnsi="宋体" w:eastAsia="宋体" w:cs="宋体"/>
                <w:color w:val="auto"/>
                <w:szCs w:val="21"/>
              </w:rPr>
              <w:t>对考勤管理制度、着装规范管理、培训机制、薪酬评估制度描述不完整；</w:t>
            </w:r>
          </w:p>
          <w:p w14:paraId="6E3CF93A">
            <w:pPr>
              <w:autoSpaceDE w:val="0"/>
              <w:autoSpaceDN w:val="0"/>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2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②</w:t>
            </w:r>
            <w:r>
              <w:rPr>
                <w:rFonts w:hint="eastAsia" w:ascii="宋体" w:hAnsi="宋体" w:eastAsia="宋体" w:cs="宋体"/>
                <w:color w:val="auto"/>
                <w:szCs w:val="21"/>
              </w:rPr>
              <w:fldChar w:fldCharType="end"/>
            </w:r>
            <w:r>
              <w:rPr>
                <w:rFonts w:hint="eastAsia" w:ascii="宋体" w:hAnsi="宋体" w:eastAsia="宋体" w:cs="宋体"/>
                <w:color w:val="auto"/>
                <w:szCs w:val="21"/>
              </w:rPr>
              <w:t>考勤管理制度、着装规范管理、培训机制、薪酬评估制度前后表述矛盾：存在逻辑漏洞、常识错误；</w:t>
            </w:r>
          </w:p>
          <w:p w14:paraId="0FE84BCB">
            <w:pPr>
              <w:pStyle w:val="25"/>
              <w:spacing w:line="324" w:lineRule="auto"/>
              <w:rPr>
                <w:rFonts w:ascii="宋体" w:hAnsi="宋体" w:eastAsia="宋体" w:cs="宋体"/>
                <w:color w:val="auto"/>
                <w:sz w:val="21"/>
                <w:szCs w:val="21"/>
              </w:rPr>
            </w:pPr>
            <w:r>
              <w:rPr>
                <w:rFonts w:ascii="宋体" w:hAnsi="宋体" w:eastAsia="宋体" w:cs="宋体"/>
                <w:color w:val="auto"/>
                <w:sz w:val="21"/>
                <w:szCs w:val="21"/>
              </w:rPr>
              <w:fldChar w:fldCharType="begin"/>
            </w:r>
            <w:r>
              <w:rPr>
                <w:rFonts w:ascii="宋体" w:hAnsi="宋体" w:eastAsia="宋体" w:cs="宋体"/>
                <w:color w:val="auto"/>
                <w:sz w:val="21"/>
                <w:szCs w:val="21"/>
              </w:rPr>
              <w:instrText xml:space="preserve"> = 3 \* GB3 </w:instrText>
            </w:r>
            <w:r>
              <w:rPr>
                <w:rFonts w:ascii="宋体" w:hAnsi="宋体" w:eastAsia="宋体" w:cs="宋体"/>
                <w:color w:val="auto"/>
                <w:sz w:val="21"/>
                <w:szCs w:val="21"/>
              </w:rPr>
              <w:fldChar w:fldCharType="separate"/>
            </w:r>
            <w:r>
              <w:rPr>
                <w:rFonts w:ascii="宋体" w:hAnsi="宋体" w:eastAsia="宋体" w:cs="宋体"/>
                <w:color w:val="auto"/>
                <w:sz w:val="21"/>
                <w:szCs w:val="21"/>
              </w:rPr>
              <w:t>③</w:t>
            </w:r>
            <w:r>
              <w:rPr>
                <w:rFonts w:ascii="宋体" w:hAnsi="宋体" w:eastAsia="宋体" w:cs="宋体"/>
                <w:color w:val="auto"/>
                <w:sz w:val="21"/>
                <w:szCs w:val="21"/>
              </w:rPr>
              <w:fldChar w:fldCharType="end"/>
            </w:r>
            <w:r>
              <w:rPr>
                <w:rFonts w:ascii="宋体" w:hAnsi="宋体" w:eastAsia="宋体" w:cs="宋体"/>
                <w:color w:val="auto"/>
                <w:sz w:val="21"/>
                <w:szCs w:val="21"/>
              </w:rPr>
              <w:t>其它不利于的实现、现有技术条件下不可能出现的情形等任意一种情形。</w:t>
            </w:r>
          </w:p>
        </w:tc>
      </w:tr>
      <w:tr w14:paraId="1B345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Merge w:val="continue"/>
          </w:tcPr>
          <w:p w14:paraId="3998EAF6">
            <w:pPr>
              <w:spacing w:line="324" w:lineRule="auto"/>
              <w:rPr>
                <w:rFonts w:hint="eastAsia" w:ascii="宋体" w:hAnsi="宋体" w:eastAsia="宋体" w:cs="宋体"/>
                <w:color w:val="auto"/>
                <w:szCs w:val="21"/>
              </w:rPr>
            </w:pPr>
          </w:p>
        </w:tc>
        <w:tc>
          <w:tcPr>
            <w:tcW w:w="1035" w:type="dxa"/>
            <w:vAlign w:val="center"/>
          </w:tcPr>
          <w:p w14:paraId="77AA305E">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rPr>
              <w:t>合理化建议</w:t>
            </w:r>
          </w:p>
          <w:p w14:paraId="6C0E7E03">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rPr>
              <w:t>（5分）</w:t>
            </w:r>
          </w:p>
        </w:tc>
        <w:tc>
          <w:tcPr>
            <w:tcW w:w="6789" w:type="dxa"/>
          </w:tcPr>
          <w:p w14:paraId="7EA7793E">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根据供应商为本项目提出的合理化建议情况进行评审(包括不限于针对项目的现阶段内容发布、数据表现、业界影响力)，要求内容详细清晰、科学合理、针对性强，可行性高:</w:t>
            </w:r>
          </w:p>
          <w:p w14:paraId="3204598C">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(1)以上内容不存在瑕疵，能充分促进本项目实施，得5分；</w:t>
            </w:r>
          </w:p>
          <w:p w14:paraId="1D6BA4D1">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(2)以上内容不存在瑕疵，能较好促进本项目实施，得3分；</w:t>
            </w:r>
          </w:p>
          <w:p w14:paraId="6CF72807">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(3)以上内容存在1-2处瑕疵，一般促进本项目实施，得1分；</w:t>
            </w:r>
          </w:p>
          <w:p w14:paraId="18CB71A0">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(4)未提供方案或内容存在3处以上瑕疵或不满足项目需求，不得分。</w:t>
            </w:r>
          </w:p>
          <w:p w14:paraId="4DD30A10">
            <w:pPr>
              <w:autoSpaceDE w:val="0"/>
              <w:autoSpaceDN w:val="0"/>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注：本项所称“瑕疵”是指：</w:t>
            </w:r>
          </w:p>
          <w:p w14:paraId="2D6C4156">
            <w:pPr>
              <w:autoSpaceDE w:val="0"/>
              <w:autoSpaceDN w:val="0"/>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1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①</w:t>
            </w:r>
            <w:r>
              <w:rPr>
                <w:rFonts w:hint="eastAsia" w:ascii="宋体" w:hAnsi="宋体" w:eastAsia="宋体" w:cs="宋体"/>
                <w:color w:val="auto"/>
                <w:szCs w:val="21"/>
              </w:rPr>
              <w:fldChar w:fldCharType="end"/>
            </w:r>
            <w:r>
              <w:rPr>
                <w:rFonts w:hint="eastAsia" w:ascii="宋体" w:hAnsi="宋体" w:eastAsia="宋体" w:cs="宋体"/>
                <w:color w:val="auto"/>
                <w:szCs w:val="21"/>
              </w:rPr>
              <w:t>对针对项目的现阶段内容发布、数据表现、业界影响力描述不完整；</w:t>
            </w:r>
          </w:p>
          <w:p w14:paraId="01CE5BD1">
            <w:pPr>
              <w:autoSpaceDE w:val="0"/>
              <w:autoSpaceDN w:val="0"/>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2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②</w:t>
            </w:r>
            <w:r>
              <w:rPr>
                <w:rFonts w:hint="eastAsia" w:ascii="宋体" w:hAnsi="宋体" w:eastAsia="宋体" w:cs="宋体"/>
                <w:color w:val="auto"/>
                <w:szCs w:val="21"/>
              </w:rPr>
              <w:fldChar w:fldCharType="end"/>
            </w:r>
            <w:r>
              <w:rPr>
                <w:rFonts w:hint="eastAsia" w:ascii="宋体" w:hAnsi="宋体" w:eastAsia="宋体" w:cs="宋体"/>
                <w:color w:val="auto"/>
                <w:szCs w:val="21"/>
              </w:rPr>
              <w:t>针对项目的现阶段内容发布、数据表现、业界影响力前后表述矛盾：存在逻辑漏洞、常识错误；</w:t>
            </w:r>
          </w:p>
          <w:p w14:paraId="1E53D1CB">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3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③</w:t>
            </w:r>
            <w:r>
              <w:rPr>
                <w:rFonts w:hint="eastAsia" w:ascii="宋体" w:hAnsi="宋体" w:eastAsia="宋体" w:cs="宋体"/>
                <w:color w:val="auto"/>
                <w:szCs w:val="21"/>
              </w:rPr>
              <w:fldChar w:fldCharType="end"/>
            </w:r>
            <w:r>
              <w:rPr>
                <w:rFonts w:hint="eastAsia" w:ascii="宋体" w:hAnsi="宋体" w:eastAsia="宋体" w:cs="宋体"/>
                <w:color w:val="auto"/>
                <w:szCs w:val="21"/>
              </w:rPr>
              <w:t>其它不利于的实现、现有技术条件下不可能出现的情形等任意一种情形。</w:t>
            </w:r>
          </w:p>
        </w:tc>
      </w:tr>
      <w:tr w14:paraId="55182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Merge w:val="restart"/>
            <w:vAlign w:val="center"/>
          </w:tcPr>
          <w:p w14:paraId="7F62AC31">
            <w:pPr>
              <w:pStyle w:val="25"/>
              <w:spacing w:line="324" w:lineRule="auto"/>
              <w:jc w:val="center"/>
              <w:rPr>
                <w:rFonts w:ascii="宋体" w:hAnsi="宋体" w:eastAsia="宋体" w:cs="宋体"/>
                <w:color w:val="auto"/>
                <w:sz w:val="21"/>
                <w:szCs w:val="21"/>
              </w:rPr>
            </w:pPr>
            <w:r>
              <w:rPr>
                <w:rFonts w:ascii="宋体" w:hAnsi="宋体" w:eastAsia="宋体" w:cs="宋体"/>
                <w:color w:val="auto"/>
                <w:sz w:val="21"/>
                <w:szCs w:val="21"/>
              </w:rPr>
              <w:t>商务部分</w:t>
            </w:r>
          </w:p>
        </w:tc>
        <w:tc>
          <w:tcPr>
            <w:tcW w:w="1035" w:type="dxa"/>
            <w:vAlign w:val="center"/>
          </w:tcPr>
          <w:p w14:paraId="7DA5A8F3">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rPr>
              <w:t>同类项目业绩（10分）</w:t>
            </w:r>
          </w:p>
        </w:tc>
        <w:tc>
          <w:tcPr>
            <w:tcW w:w="6789" w:type="dxa"/>
          </w:tcPr>
          <w:p w14:paraId="26C46E71">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供应商自2021年1月1日以来(以合同签订时间为准)承接的同类项目业绩，每个得1分，最高得10分。同类项目业绩如抖音、快手、微信公众号、微博、头条等新媒体平台账号代运营类项目。</w:t>
            </w:r>
          </w:p>
          <w:p w14:paraId="08B166B7">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(注:须提供合同复印件，含甲乙双方的单位名称、项目名称，甲乙双方的落款盖章、签订日期的关键页作为同类业绩证明资料。证明材料不齐全，不清晰、无法辨认的不得分。)</w:t>
            </w:r>
          </w:p>
        </w:tc>
      </w:tr>
      <w:tr w14:paraId="24822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8" w:hRule="atLeast"/>
        </w:trPr>
        <w:tc>
          <w:tcPr>
            <w:tcW w:w="698" w:type="dxa"/>
            <w:vMerge w:val="continue"/>
          </w:tcPr>
          <w:p w14:paraId="2090A28D">
            <w:pPr>
              <w:spacing w:line="324" w:lineRule="auto"/>
              <w:rPr>
                <w:rFonts w:hint="eastAsia" w:ascii="宋体" w:hAnsi="宋体" w:eastAsia="宋体" w:cs="宋体"/>
                <w:color w:val="auto"/>
                <w:szCs w:val="21"/>
              </w:rPr>
            </w:pPr>
          </w:p>
        </w:tc>
        <w:tc>
          <w:tcPr>
            <w:tcW w:w="1035" w:type="dxa"/>
            <w:vAlign w:val="center"/>
          </w:tcPr>
          <w:p w14:paraId="149A50A8">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运营能力（16分）</w:t>
            </w:r>
          </w:p>
        </w:tc>
        <w:tc>
          <w:tcPr>
            <w:tcW w:w="6789" w:type="dxa"/>
          </w:tcPr>
          <w:p w14:paraId="6CB3F216">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供应商代运营的新媒体平台账号单个爆款内容观看量及粉丝量行评审：</w:t>
            </w:r>
          </w:p>
          <w:p w14:paraId="76F97945">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1. 单个短视频作品观看量达到500万及以上每个得1分，本项最高14分；</w:t>
            </w:r>
          </w:p>
          <w:p w14:paraId="3842354C">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2. 代运营新媒体账号粉丝量达100万以上每个得1分，本项最高2分；</w:t>
            </w:r>
          </w:p>
          <w:p w14:paraId="41667FA1">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注：观看量定义为单个平台单个作品数据，2021年1月1日-2024年8月31日期间作品，需提供平台账号短视频的观看量截图，账号粉丝量截图，以及代运营合同或者视频拍摄合同复印件（含签订合同双方的单位名称、合同项目名称、签订合同双方的落款盖章、签订日期的关键页），不提供或资料不全不得分。</w:t>
            </w:r>
          </w:p>
        </w:tc>
      </w:tr>
      <w:tr w14:paraId="7EEB3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Merge w:val="continue"/>
          </w:tcPr>
          <w:p w14:paraId="4F221EEA">
            <w:pPr>
              <w:spacing w:line="324" w:lineRule="auto"/>
              <w:rPr>
                <w:rFonts w:hint="eastAsia" w:ascii="宋体" w:hAnsi="宋体" w:eastAsia="宋体" w:cs="宋体"/>
                <w:color w:val="auto"/>
                <w:szCs w:val="21"/>
              </w:rPr>
            </w:pPr>
          </w:p>
        </w:tc>
        <w:tc>
          <w:tcPr>
            <w:tcW w:w="1035" w:type="dxa"/>
            <w:vAlign w:val="center"/>
          </w:tcPr>
          <w:p w14:paraId="3548AF16">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rPr>
              <w:t>同类项目客户满意度（4分）</w:t>
            </w:r>
          </w:p>
        </w:tc>
        <w:tc>
          <w:tcPr>
            <w:tcW w:w="6789" w:type="dxa"/>
          </w:tcPr>
          <w:p w14:paraId="65DD446B">
            <w:pPr>
              <w:spacing w:line="324" w:lineRule="auto"/>
              <w:ind w:left="116"/>
              <w:jc w:val="left"/>
              <w:rPr>
                <w:rFonts w:hint="eastAsia" w:ascii="宋体" w:hAnsi="宋体" w:eastAsia="宋体" w:cs="宋体"/>
                <w:color w:val="auto"/>
                <w:szCs w:val="21"/>
              </w:rPr>
            </w:pPr>
            <w:r>
              <w:rPr>
                <w:rFonts w:hint="eastAsia" w:ascii="宋体" w:hAnsi="宋体" w:eastAsia="宋体" w:cs="宋体"/>
                <w:color w:val="auto"/>
                <w:szCs w:val="21"/>
              </w:rPr>
              <w:t>根据供应商前述的“同类项目业绩”纳入有效评审的业绩中，具有客户满意度好评(评价为优秀、满意、评价得分≥90分或类似评价)，每份客户证明得1分，最高得4分。</w:t>
            </w:r>
          </w:p>
          <w:p w14:paraId="5F2C1670">
            <w:pPr>
              <w:spacing w:line="324" w:lineRule="auto"/>
              <w:ind w:left="116"/>
              <w:jc w:val="left"/>
              <w:rPr>
                <w:rFonts w:hint="eastAsia" w:ascii="宋体" w:hAnsi="宋体" w:eastAsia="宋体" w:cs="宋体"/>
                <w:color w:val="auto"/>
                <w:szCs w:val="21"/>
              </w:rPr>
            </w:pPr>
            <w:r>
              <w:rPr>
                <w:rFonts w:hint="eastAsia" w:ascii="宋体" w:hAnsi="宋体" w:eastAsia="宋体" w:cs="宋体"/>
                <w:color w:val="auto"/>
                <w:szCs w:val="21"/>
              </w:rPr>
              <w:t>(注:客户满意度须加盖客户公章或部门章，否则不得分。)</w:t>
            </w:r>
          </w:p>
        </w:tc>
      </w:tr>
      <w:tr w14:paraId="2F26B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Merge w:val="continue"/>
          </w:tcPr>
          <w:p w14:paraId="70315AAB">
            <w:pPr>
              <w:spacing w:line="324" w:lineRule="auto"/>
              <w:rPr>
                <w:rFonts w:hint="eastAsia" w:ascii="宋体" w:hAnsi="宋体" w:eastAsia="宋体" w:cs="宋体"/>
                <w:color w:val="auto"/>
                <w:szCs w:val="21"/>
              </w:rPr>
            </w:pPr>
          </w:p>
        </w:tc>
        <w:tc>
          <w:tcPr>
            <w:tcW w:w="1035" w:type="dxa"/>
            <w:vAlign w:val="center"/>
          </w:tcPr>
          <w:p w14:paraId="60E90623">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rPr>
              <w:t>获奖情况</w:t>
            </w:r>
          </w:p>
          <w:p w14:paraId="463653C6">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rPr>
              <w:t>（7分）</w:t>
            </w:r>
          </w:p>
        </w:tc>
        <w:tc>
          <w:tcPr>
            <w:tcW w:w="6789" w:type="dxa"/>
          </w:tcPr>
          <w:p w14:paraId="1BAD6549">
            <w:pPr>
              <w:spacing w:line="324" w:lineRule="auto"/>
              <w:ind w:left="116"/>
              <w:jc w:val="left"/>
              <w:rPr>
                <w:rFonts w:hint="eastAsia" w:ascii="宋体" w:hAnsi="宋体" w:eastAsia="宋体" w:cs="宋体"/>
                <w:color w:val="auto"/>
                <w:szCs w:val="21"/>
              </w:rPr>
            </w:pPr>
            <w:r>
              <w:rPr>
                <w:rFonts w:hint="eastAsia" w:ascii="宋体" w:hAnsi="宋体" w:eastAsia="宋体" w:cs="宋体"/>
                <w:color w:val="auto"/>
                <w:szCs w:val="21"/>
              </w:rPr>
              <w:t>供应商所承接项目获奖情况:每获得一个市级奖项得1分，省级奖项得2分，国家级奖项的3分，本项最高7分。同一项目同时具备多个奖项的仅按较高级别计分，不重复计算。</w:t>
            </w:r>
          </w:p>
          <w:p w14:paraId="7B60F33F">
            <w:pPr>
              <w:spacing w:line="324" w:lineRule="auto"/>
              <w:ind w:left="116"/>
              <w:jc w:val="left"/>
              <w:rPr>
                <w:rFonts w:hint="eastAsia" w:ascii="宋体" w:hAnsi="宋体" w:eastAsia="宋体" w:cs="宋体"/>
                <w:color w:val="auto"/>
                <w:szCs w:val="21"/>
              </w:rPr>
            </w:pPr>
            <w:r>
              <w:rPr>
                <w:rFonts w:hint="eastAsia" w:ascii="宋体" w:hAnsi="宋体" w:eastAsia="宋体" w:cs="宋体"/>
                <w:color w:val="auto"/>
                <w:szCs w:val="21"/>
              </w:rPr>
              <w:t>(注:提供相关证明材料，获奖以国家，省、市人民政府或行业行政主管部门或经民政部]批准成立的相关行业协会颁发的获奖证书或获奖正式文件为准，如提供相关行业协会颁发的获奖证书或获奖正式文件，则同时提</w:t>
            </w:r>
          </w:p>
          <w:p w14:paraId="40C0CD6A">
            <w:pPr>
              <w:spacing w:line="324" w:lineRule="auto"/>
              <w:ind w:left="116"/>
              <w:jc w:val="left"/>
              <w:rPr>
                <w:rFonts w:hint="eastAsia" w:ascii="宋体" w:hAnsi="宋体" w:eastAsia="宋体" w:cs="宋体"/>
                <w:color w:val="auto"/>
                <w:szCs w:val="21"/>
              </w:rPr>
            </w:pPr>
            <w:r>
              <w:rPr>
                <w:rFonts w:hint="eastAsia" w:ascii="宋体" w:hAnsi="宋体" w:eastAsia="宋体" w:cs="宋体"/>
                <w:color w:val="auto"/>
                <w:szCs w:val="21"/>
              </w:rPr>
              <w:t>供该行业协会在“中国社会组织政务服务平台”的查询路径和登记信息查询结果截图。)</w:t>
            </w:r>
          </w:p>
        </w:tc>
      </w:tr>
      <w:tr w14:paraId="45242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Merge w:val="continue"/>
          </w:tcPr>
          <w:p w14:paraId="6107EEED">
            <w:pPr>
              <w:spacing w:line="324" w:lineRule="auto"/>
              <w:rPr>
                <w:rFonts w:hint="eastAsia" w:ascii="宋体" w:hAnsi="宋体" w:eastAsia="宋体" w:cs="宋体"/>
                <w:color w:val="auto"/>
                <w:szCs w:val="21"/>
              </w:rPr>
            </w:pPr>
          </w:p>
        </w:tc>
        <w:tc>
          <w:tcPr>
            <w:tcW w:w="1035" w:type="dxa"/>
            <w:vAlign w:val="center"/>
          </w:tcPr>
          <w:p w14:paraId="05018432">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rPr>
              <w:t>紧急响应时间（3分）</w:t>
            </w:r>
          </w:p>
        </w:tc>
        <w:tc>
          <w:tcPr>
            <w:tcW w:w="6789" w:type="dxa"/>
          </w:tcPr>
          <w:p w14:paraId="79CF1B03">
            <w:pPr>
              <w:spacing w:line="324" w:lineRule="auto"/>
              <w:ind w:left="-25"/>
              <w:jc w:val="left"/>
              <w:rPr>
                <w:rFonts w:hint="eastAsia" w:ascii="宋体" w:hAnsi="宋体" w:eastAsia="宋体" w:cs="宋体"/>
                <w:color w:val="auto"/>
                <w:szCs w:val="21"/>
              </w:rPr>
            </w:pPr>
            <w:r>
              <w:rPr>
                <w:rFonts w:hint="eastAsia" w:ascii="宋体" w:hAnsi="宋体" w:eastAsia="宋体" w:cs="宋体"/>
                <w:color w:val="auto"/>
                <w:szCs w:val="21"/>
              </w:rPr>
              <w:t>对供应商的紧急响应时间进行评审(采购人紧急需要或有紧急任务时的供应商紧急响应时间):</w:t>
            </w:r>
          </w:p>
          <w:p w14:paraId="4DBA2934">
            <w:pPr>
              <w:spacing w:line="324" w:lineRule="auto"/>
              <w:ind w:left="-25"/>
              <w:jc w:val="left"/>
              <w:rPr>
                <w:rFonts w:hint="eastAsia" w:ascii="宋体" w:hAnsi="宋体" w:eastAsia="宋体" w:cs="宋体"/>
                <w:color w:val="auto"/>
                <w:szCs w:val="21"/>
              </w:rPr>
            </w:pPr>
            <w:r>
              <w:rPr>
                <w:rFonts w:hint="eastAsia" w:ascii="宋体" w:hAnsi="宋体" w:eastAsia="宋体" w:cs="宋体"/>
                <w:color w:val="auto"/>
                <w:szCs w:val="21"/>
              </w:rPr>
              <w:t>1、紧急响应时间≤30分钟，得3分:</w:t>
            </w:r>
          </w:p>
          <w:p w14:paraId="7C85CC5D">
            <w:pPr>
              <w:spacing w:line="324" w:lineRule="auto"/>
              <w:ind w:left="-25"/>
              <w:jc w:val="left"/>
              <w:rPr>
                <w:rFonts w:hint="eastAsia" w:ascii="宋体" w:hAnsi="宋体" w:eastAsia="宋体" w:cs="宋体"/>
                <w:color w:val="auto"/>
                <w:szCs w:val="21"/>
              </w:rPr>
            </w:pPr>
            <w:r>
              <w:rPr>
                <w:rFonts w:hint="eastAsia" w:ascii="宋体" w:hAnsi="宋体" w:eastAsia="宋体" w:cs="宋体"/>
                <w:color w:val="auto"/>
                <w:szCs w:val="21"/>
              </w:rPr>
              <w:t>2、30分钟&lt;紧急响应时间≤45分钟，得2分:</w:t>
            </w:r>
          </w:p>
          <w:p w14:paraId="5FBEE5B9">
            <w:pPr>
              <w:spacing w:line="324" w:lineRule="auto"/>
              <w:ind w:left="-25"/>
              <w:jc w:val="left"/>
              <w:rPr>
                <w:rFonts w:hint="eastAsia" w:ascii="宋体" w:hAnsi="宋体" w:eastAsia="宋体" w:cs="宋体"/>
                <w:color w:val="auto"/>
                <w:szCs w:val="21"/>
              </w:rPr>
            </w:pPr>
            <w:r>
              <w:rPr>
                <w:rFonts w:hint="eastAsia" w:ascii="宋体" w:hAnsi="宋体" w:eastAsia="宋体" w:cs="宋体"/>
                <w:color w:val="auto"/>
                <w:szCs w:val="21"/>
              </w:rPr>
              <w:t>3、45分钟&lt;紧急响应时间≤60分钟，得1分:</w:t>
            </w:r>
          </w:p>
          <w:p w14:paraId="1F8003D1">
            <w:pPr>
              <w:spacing w:line="324" w:lineRule="auto"/>
              <w:ind w:left="-25"/>
              <w:jc w:val="left"/>
              <w:rPr>
                <w:rFonts w:hint="eastAsia" w:ascii="宋体" w:hAnsi="宋体" w:eastAsia="宋体" w:cs="宋体"/>
                <w:color w:val="auto"/>
                <w:szCs w:val="21"/>
              </w:rPr>
            </w:pPr>
            <w:r>
              <w:rPr>
                <w:rFonts w:hint="eastAsia" w:ascii="宋体" w:hAnsi="宋体" w:eastAsia="宋体" w:cs="宋体"/>
                <w:color w:val="auto"/>
                <w:szCs w:val="21"/>
              </w:rPr>
              <w:t>4、紧急响应时间&gt;60分钟，不得分。</w:t>
            </w:r>
          </w:p>
          <w:p w14:paraId="5889D4F2">
            <w:pPr>
              <w:spacing w:line="324" w:lineRule="auto"/>
              <w:ind w:left="-25"/>
              <w:jc w:val="left"/>
              <w:rPr>
                <w:rFonts w:hint="eastAsia" w:ascii="宋体" w:hAnsi="宋体" w:eastAsia="宋体" w:cs="宋体"/>
                <w:color w:val="auto"/>
                <w:szCs w:val="21"/>
              </w:rPr>
            </w:pPr>
            <w:r>
              <w:rPr>
                <w:rFonts w:hint="eastAsia" w:ascii="宋体" w:hAnsi="宋体" w:eastAsia="宋体" w:cs="宋体"/>
                <w:color w:val="auto"/>
                <w:szCs w:val="21"/>
              </w:rPr>
              <w:t>(注:供应商需提供紧急响应时间承诺函，不提供不得分。)</w:t>
            </w:r>
          </w:p>
        </w:tc>
      </w:tr>
      <w:tr w14:paraId="409FD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vAlign w:val="center"/>
          </w:tcPr>
          <w:p w14:paraId="5E876CBA">
            <w:pPr>
              <w:pStyle w:val="25"/>
              <w:spacing w:line="324" w:lineRule="auto"/>
              <w:jc w:val="center"/>
              <w:rPr>
                <w:rFonts w:ascii="宋体" w:hAnsi="宋体" w:eastAsia="宋体" w:cs="宋体"/>
                <w:color w:val="auto"/>
                <w:sz w:val="21"/>
                <w:szCs w:val="21"/>
              </w:rPr>
            </w:pPr>
            <w:r>
              <w:rPr>
                <w:rFonts w:ascii="宋体" w:hAnsi="宋体" w:eastAsia="宋体" w:cs="宋体"/>
                <w:color w:val="auto"/>
                <w:sz w:val="21"/>
                <w:szCs w:val="21"/>
              </w:rPr>
              <w:t>投标报价</w:t>
            </w:r>
          </w:p>
        </w:tc>
        <w:tc>
          <w:tcPr>
            <w:tcW w:w="1035" w:type="dxa"/>
            <w:vAlign w:val="center"/>
          </w:tcPr>
          <w:p w14:paraId="1B51D718">
            <w:pPr>
              <w:pStyle w:val="25"/>
              <w:spacing w:line="324" w:lineRule="auto"/>
              <w:jc w:val="center"/>
              <w:rPr>
                <w:rFonts w:ascii="宋体" w:hAnsi="宋体" w:eastAsia="宋体" w:cs="宋体"/>
                <w:color w:val="auto"/>
                <w:sz w:val="21"/>
                <w:szCs w:val="21"/>
              </w:rPr>
            </w:pPr>
            <w:r>
              <w:rPr>
                <w:rFonts w:ascii="宋体" w:hAnsi="宋体" w:eastAsia="宋体" w:cs="宋体"/>
                <w:color w:val="auto"/>
                <w:sz w:val="21"/>
                <w:szCs w:val="21"/>
              </w:rPr>
              <w:t>投标报价得分</w:t>
            </w:r>
          </w:p>
          <w:p w14:paraId="7E9FF267">
            <w:pPr>
              <w:pStyle w:val="25"/>
              <w:spacing w:line="324" w:lineRule="auto"/>
              <w:jc w:val="center"/>
              <w:rPr>
                <w:rFonts w:ascii="宋体" w:hAnsi="宋体" w:eastAsia="宋体" w:cs="宋体"/>
                <w:color w:val="auto"/>
                <w:sz w:val="21"/>
                <w:szCs w:val="21"/>
              </w:rPr>
            </w:pPr>
            <w:r>
              <w:rPr>
                <w:rFonts w:ascii="宋体" w:hAnsi="宋体" w:eastAsia="宋体" w:cs="宋体"/>
                <w:color w:val="auto"/>
                <w:sz w:val="21"/>
                <w:szCs w:val="21"/>
              </w:rPr>
              <w:t>(</w:t>
            </w:r>
            <w:r>
              <w:rPr>
                <w:rFonts w:ascii="宋体" w:hAnsi="宋体" w:eastAsia="宋体" w:cs="宋体"/>
                <w:color w:val="auto"/>
                <w:sz w:val="21"/>
                <w:szCs w:val="21"/>
                <w:lang w:eastAsia="zh-CN"/>
              </w:rPr>
              <w:t>2</w:t>
            </w:r>
            <w:r>
              <w:rPr>
                <w:rFonts w:ascii="宋体" w:hAnsi="宋体" w:eastAsia="宋体" w:cs="宋体"/>
                <w:color w:val="auto"/>
                <w:sz w:val="21"/>
                <w:szCs w:val="21"/>
              </w:rPr>
              <w:t>0.0分)</w:t>
            </w:r>
          </w:p>
        </w:tc>
        <w:tc>
          <w:tcPr>
            <w:tcW w:w="6789" w:type="dxa"/>
          </w:tcPr>
          <w:p w14:paraId="22BFAF3E">
            <w:pPr>
              <w:pStyle w:val="25"/>
              <w:spacing w:line="324" w:lineRule="auto"/>
              <w:rPr>
                <w:rFonts w:ascii="宋体" w:hAnsi="宋体" w:eastAsia="宋体" w:cs="宋体"/>
                <w:color w:val="auto"/>
                <w:sz w:val="21"/>
                <w:szCs w:val="21"/>
              </w:rPr>
            </w:pPr>
            <w:r>
              <w:rPr>
                <w:rFonts w:ascii="宋体" w:hAnsi="宋体" w:eastAsia="宋体" w:cs="宋体"/>
                <w:color w:val="auto"/>
                <w:sz w:val="21"/>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5EEB246">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6.汇总、排序</w:t>
      </w:r>
    </w:p>
    <w:p w14:paraId="31BF2A07">
      <w:pPr>
        <w:pStyle w:val="25"/>
        <w:spacing w:line="324"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14:paraId="2F3172CA">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7.其他无效响应的情形：</w:t>
      </w:r>
    </w:p>
    <w:p w14:paraId="67CEDC7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（1）评审期间，供应商没有按磋商小组的要求提交法定代表人或其委托代理人签字的澄清、说明、补正或改变了响应文件的实质性内容的。</w:t>
      </w:r>
    </w:p>
    <w:p w14:paraId="6592712D">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（2）响应文件提供虚假材料的。</w:t>
      </w:r>
    </w:p>
    <w:p w14:paraId="4D5017D0">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（3）供应商以他人名义响应、串通响应、以行贿手段谋取成交或者以其他弄虚作假方式响应的。</w:t>
      </w:r>
    </w:p>
    <w:p w14:paraId="1455CA1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（4）供应商对采购人、采购代理机构、磋商小组及其工作人员施加影响，有碍招标公平、公正的。</w:t>
      </w:r>
    </w:p>
    <w:p w14:paraId="510D6A1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（5）响应文件含有采购人不能接受的附加条件的。</w:t>
      </w:r>
    </w:p>
    <w:p w14:paraId="3157AC1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（6）法律、法规和磋商文件规定的其他无效情形。</w:t>
      </w:r>
    </w:p>
    <w:p w14:paraId="17007F96">
      <w:pPr>
        <w:spacing w:line="324" w:lineRule="auto"/>
        <w:rPr>
          <w:rFonts w:ascii="Times New Roman" w:hAnsi="Times New Roman" w:cs="Times New Roman"/>
          <w:b/>
          <w:color w:val="auto"/>
          <w:szCs w:val="21"/>
        </w:rPr>
      </w:pPr>
      <w:r>
        <w:rPr>
          <w:rFonts w:ascii="Times New Roman" w:hAnsi="Times New Roman" w:cs="Times New Roman"/>
          <w:b/>
          <w:color w:val="auto"/>
          <w:szCs w:val="21"/>
        </w:rPr>
        <w:br w:type="page"/>
      </w:r>
    </w:p>
    <w:p w14:paraId="50513EA1">
      <w:pPr>
        <w:pStyle w:val="25"/>
        <w:spacing w:line="324" w:lineRule="auto"/>
        <w:jc w:val="center"/>
        <w:outlineLvl w:val="0"/>
        <w:rPr>
          <w:rFonts w:hint="default" w:ascii="Times New Roman" w:hAnsi="Times New Roman" w:cs="Times New Roman"/>
          <w:b/>
          <w:color w:val="auto"/>
          <w:sz w:val="36"/>
        </w:rPr>
      </w:pPr>
      <w:bookmarkStart w:id="29" w:name="_Toc7743"/>
      <w:r>
        <w:rPr>
          <w:rFonts w:hint="default" w:ascii="Times New Roman" w:hAnsi="Times New Roman" w:cs="Times New Roman"/>
          <w:b/>
          <w:color w:val="auto"/>
          <w:sz w:val="36"/>
          <w:szCs w:val="36"/>
        </w:rPr>
        <w:t>第五部分</w:t>
      </w:r>
      <w:r>
        <w:rPr>
          <w:rFonts w:hint="default" w:ascii="Times New Roman" w:hAnsi="Times New Roman" w:cs="Times New Roman"/>
          <w:b/>
          <w:color w:val="auto"/>
          <w:sz w:val="36"/>
          <w:szCs w:val="36"/>
          <w:lang w:eastAsia="zh-CN"/>
        </w:rPr>
        <w:t xml:space="preserve"> </w:t>
      </w:r>
      <w:r>
        <w:rPr>
          <w:rFonts w:hint="default" w:ascii="Times New Roman" w:hAnsi="Times New Roman" w:cs="Times New Roman"/>
          <w:b/>
          <w:color w:val="auto"/>
          <w:sz w:val="36"/>
          <w:szCs w:val="36"/>
        </w:rPr>
        <w:t>合同文本</w:t>
      </w:r>
      <w:bookmarkEnd w:id="29"/>
    </w:p>
    <w:p w14:paraId="521359B3">
      <w:pPr>
        <w:pStyle w:val="25"/>
        <w:spacing w:line="324" w:lineRule="auto"/>
        <w:jc w:val="center"/>
        <w:outlineLvl w:val="0"/>
        <w:rPr>
          <w:rFonts w:hint="default" w:ascii="Times New Roman" w:hAnsi="Times New Roman" w:cs="Times New Roman"/>
          <w:b/>
          <w:color w:val="auto"/>
          <w:sz w:val="36"/>
        </w:rPr>
      </w:pPr>
    </w:p>
    <w:p w14:paraId="2894C84B">
      <w:pPr>
        <w:pStyle w:val="28"/>
        <w:tabs>
          <w:tab w:val="left" w:pos="1440"/>
        </w:tabs>
        <w:spacing w:line="324" w:lineRule="auto"/>
        <w:jc w:val="center"/>
        <w:outlineLvl w:val="1"/>
        <w:rPr>
          <w:rFonts w:ascii="Times New Roman" w:hAnsi="Times New Roman" w:eastAsiaTheme="minorEastAsia"/>
          <w:color w:val="auto"/>
          <w:sz w:val="68"/>
        </w:rPr>
      </w:pPr>
      <w:bookmarkStart w:id="30" w:name="_Toc15629"/>
      <w:bookmarkStart w:id="31" w:name="_Toc32329"/>
      <w:r>
        <w:rPr>
          <w:rFonts w:ascii="Times New Roman" w:hAnsi="Times New Roman" w:eastAsiaTheme="minorEastAsia"/>
          <w:color w:val="auto"/>
          <w:sz w:val="68"/>
        </w:rPr>
        <w:t>采购项目</w:t>
      </w:r>
      <w:bookmarkEnd w:id="30"/>
      <w:bookmarkEnd w:id="31"/>
    </w:p>
    <w:p w14:paraId="1C69F271">
      <w:pPr>
        <w:pStyle w:val="28"/>
        <w:tabs>
          <w:tab w:val="left" w:pos="1440"/>
          <w:tab w:val="center" w:pos="4592"/>
          <w:tab w:val="left" w:pos="6748"/>
        </w:tabs>
        <w:spacing w:line="324" w:lineRule="auto"/>
        <w:jc w:val="center"/>
        <w:rPr>
          <w:rFonts w:ascii="Times New Roman" w:hAnsi="Times New Roman" w:eastAsiaTheme="minorEastAsia"/>
          <w:color w:val="auto"/>
          <w:sz w:val="68"/>
        </w:rPr>
      </w:pPr>
    </w:p>
    <w:p w14:paraId="5EE6AAAE">
      <w:pPr>
        <w:pStyle w:val="28"/>
        <w:tabs>
          <w:tab w:val="left" w:pos="1440"/>
          <w:tab w:val="center" w:pos="4592"/>
          <w:tab w:val="left" w:pos="6748"/>
        </w:tabs>
        <w:spacing w:line="324" w:lineRule="auto"/>
        <w:jc w:val="center"/>
        <w:rPr>
          <w:rFonts w:ascii="Times New Roman" w:hAnsi="Times New Roman" w:eastAsiaTheme="minorEastAsia"/>
          <w:color w:val="auto"/>
          <w:sz w:val="68"/>
        </w:rPr>
      </w:pPr>
      <w:r>
        <w:rPr>
          <w:rFonts w:ascii="Times New Roman" w:hAnsi="Times New Roman" w:eastAsiaTheme="minorEastAsia"/>
          <w:color w:val="auto"/>
          <w:sz w:val="68"/>
        </w:rPr>
        <w:t>合 同 书</w:t>
      </w:r>
    </w:p>
    <w:p w14:paraId="740D553A">
      <w:pPr>
        <w:pStyle w:val="28"/>
        <w:spacing w:line="324" w:lineRule="auto"/>
        <w:jc w:val="center"/>
        <w:rPr>
          <w:rFonts w:ascii="Times New Roman" w:hAnsi="Times New Roman" w:eastAsiaTheme="minorEastAsia"/>
          <w:b/>
          <w:bCs/>
          <w:color w:val="auto"/>
        </w:rPr>
      </w:pPr>
    </w:p>
    <w:p w14:paraId="7CDA994C">
      <w:pPr>
        <w:pStyle w:val="28"/>
        <w:spacing w:line="324" w:lineRule="auto"/>
        <w:jc w:val="center"/>
        <w:rPr>
          <w:rFonts w:ascii="Times New Roman" w:hAnsi="Times New Roman" w:eastAsiaTheme="minorEastAsia"/>
          <w:b/>
          <w:bCs/>
          <w:color w:val="auto"/>
        </w:rPr>
      </w:pPr>
    </w:p>
    <w:p w14:paraId="38B75A91">
      <w:pPr>
        <w:pStyle w:val="28"/>
        <w:spacing w:line="324" w:lineRule="auto"/>
        <w:jc w:val="center"/>
        <w:rPr>
          <w:rFonts w:ascii="Times New Roman" w:hAnsi="Times New Roman" w:eastAsiaTheme="minorEastAsia"/>
          <w:b/>
          <w:bCs/>
          <w:color w:val="auto"/>
        </w:rPr>
      </w:pPr>
    </w:p>
    <w:p w14:paraId="161CCFC7">
      <w:pPr>
        <w:pStyle w:val="28"/>
        <w:spacing w:line="324" w:lineRule="auto"/>
        <w:jc w:val="center"/>
        <w:rPr>
          <w:rFonts w:ascii="Times New Roman" w:hAnsi="Times New Roman" w:eastAsiaTheme="minorEastAsia"/>
          <w:b/>
          <w:bCs/>
          <w:color w:val="auto"/>
        </w:rPr>
      </w:pPr>
    </w:p>
    <w:p w14:paraId="4100E8C5">
      <w:pPr>
        <w:pStyle w:val="28"/>
        <w:spacing w:line="324" w:lineRule="auto"/>
        <w:jc w:val="center"/>
        <w:rPr>
          <w:rFonts w:ascii="Times New Roman" w:hAnsi="Times New Roman" w:eastAsiaTheme="minorEastAsia"/>
          <w:color w:val="auto"/>
        </w:rPr>
      </w:pPr>
    </w:p>
    <w:p w14:paraId="42145B58">
      <w:pPr>
        <w:pStyle w:val="28"/>
        <w:spacing w:line="324" w:lineRule="auto"/>
        <w:jc w:val="center"/>
        <w:rPr>
          <w:rFonts w:ascii="Times New Roman" w:hAnsi="Times New Roman" w:eastAsiaTheme="minorEastAsia"/>
          <w:color w:val="auto"/>
        </w:rPr>
      </w:pPr>
    </w:p>
    <w:p w14:paraId="717C9123">
      <w:pPr>
        <w:pStyle w:val="28"/>
        <w:spacing w:line="324" w:lineRule="auto"/>
        <w:jc w:val="center"/>
        <w:rPr>
          <w:rFonts w:ascii="Times New Roman" w:hAnsi="Times New Roman" w:eastAsiaTheme="minorEastAsia"/>
          <w:color w:val="auto"/>
        </w:rPr>
      </w:pPr>
    </w:p>
    <w:tbl>
      <w:tblPr>
        <w:tblStyle w:val="21"/>
        <w:tblW w:w="5888" w:type="dxa"/>
        <w:jc w:val="center"/>
        <w:tblLayout w:type="fixed"/>
        <w:tblCellMar>
          <w:top w:w="0" w:type="dxa"/>
          <w:left w:w="108" w:type="dxa"/>
          <w:bottom w:w="0" w:type="dxa"/>
          <w:right w:w="108" w:type="dxa"/>
        </w:tblCellMar>
      </w:tblPr>
      <w:tblGrid>
        <w:gridCol w:w="1619"/>
        <w:gridCol w:w="4269"/>
      </w:tblGrid>
      <w:tr w14:paraId="678B05CE">
        <w:tblPrEx>
          <w:tblCellMar>
            <w:top w:w="0" w:type="dxa"/>
            <w:left w:w="108" w:type="dxa"/>
            <w:bottom w:w="0" w:type="dxa"/>
            <w:right w:w="108" w:type="dxa"/>
          </w:tblCellMar>
        </w:tblPrEx>
        <w:trPr>
          <w:trHeight w:val="593" w:hRule="atLeast"/>
          <w:jc w:val="center"/>
        </w:trPr>
        <w:tc>
          <w:tcPr>
            <w:tcW w:w="1619" w:type="dxa"/>
            <w:vAlign w:val="center"/>
          </w:tcPr>
          <w:p w14:paraId="3F8B53C3">
            <w:pPr>
              <w:pStyle w:val="28"/>
              <w:spacing w:line="324" w:lineRule="auto"/>
              <w:jc w:val="center"/>
              <w:rPr>
                <w:rFonts w:ascii="Times New Roman" w:hAnsi="Times New Roman" w:eastAsiaTheme="minorEastAsia"/>
                <w:color w:val="auto"/>
                <w:sz w:val="28"/>
                <w:szCs w:val="28"/>
              </w:rPr>
            </w:pPr>
            <w:r>
              <w:rPr>
                <w:rFonts w:ascii="Times New Roman" w:hAnsi="Times New Roman" w:eastAsiaTheme="minorEastAsia"/>
                <w:color w:val="auto"/>
                <w:sz w:val="28"/>
                <w:szCs w:val="28"/>
              </w:rPr>
              <w:t>甲    方：</w:t>
            </w:r>
          </w:p>
        </w:tc>
        <w:tc>
          <w:tcPr>
            <w:tcW w:w="4269" w:type="dxa"/>
            <w:vAlign w:val="center"/>
          </w:tcPr>
          <w:p w14:paraId="49E87670">
            <w:pPr>
              <w:pStyle w:val="28"/>
              <w:spacing w:line="324" w:lineRule="auto"/>
              <w:jc w:val="left"/>
              <w:rPr>
                <w:rFonts w:ascii="Times New Roman" w:hAnsi="Times New Roman" w:eastAsiaTheme="minorEastAsia"/>
                <w:color w:val="auto"/>
                <w:sz w:val="28"/>
                <w:szCs w:val="28"/>
                <w:u w:val="single"/>
              </w:rPr>
            </w:pPr>
            <w:bookmarkStart w:id="32" w:name="EBab8624952e174488a7c0cf9d68a9a018"/>
            <w:bookmarkEnd w:id="32"/>
            <w:r>
              <w:rPr>
                <w:rFonts w:hint="eastAsia" w:ascii="Times New Roman" w:hAnsi="Times New Roman" w:eastAsiaTheme="minorEastAsia"/>
                <w:color w:val="auto"/>
                <w:sz w:val="28"/>
                <w:szCs w:val="28"/>
                <w:u w:val="single"/>
              </w:rPr>
              <w:t>佛山市消防救援支队</w:t>
            </w:r>
            <w:r>
              <w:rPr>
                <w:rFonts w:ascii="Times New Roman" w:hAnsi="Times New Roman" w:eastAsiaTheme="minorEastAsia"/>
                <w:color w:val="auto"/>
                <w:sz w:val="28"/>
                <w:szCs w:val="28"/>
                <w:u w:val="single"/>
              </w:rPr>
              <w:t xml:space="preserve">          </w:t>
            </w:r>
          </w:p>
        </w:tc>
      </w:tr>
      <w:tr w14:paraId="38A3C4FE">
        <w:tblPrEx>
          <w:tblCellMar>
            <w:top w:w="0" w:type="dxa"/>
            <w:left w:w="108" w:type="dxa"/>
            <w:bottom w:w="0" w:type="dxa"/>
            <w:right w:w="108" w:type="dxa"/>
          </w:tblCellMar>
        </w:tblPrEx>
        <w:trPr>
          <w:trHeight w:val="593" w:hRule="atLeast"/>
          <w:jc w:val="center"/>
        </w:trPr>
        <w:tc>
          <w:tcPr>
            <w:tcW w:w="1619" w:type="dxa"/>
            <w:vAlign w:val="center"/>
          </w:tcPr>
          <w:p w14:paraId="52BC93E6">
            <w:pPr>
              <w:pStyle w:val="28"/>
              <w:spacing w:line="324" w:lineRule="auto"/>
              <w:jc w:val="center"/>
              <w:rPr>
                <w:rFonts w:ascii="Times New Roman" w:hAnsi="Times New Roman" w:eastAsiaTheme="minorEastAsia"/>
                <w:color w:val="auto"/>
                <w:sz w:val="28"/>
                <w:szCs w:val="28"/>
              </w:rPr>
            </w:pPr>
            <w:r>
              <w:rPr>
                <w:rFonts w:ascii="Times New Roman" w:hAnsi="Times New Roman" w:eastAsiaTheme="minorEastAsia"/>
                <w:color w:val="auto"/>
                <w:sz w:val="28"/>
                <w:szCs w:val="28"/>
              </w:rPr>
              <w:t>乙    方：</w:t>
            </w:r>
          </w:p>
        </w:tc>
        <w:tc>
          <w:tcPr>
            <w:tcW w:w="4269" w:type="dxa"/>
            <w:vAlign w:val="center"/>
          </w:tcPr>
          <w:p w14:paraId="1C173C32">
            <w:pPr>
              <w:pStyle w:val="28"/>
              <w:spacing w:line="324" w:lineRule="auto"/>
              <w:jc w:val="left"/>
              <w:rPr>
                <w:rFonts w:ascii="Times New Roman" w:hAnsi="Times New Roman" w:eastAsiaTheme="minorEastAsia"/>
                <w:color w:val="auto"/>
                <w:sz w:val="28"/>
                <w:szCs w:val="28"/>
                <w:u w:val="single"/>
              </w:rPr>
            </w:pPr>
            <w:r>
              <w:rPr>
                <w:rFonts w:ascii="Times New Roman" w:hAnsi="Times New Roman" w:eastAsiaTheme="minorEastAsia"/>
                <w:color w:val="auto"/>
                <w:sz w:val="28"/>
                <w:szCs w:val="28"/>
                <w:u w:val="single"/>
              </w:rPr>
              <w:t xml:space="preserve">  （成交供应商名称）      </w:t>
            </w:r>
          </w:p>
        </w:tc>
      </w:tr>
      <w:tr w14:paraId="206CDDCC">
        <w:tblPrEx>
          <w:tblCellMar>
            <w:top w:w="0" w:type="dxa"/>
            <w:left w:w="108" w:type="dxa"/>
            <w:bottom w:w="0" w:type="dxa"/>
            <w:right w:w="108" w:type="dxa"/>
          </w:tblCellMar>
        </w:tblPrEx>
        <w:trPr>
          <w:trHeight w:val="593" w:hRule="atLeast"/>
          <w:jc w:val="center"/>
        </w:trPr>
        <w:tc>
          <w:tcPr>
            <w:tcW w:w="1619" w:type="dxa"/>
            <w:vAlign w:val="center"/>
          </w:tcPr>
          <w:p w14:paraId="0C6B3DDC">
            <w:pPr>
              <w:pStyle w:val="28"/>
              <w:spacing w:line="324" w:lineRule="auto"/>
              <w:jc w:val="center"/>
              <w:rPr>
                <w:rFonts w:ascii="Times New Roman" w:hAnsi="Times New Roman" w:eastAsiaTheme="minorEastAsia"/>
                <w:color w:val="auto"/>
                <w:sz w:val="28"/>
                <w:szCs w:val="28"/>
              </w:rPr>
            </w:pPr>
            <w:r>
              <w:rPr>
                <w:rFonts w:ascii="Times New Roman" w:hAnsi="Times New Roman" w:eastAsiaTheme="minorEastAsia"/>
                <w:color w:val="auto"/>
                <w:sz w:val="28"/>
                <w:szCs w:val="28"/>
              </w:rPr>
              <w:t>签订日期：</w:t>
            </w:r>
          </w:p>
        </w:tc>
        <w:tc>
          <w:tcPr>
            <w:tcW w:w="4269" w:type="dxa"/>
            <w:vAlign w:val="center"/>
          </w:tcPr>
          <w:p w14:paraId="2ECDC0A0">
            <w:pPr>
              <w:pStyle w:val="28"/>
              <w:spacing w:line="324" w:lineRule="auto"/>
              <w:jc w:val="left"/>
              <w:rPr>
                <w:rFonts w:ascii="Times New Roman" w:hAnsi="Times New Roman" w:eastAsiaTheme="minorEastAsia"/>
                <w:color w:val="auto"/>
                <w:sz w:val="28"/>
                <w:szCs w:val="28"/>
                <w:u w:val="single"/>
              </w:rPr>
            </w:pPr>
            <w:r>
              <w:rPr>
                <w:rFonts w:ascii="Times New Roman" w:hAnsi="Times New Roman" w:eastAsiaTheme="minorEastAsia"/>
                <w:bCs/>
                <w:color w:val="auto"/>
              </w:rPr>
              <w:t>________</w:t>
            </w:r>
            <w:r>
              <w:rPr>
                <w:rFonts w:ascii="Times New Roman" w:hAnsi="Times New Roman" w:eastAsiaTheme="minorEastAsia"/>
                <w:color w:val="auto"/>
                <w:sz w:val="28"/>
                <w:szCs w:val="28"/>
                <w:u w:val="single"/>
              </w:rPr>
              <w:t xml:space="preserve">年     月     日          </w:t>
            </w:r>
          </w:p>
        </w:tc>
      </w:tr>
    </w:tbl>
    <w:p w14:paraId="47BC2C6C">
      <w:pPr>
        <w:pStyle w:val="28"/>
        <w:spacing w:line="324" w:lineRule="auto"/>
        <w:jc w:val="center"/>
        <w:rPr>
          <w:rFonts w:ascii="Times New Roman" w:hAnsi="Times New Roman" w:eastAsiaTheme="minorEastAsia"/>
          <w:color w:val="auto"/>
        </w:rPr>
      </w:pPr>
    </w:p>
    <w:p w14:paraId="7B472A0E">
      <w:pPr>
        <w:spacing w:line="324" w:lineRule="auto"/>
        <w:jc w:val="right"/>
        <w:rPr>
          <w:rFonts w:ascii="Times New Roman" w:hAnsi="Times New Roman" w:cs="Times New Roman"/>
          <w:color w:val="auto"/>
          <w:szCs w:val="21"/>
        </w:rPr>
      </w:pPr>
      <w:r>
        <w:rPr>
          <w:rFonts w:ascii="Times New Roman" w:hAnsi="Times New Roman" w:cs="Times New Roman"/>
          <w:color w:val="auto"/>
          <w:szCs w:val="21"/>
        </w:rPr>
        <w:t>日期：</w:t>
      </w:r>
      <w:r>
        <w:rPr>
          <w:rFonts w:ascii="Times New Roman" w:hAnsi="Times New Roman" w:cs="Times New Roman"/>
          <w:color w:val="auto"/>
          <w:szCs w:val="21"/>
          <w:u w:val="single"/>
        </w:rPr>
        <w:t xml:space="preserve">    </w:t>
      </w:r>
      <w:r>
        <w:rPr>
          <w:rFonts w:ascii="Times New Roman" w:hAnsi="Times New Roman" w:cs="Times New Roman"/>
          <w:color w:val="auto"/>
          <w:szCs w:val="21"/>
        </w:rPr>
        <w:t>年</w:t>
      </w:r>
      <w:r>
        <w:rPr>
          <w:rFonts w:ascii="Times New Roman" w:hAnsi="Times New Roman" w:cs="Times New Roman"/>
          <w:color w:val="auto"/>
          <w:szCs w:val="21"/>
          <w:u w:val="single"/>
        </w:rPr>
        <w:t xml:space="preserve">    </w:t>
      </w:r>
      <w:r>
        <w:rPr>
          <w:rFonts w:ascii="Times New Roman" w:hAnsi="Times New Roman" w:cs="Times New Roman"/>
          <w:color w:val="auto"/>
          <w:szCs w:val="21"/>
        </w:rPr>
        <w:t>月</w:t>
      </w:r>
      <w:r>
        <w:rPr>
          <w:rFonts w:ascii="Times New Roman" w:hAnsi="Times New Roman" w:cs="Times New Roman"/>
          <w:color w:val="auto"/>
          <w:szCs w:val="21"/>
          <w:u w:val="single"/>
        </w:rPr>
        <w:t xml:space="preserve">    </w:t>
      </w:r>
      <w:r>
        <w:rPr>
          <w:rFonts w:ascii="Times New Roman" w:hAnsi="Times New Roman" w:cs="Times New Roman"/>
          <w:color w:val="auto"/>
          <w:szCs w:val="21"/>
        </w:rPr>
        <w:t>日</w:t>
      </w:r>
    </w:p>
    <w:p w14:paraId="5365522B">
      <w:pPr>
        <w:spacing w:line="324" w:lineRule="auto"/>
        <w:rPr>
          <w:rFonts w:ascii="Times New Roman" w:hAnsi="Times New Roman" w:cs="Times New Roman"/>
          <w:color w:val="auto"/>
          <w:szCs w:val="21"/>
        </w:rPr>
      </w:pPr>
      <w:r>
        <w:rPr>
          <w:rFonts w:ascii="Times New Roman" w:hAnsi="Times New Roman" w:cs="Times New Roman"/>
          <w:color w:val="auto"/>
          <w:szCs w:val="21"/>
        </w:rPr>
        <w:br w:type="page"/>
      </w:r>
    </w:p>
    <w:p w14:paraId="43751E3C">
      <w:pPr>
        <w:pageBreakBefore/>
        <w:spacing w:line="324" w:lineRule="auto"/>
        <w:rPr>
          <w:rFonts w:hint="eastAsia" w:ascii="宋体" w:hAnsi="宋体" w:cs="宋体"/>
          <w:b/>
          <w:color w:val="auto"/>
          <w:szCs w:val="21"/>
          <w:u w:val="single"/>
        </w:rPr>
      </w:pPr>
      <w:r>
        <w:rPr>
          <w:rFonts w:hint="eastAsia" w:ascii="宋体" w:hAnsi="宋体" w:cs="宋体"/>
          <w:b/>
          <w:color w:val="auto"/>
          <w:szCs w:val="21"/>
        </w:rPr>
        <w:t>甲    方：</w:t>
      </w:r>
      <w:r>
        <w:rPr>
          <w:rFonts w:hint="eastAsia" w:ascii="宋体" w:hAnsi="宋体" w:cs="宋体"/>
          <w:b/>
          <w:color w:val="auto"/>
          <w:szCs w:val="21"/>
          <w:u w:val="single"/>
        </w:rPr>
        <w:t xml:space="preserve"> 佛山市消防救援支队  </w:t>
      </w:r>
    </w:p>
    <w:p w14:paraId="5D6D1BAD">
      <w:pPr>
        <w:pStyle w:val="6"/>
        <w:spacing w:line="324" w:lineRule="auto"/>
        <w:rPr>
          <w:rFonts w:hint="eastAsia" w:ascii="宋体" w:hAnsi="宋体"/>
          <w:color w:val="auto"/>
          <w:szCs w:val="21"/>
        </w:rPr>
      </w:pPr>
    </w:p>
    <w:p w14:paraId="5A1068A1">
      <w:pPr>
        <w:spacing w:line="324" w:lineRule="auto"/>
        <w:rPr>
          <w:rFonts w:hint="eastAsia" w:ascii="宋体" w:hAnsi="宋体" w:cs="宋体"/>
          <w:b/>
          <w:color w:val="auto"/>
          <w:szCs w:val="21"/>
        </w:rPr>
      </w:pPr>
      <w:r>
        <w:rPr>
          <w:rFonts w:hint="eastAsia" w:ascii="宋体" w:hAnsi="宋体" w:cs="宋体"/>
          <w:b/>
          <w:color w:val="auto"/>
          <w:szCs w:val="21"/>
        </w:rPr>
        <w:t>乙    方：</w:t>
      </w:r>
      <w:r>
        <w:rPr>
          <w:rFonts w:hint="eastAsia" w:ascii="宋体" w:hAnsi="宋体" w:cs="宋体"/>
          <w:b/>
          <w:color w:val="auto"/>
          <w:szCs w:val="21"/>
          <w:u w:val="single"/>
        </w:rPr>
        <w:t xml:space="preserve">                     </w:t>
      </w:r>
    </w:p>
    <w:p w14:paraId="77EAE987">
      <w:pPr>
        <w:snapToGrid w:val="0"/>
        <w:spacing w:line="324" w:lineRule="auto"/>
        <w:ind w:firstLine="420" w:firstLineChars="200"/>
        <w:rPr>
          <w:rFonts w:hint="eastAsia" w:ascii="宋体" w:hAnsi="宋体" w:cs="宋体"/>
          <w:color w:val="auto"/>
          <w:szCs w:val="21"/>
        </w:rPr>
      </w:pPr>
      <w:r>
        <w:rPr>
          <w:rFonts w:hint="eastAsia" w:ascii="宋体" w:hAnsi="宋体" w:cs="宋体"/>
          <w:color w:val="auto"/>
          <w:szCs w:val="21"/>
        </w:rPr>
        <w:t xml:space="preserve">   根据《中华人民共和国政府采购法》《中华人民共和国民法典》以及采购文件、乙方的投标文件，本着平等互利和诚实信用的原则，经协商一致，甲、乙双方签订合同如下：</w:t>
      </w:r>
    </w:p>
    <w:p w14:paraId="335DDA93">
      <w:pPr>
        <w:spacing w:line="324" w:lineRule="auto"/>
        <w:rPr>
          <w:rFonts w:hint="eastAsia" w:ascii="宋体" w:hAnsi="宋体" w:cs="宋体"/>
          <w:b/>
          <w:color w:val="auto"/>
          <w:szCs w:val="21"/>
        </w:rPr>
      </w:pPr>
      <w:r>
        <w:rPr>
          <w:rFonts w:hint="eastAsia" w:ascii="宋体" w:hAnsi="宋体" w:cs="宋体"/>
          <w:b/>
          <w:color w:val="auto"/>
          <w:szCs w:val="21"/>
        </w:rPr>
        <w:t>一、项目名称</w:t>
      </w:r>
    </w:p>
    <w:p w14:paraId="782119A6">
      <w:pPr>
        <w:tabs>
          <w:tab w:val="left" w:pos="720"/>
        </w:tabs>
        <w:spacing w:line="324" w:lineRule="auto"/>
        <w:ind w:firstLine="420" w:firstLineChars="200"/>
        <w:rPr>
          <w:rFonts w:hint="eastAsia" w:ascii="宋体" w:hAnsi="宋体" w:cs="宋体"/>
          <w:color w:val="auto"/>
          <w:szCs w:val="21"/>
        </w:rPr>
      </w:pPr>
      <w:r>
        <w:rPr>
          <w:rFonts w:hint="eastAsia" w:ascii="宋体" w:hAnsi="宋体" w:cs="宋体"/>
          <w:color w:val="auto"/>
          <w:szCs w:val="21"/>
        </w:rPr>
        <w:t xml:space="preserve">项目名称：佛山市消防救援支队2024年全媒体中心驻点服务项目  </w:t>
      </w:r>
    </w:p>
    <w:p w14:paraId="4F51DB1A">
      <w:pPr>
        <w:tabs>
          <w:tab w:val="left" w:pos="720"/>
        </w:tabs>
        <w:spacing w:line="324" w:lineRule="auto"/>
        <w:ind w:firstLine="420" w:firstLineChars="200"/>
        <w:rPr>
          <w:rFonts w:hint="eastAsia" w:ascii="宋体" w:hAnsi="宋体" w:cs="宋体"/>
          <w:b/>
          <w:color w:val="auto"/>
          <w:szCs w:val="21"/>
        </w:rPr>
      </w:pPr>
      <w:r>
        <w:rPr>
          <w:rFonts w:hint="eastAsia" w:ascii="宋体" w:hAnsi="宋体" w:cs="宋体"/>
          <w:color w:val="auto"/>
          <w:szCs w:val="21"/>
        </w:rPr>
        <w:t>项目编号：2024XFCG-20</w:t>
      </w:r>
    </w:p>
    <w:p w14:paraId="5A670304">
      <w:pPr>
        <w:spacing w:line="324" w:lineRule="auto"/>
        <w:ind w:left="220"/>
        <w:rPr>
          <w:rFonts w:hint="eastAsia" w:ascii="宋体" w:hAnsi="宋体" w:cs="宋体"/>
          <w:b/>
          <w:color w:val="auto"/>
          <w:szCs w:val="21"/>
        </w:rPr>
      </w:pPr>
      <w:r>
        <w:rPr>
          <w:rFonts w:hint="eastAsia" w:ascii="宋体" w:hAnsi="宋体" w:cs="宋体"/>
          <w:b/>
          <w:color w:val="auto"/>
          <w:szCs w:val="21"/>
          <w:lang w:bidi="ar"/>
        </w:rPr>
        <w:t>1、项目服务地点</w:t>
      </w:r>
      <w:r>
        <w:rPr>
          <w:rFonts w:hint="eastAsia" w:ascii="宋体" w:hAnsi="宋体" w:cs="宋体"/>
          <w:b/>
          <w:color w:val="auto"/>
          <w:szCs w:val="21"/>
        </w:rPr>
        <w:t>：甲方（用户）指定地点。</w:t>
      </w:r>
    </w:p>
    <w:p w14:paraId="0609968D">
      <w:pPr>
        <w:spacing w:line="324" w:lineRule="auto"/>
        <w:ind w:left="220"/>
        <w:rPr>
          <w:rFonts w:hint="eastAsia" w:ascii="宋体" w:hAnsi="宋体" w:cs="宋体"/>
          <w:b/>
          <w:color w:val="auto"/>
          <w:szCs w:val="21"/>
        </w:rPr>
      </w:pPr>
      <w:r>
        <w:rPr>
          <w:rFonts w:hint="eastAsia" w:ascii="宋体" w:hAnsi="宋体" w:cs="宋体"/>
          <w:b/>
          <w:color w:val="auto"/>
          <w:szCs w:val="21"/>
        </w:rPr>
        <w:t>2、价格要求</w:t>
      </w:r>
    </w:p>
    <w:p w14:paraId="7918D16E">
      <w:pPr>
        <w:tabs>
          <w:tab w:val="left" w:pos="720"/>
        </w:tabs>
        <w:spacing w:line="324" w:lineRule="auto"/>
        <w:ind w:firstLine="420" w:firstLineChars="200"/>
        <w:rPr>
          <w:rFonts w:hint="eastAsia" w:ascii="宋体" w:hAnsi="宋体" w:cs="宋体"/>
          <w:color w:val="auto"/>
          <w:szCs w:val="21"/>
        </w:rPr>
      </w:pPr>
      <w:r>
        <w:rPr>
          <w:rFonts w:hint="eastAsia" w:ascii="宋体" w:hAnsi="宋体" w:cs="宋体"/>
          <w:color w:val="auto"/>
          <w:szCs w:val="21"/>
        </w:rPr>
        <w:t>（1）合同金额：大写：</w:t>
      </w:r>
      <w:r>
        <w:rPr>
          <w:rFonts w:hint="eastAsia" w:ascii="宋体" w:hAnsi="宋体" w:cs="宋体"/>
          <w:color w:val="auto"/>
          <w:szCs w:val="21"/>
          <w:u w:val="single"/>
        </w:rPr>
        <w:t xml:space="preserve">                 </w:t>
      </w: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580A95CB">
      <w:pPr>
        <w:tabs>
          <w:tab w:val="left" w:pos="720"/>
        </w:tabs>
        <w:spacing w:line="324" w:lineRule="auto"/>
        <w:ind w:firstLine="420" w:firstLineChars="200"/>
        <w:rPr>
          <w:rFonts w:hint="eastAsia" w:ascii="宋体" w:hAnsi="宋体" w:cs="宋体"/>
          <w:color w:val="auto"/>
          <w:szCs w:val="21"/>
        </w:rPr>
      </w:pPr>
      <w:r>
        <w:rPr>
          <w:rFonts w:hint="eastAsia" w:ascii="宋体" w:hAnsi="宋体" w:cs="宋体"/>
          <w:color w:val="auto"/>
          <w:szCs w:val="21"/>
        </w:rPr>
        <w:t>（2）合同金额为包干总价，</w:t>
      </w:r>
      <w:r>
        <w:rPr>
          <w:rFonts w:ascii="Times New Roman" w:hAnsi="Times New Roman" w:cs="Times New Roman"/>
          <w:color w:val="auto"/>
          <w:szCs w:val="21"/>
        </w:rPr>
        <w:t>报价中必须包含履行本合同所有人员的各项薪资、补贴、商业保险费用等，还包含年度管理费用、招聘、培训的费用、通讯费</w:t>
      </w:r>
      <w:r>
        <w:rPr>
          <w:rFonts w:hint="eastAsia" w:ascii="Times New Roman" w:hAnsi="Times New Roman" w:cs="Times New Roman"/>
          <w:color w:val="auto"/>
          <w:szCs w:val="21"/>
        </w:rPr>
        <w:t>（</w:t>
      </w:r>
      <w:r>
        <w:rPr>
          <w:rFonts w:ascii="Times New Roman" w:hAnsi="Times New Roman" w:cs="Times New Roman"/>
          <w:color w:val="auto"/>
          <w:szCs w:val="21"/>
        </w:rPr>
        <w:t>日常采访通讯费</w:t>
      </w:r>
      <w:r>
        <w:rPr>
          <w:rFonts w:hint="eastAsia" w:ascii="Times New Roman" w:hAnsi="Times New Roman" w:cs="Times New Roman"/>
          <w:color w:val="auto"/>
          <w:szCs w:val="21"/>
        </w:rPr>
        <w:t>）</w:t>
      </w:r>
      <w:r>
        <w:rPr>
          <w:rFonts w:ascii="Times New Roman" w:hAnsi="Times New Roman" w:cs="Times New Roman"/>
          <w:color w:val="auto"/>
          <w:szCs w:val="21"/>
        </w:rPr>
        <w:t>、各项税费与年度财务报告审计报告、获取相关授权等合同实施过程中的应预见和不可预见费用等</w:t>
      </w:r>
      <w:r>
        <w:rPr>
          <w:rFonts w:hint="eastAsia" w:ascii="宋体" w:hAnsi="宋体" w:cs="宋体"/>
          <w:color w:val="auto"/>
          <w:szCs w:val="21"/>
        </w:rPr>
        <w:t>。本合同签订生效后，非经甲方书面同意，乙方不得以任何理由要求甲方额外支付任何费用。</w:t>
      </w:r>
    </w:p>
    <w:p w14:paraId="4D339F54">
      <w:pPr>
        <w:spacing w:line="324" w:lineRule="auto"/>
        <w:ind w:left="220"/>
        <w:rPr>
          <w:rFonts w:hint="eastAsia" w:ascii="宋体" w:hAnsi="宋体" w:cs="宋体"/>
          <w:b/>
          <w:color w:val="auto"/>
          <w:szCs w:val="21"/>
        </w:rPr>
      </w:pPr>
      <w:r>
        <w:rPr>
          <w:rFonts w:hint="eastAsia" w:ascii="宋体" w:hAnsi="宋体" w:cs="宋体"/>
          <w:b/>
          <w:color w:val="auto"/>
          <w:szCs w:val="21"/>
        </w:rPr>
        <w:t>3、服务期：</w:t>
      </w:r>
    </w:p>
    <w:p w14:paraId="73B26FC7">
      <w:pPr>
        <w:spacing w:line="324" w:lineRule="auto"/>
        <w:ind w:firstLine="420" w:firstLineChars="200"/>
        <w:rPr>
          <w:rFonts w:hint="eastAsia" w:ascii="宋体" w:hAnsi="宋体"/>
          <w:color w:val="auto"/>
          <w:szCs w:val="21"/>
        </w:rPr>
      </w:pPr>
      <w:r>
        <w:rPr>
          <w:rFonts w:hint="eastAsia" w:ascii="宋体" w:hAnsi="宋体"/>
          <w:color w:val="auto"/>
          <w:szCs w:val="21"/>
        </w:rPr>
        <w:t>合同签订生效后约定的开始之日起1年，具体按合同约定的时间为准。</w:t>
      </w:r>
    </w:p>
    <w:p w14:paraId="4C46A3DD">
      <w:pPr>
        <w:adjustRightInd w:val="0"/>
        <w:snapToGrid w:val="0"/>
        <w:spacing w:line="324" w:lineRule="auto"/>
        <w:jc w:val="left"/>
        <w:rPr>
          <w:rFonts w:ascii="Times New Roman" w:hAnsi="Times New Roman" w:cs="Times New Roman"/>
          <w:b/>
          <w:bCs/>
          <w:color w:val="auto"/>
          <w:kern w:val="0"/>
          <w:szCs w:val="21"/>
        </w:rPr>
      </w:pPr>
      <w:r>
        <w:rPr>
          <w:rFonts w:hint="eastAsia" w:ascii="Times New Roman" w:hAnsi="Times New Roman" w:cs="Times New Roman"/>
          <w:b/>
          <w:bCs/>
          <w:color w:val="auto"/>
          <w:kern w:val="0"/>
          <w:szCs w:val="21"/>
        </w:rPr>
        <w:t>二、开展策划工作</w:t>
      </w:r>
    </w:p>
    <w:p w14:paraId="20BCCD25">
      <w:pPr>
        <w:tabs>
          <w:tab w:val="left" w:pos="720"/>
        </w:tabs>
        <w:spacing w:line="324" w:lineRule="auto"/>
        <w:ind w:firstLine="420" w:firstLineChars="200"/>
        <w:rPr>
          <w:rFonts w:hint="eastAsia" w:ascii="宋体" w:hAnsi="宋体" w:cs="宋体"/>
          <w:color w:val="auto"/>
          <w:szCs w:val="21"/>
        </w:rPr>
      </w:pPr>
      <w:r>
        <w:rPr>
          <w:rFonts w:hint="eastAsia" w:ascii="宋体" w:hAnsi="宋体" w:cs="宋体"/>
          <w:color w:val="auto"/>
          <w:szCs w:val="21"/>
        </w:rPr>
        <w:t>1、服务期限内，每月策划文稿和视频，全年原创稿件不少于400条，其中至少16篇符合中央媒体稿件标准、28篇符合省级标准、80篇以上符合市级标准要求。</w:t>
      </w:r>
    </w:p>
    <w:p w14:paraId="0277B3B0">
      <w:pPr>
        <w:tabs>
          <w:tab w:val="left" w:pos="720"/>
        </w:tabs>
        <w:spacing w:line="324" w:lineRule="auto"/>
        <w:ind w:firstLine="420" w:firstLineChars="200"/>
        <w:rPr>
          <w:rFonts w:hint="eastAsia" w:ascii="宋体" w:hAnsi="宋体" w:cs="宋体"/>
          <w:color w:val="auto"/>
          <w:szCs w:val="21"/>
        </w:rPr>
      </w:pPr>
      <w:r>
        <w:rPr>
          <w:rFonts w:hint="eastAsia" w:ascii="宋体" w:hAnsi="宋体" w:cs="宋体"/>
          <w:color w:val="auto"/>
          <w:szCs w:val="21"/>
        </w:rPr>
        <w:t>2、策划撰写符合中央、省级媒体刊播标准的反映消防救援队伍正面宣传的稿件。服务期限内，策划符合广东卫视频道2分钟以上专题、省市级传统媒体标准的策划案不少于6条（篇）。</w:t>
      </w:r>
    </w:p>
    <w:p w14:paraId="1DBDE464">
      <w:pPr>
        <w:tabs>
          <w:tab w:val="left" w:pos="720"/>
        </w:tabs>
        <w:spacing w:line="324" w:lineRule="auto"/>
        <w:ind w:firstLine="420" w:firstLineChars="200"/>
        <w:rPr>
          <w:rFonts w:hint="eastAsia" w:ascii="宋体" w:hAnsi="宋体" w:cs="宋体"/>
          <w:color w:val="auto"/>
          <w:szCs w:val="21"/>
        </w:rPr>
      </w:pPr>
      <w:r>
        <w:rPr>
          <w:rFonts w:hint="eastAsia" w:ascii="宋体" w:hAnsi="宋体" w:cs="宋体"/>
          <w:color w:val="auto"/>
          <w:szCs w:val="21"/>
        </w:rPr>
        <w:t>3、负责策划和协助拍摄网络直播12次、火灾隐患曝光12次、虚拟演播室访谈6次以上。</w:t>
      </w:r>
    </w:p>
    <w:p w14:paraId="51835129">
      <w:pPr>
        <w:tabs>
          <w:tab w:val="left" w:pos="720"/>
        </w:tabs>
        <w:spacing w:line="324" w:lineRule="auto"/>
        <w:ind w:firstLine="420" w:firstLineChars="200"/>
        <w:rPr>
          <w:rFonts w:hint="eastAsia" w:ascii="宋体" w:hAnsi="宋体" w:cs="宋体"/>
          <w:color w:val="auto"/>
          <w:szCs w:val="21"/>
        </w:rPr>
      </w:pPr>
      <w:r>
        <w:rPr>
          <w:rFonts w:hint="eastAsia" w:ascii="宋体" w:hAnsi="宋体" w:cs="宋体"/>
          <w:color w:val="auto"/>
          <w:szCs w:val="21"/>
        </w:rPr>
        <w:t>4、协助准备支队新闻发布会、通气会相关宣传活动，组织不少于2次媒体联谊活动、每次不少于5家媒体。</w:t>
      </w:r>
    </w:p>
    <w:p w14:paraId="54F9CDA3">
      <w:pPr>
        <w:adjustRightInd w:val="0"/>
        <w:snapToGrid w:val="0"/>
        <w:spacing w:line="324" w:lineRule="auto"/>
        <w:jc w:val="left"/>
        <w:rPr>
          <w:rFonts w:ascii="Times New Roman" w:hAnsi="Times New Roman" w:cs="Times New Roman"/>
          <w:b/>
          <w:bCs/>
          <w:color w:val="auto"/>
          <w:kern w:val="0"/>
          <w:szCs w:val="21"/>
        </w:rPr>
      </w:pPr>
      <w:r>
        <w:rPr>
          <w:rFonts w:hint="eastAsia" w:ascii="Times New Roman" w:hAnsi="Times New Roman" w:cs="Times New Roman"/>
          <w:b/>
          <w:bCs/>
          <w:color w:val="auto"/>
          <w:kern w:val="0"/>
          <w:szCs w:val="21"/>
        </w:rPr>
        <w:t>三、新媒体账号内容制作工作</w:t>
      </w:r>
    </w:p>
    <w:p w14:paraId="065E990F">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1、辅助执行佛山消防微信公众号、微博、今日头条、抖音、快手、微信视频号等新媒体平台内容制作，完成原创量和各账号的KPI指数。策划设计新媒体海报不少于240张。</w:t>
      </w:r>
    </w:p>
    <w:p w14:paraId="7B1753BA">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2、微信公众号每周策划制作原创稿件不低于3篇，全年产出原创文稿不低于180篇、工作日每天发布稿件不低于3篇；首条推文平均阅读量不低于6000、每2个月以图文漫画形式的首条推文量不低于1条；今日头条工作日制作稿件不少于10篇（其中包含原创数量不低于2篇）、全年制作稿件不低于2500篇；微博每日制作稿件不低于30篇（其中包含原创数量不低于10%）、全年制作微博稿件数量不低于6000篇、每月阅读量150万+；短视频（抖音、快手、视频号）每月制作稿不低于80篇（其中包含原创视频数量不少于20条）且内容要满足不同平台调性需求、全年制作视频数量不低于600条；服务周期内，全网络曝光量6亿次，全平台粉丝增长15万（现六大平台粉丝量：XXX万）。消防安全宣传、节假日、消防相关活动等H5制作每2个月不少于1条。</w:t>
      </w:r>
    </w:p>
    <w:p w14:paraId="51AF00CC">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3、每日制作微博篇数30条次以上，其中制作符合消防业务主题的原创微博数量不低于10%，包括全省抢险救援动态、消防知识科普相关、消防监督检查相关、消防形象宣传相关、应急宣传相关以及重要时间节点的消防宣传策划。不蹭非消防宣传公益使者相关的明星和娱乐话题，不发泛娱乐化、敏感性内容，日均阅读量20万以上，月均阅读量150万+。</w:t>
      </w:r>
    </w:p>
    <w:p w14:paraId="71C7D9F3">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4、协助支队与新浪建立良好通联关系，特别与新浪广东开展协作，策划佛山消防形象宣传、热点话题联动、公益宣传等热点事件。密切与各类中央、省级微博政务大v的联系协作，推送重大热点事件、形象宣传相关博文时与南方日报等省级媒体和广东共青团、广东天气等省内微博政务大V进行互动，有效提高关注度和影响力。借助重要时间节点、重大救援行动进行宣传报道，打造好佛山消防自媒体宣传阵地。</w:t>
      </w:r>
    </w:p>
    <w:p w14:paraId="25319EEB">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5、每日协助收集整理各区消防救援队伍上报的抢险救援动态、形象宣传、消防科普等素材，并进行编辑推送，包括挖掘抢险救援动态中的感人事迹、重大时间节点的火焰蓝形象宣传、结合社会热点推送相关消防科普知识。指导5支区级消防大队和特勤大队做好日常新闻采编工作，包括：及时传达部局、总队及支队的转发通知；及时传达微信公众号运营团队对消防宣传工作提出的要求和建议；及时传达总队、支队要求下发的消防员招录、政策文件公告、全市演练直播等相关宣传任务；积极与各大队联系协作，每月推动支队策划消防线上活动、形象宣传联动事例不低于1次。</w:t>
      </w:r>
    </w:p>
    <w:p w14:paraId="010C895F">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6、协助整理佛山消防各媒体平台粉丝的相关事宜：建立微博、微信、抖音和快手平台粉丝群，每天定期与粉丝互动，包括宣传消防安全、组织每日答题、解答网友的疑难疑问等，提高粉丝黏性，完成线上线下的整合，实现与粉丝全域、全场景、全周期互动，建立佛山消防形象；在粉丝群日常互动送礼品、消防知识有奖答题、寒暑假（节日）转发互动抽奖等；每日制作早安、晚安信息，与粉丝互动打卡，增强交流热度；在微博上每日主动与网友互动，加强与省内、佛山本地个人账号大V的联系协作，主动关注正能量的大V账号并就消防宣传进行联系协作，通过内容转发、话题互动、形象宣传等方式参与互动。</w:t>
      </w:r>
    </w:p>
    <w:p w14:paraId="418B9625">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7、微信、微博、今日头条、抖音、快手、微信号等账号，每月一次整体账号运营情况分析报告。年度输出不低于6个汇报PPT。微信公众号每月阅读量应在15万以上，平均阅读数超5000。协助与各类中央、省级政务大V的联系协作，每月制作在中央级微信号发布文章1篇、省级微信号发布文章不少于2篇。在元旦、春节、中秋、国庆等重要时间节点、重大救援行动中进行宣传报道相关内容的拍摄和制作，每季度策划塑造“火焰蓝”崭新面貌的相关新闻。</w:t>
      </w:r>
    </w:p>
    <w:p w14:paraId="44C7EDF8">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8、每日收集整理各大队提报的灭火救援素材，筛选有宣传点、新闻性素材，并根据素材制作文字内容和视频内容符合支队选择内容向各大宣传平台发布并向中央级与省级媒体投稿稿件；及时编辑制作全市消防救援队伍工作动态的相关博文，并统计每月各大队原创内容发布情况；指导5个区级消防大队和特勤大队的日常新闻采编工作。</w:t>
      </w:r>
    </w:p>
    <w:p w14:paraId="10F95D96">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9、负责整理粉丝数据，每季度策划一次线上或线下的粉丝互动活动。</w:t>
      </w:r>
    </w:p>
    <w:p w14:paraId="7C1AF445">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10、负责支队认证消防政务新媒体账号的管理工作，收集整理各大队认证消防政务新媒体账号的数据工作，负责支队每月媒体数据的收集整理工作。</w:t>
      </w:r>
    </w:p>
    <w:p w14:paraId="741968BE">
      <w:pPr>
        <w:pStyle w:val="25"/>
        <w:spacing w:line="324" w:lineRule="auto"/>
        <w:jc w:val="both"/>
        <w:rPr>
          <w:rFonts w:hint="default"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四、消防文创创作工作</w:t>
      </w:r>
    </w:p>
    <w:p w14:paraId="3F74BF61">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1、完成海报、平面设计工作。并将成品海报投放于各大综合体、商场、地铁等公共区域进行展示。每年完成印刷类海报设计10张，可完成新媒体海报240张以上，根据需要完成所有平台平面设计、LOGO设计工作，完成119消防日摄影展设计工作。各种视频、短视频的制作、包装、编辑工作。主要是20秒以内的短视频，由各自平台提前提出拍摄需求、线索或素材。</w:t>
      </w:r>
    </w:p>
    <w:p w14:paraId="78940473">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2、定期制作以“消防”为主题的文创产品，精准把握文化与消防的内涵，将文化产品与消防宣传相结合，转化为现代生活中极具创意和实用价值的产品，如“红蓝”徽章、消防版画、消防书签、“火焰蓝”布袋等。并将文创产品通过线上线下的宣传活动形式送到群众的手上，将消防精神、消防知识和消防理念传递开来。</w:t>
      </w:r>
    </w:p>
    <w:p w14:paraId="11672747">
      <w:pPr>
        <w:pStyle w:val="25"/>
        <w:spacing w:line="324" w:lineRule="auto"/>
        <w:jc w:val="both"/>
        <w:rPr>
          <w:rFonts w:hint="default"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五、摄影、摄像工作</w:t>
      </w:r>
    </w:p>
    <w:p w14:paraId="75B4FE8C">
      <w:pPr>
        <w:adjustRightInd w:val="0"/>
        <w:snapToGrid w:val="0"/>
        <w:spacing w:line="324" w:lineRule="auto"/>
        <w:jc w:val="left"/>
        <w:rPr>
          <w:rFonts w:hint="eastAsia" w:ascii="宋体" w:hAnsi="宋体" w:cs="宋体"/>
          <w:color w:val="auto"/>
          <w:szCs w:val="21"/>
        </w:rPr>
      </w:pPr>
      <w:r>
        <w:rPr>
          <w:rFonts w:hint="eastAsia" w:ascii="宋体" w:hAnsi="宋体" w:cs="宋体"/>
          <w:color w:val="auto"/>
          <w:szCs w:val="21"/>
        </w:rPr>
        <w:t>1、负责佛山市消防救援支队参加的省级、市级层面的会议和重大活动新闻宣传活动的摄影摄像工作，集训出动、参与应急救援现场、消防隐患暗访、实战演练、外勤等的摄影摄像工作，服务团队至少保障活动拍摄有2个机位。另外摄制人员中需有至少1名人员有驾照，由成交供应商负责保障出行。</w:t>
      </w:r>
    </w:p>
    <w:p w14:paraId="187376A8">
      <w:pPr>
        <w:adjustRightInd w:val="0"/>
        <w:snapToGrid w:val="0"/>
        <w:spacing w:line="324" w:lineRule="auto"/>
        <w:jc w:val="left"/>
        <w:rPr>
          <w:rFonts w:hint="eastAsia" w:ascii="宋体" w:hAnsi="宋体" w:cs="宋体"/>
          <w:color w:val="auto"/>
          <w:szCs w:val="21"/>
        </w:rPr>
      </w:pPr>
      <w:r>
        <w:rPr>
          <w:rFonts w:hint="eastAsia" w:ascii="宋体" w:hAnsi="宋体" w:cs="宋体"/>
          <w:color w:val="auto"/>
          <w:szCs w:val="21"/>
        </w:rPr>
        <w:t>2、负责整理支队所有新闻图片、视频，做好归档工作，将关于佛山市消防救援支队的所有新闻图片按照年月日会议标题命名备注，归档到媒资系统里，以便日后使用。</w:t>
      </w:r>
    </w:p>
    <w:p w14:paraId="51793C29">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3、负责维护媒体资源管理系统。佛山市消防救援支队媒资系统和部局媒资系统要按规则录入，拍摄素材由主摄像摄影录入编目，其他平台成品由相应负责人录入编目，设置一位人员检查录入支队素材和维护部局系统的工作。</w:t>
      </w:r>
    </w:p>
    <w:p w14:paraId="6A71961A">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4、指导协调各消防站拍摄视频、图片素材，同时为消防站提供急需素材。为各处室、支队制作图片展板、汇报片等提供图片素材。</w:t>
      </w:r>
    </w:p>
    <w:p w14:paraId="670C65CD">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5、协助开展社会化宣传活动，负责组织开展“全民消防学习云平台”、“消防志愿者服务平台”、“消防科普教育基地”等平台的运行维护工作。负责组织“五进”活动所需科普宣传产品的制作与开发工作。负责组织“三下乡”、中小学生消防安全教育日、防灾减灾日、安全生产月、科技宣传周、“119”消防宣传月、国际志愿者日、年度新媒体粉丝见面会等主题宣传活动。</w:t>
      </w:r>
    </w:p>
    <w:p w14:paraId="698F88E0">
      <w:pPr>
        <w:pStyle w:val="25"/>
        <w:spacing w:line="324" w:lineRule="auto"/>
        <w:jc w:val="both"/>
        <w:rPr>
          <w:rFonts w:hint="default"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六、舆情引导工作</w:t>
      </w:r>
    </w:p>
    <w:p w14:paraId="02042948">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每周不少于2次舆情搜索统计，搜索平台包括：微博、微信公众号、微信群聊、微信朋友圈、抖音、快手、今日头条、豆瓣、百度贴吧等。如有重大舆情事件发生，迅速收集、整理该舆情信息（不少于500字）。舆情信息以图文形式提交给上级领导，待领导决策后，做出下一步信息发布计划。在新闻宣传处的领导下，协助联系各大媒体，结合佛山消防微信、微博、今日头条、抖音、快手、微信视频号等账号对舆情事件进行妥善的引导。每月不少于2次舆情分析总结，提高舆情分析、辨别能力。</w:t>
      </w:r>
    </w:p>
    <w:p w14:paraId="7A257CCA">
      <w:pPr>
        <w:adjustRightInd w:val="0"/>
        <w:snapToGrid w:val="0"/>
        <w:spacing w:line="324" w:lineRule="auto"/>
        <w:jc w:val="left"/>
        <w:rPr>
          <w:rFonts w:ascii="Times New Roman" w:hAnsi="Times New Roman" w:cs="Times New Roman"/>
          <w:b/>
          <w:bCs/>
          <w:color w:val="auto"/>
          <w:kern w:val="0"/>
          <w:szCs w:val="21"/>
        </w:rPr>
      </w:pPr>
      <w:r>
        <w:rPr>
          <w:rFonts w:hint="eastAsia" w:ascii="Times New Roman" w:hAnsi="Times New Roman" w:cs="Times New Roman"/>
          <w:b/>
          <w:bCs/>
          <w:color w:val="auto"/>
          <w:kern w:val="0"/>
          <w:szCs w:val="21"/>
        </w:rPr>
        <w:t>七、应急宣传工作</w:t>
      </w:r>
    </w:p>
    <w:p w14:paraId="0FC198AD">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建立应急宣传机制，在火灾、台风、洪水等突发应急宣传工作需要时，组建快速反应的团队，打破日常工作的设置，集中人力资源和媒体资源的力量，做到有效快速反应。</w:t>
      </w:r>
    </w:p>
    <w:p w14:paraId="1642AD4D">
      <w:pPr>
        <w:pStyle w:val="25"/>
        <w:spacing w:line="324" w:lineRule="auto"/>
        <w:jc w:val="both"/>
        <w:rPr>
          <w:rFonts w:hint="default"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八、佛山消防传播矩阵建设工作</w:t>
      </w:r>
    </w:p>
    <w:p w14:paraId="74A00149">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服务期限内大力策划具有佛山消防特色的专题活动，专题报道。</w:t>
      </w:r>
    </w:p>
    <w:p w14:paraId="0629382D">
      <w:pPr>
        <w:pStyle w:val="25"/>
        <w:spacing w:line="324" w:lineRule="auto"/>
        <w:jc w:val="both"/>
        <w:rPr>
          <w:rFonts w:hint="default"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九、内部交流学习等工作</w:t>
      </w:r>
    </w:p>
    <w:p w14:paraId="605B08B6">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不定期协助开展专业技术交流（包括但不限于摄影、编导、摄像等），并组织全媒体中心人员进行交流学习，交换经验，取其精华，同时向各省展现广东消防全媒体运营优秀成果。</w:t>
      </w:r>
    </w:p>
    <w:p w14:paraId="281B5304">
      <w:pPr>
        <w:pStyle w:val="25"/>
        <w:spacing w:line="324" w:lineRule="auto"/>
        <w:jc w:val="both"/>
        <w:rPr>
          <w:rFonts w:hint="default"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十、行政（管理）等工作</w:t>
      </w:r>
    </w:p>
    <w:p w14:paraId="13A55E7C">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创建合理、有效的管理制度、绩效考核制度、晋升制度等，明确工作任务及分工。派专职负责人常驻办公，进行管理。</w:t>
      </w:r>
    </w:p>
    <w:p w14:paraId="264CB6D0">
      <w:pPr>
        <w:adjustRightInd w:val="0"/>
        <w:snapToGrid w:val="0"/>
        <w:spacing w:line="324" w:lineRule="auto"/>
        <w:jc w:val="left"/>
        <w:rPr>
          <w:rFonts w:ascii="Times New Roman" w:hAnsi="Times New Roman" w:cs="Times New Roman"/>
          <w:b/>
          <w:bCs/>
          <w:color w:val="auto"/>
          <w:kern w:val="0"/>
          <w:szCs w:val="21"/>
        </w:rPr>
      </w:pPr>
      <w:r>
        <w:rPr>
          <w:rFonts w:hint="eastAsia" w:ascii="Times New Roman" w:hAnsi="Times New Roman" w:cs="Times New Roman"/>
          <w:b/>
          <w:bCs/>
          <w:color w:val="auto"/>
          <w:kern w:val="0"/>
          <w:szCs w:val="21"/>
        </w:rPr>
        <w:t>十一、其他工作</w:t>
      </w:r>
    </w:p>
    <w:p w14:paraId="008E2847">
      <w:pPr>
        <w:spacing w:line="324" w:lineRule="auto"/>
        <w:ind w:firstLine="420" w:firstLineChars="200"/>
        <w:outlineLvl w:val="2"/>
        <w:rPr>
          <w:rFonts w:hint="eastAsia" w:ascii="宋体" w:hAnsi="宋体" w:cs="宋体"/>
          <w:color w:val="auto"/>
          <w:szCs w:val="21"/>
        </w:rPr>
      </w:pPr>
      <w:r>
        <w:rPr>
          <w:rFonts w:hint="eastAsia" w:ascii="宋体" w:hAnsi="宋体" w:cs="宋体"/>
          <w:color w:val="auto"/>
          <w:szCs w:val="21"/>
        </w:rPr>
        <w:t>完成工作情况、宣传效果的整理分析和档案建立工作，完成全媒体工作中心器材、车辆、装备等日常维护保养工作，完成全媒体工作中心日常运营制度建设、人员管理等工作。</w:t>
      </w:r>
    </w:p>
    <w:p w14:paraId="4D4C34C4">
      <w:pPr>
        <w:pStyle w:val="9"/>
        <w:spacing w:line="324" w:lineRule="auto"/>
        <w:rPr>
          <w:rFonts w:ascii="Times New Roman" w:hAnsi="Times New Roman" w:cs="Times New Roman"/>
          <w:b/>
          <w:bCs/>
          <w:color w:val="auto"/>
          <w:sz w:val="21"/>
        </w:rPr>
      </w:pPr>
      <w:r>
        <w:rPr>
          <w:rFonts w:hint="eastAsia" w:ascii="Times New Roman" w:hAnsi="Times New Roman" w:cs="Times New Roman"/>
          <w:b/>
          <w:bCs/>
          <w:color w:val="auto"/>
          <w:sz w:val="21"/>
        </w:rPr>
        <w:t>十二、服务需求</w:t>
      </w:r>
    </w:p>
    <w:p w14:paraId="6F74CDEA">
      <w:pPr>
        <w:adjustRightInd w:val="0"/>
        <w:snapToGrid w:val="0"/>
        <w:spacing w:line="324" w:lineRule="auto"/>
        <w:jc w:val="left"/>
        <w:rPr>
          <w:rFonts w:hint="eastAsia" w:ascii="宋体" w:hAnsi="宋体" w:cs="宋体"/>
          <w:color w:val="auto"/>
          <w:szCs w:val="21"/>
        </w:rPr>
      </w:pPr>
      <w:r>
        <w:rPr>
          <w:rFonts w:hint="eastAsia" w:ascii="宋体" w:hAnsi="宋体" w:cs="宋体"/>
          <w:color w:val="auto"/>
          <w:szCs w:val="21"/>
        </w:rPr>
        <w:t>1、人才团队服务。供应商提供的8人服务团队。一是驻点团队：供应商派驻1名项目负责人（需要有相关行业服务经验），派驻7名与项目需求相适应的人员，在佛山消防救援支队或其下属单位工作，供应商为派驻人员购买与消防救援工作相适应的保险。</w:t>
      </w:r>
    </w:p>
    <w:p w14:paraId="5B23FF59">
      <w:pPr>
        <w:adjustRightInd w:val="0"/>
        <w:snapToGrid w:val="0"/>
        <w:spacing w:line="324" w:lineRule="auto"/>
        <w:ind w:firstLine="420" w:firstLineChars="200"/>
        <w:jc w:val="left"/>
        <w:rPr>
          <w:rFonts w:hint="eastAsia" w:ascii="宋体" w:hAnsi="宋体" w:cs="宋体"/>
          <w:color w:val="auto"/>
          <w:szCs w:val="21"/>
        </w:rPr>
      </w:pPr>
      <w:r>
        <w:rPr>
          <w:rFonts w:hint="eastAsia" w:ascii="宋体" w:hAnsi="宋体" w:cs="宋体"/>
          <w:color w:val="auto"/>
          <w:szCs w:val="21"/>
        </w:rPr>
        <w:t>人员配置：内容制作服务团队成员最低配置8人，原则上均应具备本科以上学历。</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08"/>
        <w:gridCol w:w="2347"/>
        <w:gridCol w:w="2480"/>
        <w:gridCol w:w="2700"/>
      </w:tblGrid>
      <w:tr w14:paraId="68E9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shd w:val="clear" w:color="auto" w:fill="EAEAEA"/>
            <w:vAlign w:val="center"/>
          </w:tcPr>
          <w:p w14:paraId="4A53C7D3">
            <w:pPr>
              <w:widowControl/>
              <w:spacing w:line="324"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编制</w:t>
            </w:r>
          </w:p>
        </w:tc>
        <w:tc>
          <w:tcPr>
            <w:tcW w:w="466" w:type="pct"/>
            <w:shd w:val="clear" w:color="auto" w:fill="EAEAEA"/>
            <w:vAlign w:val="center"/>
          </w:tcPr>
          <w:p w14:paraId="13717EAC">
            <w:pPr>
              <w:widowControl/>
              <w:spacing w:line="324"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岗位</w:t>
            </w:r>
          </w:p>
        </w:tc>
        <w:tc>
          <w:tcPr>
            <w:tcW w:w="1206" w:type="pct"/>
            <w:shd w:val="clear" w:color="auto" w:fill="EAEAEA"/>
            <w:vAlign w:val="center"/>
          </w:tcPr>
          <w:p w14:paraId="54A3C6BF">
            <w:pPr>
              <w:widowControl/>
              <w:spacing w:line="324"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岗位职责</w:t>
            </w:r>
          </w:p>
        </w:tc>
        <w:tc>
          <w:tcPr>
            <w:tcW w:w="1275" w:type="pct"/>
            <w:shd w:val="clear" w:color="auto" w:fill="EAEAEA"/>
            <w:vAlign w:val="center"/>
          </w:tcPr>
          <w:p w14:paraId="67492527">
            <w:pPr>
              <w:widowControl/>
              <w:spacing w:line="324"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任职资格</w:t>
            </w:r>
          </w:p>
        </w:tc>
        <w:tc>
          <w:tcPr>
            <w:tcW w:w="1388" w:type="pct"/>
            <w:shd w:val="clear" w:color="auto" w:fill="EAEAEA"/>
            <w:vAlign w:val="center"/>
          </w:tcPr>
          <w:p w14:paraId="5A6E312F">
            <w:pPr>
              <w:widowControl/>
              <w:spacing w:line="324"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绩效奖励</w:t>
            </w:r>
          </w:p>
        </w:tc>
      </w:tr>
      <w:tr w14:paraId="7934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47DA258F">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全媒体中心（1人）</w:t>
            </w:r>
          </w:p>
        </w:tc>
        <w:tc>
          <w:tcPr>
            <w:tcW w:w="466" w:type="pct"/>
            <w:vAlign w:val="center"/>
          </w:tcPr>
          <w:p w14:paraId="5A46D97A">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负责人</w:t>
            </w:r>
          </w:p>
        </w:tc>
        <w:tc>
          <w:tcPr>
            <w:tcW w:w="1206" w:type="pct"/>
            <w:vAlign w:val="center"/>
          </w:tcPr>
          <w:p w14:paraId="20F236B2">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1、制定全媒体中心内容制作服务策略、完善中心运营制度、制定中心运营标准规范；</w:t>
            </w:r>
          </w:p>
          <w:p w14:paraId="5A085D2E">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2、了解行业市场状况，制定年度、季度执行计划；</w:t>
            </w:r>
          </w:p>
          <w:p w14:paraId="4A1694AF">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3、负责组织各部门定期检讨运营情况并纠偏；</w:t>
            </w:r>
          </w:p>
          <w:p w14:paraId="42B45AB2">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4、负责各部门运营成本和纠偏；</w:t>
            </w:r>
          </w:p>
          <w:p w14:paraId="6C5FF7F6">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5、根据业绩、市场反馈等对媒体中心运营进行监督、控制和数据分析评估，及时调整市场策略与内容，保证项目目标的持续达成；</w:t>
            </w:r>
          </w:p>
          <w:p w14:paraId="1006F32E">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6、与新媒体平台建立良好通联关系，密切与各类中央、省级政务大V的联系协作，借助重要时间节点、重大救援行动宣传报道，打造好佛山消防自媒体宣传阵地；</w:t>
            </w:r>
          </w:p>
          <w:p w14:paraId="47E2FEA5">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7、指导全市5个区消防救援大队做好日常新闻发布工作。</w:t>
            </w:r>
          </w:p>
        </w:tc>
        <w:tc>
          <w:tcPr>
            <w:tcW w:w="1275" w:type="pct"/>
            <w:vAlign w:val="center"/>
          </w:tcPr>
          <w:p w14:paraId="031DCB08">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1、政治觉悟高；</w:t>
            </w:r>
          </w:p>
          <w:p w14:paraId="5429F3B9">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2、担任过同类项目的总负责人，</w:t>
            </w:r>
            <w:r>
              <w:rPr>
                <w:rFonts w:hint="eastAsia" w:ascii="宋体" w:hAnsi="宋体" w:eastAsia="宋体" w:cs="宋体"/>
                <w:color w:val="auto"/>
                <w:sz w:val="18"/>
                <w:szCs w:val="18"/>
              </w:rPr>
              <w:t>具有行业相关从业经验丰富者优先；</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3、具有较强的领导能力、判断与决策能力、人际能力、沟通能力、影响力、计划与执行能力、谈判能力；</w:t>
            </w:r>
          </w:p>
          <w:p w14:paraId="1A9B33A2">
            <w:pPr>
              <w:spacing w:line="324" w:lineRule="auto"/>
              <w:rPr>
                <w:rFonts w:hint="eastAsia" w:ascii="宋体" w:hAnsi="宋体" w:eastAsia="宋体" w:cs="宋体"/>
                <w:color w:val="auto"/>
                <w:kern w:val="0"/>
                <w:sz w:val="18"/>
                <w:szCs w:val="18"/>
              </w:rPr>
            </w:pPr>
            <w:r>
              <w:rPr>
                <w:rFonts w:hint="eastAsia" w:ascii="宋体" w:hAnsi="宋体" w:eastAsia="宋体" w:cs="宋体"/>
                <w:color w:val="auto"/>
                <w:sz w:val="18"/>
                <w:szCs w:val="18"/>
                <w:lang w:bidi="ar"/>
              </w:rPr>
              <w:t>4、精通新媒体推广渠道及推广手段（微信、公众号、直播、社区、小红书、抖音等），有实战经验，对数据敏感，深度了解各平台玩法与运营规则。</w:t>
            </w:r>
          </w:p>
        </w:tc>
        <w:tc>
          <w:tcPr>
            <w:tcW w:w="1388" w:type="pct"/>
            <w:vAlign w:val="center"/>
          </w:tcPr>
          <w:p w14:paraId="5066A4F0">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1、每季度完成对应的KPI，项目负责人每季度奖金8000元。年终顺利完成所有任务指标可获得8000元奖励。累计全年奖金4万元。</w:t>
            </w:r>
          </w:p>
          <w:p w14:paraId="148D871B">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2、KPI为：五大媒体平台账号数据指标。发稿总量不低于400份，其中包含中央媒体16份，省级28份，市级80份。短视频发布数量不低于600条，全网络曝光量6亿次，全平台粉丝增长在2024年基础上增长15万。</w:t>
            </w:r>
          </w:p>
        </w:tc>
      </w:tr>
      <w:tr w14:paraId="7ABA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Merge w:val="restart"/>
            <w:vAlign w:val="center"/>
          </w:tcPr>
          <w:p w14:paraId="503029F7">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图文处理中心（3人）</w:t>
            </w:r>
          </w:p>
        </w:tc>
        <w:tc>
          <w:tcPr>
            <w:tcW w:w="466" w:type="pct"/>
            <w:vAlign w:val="center"/>
          </w:tcPr>
          <w:p w14:paraId="4C2355DE">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资深文字编辑（组长1人）</w:t>
            </w:r>
          </w:p>
        </w:tc>
        <w:tc>
          <w:tcPr>
            <w:tcW w:w="1206" w:type="pct"/>
            <w:vAlign w:val="center"/>
          </w:tcPr>
          <w:p w14:paraId="62D2F0CB">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1、负责日常文案选题，报导任务创建及指派；</w:t>
            </w:r>
          </w:p>
          <w:p w14:paraId="48AF2D9A">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2、负责重要稿件的采写工作；</w:t>
            </w:r>
          </w:p>
          <w:p w14:paraId="52242224">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3、市区两级消防救援队伍通联协作与协同报道；</w:t>
            </w:r>
          </w:p>
          <w:p w14:paraId="5E91D8DF">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4、指导五区消防救援大队在省主流报刊发稿件；</w:t>
            </w:r>
          </w:p>
          <w:p w14:paraId="57F710F6">
            <w:pPr>
              <w:spacing w:line="324"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5、负责宣传编辑组管理工作。</w:t>
            </w:r>
          </w:p>
        </w:tc>
        <w:tc>
          <w:tcPr>
            <w:tcW w:w="1275" w:type="pct"/>
            <w:vAlign w:val="center"/>
          </w:tcPr>
          <w:p w14:paraId="1AB28301">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1、新闻、中文、计算机等专业；有丰富相关工作经验者优先；</w:t>
            </w:r>
          </w:p>
          <w:p w14:paraId="55B69ED5">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2、良好的文字功底，较强的信息采编能力；</w:t>
            </w:r>
          </w:p>
          <w:p w14:paraId="3848C273">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3、善于运用互联网搜索，善于进行图文编辑，善于进行内容整合；</w:t>
            </w:r>
          </w:p>
          <w:p w14:paraId="39673E13">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4、能独立完成专题、活动等推广文案的撰写，具备网站策划包装能力；</w:t>
            </w:r>
          </w:p>
          <w:p w14:paraId="18C76984">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5、工作细心，高度的责任心，有相关网站和新媒体编辑工作经验。</w:t>
            </w:r>
          </w:p>
        </w:tc>
        <w:tc>
          <w:tcPr>
            <w:tcW w:w="1388" w:type="pct"/>
            <w:vAlign w:val="center"/>
          </w:tcPr>
          <w:p w14:paraId="04C86A65">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1、完成季度KPI可获得5000元/季度的季度奖金，全年完成KPI，可再获得年终奖金1万元。累计全年奖金3万元。</w:t>
            </w:r>
          </w:p>
          <w:p w14:paraId="3A87F324">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2、KPI设定：根据五大媒体平台的数据指标拆解到个季度。</w:t>
            </w:r>
          </w:p>
          <w:p w14:paraId="72AF47AF">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全年图文稿件处理不低于400份。其中44份需要达到省级以上媒体平台发稿要求。80份以上达到市级媒体要求。每月保障产出微信公众号推文84篇、微博900条、今日头条300条。</w:t>
            </w:r>
          </w:p>
        </w:tc>
      </w:tr>
      <w:tr w14:paraId="01CE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Merge w:val="continue"/>
            <w:vAlign w:val="center"/>
          </w:tcPr>
          <w:p w14:paraId="30923258">
            <w:pPr>
              <w:spacing w:line="324" w:lineRule="auto"/>
              <w:rPr>
                <w:rFonts w:hint="eastAsia" w:ascii="宋体" w:hAnsi="宋体" w:eastAsia="宋体" w:cs="宋体"/>
                <w:color w:val="auto"/>
                <w:sz w:val="18"/>
                <w:szCs w:val="18"/>
              </w:rPr>
            </w:pPr>
          </w:p>
        </w:tc>
        <w:tc>
          <w:tcPr>
            <w:tcW w:w="466" w:type="pct"/>
            <w:vAlign w:val="center"/>
          </w:tcPr>
          <w:p w14:paraId="4C492D60">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平面设计（1人）</w:t>
            </w:r>
          </w:p>
        </w:tc>
        <w:tc>
          <w:tcPr>
            <w:tcW w:w="1206" w:type="pct"/>
            <w:vAlign w:val="center"/>
          </w:tcPr>
          <w:p w14:paraId="379D1BCB">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1、负责日常推文图片处理工作；</w:t>
            </w:r>
          </w:p>
          <w:p w14:paraId="0529C92B">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2、结合微信文章制作文章长图，增强微信文章的设计感；</w:t>
            </w:r>
          </w:p>
          <w:p w14:paraId="0947A691">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根据活动、节假日、特定时间点等需要完成海报、宣传单页、横幅等设计相应宣传稿件；</w:t>
            </w:r>
          </w:p>
          <w:p w14:paraId="0A435FCE">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3、负责原创内容设计及整体元素绘制；</w:t>
            </w:r>
          </w:p>
          <w:p w14:paraId="6571EF7D">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4、针对佛山消防为核心的相关内容，结合相关文案及配图进行设计及绘制；</w:t>
            </w:r>
          </w:p>
          <w:p w14:paraId="506B6AA7">
            <w:pPr>
              <w:spacing w:line="324" w:lineRule="auto"/>
              <w:rPr>
                <w:rFonts w:hint="eastAsia" w:ascii="宋体" w:hAnsi="宋体" w:eastAsia="宋体" w:cs="宋体"/>
                <w:color w:val="auto"/>
                <w:kern w:val="0"/>
                <w:sz w:val="18"/>
                <w:szCs w:val="18"/>
              </w:rPr>
            </w:pPr>
            <w:r>
              <w:rPr>
                <w:rFonts w:hint="eastAsia" w:ascii="宋体" w:hAnsi="宋体" w:eastAsia="宋体" w:cs="宋体"/>
                <w:color w:val="auto"/>
                <w:sz w:val="18"/>
                <w:szCs w:val="18"/>
                <w:lang w:bidi="ar"/>
              </w:rPr>
              <w:t>5、相关logo、人物漫画、卡通形象、场景图绘等设计的插画内容的绘制工作。</w:t>
            </w:r>
          </w:p>
        </w:tc>
        <w:tc>
          <w:tcPr>
            <w:tcW w:w="1275" w:type="pct"/>
            <w:vAlign w:val="center"/>
          </w:tcPr>
          <w:p w14:paraId="2994BD46">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1、具有扎实的美术基础、色彩控制能力和丰富的想象力；</w:t>
            </w:r>
          </w:p>
          <w:p w14:paraId="627F44DE">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2、熟练运用photoshop,AI等图像编辑软件，具有较强的平面设计处理能力；</w:t>
            </w:r>
          </w:p>
          <w:p w14:paraId="2E9B3303">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3、能够结合消防各项工作，进行创意平面设计；</w:t>
            </w:r>
          </w:p>
          <w:p w14:paraId="3BFEDF1A">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4、良好的沟通能力、工作认真细致、敬业、有责任感、注重效率，有团队合作精神。</w:t>
            </w:r>
          </w:p>
        </w:tc>
        <w:tc>
          <w:tcPr>
            <w:tcW w:w="1388" w:type="pct"/>
            <w:vAlign w:val="center"/>
          </w:tcPr>
          <w:p w14:paraId="317FF395">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1、完成季度KPI可获得4000元/季度奖金。完成年度任务后获得2000元年终奖励。了累计全年奖金1.8万元。</w:t>
            </w:r>
          </w:p>
          <w:p w14:paraId="789F8A85">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2、KPI设定：根据五大媒体平台的数据指标拆解到个季度</w:t>
            </w:r>
          </w:p>
          <w:p w14:paraId="7D3002E4">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全年图文稿件处理不低于400份。其中44份需要达到省级以上媒体平台发稿要求，80份以上达到市级媒体要求。所设计的作品获得中国消防的青睐推送2次，省级媒体推送5次。</w:t>
            </w:r>
          </w:p>
        </w:tc>
      </w:tr>
      <w:tr w14:paraId="7792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Merge w:val="continue"/>
            <w:vAlign w:val="center"/>
          </w:tcPr>
          <w:p w14:paraId="7D05E4E5">
            <w:pPr>
              <w:spacing w:line="324" w:lineRule="auto"/>
              <w:rPr>
                <w:rFonts w:hint="eastAsia" w:ascii="宋体" w:hAnsi="宋体" w:eastAsia="宋体" w:cs="宋体"/>
                <w:color w:val="auto"/>
                <w:sz w:val="18"/>
                <w:szCs w:val="18"/>
              </w:rPr>
            </w:pPr>
          </w:p>
        </w:tc>
        <w:tc>
          <w:tcPr>
            <w:tcW w:w="466" w:type="pct"/>
            <w:vAlign w:val="center"/>
          </w:tcPr>
          <w:p w14:paraId="32CF114C">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文案编辑（1人）</w:t>
            </w:r>
          </w:p>
        </w:tc>
        <w:tc>
          <w:tcPr>
            <w:tcW w:w="1206" w:type="pct"/>
            <w:vAlign w:val="center"/>
          </w:tcPr>
          <w:p w14:paraId="258AB01D">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1、负责日常文案文稿编写、视频文案编辑、视频标题策划等；</w:t>
            </w:r>
          </w:p>
          <w:p w14:paraId="7D331D71">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2、配合团队完成其他文字文案工作；</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3、负责领导交办的其它工作。</w:t>
            </w:r>
          </w:p>
        </w:tc>
        <w:tc>
          <w:tcPr>
            <w:tcW w:w="1275" w:type="pct"/>
            <w:vAlign w:val="center"/>
          </w:tcPr>
          <w:p w14:paraId="0753E77C">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1、有丰富相关工作经验者优先，有报社或媒体行业编辑经验；</w:t>
            </w:r>
          </w:p>
          <w:p w14:paraId="28E469EB">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2、较强的文字功底和理解领悟能力，文笔流畅、文字转化能力强，有较好的排版能力；</w:t>
            </w:r>
          </w:p>
          <w:p w14:paraId="7B036664">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3、视野开阔，思维活跃，观察、思考能力强，善于分析问题。</w:t>
            </w:r>
          </w:p>
        </w:tc>
        <w:tc>
          <w:tcPr>
            <w:tcW w:w="1388" w:type="pct"/>
            <w:vAlign w:val="center"/>
          </w:tcPr>
          <w:p w14:paraId="04DB47A0">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1、完成季度KPI可获得4000元/季度奖金。完成年度任务后获得2000元年终奖励。累计全年奖金1.8万元。</w:t>
            </w:r>
          </w:p>
          <w:p w14:paraId="02B5401B">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2、KPI设定：全年稿件处理不低于400份。其中44份需要达到省级以上媒体平台发稿要求。80份以上达到市级媒体要求，所产出作品获得中国消防的青睐推送2次，省级媒体推送5次。</w:t>
            </w:r>
          </w:p>
        </w:tc>
      </w:tr>
      <w:tr w14:paraId="31AB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Merge w:val="restart"/>
            <w:vAlign w:val="center"/>
          </w:tcPr>
          <w:p w14:paraId="60FD0306">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影视制作中心（4人）</w:t>
            </w:r>
          </w:p>
        </w:tc>
        <w:tc>
          <w:tcPr>
            <w:tcW w:w="466" w:type="pct"/>
            <w:vAlign w:val="center"/>
          </w:tcPr>
          <w:p w14:paraId="49A0EC3C">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资深影视制作（组长1人）</w:t>
            </w:r>
          </w:p>
        </w:tc>
        <w:tc>
          <w:tcPr>
            <w:tcW w:w="1206" w:type="pct"/>
            <w:vAlign w:val="center"/>
          </w:tcPr>
          <w:p w14:paraId="2456741E">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1、负责影音视听组管理工作；</w:t>
            </w:r>
          </w:p>
          <w:p w14:paraId="63DB1367">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2、负责把控视频拍摄调度、视频出片质量把关；</w:t>
            </w:r>
          </w:p>
          <w:p w14:paraId="781C3FD1">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3、负责重大宣传片、视频等审核、指导、制作工作；</w:t>
            </w:r>
          </w:p>
          <w:p w14:paraId="22034C2E">
            <w:pPr>
              <w:pStyle w:val="9"/>
              <w:widowControl/>
              <w:spacing w:line="324" w:lineRule="auto"/>
              <w:rPr>
                <w:rFonts w:hint="eastAsia" w:eastAsia="宋体" w:cs="宋体"/>
                <w:color w:val="auto"/>
                <w:sz w:val="18"/>
                <w:szCs w:val="18"/>
              </w:rPr>
            </w:pPr>
            <w:r>
              <w:rPr>
                <w:rFonts w:hint="eastAsia" w:eastAsia="宋体" w:cs="宋体"/>
                <w:color w:val="auto"/>
                <w:sz w:val="18"/>
                <w:szCs w:val="18"/>
              </w:rPr>
              <w:t>4、兼职摄影摄像工作。</w:t>
            </w:r>
          </w:p>
        </w:tc>
        <w:tc>
          <w:tcPr>
            <w:tcW w:w="1275" w:type="pct"/>
            <w:vAlign w:val="center"/>
          </w:tcPr>
          <w:p w14:paraId="1A17C7BA">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1、有相关工作丰富经验者优先；</w:t>
            </w:r>
          </w:p>
          <w:p w14:paraId="7E9CF860">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2、广告、新闻、中文相关专业本科毕业(业务能力特别突出的可适当放宽学历)；</w:t>
            </w:r>
          </w:p>
          <w:p w14:paraId="3CEF1C1A">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3、优秀的创意和执行能力，能主导性地提出创意并迅速高质量地执行，善于把握各种文体；擅于归纳总结，文笔犀利独到，具有很强的文字功底，对文字精益求精；</w:t>
            </w:r>
          </w:p>
          <w:p w14:paraId="3BC102C8">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4、对短视频有独到见解和创新热情；</w:t>
            </w:r>
          </w:p>
          <w:p w14:paraId="0E3E3988">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5、精通摄影摄像后期制作等技能；                                                   6、认真负责，踏实肯干，有团队意识、创新意识、进取意识；</w:t>
            </w:r>
          </w:p>
          <w:p w14:paraId="0844BAA9">
            <w:pPr>
              <w:spacing w:line="324"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lang w:bidi="ar"/>
              </w:rPr>
              <w:t>7、具备应急宣传车切换导播技能。</w:t>
            </w:r>
          </w:p>
        </w:tc>
        <w:tc>
          <w:tcPr>
            <w:tcW w:w="1388" w:type="pct"/>
            <w:vAlign w:val="center"/>
          </w:tcPr>
          <w:p w14:paraId="55CF5E91">
            <w:pPr>
              <w:spacing w:line="324" w:lineRule="auto"/>
              <w:jc w:val="left"/>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1、完成季度KPI可获得5000元/季度的季度奖金，全年完成KPI，可再获得年终奖金1万元。累计全年奖金3万元。</w:t>
            </w:r>
          </w:p>
          <w:p w14:paraId="516ED76F">
            <w:pPr>
              <w:spacing w:line="324" w:lineRule="auto"/>
              <w:jc w:val="left"/>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2、KPI设定：根据五大媒体平台的数据指标拆解到个季度。</w:t>
            </w:r>
          </w:p>
          <w:p w14:paraId="0561F039">
            <w:pPr>
              <w:spacing w:line="324" w:lineRule="auto"/>
              <w:jc w:val="left"/>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拍摄制作短视频发布数量不低于600条，所产出作品获得中国消防的青睐推送2次，省级媒体推送5次。</w:t>
            </w:r>
          </w:p>
        </w:tc>
      </w:tr>
      <w:tr w14:paraId="23AA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Merge w:val="continue"/>
            <w:vAlign w:val="center"/>
          </w:tcPr>
          <w:p w14:paraId="1C602538">
            <w:pPr>
              <w:spacing w:line="324" w:lineRule="auto"/>
              <w:rPr>
                <w:rFonts w:hint="eastAsia" w:ascii="宋体" w:hAnsi="宋体" w:eastAsia="宋体" w:cs="宋体"/>
                <w:color w:val="auto"/>
                <w:sz w:val="18"/>
                <w:szCs w:val="18"/>
              </w:rPr>
            </w:pPr>
          </w:p>
        </w:tc>
        <w:tc>
          <w:tcPr>
            <w:tcW w:w="466" w:type="pct"/>
            <w:vAlign w:val="center"/>
          </w:tcPr>
          <w:p w14:paraId="60BCE38B">
            <w:pPr>
              <w:spacing w:line="324"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摄影摄像（1人）</w:t>
            </w:r>
          </w:p>
        </w:tc>
        <w:tc>
          <w:tcPr>
            <w:tcW w:w="1206" w:type="pct"/>
            <w:vAlign w:val="center"/>
          </w:tcPr>
          <w:p w14:paraId="2CEE24F9">
            <w:pPr>
              <w:spacing w:line="324" w:lineRule="auto"/>
              <w:rPr>
                <w:rFonts w:hint="eastAsia" w:ascii="宋体" w:hAnsi="宋体" w:eastAsia="宋体" w:cs="宋体"/>
                <w:color w:val="auto"/>
                <w:sz w:val="18"/>
                <w:szCs w:val="18"/>
              </w:rPr>
            </w:pPr>
            <w:r>
              <w:rPr>
                <w:rFonts w:hint="eastAsia" w:ascii="宋体" w:hAnsi="宋体" w:eastAsia="宋体" w:cs="宋体"/>
                <w:color w:val="auto"/>
                <w:sz w:val="18"/>
                <w:szCs w:val="18"/>
                <w:lang w:bidi="ar"/>
              </w:rPr>
              <w:t>1、负责日常的图片摄影、视频拍摄（公益片、栏目片等）；</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2、在重大宣传活动中，负责视频拍摄，并存档；</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3、懂视频编辑，必要时可以与视频编辑轮岗；</w:t>
            </w:r>
          </w:p>
          <w:p w14:paraId="4779F0D6">
            <w:pPr>
              <w:pStyle w:val="9"/>
              <w:widowControl/>
              <w:spacing w:line="324" w:lineRule="auto"/>
              <w:rPr>
                <w:rFonts w:hint="eastAsia" w:eastAsia="宋体" w:cs="宋体"/>
                <w:color w:val="auto"/>
                <w:sz w:val="18"/>
                <w:szCs w:val="18"/>
              </w:rPr>
            </w:pPr>
            <w:r>
              <w:rPr>
                <w:rFonts w:hint="eastAsia" w:eastAsia="宋体" w:cs="宋体"/>
                <w:color w:val="auto"/>
                <w:sz w:val="18"/>
                <w:szCs w:val="18"/>
              </w:rPr>
              <w:t>4、应急宣传值班，节假日、重大火灾及突发应急等情况，能够及时提供支援，发生重大火灾要到现场，保障工作有效按时按量按质完成。</w:t>
            </w:r>
          </w:p>
        </w:tc>
        <w:tc>
          <w:tcPr>
            <w:tcW w:w="1275" w:type="pct"/>
            <w:vMerge w:val="restart"/>
            <w:vAlign w:val="center"/>
          </w:tcPr>
          <w:p w14:paraId="2928CC3B">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1、影视、摄影、动画、视觉传达、设计艺术等相关专业，大专及以上学历，有丰富相关工作经验者优先；</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2、在市级以上的媒体从事新闻剪辑、摄影、摄像工作经验或有广告片、宣传片、微电影的剪辑经验及作品；</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3、熟练操作佳能、尼康、索尼等主流拍摄器材,并具备具备一定影视灯光能力和现场收声经验；</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4、有一定美术功底，审美能力强，时尚嗅觉敏锐；</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5、能熟练运用AE、PR等合成软件进行动画和合成处理；</w:t>
            </w:r>
          </w:p>
          <w:p w14:paraId="5655BDB7">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6、较强的沟通能力和团队合作精神，抗压力强，注重效率；</w:t>
            </w:r>
          </w:p>
          <w:p w14:paraId="4D43AF7A">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7、由于工作性质特殊，会涉及到事故现场出勤，男生优先考虑。</w:t>
            </w:r>
          </w:p>
        </w:tc>
        <w:tc>
          <w:tcPr>
            <w:tcW w:w="1388" w:type="pct"/>
            <w:vAlign w:val="center"/>
          </w:tcPr>
          <w:p w14:paraId="1C2BE44E">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1、完成季度KPI可获得4000元/季度奖金。完成年度任务后获得2000元年终奖励。</w:t>
            </w:r>
          </w:p>
          <w:p w14:paraId="465AB053">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2、KPI设定：根据五大媒体平台的数据指标拆解到个季度。拍摄制作短视频发布数量不低于600条，所产出作品获得中国消防的青睐推送2次，省级媒体推送5次。</w:t>
            </w:r>
          </w:p>
        </w:tc>
      </w:tr>
      <w:tr w14:paraId="4A22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Merge w:val="continue"/>
            <w:vAlign w:val="center"/>
          </w:tcPr>
          <w:p w14:paraId="36502455">
            <w:pPr>
              <w:spacing w:line="324" w:lineRule="auto"/>
              <w:rPr>
                <w:rFonts w:hint="eastAsia" w:ascii="宋体" w:hAnsi="宋体" w:eastAsia="宋体" w:cs="宋体"/>
                <w:color w:val="auto"/>
                <w:sz w:val="24"/>
              </w:rPr>
            </w:pPr>
          </w:p>
        </w:tc>
        <w:tc>
          <w:tcPr>
            <w:tcW w:w="466" w:type="pct"/>
            <w:vAlign w:val="center"/>
          </w:tcPr>
          <w:p w14:paraId="4E80D299">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视频剪辑（2人）</w:t>
            </w:r>
          </w:p>
        </w:tc>
        <w:tc>
          <w:tcPr>
            <w:tcW w:w="1206" w:type="pct"/>
            <w:vAlign w:val="center"/>
          </w:tcPr>
          <w:p w14:paraId="15FCB6BC">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1、负责新媒体视频的制作和剪辑；</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2、完成或配合制作支队专项工作汇报片、课件等；</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3、懂摄影摄像，必要时可以与摄影摄像轮岗。</w:t>
            </w:r>
          </w:p>
        </w:tc>
        <w:tc>
          <w:tcPr>
            <w:tcW w:w="1275" w:type="pct"/>
            <w:vMerge w:val="continue"/>
            <w:vAlign w:val="center"/>
          </w:tcPr>
          <w:p w14:paraId="468F22E9">
            <w:pPr>
              <w:spacing w:line="324" w:lineRule="auto"/>
              <w:rPr>
                <w:rFonts w:hint="eastAsia" w:ascii="宋体" w:hAnsi="宋体" w:eastAsia="宋体" w:cs="宋体"/>
                <w:color w:val="auto"/>
                <w:sz w:val="18"/>
                <w:szCs w:val="18"/>
                <w:lang w:bidi="ar"/>
              </w:rPr>
            </w:pPr>
          </w:p>
        </w:tc>
        <w:tc>
          <w:tcPr>
            <w:tcW w:w="1388" w:type="pct"/>
            <w:vAlign w:val="center"/>
          </w:tcPr>
          <w:p w14:paraId="6780F21B">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1、完成季度KPI可获得4000元/季度奖金。完成年度任务后获得2000元年终奖励。</w:t>
            </w:r>
          </w:p>
          <w:p w14:paraId="4A7D9FB2">
            <w:pPr>
              <w:spacing w:line="324" w:lineRule="auto"/>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2、KPI设定：根据五大媒体平台的数据指标拆解到个季度。拍摄制作短视频发布数量不低于600条，所产出作品获得中国消防的青睐推送2次，省级媒体推送5次。</w:t>
            </w:r>
          </w:p>
        </w:tc>
      </w:tr>
    </w:tbl>
    <w:p w14:paraId="67C106FA">
      <w:pPr>
        <w:pStyle w:val="9"/>
        <w:spacing w:line="324" w:lineRule="auto"/>
        <w:rPr>
          <w:rFonts w:hint="eastAsia" w:cs="宋体"/>
          <w:color w:val="auto"/>
          <w:kern w:val="2"/>
          <w:sz w:val="21"/>
        </w:rPr>
      </w:pPr>
    </w:p>
    <w:p w14:paraId="7532B91F">
      <w:pPr>
        <w:pStyle w:val="9"/>
        <w:spacing w:line="324" w:lineRule="auto"/>
        <w:rPr>
          <w:rFonts w:hint="eastAsia" w:cs="宋体"/>
          <w:color w:val="auto"/>
          <w:kern w:val="2"/>
          <w:sz w:val="21"/>
        </w:rPr>
      </w:pPr>
      <w:r>
        <w:rPr>
          <w:rFonts w:hint="eastAsia" w:cs="宋体"/>
          <w:color w:val="auto"/>
          <w:kern w:val="2"/>
          <w:sz w:val="21"/>
        </w:rPr>
        <w:t>2、服务团队其它人员要求如下：</w:t>
      </w:r>
    </w:p>
    <w:p w14:paraId="65935D14">
      <w:pPr>
        <w:pStyle w:val="9"/>
        <w:spacing w:line="324" w:lineRule="auto"/>
        <w:rPr>
          <w:rFonts w:hint="eastAsia" w:cs="宋体"/>
          <w:color w:val="auto"/>
          <w:kern w:val="2"/>
          <w:sz w:val="21"/>
        </w:rPr>
      </w:pPr>
      <w:r>
        <w:rPr>
          <w:rFonts w:hint="eastAsia" w:cs="宋体"/>
          <w:color w:val="auto"/>
          <w:kern w:val="2"/>
          <w:sz w:val="21"/>
        </w:rPr>
        <w:t>对于部分专业技术要求较强、日常工作量较少的岗位实行兼职制。须要提供符合任职资格要求的专业兼职人员，兼职人员共4名，部分兼职人员情况如下：</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2711"/>
        <w:gridCol w:w="4439"/>
      </w:tblGrid>
      <w:tr w14:paraId="07D2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pct"/>
            <w:tcBorders>
              <w:top w:val="single" w:color="auto" w:sz="4" w:space="0"/>
              <w:left w:val="single" w:color="auto" w:sz="4" w:space="0"/>
              <w:bottom w:val="single" w:color="auto" w:sz="4" w:space="0"/>
              <w:right w:val="single" w:color="auto" w:sz="4" w:space="0"/>
            </w:tcBorders>
            <w:shd w:val="clear" w:color="auto" w:fill="EAEAEA"/>
            <w:vAlign w:val="center"/>
          </w:tcPr>
          <w:p w14:paraId="2943250D">
            <w:pPr>
              <w:spacing w:line="324" w:lineRule="auto"/>
              <w:jc w:val="center"/>
              <w:rPr>
                <w:rFonts w:hint="eastAsia" w:ascii="宋体" w:hAnsi="宋体" w:eastAsia="宋体" w:cs="宋体"/>
                <w:b/>
                <w:bCs/>
                <w:color w:val="auto"/>
                <w:szCs w:val="21"/>
              </w:rPr>
            </w:pPr>
            <w:r>
              <w:rPr>
                <w:rFonts w:hint="eastAsia" w:ascii="宋体" w:hAnsi="宋体" w:eastAsia="宋体" w:cs="宋体"/>
                <w:b/>
                <w:bCs/>
                <w:color w:val="auto"/>
                <w:szCs w:val="21"/>
                <w:lang w:bidi="ar"/>
              </w:rPr>
              <w:t>兼职岗位</w:t>
            </w:r>
          </w:p>
        </w:tc>
        <w:tc>
          <w:tcPr>
            <w:tcW w:w="1442" w:type="pct"/>
            <w:tcBorders>
              <w:top w:val="single" w:color="auto" w:sz="4" w:space="0"/>
              <w:left w:val="single" w:color="auto" w:sz="4" w:space="0"/>
              <w:bottom w:val="single" w:color="auto" w:sz="4" w:space="0"/>
              <w:right w:val="single" w:color="auto" w:sz="4" w:space="0"/>
            </w:tcBorders>
            <w:shd w:val="clear" w:color="auto" w:fill="EAEAEA"/>
            <w:vAlign w:val="center"/>
          </w:tcPr>
          <w:p w14:paraId="13CB598C">
            <w:pPr>
              <w:spacing w:line="324" w:lineRule="auto"/>
              <w:jc w:val="center"/>
              <w:rPr>
                <w:rFonts w:hint="eastAsia" w:ascii="宋体" w:hAnsi="宋体" w:eastAsia="宋体" w:cs="宋体"/>
                <w:b/>
                <w:bCs/>
                <w:color w:val="auto"/>
                <w:szCs w:val="21"/>
              </w:rPr>
            </w:pPr>
            <w:r>
              <w:rPr>
                <w:rFonts w:hint="eastAsia" w:ascii="宋体" w:hAnsi="宋体" w:eastAsia="宋体" w:cs="宋体"/>
                <w:b/>
                <w:bCs/>
                <w:color w:val="auto"/>
                <w:szCs w:val="21"/>
                <w:lang w:bidi="ar"/>
              </w:rPr>
              <w:t>主要工作</w:t>
            </w:r>
          </w:p>
        </w:tc>
        <w:tc>
          <w:tcPr>
            <w:tcW w:w="2362" w:type="pct"/>
            <w:tcBorders>
              <w:top w:val="single" w:color="auto" w:sz="4" w:space="0"/>
              <w:left w:val="single" w:color="auto" w:sz="4" w:space="0"/>
              <w:bottom w:val="single" w:color="auto" w:sz="4" w:space="0"/>
              <w:right w:val="single" w:color="auto" w:sz="4" w:space="0"/>
            </w:tcBorders>
            <w:shd w:val="clear" w:color="auto" w:fill="EAEAEA"/>
            <w:vAlign w:val="center"/>
          </w:tcPr>
          <w:p w14:paraId="70A5E304">
            <w:pPr>
              <w:spacing w:line="324" w:lineRule="auto"/>
              <w:jc w:val="center"/>
              <w:rPr>
                <w:rFonts w:hint="eastAsia" w:ascii="宋体" w:hAnsi="宋体" w:eastAsia="宋体" w:cs="宋体"/>
                <w:b/>
                <w:bCs/>
                <w:color w:val="auto"/>
                <w:szCs w:val="21"/>
              </w:rPr>
            </w:pPr>
            <w:r>
              <w:rPr>
                <w:rFonts w:hint="eastAsia" w:ascii="宋体" w:hAnsi="宋体" w:eastAsia="宋体" w:cs="宋体"/>
                <w:b/>
                <w:bCs/>
                <w:color w:val="auto"/>
                <w:szCs w:val="21"/>
                <w:lang w:bidi="ar"/>
              </w:rPr>
              <w:t>任职要求</w:t>
            </w:r>
          </w:p>
        </w:tc>
      </w:tr>
      <w:tr w14:paraId="50F2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5" w:type="pct"/>
            <w:tcBorders>
              <w:top w:val="single" w:color="auto" w:sz="4" w:space="0"/>
              <w:left w:val="single" w:color="auto" w:sz="4" w:space="0"/>
              <w:bottom w:val="single" w:color="auto" w:sz="4" w:space="0"/>
              <w:right w:val="single" w:color="auto" w:sz="4" w:space="0"/>
            </w:tcBorders>
            <w:vAlign w:val="center"/>
          </w:tcPr>
          <w:p w14:paraId="7D39DC72">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专业配音（2人，一男一女）</w:t>
            </w:r>
          </w:p>
        </w:tc>
        <w:tc>
          <w:tcPr>
            <w:tcW w:w="1442" w:type="pct"/>
            <w:tcBorders>
              <w:top w:val="single" w:color="auto" w:sz="4" w:space="0"/>
              <w:left w:val="single" w:color="auto" w:sz="4" w:space="0"/>
              <w:bottom w:val="single" w:color="auto" w:sz="4" w:space="0"/>
              <w:right w:val="single" w:color="auto" w:sz="4" w:space="0"/>
            </w:tcBorders>
            <w:vAlign w:val="center"/>
          </w:tcPr>
          <w:p w14:paraId="25381348">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为佛山市消防救援支队的视频节目配音；</w:t>
            </w:r>
          </w:p>
        </w:tc>
        <w:tc>
          <w:tcPr>
            <w:tcW w:w="2362" w:type="pct"/>
            <w:tcBorders>
              <w:top w:val="single" w:color="auto" w:sz="4" w:space="0"/>
              <w:left w:val="single" w:color="auto" w:sz="4" w:space="0"/>
              <w:bottom w:val="single" w:color="auto" w:sz="4" w:space="0"/>
              <w:right w:val="single" w:color="auto" w:sz="4" w:space="0"/>
            </w:tcBorders>
            <w:vAlign w:val="center"/>
          </w:tcPr>
          <w:p w14:paraId="2AFA6434">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1、广播电视、播音主持、声乐、传媒、影视等相关专业大专以上学历；</w:t>
            </w:r>
          </w:p>
          <w:p w14:paraId="7D0CA15D">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2、普通话标准、持有普通话一级乙等以上资格证书，口齿清晰，音色条件好可塑性高；</w:t>
            </w:r>
          </w:p>
          <w:p w14:paraId="408F2613">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3、有良好的戏感及理解能力；</w:t>
            </w:r>
          </w:p>
          <w:p w14:paraId="10A9CC6D">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4、约定的配音任务需按时完成。</w:t>
            </w:r>
          </w:p>
        </w:tc>
      </w:tr>
      <w:tr w14:paraId="6CD8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5" w:type="pct"/>
            <w:tcBorders>
              <w:top w:val="single" w:color="auto" w:sz="4" w:space="0"/>
              <w:left w:val="single" w:color="auto" w:sz="4" w:space="0"/>
              <w:bottom w:val="single" w:color="auto" w:sz="4" w:space="0"/>
              <w:right w:val="single" w:color="auto" w:sz="4" w:space="0"/>
            </w:tcBorders>
            <w:vAlign w:val="center"/>
          </w:tcPr>
          <w:p w14:paraId="4968CE34">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主持人（2人，一男一女）</w:t>
            </w:r>
          </w:p>
        </w:tc>
        <w:tc>
          <w:tcPr>
            <w:tcW w:w="1442" w:type="pct"/>
            <w:tcBorders>
              <w:top w:val="single" w:color="auto" w:sz="4" w:space="0"/>
              <w:left w:val="single" w:color="auto" w:sz="4" w:space="0"/>
              <w:bottom w:val="single" w:color="auto" w:sz="4" w:space="0"/>
              <w:right w:val="single" w:color="auto" w:sz="4" w:space="0"/>
            </w:tcBorders>
            <w:vAlign w:val="center"/>
          </w:tcPr>
          <w:p w14:paraId="061ACDE0">
            <w:pPr>
              <w:spacing w:line="324"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配合活动主持、直播主持、演播室录演的出镜；</w:t>
            </w:r>
          </w:p>
        </w:tc>
        <w:tc>
          <w:tcPr>
            <w:tcW w:w="2362" w:type="pct"/>
            <w:tcBorders>
              <w:top w:val="single" w:color="auto" w:sz="4" w:space="0"/>
              <w:left w:val="single" w:color="auto" w:sz="4" w:space="0"/>
              <w:bottom w:val="single" w:color="auto" w:sz="4" w:space="0"/>
              <w:right w:val="single" w:color="auto" w:sz="4" w:space="0"/>
            </w:tcBorders>
            <w:vAlign w:val="center"/>
          </w:tcPr>
          <w:p w14:paraId="2528784E">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1、播音主持、声乐、表演、传媒、影视等相关专业本科以上学历；</w:t>
            </w:r>
          </w:p>
          <w:p w14:paraId="68A5CD60">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2、普通话标准、持有普通话一级乙等以上资格证书，口齿清晰，音色条件好可塑性高；</w:t>
            </w:r>
          </w:p>
          <w:p w14:paraId="6F781013">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3、具备敏锐的思维及快速理解、应变能力；</w:t>
            </w:r>
          </w:p>
          <w:p w14:paraId="33A53983">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lang w:bidi="ar"/>
              </w:rPr>
              <w:t>4、形象良好，五官端正，品行优良，有责任心，无不良嗜好及负面影响。</w:t>
            </w:r>
          </w:p>
        </w:tc>
      </w:tr>
    </w:tbl>
    <w:p w14:paraId="40DC53E5">
      <w:pPr>
        <w:pStyle w:val="9"/>
        <w:spacing w:line="324" w:lineRule="auto"/>
        <w:rPr>
          <w:rFonts w:hint="eastAsia"/>
          <w:color w:val="auto"/>
        </w:rPr>
      </w:pPr>
    </w:p>
    <w:p w14:paraId="6F6E6419">
      <w:pPr>
        <w:spacing w:line="324" w:lineRule="auto"/>
        <w:rPr>
          <w:rFonts w:hint="eastAsia" w:ascii="宋体" w:hAnsi="宋体" w:cs="宋体"/>
          <w:b/>
          <w:color w:val="auto"/>
          <w:szCs w:val="21"/>
        </w:rPr>
      </w:pPr>
      <w:r>
        <w:rPr>
          <w:rFonts w:hint="eastAsia" w:ascii="宋体" w:hAnsi="宋体" w:cs="宋体"/>
          <w:b/>
          <w:color w:val="auto"/>
          <w:szCs w:val="21"/>
        </w:rPr>
        <w:t>十三、付款方式</w:t>
      </w:r>
    </w:p>
    <w:p w14:paraId="66EEDF97">
      <w:pPr>
        <w:pStyle w:val="6"/>
        <w:spacing w:line="324" w:lineRule="auto"/>
        <w:rPr>
          <w:rFonts w:hint="eastAsia" w:ascii="宋体" w:hAnsi="宋体"/>
          <w:color w:val="auto"/>
          <w:lang w:bidi="ar"/>
        </w:rPr>
      </w:pPr>
      <w:r>
        <w:rPr>
          <w:rFonts w:hint="eastAsia" w:ascii="宋体" w:hAnsi="宋体"/>
          <w:color w:val="auto"/>
          <w:lang w:bidi="ar"/>
        </w:rPr>
        <w:t>1、首付款</w:t>
      </w:r>
    </w:p>
    <w:p w14:paraId="454F31B2">
      <w:pPr>
        <w:pStyle w:val="6"/>
        <w:spacing w:line="324" w:lineRule="auto"/>
        <w:rPr>
          <w:rFonts w:hint="eastAsia" w:ascii="宋体" w:hAnsi="宋体"/>
          <w:color w:val="auto"/>
          <w:lang w:bidi="ar"/>
        </w:rPr>
      </w:pPr>
      <w:r>
        <w:rPr>
          <w:rFonts w:hint="eastAsia" w:ascii="宋体" w:hAnsi="宋体"/>
          <w:color w:val="auto"/>
          <w:lang w:bidi="ar"/>
        </w:rPr>
        <w:t>合同签订且乙方完成用户需求书中规定的首付款支付前量化指标，则甲方自收到乙方开具的发票后14个工作日内，支付首付款项至总金额的30%。</w:t>
      </w:r>
    </w:p>
    <w:p w14:paraId="770FDC55">
      <w:pPr>
        <w:pStyle w:val="6"/>
        <w:spacing w:line="324" w:lineRule="auto"/>
        <w:rPr>
          <w:rFonts w:hint="eastAsia" w:ascii="宋体" w:hAnsi="宋体"/>
          <w:color w:val="auto"/>
          <w:lang w:bidi="ar"/>
        </w:rPr>
      </w:pPr>
      <w:r>
        <w:rPr>
          <w:rFonts w:hint="eastAsia" w:ascii="宋体" w:hAnsi="宋体"/>
          <w:color w:val="auto"/>
          <w:lang w:bidi="ar"/>
        </w:rPr>
        <w:t>2、第二期款</w:t>
      </w:r>
    </w:p>
    <w:p w14:paraId="1F028EDF">
      <w:pPr>
        <w:pStyle w:val="6"/>
        <w:spacing w:line="324" w:lineRule="auto"/>
        <w:rPr>
          <w:rFonts w:hint="eastAsia" w:ascii="宋体" w:hAnsi="宋体"/>
          <w:color w:val="auto"/>
          <w:lang w:bidi="ar"/>
        </w:rPr>
      </w:pPr>
      <w:r>
        <w:rPr>
          <w:rFonts w:hint="eastAsia" w:ascii="宋体" w:hAnsi="宋体"/>
          <w:color w:val="auto"/>
          <w:lang w:val="en-US" w:eastAsia="zh-CN" w:bidi="ar"/>
        </w:rPr>
        <w:t>2025年</w:t>
      </w:r>
      <w:r>
        <w:rPr>
          <w:rFonts w:hint="eastAsia" w:ascii="宋体" w:hAnsi="宋体"/>
          <w:color w:val="auto"/>
          <w:lang w:bidi="ar"/>
        </w:rPr>
        <w:t>4月30日前支付第二期款20%，支付前需达到用户需求书中规定的支付前量化指标，则甲方自收到乙方开具的发票后14个工作日内，向乙方支付项目1、2、3、4、5、6、7、8、9、10、11、12、13、14项目中总分达到25分积分标准，支付总金额的20%；如未达到支付前量化指标，甲方有权缓发款项，根据乙方提供的整改方案另行协商。</w:t>
      </w:r>
    </w:p>
    <w:p w14:paraId="78FA6D84">
      <w:pPr>
        <w:pStyle w:val="6"/>
        <w:spacing w:line="324" w:lineRule="auto"/>
        <w:rPr>
          <w:rFonts w:hint="eastAsia" w:ascii="宋体" w:hAnsi="宋体"/>
          <w:color w:val="auto"/>
          <w:lang w:bidi="ar"/>
        </w:rPr>
      </w:pPr>
      <w:r>
        <w:rPr>
          <w:rFonts w:hint="eastAsia" w:ascii="宋体" w:hAnsi="宋体"/>
          <w:color w:val="auto"/>
          <w:lang w:bidi="ar"/>
        </w:rPr>
        <w:t>3、第三期款</w:t>
      </w:r>
    </w:p>
    <w:p w14:paraId="3DA98E85">
      <w:pPr>
        <w:pStyle w:val="6"/>
        <w:spacing w:line="324" w:lineRule="auto"/>
        <w:rPr>
          <w:rFonts w:hint="eastAsia" w:ascii="宋体" w:hAnsi="宋体"/>
          <w:color w:val="auto"/>
          <w:lang w:bidi="ar"/>
        </w:rPr>
      </w:pPr>
      <w:r>
        <w:rPr>
          <w:rFonts w:hint="eastAsia" w:ascii="宋体" w:hAnsi="宋体"/>
          <w:color w:val="auto"/>
          <w:lang w:val="en-US" w:eastAsia="zh-CN" w:bidi="ar"/>
        </w:rPr>
        <w:t>2025年</w:t>
      </w:r>
      <w:r>
        <w:rPr>
          <w:rFonts w:hint="eastAsia" w:ascii="宋体" w:hAnsi="宋体"/>
          <w:color w:val="auto"/>
          <w:lang w:bidi="ar"/>
        </w:rPr>
        <w:t>7月31日前支付第二期款30%，支付前需达到用户需求书中规定的支付前量化指标，则甲方自收到乙方开具的发票后14个工作日内，向乙方支付项目1、2、3、4、5、6、7、8、9、10、11、12、13、14项目中总分达到25分积分标准，支付总金额的20%；如未达到支付前量化指标，甲方有权缓发款项，根据乙方提供的整改方案另行协商。</w:t>
      </w:r>
    </w:p>
    <w:p w14:paraId="234F04F0">
      <w:pPr>
        <w:pStyle w:val="6"/>
        <w:spacing w:line="324" w:lineRule="auto"/>
        <w:rPr>
          <w:rFonts w:hint="eastAsia" w:ascii="宋体" w:hAnsi="宋体"/>
          <w:color w:val="auto"/>
          <w:lang w:bidi="ar"/>
        </w:rPr>
      </w:pPr>
      <w:r>
        <w:rPr>
          <w:rFonts w:hint="eastAsia" w:ascii="宋体" w:hAnsi="宋体"/>
          <w:color w:val="auto"/>
          <w:lang w:bidi="ar"/>
        </w:rPr>
        <w:t>4、尾款</w:t>
      </w:r>
    </w:p>
    <w:p w14:paraId="3ACF72A6">
      <w:pPr>
        <w:pStyle w:val="6"/>
        <w:spacing w:line="324" w:lineRule="auto"/>
        <w:rPr>
          <w:rFonts w:hint="eastAsia" w:ascii="宋体" w:hAnsi="宋体"/>
          <w:color w:val="auto"/>
          <w:lang w:bidi="ar"/>
        </w:rPr>
      </w:pPr>
      <w:r>
        <w:rPr>
          <w:rFonts w:hint="eastAsia" w:ascii="宋体" w:hAnsi="宋体"/>
          <w:color w:val="auto"/>
          <w:lang w:bidi="ar"/>
        </w:rPr>
        <w:t>根据采购需求中规定的尾款支付量化指标完成率、采购文件以及项目实施中规定的相关考核条款进行支付，支付金额=总金额×（20%－（100%－量化指标完成率））－扣减费用（如有），如为负数，则由乙方退还甲方相应的差额；如为正数，则甲方在考评完成并收到乙方开具的发票后14个工作日内支付。</w:t>
      </w:r>
    </w:p>
    <w:p w14:paraId="5904EFFB">
      <w:pPr>
        <w:pStyle w:val="6"/>
        <w:numPr>
          <w:ilvl w:val="0"/>
          <w:numId w:val="1"/>
        </w:numPr>
        <w:spacing w:line="324" w:lineRule="auto"/>
        <w:rPr>
          <w:rFonts w:hint="eastAsia" w:ascii="宋体" w:hAnsi="宋体"/>
          <w:color w:val="auto"/>
          <w:lang w:bidi="ar"/>
        </w:rPr>
      </w:pPr>
      <w:r>
        <w:rPr>
          <w:rFonts w:hint="eastAsia" w:ascii="宋体" w:hAnsi="宋体"/>
          <w:color w:val="auto"/>
          <w:lang w:bidi="ar"/>
        </w:rPr>
        <w:t>乙方向甲方申请付款时，应向甲方提供等额有效的发票。甲方在本合同约定的支付期限内向政府采购支付部门提出支付申请即视为甲方已履行付款义务，甲方的支付期限均不含政府财政支付部门审查的时间，如因政府财政支付流程导致的支付延期，甲方不承担责任，乙方不得以此为由不履行或迟延履行合同义务。</w:t>
      </w:r>
    </w:p>
    <w:p w14:paraId="7FF4FDCE">
      <w:pPr>
        <w:pStyle w:val="6"/>
        <w:numPr>
          <w:ilvl w:val="0"/>
          <w:numId w:val="1"/>
        </w:numPr>
        <w:spacing w:line="324" w:lineRule="auto"/>
        <w:rPr>
          <w:rFonts w:hint="eastAsia" w:ascii="宋体" w:hAnsi="宋体"/>
          <w:color w:val="auto"/>
          <w:lang w:bidi="ar"/>
        </w:rPr>
      </w:pPr>
      <w:r>
        <w:rPr>
          <w:rFonts w:hint="eastAsia" w:ascii="宋体" w:hAnsi="宋体"/>
          <w:color w:val="auto"/>
          <w:lang w:bidi="ar"/>
        </w:rPr>
        <w:t>因政府财政预算审批限额不足此不可抗因素进而导致项目无法进行的情况下，甲方需与乙方进行磋商终止合同服务，按实际服务进度支付费用，甲方不承担责任。</w:t>
      </w:r>
    </w:p>
    <w:p w14:paraId="0F9D5096">
      <w:pPr>
        <w:spacing w:line="324" w:lineRule="auto"/>
        <w:rPr>
          <w:rFonts w:hint="eastAsia" w:ascii="宋体" w:hAnsi="宋体" w:cs="宋体"/>
          <w:b/>
          <w:color w:val="auto"/>
          <w:szCs w:val="21"/>
        </w:rPr>
      </w:pPr>
      <w:r>
        <w:rPr>
          <w:rFonts w:hint="eastAsia" w:ascii="宋体" w:hAnsi="宋体" w:cs="宋体"/>
          <w:b/>
          <w:color w:val="auto"/>
          <w:szCs w:val="21"/>
        </w:rPr>
        <w:t>十四、付款要求</w:t>
      </w:r>
    </w:p>
    <w:p w14:paraId="02534990">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1、首付款支付前量化标准</w:t>
      </w:r>
    </w:p>
    <w:p w14:paraId="0A9E3A94">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需达到下述全部要求</w:t>
      </w:r>
    </w:p>
    <w:p w14:paraId="11A2B744">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（1）人员团队符合采购需求，并得到甲方认可；</w:t>
      </w:r>
    </w:p>
    <w:p w14:paraId="5DE3C762">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（2）管理运行制度、运行体系得到甲方认可；</w:t>
      </w:r>
    </w:p>
    <w:p w14:paraId="563DAEFC">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（3）年度运行方案和前3个月细化方案得到甲方认可；</w:t>
      </w:r>
    </w:p>
    <w:p w14:paraId="3776F109">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（4）其他需经双方确认的内容达成一致；</w:t>
      </w:r>
    </w:p>
    <w:p w14:paraId="6F8CEA6C">
      <w:pPr>
        <w:spacing w:line="324" w:lineRule="auto"/>
        <w:rPr>
          <w:rFonts w:hint="eastAsia" w:ascii="宋体" w:hAnsi="宋体" w:eastAsia="宋体" w:cs="宋体"/>
          <w:bCs/>
          <w:color w:val="auto"/>
          <w:szCs w:val="21"/>
        </w:rPr>
      </w:pPr>
      <w:r>
        <w:rPr>
          <w:rFonts w:hint="eastAsia" w:ascii="宋体" w:hAnsi="宋体" w:eastAsia="宋体" w:cs="宋体"/>
          <w:bCs/>
          <w:color w:val="auto"/>
          <w:szCs w:val="21"/>
        </w:rPr>
        <w:t>2、第二期款支付前量化指标</w:t>
      </w:r>
    </w:p>
    <w:p w14:paraId="791D660A">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对以下量化指标采取得分制，得分达到25分后支付进度款。</w:t>
      </w:r>
    </w:p>
    <w:p w14:paraId="050749EF">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（1）制作符合中央级媒体稿件每篇2分、省级1分，其中《人民日报》、央视《新闻联播》、央视新闻频道、央视《晚间新闻》《朝闻天下》《午间新闻》《东方时空》 等、“人民日报”“新华社”“央视新闻”等政务新媒体账号按每条3分计算。负面新闻不纳入统计范畴、同一内容在同一媒体（频道）按1条计算。</w:t>
      </w:r>
    </w:p>
    <w:p w14:paraId="58F97A2C">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（2）符合微信每日制作稿件≥3篇，且每月累计阅读量达到15万，每月得1分；</w:t>
      </w:r>
    </w:p>
    <w:p w14:paraId="7AD944C7">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（3）今日头条每日制作稿件≥10篇，每月得1.5分；</w:t>
      </w:r>
    </w:p>
    <w:p w14:paraId="49567C19">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（4）微博每日制作稿件≥30篇且每月累计阅读量达到800万，每月得1.5分；</w:t>
      </w:r>
    </w:p>
    <w:p w14:paraId="59F1E34C">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（5）抖音、快手每天制作稿件各≥1条，每月得1.5分，每个5W+点赞量作品1.5分；</w:t>
      </w:r>
    </w:p>
    <w:p w14:paraId="4CA9038A">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（6）完成短视频制作发布≥20条，每月得2分；</w:t>
      </w:r>
    </w:p>
    <w:p w14:paraId="670ECC5C">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（7）平面海报设计≥100张，得2分；</w:t>
      </w:r>
    </w:p>
    <w:p w14:paraId="2AF0F6AA">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（8）每组织1次直播活动且在线观看总人数达到800人，得1分，在线观看人数达到1500人得2分。</w:t>
      </w:r>
    </w:p>
    <w:p w14:paraId="44463196">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（9）建立应急宣传机制，开展一次应急宣传演练，得1分。</w:t>
      </w:r>
    </w:p>
    <w:p w14:paraId="03A16DDE">
      <w:pPr>
        <w:spacing w:line="324" w:lineRule="auto"/>
        <w:ind w:firstLine="420" w:firstLineChars="200"/>
        <w:rPr>
          <w:rFonts w:ascii="Times New Roman" w:hAnsi="Times New Roman" w:cs="Times New Roman"/>
          <w:color w:val="auto"/>
          <w:szCs w:val="21"/>
        </w:rPr>
      </w:pPr>
      <w:r>
        <w:rPr>
          <w:rFonts w:hint="eastAsia" w:ascii="宋体" w:hAnsi="宋体" w:eastAsia="宋体" w:cs="宋体"/>
          <w:bCs/>
          <w:color w:val="auto"/>
          <w:szCs w:val="21"/>
        </w:rPr>
        <w:t>（10）人才团队每少1人/月，扣1分，应急机动人员未按要求配合工作的，每人每次扣1分。</w:t>
      </w:r>
      <w:r>
        <w:rPr>
          <w:rFonts w:hint="eastAsia" w:ascii="宋体" w:hAnsi="宋体" w:eastAsia="宋体" w:cs="宋体"/>
          <w:b/>
          <w:bCs/>
          <w:color w:val="auto"/>
          <w:kern w:val="0"/>
          <w:szCs w:val="21"/>
          <w:lang w:bidi="ar"/>
        </w:rPr>
        <w:t>乙方向甲方申请付款时，需要提供驻场人员考勤记录、社保缴纳记录，及按项目实际需要提供应急机动人员服务记录</w:t>
      </w:r>
      <w:r>
        <w:rPr>
          <w:rFonts w:hint="eastAsia" w:ascii="宋体" w:hAnsi="宋体" w:eastAsia="宋体" w:cs="宋体"/>
          <w:b/>
          <w:bCs/>
          <w:color w:val="auto"/>
          <w:szCs w:val="21"/>
        </w:rPr>
        <w:t>。</w:t>
      </w:r>
    </w:p>
    <w:p w14:paraId="7BC505CC">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11）出现内容安全问题，每次扣2分；重大安全问题采购人有权单方解除终止合同。重大安全问题是指出现反动、暴、情等内容或发布的内容不当引发严重负舆情，数据泄露，违反政治安全、信息安全、保密要求造成负面影响，违反国家法律、法规、规章的其他行为。</w:t>
      </w:r>
    </w:p>
    <w:p w14:paraId="32530616">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（12）合同内规定的其他事项，未履行到位，每次扣2分。</w:t>
      </w:r>
    </w:p>
    <w:p w14:paraId="6CD1D132">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3、第三期款支付前量化指标</w:t>
      </w:r>
    </w:p>
    <w:p w14:paraId="5C7DA160">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对以下量化指标采取得分制，得分达到25分后支付进度款。</w:t>
      </w:r>
    </w:p>
    <w:p w14:paraId="2ECE4126">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（1）制作符合中央级媒体稿件每篇2分、省级1分，其中《人民日报》、央视《新闻联播》、央视新闻频道、央视《晚间新闻》《朝闻天下》《午间新闻》《东方时空》 等、“人民日报”“新华社”“央视新闻”等政务新媒体账号按每条3分计算。负面新闻不纳入统计范畴、同一内容在同一媒体（频道）按1条计算。</w:t>
      </w:r>
    </w:p>
    <w:p w14:paraId="338410FB">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（2）符合微信每日制作稿件≥3篇，且每月累计阅读量达到15万，每月得1分；</w:t>
      </w:r>
    </w:p>
    <w:p w14:paraId="36A2B7C3">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（3）今日头条每日制作稿件≥10篇，每月得1.5分；</w:t>
      </w:r>
    </w:p>
    <w:p w14:paraId="0238972F">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（4）微博每日制作稿件≥30篇且每月累计阅读量达到800万，每月得1.5分；</w:t>
      </w:r>
    </w:p>
    <w:p w14:paraId="01498946">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（5）抖音、快手每天制作稿件各≥1条，每月得1.5分，每个5W+点赞量作品1.5分；</w:t>
      </w:r>
    </w:p>
    <w:p w14:paraId="3B3CFEA5">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（6）完成短视频制作发布≥20条，每月得2分；</w:t>
      </w:r>
    </w:p>
    <w:p w14:paraId="53B954EF">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（7）平面海报设计≥100张，得2分；</w:t>
      </w:r>
    </w:p>
    <w:p w14:paraId="62B7E0DD">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（8）每组织1次直播活动且在线观看总人数达到800人，得1分，在线观看人数达到1500人得2分。</w:t>
      </w:r>
    </w:p>
    <w:p w14:paraId="1A1E3C45">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（9）建立应急宣传机制，开展一次应急宣传演练，得1分。</w:t>
      </w:r>
    </w:p>
    <w:p w14:paraId="11A991EB">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（10）人才团队每少1人/月，扣1分。应急机动人员未按要求配合工作的，每人每次扣1分。</w:t>
      </w:r>
      <w:r>
        <w:rPr>
          <w:rFonts w:hint="eastAsia" w:ascii="宋体" w:hAnsi="宋体" w:eastAsia="宋体" w:cs="宋体"/>
          <w:b/>
          <w:bCs/>
          <w:color w:val="auto"/>
          <w:kern w:val="0"/>
          <w:szCs w:val="21"/>
          <w:lang w:bidi="ar"/>
        </w:rPr>
        <w:t>乙方向甲方申请付款时，需要提供驻场人员考勤记录、社保缴纳记录，及按项目实际需要提供应急机动人员服务记录</w:t>
      </w:r>
      <w:r>
        <w:rPr>
          <w:rFonts w:hint="eastAsia" w:ascii="宋体" w:hAnsi="宋体" w:eastAsia="宋体" w:cs="宋体"/>
          <w:b/>
          <w:bCs/>
          <w:color w:val="auto"/>
          <w:szCs w:val="21"/>
        </w:rPr>
        <w:t>。</w:t>
      </w:r>
    </w:p>
    <w:p w14:paraId="3510B9C9">
      <w:pPr>
        <w:spacing w:line="324"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11）出现内容安全问题，每次扣2分；重大安全问题采购人有权单方解除终止合同。重大安全问题是指出现反动、暴、情等内容或发布的内容不当引发严重负舆情，数据泄露，违反政治安全、信息安全、保密要求造成负面影响，违反国家法律、法规、规章的其他行为。</w:t>
      </w:r>
    </w:p>
    <w:p w14:paraId="2DE21087">
      <w:pPr>
        <w:spacing w:line="324" w:lineRule="auto"/>
        <w:ind w:firstLine="420" w:firstLineChars="200"/>
        <w:rPr>
          <w:rFonts w:hint="eastAsia" w:ascii="宋体" w:hAnsi="宋体" w:cs="宋体"/>
          <w:bCs/>
          <w:color w:val="auto"/>
          <w:szCs w:val="21"/>
        </w:rPr>
      </w:pPr>
      <w:r>
        <w:rPr>
          <w:rFonts w:hint="eastAsia" w:ascii="宋体" w:hAnsi="宋体" w:eastAsia="宋体" w:cs="宋体"/>
          <w:bCs/>
          <w:color w:val="auto"/>
          <w:szCs w:val="21"/>
        </w:rPr>
        <w:t>（12）合同内规定的其他事项，未履行到位，每次扣2分。</w:t>
      </w:r>
    </w:p>
    <w:p w14:paraId="2F7E66D5">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4、尾款支付前量化指标</w:t>
      </w:r>
    </w:p>
    <w:p w14:paraId="2B1EF1D8">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量化指标完成率=实际得分/100</w:t>
      </w:r>
    </w:p>
    <w:p w14:paraId="59242C6D">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下列每部分根据重要性及工作量、成本支出等综合确定其在服务项目中的占比。因甲方工作需求变化而被调整或取消的项将不纳入考核评价，确因不可抗力无法完成的不纳入考核评价。</w:t>
      </w:r>
    </w:p>
    <w:p w14:paraId="46688CB8">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（1）综合性策划方面(20分)</w:t>
      </w:r>
    </w:p>
    <w:p w14:paraId="1A293FAD">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随时做好应急宣传准备，全年原创稿件400条，符合中央级媒体稿件16条、省级28篇以上。（未完成应急宣传任务每次扣0.2分，每少1条原创稿件扣0.1分，每少1篇中央级媒体扣0.5分，每少1篇省级媒体扣0.2分，每出现1次运行安全问题扣0.2分，运营团队每少1人/月扣1分，应急机动人员未按要求配合工作的每人每次扣1分。）乙方向甲方申请付款时，需要提供驻场人员考勤记录、社保缴纳记录，及按项目实际需要提供应急机动人员服务记录。）</w:t>
      </w:r>
    </w:p>
    <w:p w14:paraId="4A4FE2CE">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（2）新媒体稿件方面（15分）</w:t>
      </w:r>
    </w:p>
    <w:p w14:paraId="58A96FDB">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a、稿件符合中央媒体的要求。①在新华社或者《人民日报》投放不少于1条；②《中国应急管理部》投放不少于3条；③《中国消防》投放不少于2条。（共5分，第①项未完成扣1分，第②、③项每少1条扣0.1分）</w:t>
      </w:r>
    </w:p>
    <w:p w14:paraId="56A13CF9">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b、省市级级媒体投放不少于5条。(共5分，每少1条扣0.5分)</w:t>
      </w:r>
    </w:p>
    <w:p w14:paraId="047C2DA5">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c、支队在市级媒体的报刊专栏、专版，围绕阶段性重点工作做好内容生产工作。（共5分，未完成每次扣0.1分）</w:t>
      </w:r>
    </w:p>
    <w:p w14:paraId="650F3314">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（3）电视广播媒体方面内容制作（15分）</w:t>
      </w:r>
    </w:p>
    <w:p w14:paraId="1C495EFF">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a、制作符合国家级电视台稿件5条（1条专题按3条新闻折算计入统计），稿件由全媒体中心策划、拍摄、重新生产或综合各大队素材（共5分，每少1条扣1分）</w:t>
      </w:r>
    </w:p>
    <w:p w14:paraId="49C44153">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b、制作符合省市级电视台电视频道、广播频道、新媒体、网站全年累计投放不少于100条（共10分，每少1条扣0.1分）</w:t>
      </w:r>
    </w:p>
    <w:p w14:paraId="2ED71113">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（4）网站新媒体方面（共30分）</w:t>
      </w:r>
    </w:p>
    <w:p w14:paraId="49715438">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a、微信每日发稿≥3篇且每月阅读量15万+；今日头条每日发稿≥10篇；微博每日发稿≥30篇；抖音、快手每天发稿各≥1条；每月被中央级主要媒体新媒体或者省级政务号转发不少于1条；每月被省市级媒体新媒体转发不少于3条；支队五大媒体账号微信、微博、今日头条、抖音、快手账号，不少于3个账号获评全国应急系统优秀账号或全国消防系统优秀账号。（共20分，其中，月度指标每项未完成的扣1分，年度指标未完成的扣3分，扣完为止。）</w:t>
      </w:r>
    </w:p>
    <w:p w14:paraId="50E2F521">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b、微博、微信每年分别开展不少于2场线上主题推广活动。（共2分，未完成每次扣1分）</w:t>
      </w:r>
    </w:p>
    <w:p w14:paraId="416F366F">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c、协助支队对重大活动开展新媒体网络直播活动，不少于5场。（共2分，未完成每次扣0.4分）</w:t>
      </w:r>
    </w:p>
    <w:p w14:paraId="3EC5558E">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d、配合今日头条、抖音、快手等平台活动要求，进行个性化的精准制作内容和推送，</w:t>
      </w:r>
    </w:p>
    <w:p w14:paraId="5EB88F80">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提供强影响力的曝光。（共2分，未完成扣2分）</w:t>
      </w:r>
    </w:p>
    <w:p w14:paraId="11773100">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e、配合支队宣传处做好與情处置工作，提供消防舆情辟谣、源头追踪、事件分析等服务。（共4分，未完成舆情引导处置工作每次扣1分）</w:t>
      </w:r>
    </w:p>
    <w:p w14:paraId="68C27CFE">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（5）媒资管理与后期制作方面（共10分）</w:t>
      </w:r>
    </w:p>
    <w:p w14:paraId="62D6B00D">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a、承担全媒体工作平台和媒体资源管理系统影像和数据资料录入、审核、管理等任务。(共4分，未落实管理规定每次扣0.2分)</w:t>
      </w:r>
    </w:p>
    <w:p w14:paraId="5802E64E">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b、保障支队机关主要领导和重要活动的摄影摄像工作，工作日8小时以外（含节假日）接到任务后30分钟内可在支队机关范围内提供摄影、摄像服务。（共3分，每少完成一次任务扣0.2分）</w:t>
      </w:r>
    </w:p>
    <w:p w14:paraId="53EE8A8C">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c、完成宣传效果、工作情况的整理分析和建档工作，完成全媒体工作中心器材、装备等日常维护保养工作。（共3分， 每少完成一次任务扣0.2 分）</w:t>
      </w:r>
    </w:p>
    <w:p w14:paraId="7DD7405A">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（6）社会化宣传方面（共10分）</w:t>
      </w:r>
    </w:p>
    <w:p w14:paraId="10A2AD14">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a、策划开展消防安全传播推广教育线上线下活动不少于2场；承担消防科普及社会化传播活动的主持、讲解任务。（共2分，每少完成一次任务扣0.2分）</w:t>
      </w:r>
    </w:p>
    <w:p w14:paraId="7FCE858A">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b、设计消防安全知识平面海报不少于10份。（共2分，完成量若少于7份则得0分。）</w:t>
      </w:r>
    </w:p>
    <w:p w14:paraId="13F051A5">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c、设计消防文化创意推广品不少于2种。（共1分，未完成扣1分）</w:t>
      </w:r>
    </w:p>
    <w:p w14:paraId="3547ADA7">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d、在元旦、春节、清明、五一、安全生产月、中秋、国庆、消防宣传月等重要节点，配合设计针对性消防提示海报。（共2分，少完成1次扣0.2分）</w:t>
      </w:r>
    </w:p>
    <w:p w14:paraId="3A4492D2">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e、做好“全民消防学习云平台”、“消防志愿者服务平台”、“消防科普教育基地”等平台的运行维护工作，配合做好“五进”、“三下乡”、中小学生消防安全教育日、防灾减灾日、安全生产月、科技宣传周、“119”消防宣传月、国际志愿者日、年度新媒体粉丝见面会等主题宣传活动。（共3分，未达标1次扣1分）。</w:t>
      </w:r>
    </w:p>
    <w:p w14:paraId="7D0A3CC9">
      <w:pPr>
        <w:spacing w:line="324" w:lineRule="auto"/>
        <w:rPr>
          <w:rFonts w:hint="eastAsia" w:ascii="宋体" w:hAnsi="宋体" w:cs="宋体"/>
          <w:b/>
          <w:color w:val="auto"/>
          <w:szCs w:val="21"/>
        </w:rPr>
      </w:pPr>
      <w:r>
        <w:rPr>
          <w:rFonts w:hint="eastAsia" w:ascii="宋体" w:hAnsi="宋体" w:cs="宋体"/>
          <w:b/>
          <w:color w:val="auto"/>
          <w:szCs w:val="21"/>
        </w:rPr>
        <w:t>十五、违约责任</w:t>
      </w:r>
    </w:p>
    <w:p w14:paraId="19CC0FED">
      <w:pPr>
        <w:spacing w:line="324" w:lineRule="auto"/>
        <w:ind w:firstLine="420" w:firstLineChars="200"/>
        <w:rPr>
          <w:rFonts w:hint="eastAsia" w:ascii="宋体" w:hAnsi="宋体" w:cs="宋体"/>
          <w:bCs/>
          <w:color w:val="auto"/>
          <w:szCs w:val="21"/>
        </w:rPr>
      </w:pPr>
      <w:bookmarkStart w:id="33" w:name="_Hlk136533236"/>
      <w:r>
        <w:rPr>
          <w:rFonts w:hint="eastAsia" w:ascii="宋体" w:hAnsi="宋体" w:cs="宋体"/>
          <w:bCs/>
          <w:color w:val="auto"/>
          <w:szCs w:val="21"/>
        </w:rPr>
        <w:t>1、乙方所提供的服务质量、拟投入人员不符合采购文件、项目需求书、投标承诺及合同规定的，应向甲方支付合同总金额</w:t>
      </w:r>
      <w:r>
        <w:rPr>
          <w:rFonts w:hint="eastAsia" w:ascii="宋体" w:hAnsi="宋体" w:cs="宋体"/>
          <w:bCs/>
          <w:color w:val="auto"/>
          <w:szCs w:val="21"/>
          <w:lang w:val="en-US" w:eastAsia="zh-CN"/>
        </w:rPr>
        <w:t>20</w:t>
      </w:r>
      <w:r>
        <w:rPr>
          <w:rFonts w:hint="eastAsia" w:ascii="宋体" w:hAnsi="宋体" w:cs="宋体"/>
          <w:bCs/>
          <w:color w:val="auto"/>
          <w:szCs w:val="21"/>
        </w:rPr>
        <w:t>%的违约金，且由乙方负贵按照原采购文件、项目需求书、更正公告内容和质疑答疑文件（若有）、报价文件、中标(成交)通知书等实质性内容重新免费提供该项目服务内容。乙方重新提供该项目服务内容仍不符合合同约定的，甲方有权单方通知解除合同，乙方应承担合同总额5%的违约金，并赔偿甲方因此而发生的损失(包括但不限于直接经济损失、间接经济损失、律师费、差旅费、鉴定费、保全费等)。</w:t>
      </w:r>
    </w:p>
    <w:p w14:paraId="360E2AAD">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2、本项目如发生乙方应付违约金的情形，均为甲方可从未付款项中扣除，或要求乙方另行支付。</w:t>
      </w:r>
    </w:p>
    <w:p w14:paraId="1F4FBAFE">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3、乙方为履行本合同义务所形成的所有服务成果的知识产权归甲方所有(履行本合同所涉及的内容如须获得授权，乙方承诺该投权在甲方使用的全期间内，均为有权合法免费使用)。乙方不得在未征求甲方书面同意的情况下使用或者授权他人使用本合同项下的成果及相关信息(除为了履行本合同以外)，否则相关收益归甲方所有，乙方应另向甲方承担相应责任及违约责任(违约金标准:合同总额5%)，并赔偿甲方全部损失(包括但不限于直接经济损失、间接经济损失、律师费、差旅费、鉴定费、保全费等)。</w:t>
      </w:r>
    </w:p>
    <w:p w14:paraId="68D3FF67">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4、乙方保证向甲方提供的服务成果是其独立实施完成，不存在任何侵犯第三方专利权、商标权、著作权等合法权益的情形。如因乙方提供的服务成果侵犯任何第三方的合法权益，导致该第三方追究甲方责任的，乙方应负责解决并赔偿因此给甲方造成的全部损失，包括且不限于甲方因此支出的律师费、诉讼费、执行费、差旅费等，另应额外向甲方支付本合同总金额10%的违约金。</w:t>
      </w:r>
    </w:p>
    <w:p w14:paraId="05CFDFB9">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5、乙方不得外包、分包、部分或全部转让本合同项下的合同义务。乙方派出员工作为本项目的负责人，该负责人必须作为本项目的主要工作人员实际参与本项目，负贵沟通及协调本合同的相关履行事宜。同时乙方应为履行本合同义务的人员购买相关的商业保险，如乙方的人员发生任何人身伤亡、财产损失等，均由乙方自行承担，如导致甲方损失的，乙方应赔偿。</w:t>
      </w:r>
    </w:p>
    <w:p w14:paraId="5AED54FD">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6、无正当理由，甲方违反合同规定拒绝接受乙方提供的服务的，应当承担由此对乙方造成的损失。</w:t>
      </w:r>
    </w:p>
    <w:p w14:paraId="6CA76BF4">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7、对于满足合同约定支付条件的，甲方应当自收到发票后14 个工作日内启动资金支付流程。付款时间为甲方向政府采购支付部门]提出支付申请的时间，不含政府财政支付部门审查的时间，如因政府财政支付流程导致的支付延期，甲方不承担责任。</w:t>
      </w:r>
    </w:p>
    <w:p w14:paraId="76C823DF">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8、对于因甲方原因导致变更、中止或者终止政府采购合同的，甲方应当依照合同约定对乙方受到的损失予以等价赔偿或者补偿。</w:t>
      </w:r>
    </w:p>
    <w:p w14:paraId="5BAAD642">
      <w:pPr>
        <w:spacing w:line="324" w:lineRule="auto"/>
        <w:ind w:firstLine="420" w:firstLineChars="200"/>
        <w:rPr>
          <w:rFonts w:ascii="宋体" w:hAnsi="宋体" w:cs="宋体"/>
          <w:bCs/>
          <w:color w:val="auto"/>
          <w:szCs w:val="21"/>
        </w:rPr>
      </w:pPr>
      <w:r>
        <w:rPr>
          <w:rFonts w:hint="eastAsia" w:ascii="宋体" w:hAnsi="宋体" w:cs="宋体"/>
          <w:bCs/>
          <w:color w:val="auto"/>
          <w:szCs w:val="21"/>
        </w:rPr>
        <w:t>9、乙方应按照本合同约定的内容执行，如没有特别约定或约定未详尽，相应的违约责任或补充违约责任均为：甲方有权单方解除合同，未支付的款项不予支付，乙方向甲方支付本合同总金额20%的违约金，由此造成甲方损失的，甲方有权全额向乙方追索。</w:t>
      </w:r>
    </w:p>
    <w:p w14:paraId="5D28D691">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10、其它违约责任按《中华人民共和国民法典》处理。</w:t>
      </w:r>
      <w:bookmarkEnd w:id="33"/>
    </w:p>
    <w:p w14:paraId="7A3D1877">
      <w:pPr>
        <w:spacing w:line="324" w:lineRule="auto"/>
        <w:ind w:left="360" w:hanging="360"/>
        <w:rPr>
          <w:rFonts w:hint="eastAsia" w:ascii="宋体" w:hAnsi="宋体" w:cs="宋体"/>
          <w:b/>
          <w:color w:val="auto"/>
          <w:szCs w:val="21"/>
        </w:rPr>
      </w:pPr>
      <w:r>
        <w:rPr>
          <w:rFonts w:hint="eastAsia" w:ascii="宋体" w:hAnsi="宋体" w:cs="宋体"/>
          <w:b/>
          <w:color w:val="auto"/>
          <w:szCs w:val="21"/>
        </w:rPr>
        <w:t>十六、争议的解决</w:t>
      </w:r>
    </w:p>
    <w:p w14:paraId="24C9755B">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1.合同履行过程中发生的任何争议，如双方未能通过友好协商解决，应向甲方所在地人民法院提起诉讼。对交付标的物质量有争议的，统一由佛山市辖属的专业检测机构进行终局鉴定，鉴定结果符合质量技术标准时，鉴定费由委托方承担；否则鉴定费由乙方承担。</w:t>
      </w:r>
    </w:p>
    <w:p w14:paraId="743748E8">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2.法院审理期间，除提交法院审理的事项外，其它无争议的事项和条款仍应继续履行。</w:t>
      </w:r>
    </w:p>
    <w:p w14:paraId="5C59202A">
      <w:pPr>
        <w:spacing w:line="324" w:lineRule="auto"/>
        <w:ind w:hanging="84"/>
        <w:rPr>
          <w:rFonts w:hint="eastAsia" w:ascii="宋体" w:hAnsi="宋体" w:cs="宋体"/>
          <w:b/>
          <w:color w:val="auto"/>
          <w:szCs w:val="21"/>
        </w:rPr>
      </w:pPr>
      <w:r>
        <w:rPr>
          <w:rFonts w:hint="eastAsia" w:ascii="宋体" w:hAnsi="宋体" w:cs="宋体"/>
          <w:b/>
          <w:color w:val="auto"/>
          <w:szCs w:val="21"/>
        </w:rPr>
        <w:t xml:space="preserve">十七、不可抗力 </w:t>
      </w:r>
    </w:p>
    <w:p w14:paraId="5D8FB22A">
      <w:pPr>
        <w:spacing w:line="324" w:lineRule="auto"/>
        <w:ind w:firstLine="420" w:firstLineChars="200"/>
        <w:rPr>
          <w:rFonts w:ascii="宋体" w:hAnsi="宋体" w:cs="宋体"/>
          <w:bCs/>
          <w:color w:val="auto"/>
          <w:szCs w:val="21"/>
        </w:rPr>
      </w:pPr>
      <w:r>
        <w:rPr>
          <w:rFonts w:hint="eastAsia" w:ascii="宋体" w:hAnsi="宋体" w:cs="宋体"/>
          <w:bCs/>
          <w:color w:val="auto"/>
          <w:szCs w:val="21"/>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因合同一方迟延履行合同后发生不可抗力的，不能免除迟延履行方的相应责任。</w:t>
      </w:r>
    </w:p>
    <w:p w14:paraId="7728A260">
      <w:pPr>
        <w:spacing w:line="324" w:lineRule="auto"/>
        <w:rPr>
          <w:b/>
          <w:bCs/>
          <w:color w:val="auto"/>
        </w:rPr>
      </w:pPr>
      <w:r>
        <w:rPr>
          <w:rFonts w:hint="eastAsia"/>
          <w:b/>
          <w:bCs/>
          <w:color w:val="auto"/>
        </w:rPr>
        <w:t>十八、保密</w:t>
      </w:r>
    </w:p>
    <w:p w14:paraId="67C75C33">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1.严禁乙方及其工作人员擅自以任何方式记录、复制、拍摄、摘抄、收藏在工作中涉及的甲方所有信息特别是秘密和敏感信息；严禁将信息数据和内部会议（包括内部发文、各类通知及会议记录等）、谈话内容等泄漏给无关人员；严禁将工作中涉及的相关项目技术方案及实施规划透露给无关人员；乙方及其工作人员对其因身份、职务、职业或技术关系而知悉的甲方保密信息、党政机关技术资料及工作信息均应严格保密，保证不被披露或使用，包括意外或过失。未经甲方书面同意，乙方及其工作人员不得披露上述信息给任何第三方，包括在公开场合展览，公开对外宣传，作为文章、讯息、参考数据发表等。</w:t>
      </w:r>
    </w:p>
    <w:p w14:paraId="3D2B6950">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2.无论乙方今后完成所有工作或因故中途退出，均需严格遵守上述约定，不得泄露所知悉的任何数据和工作秘密。乙方要管理好其所有技术开发人员及其他员工，包括离职员工，严禁乙方或乙方相关人员因工作之便盗取甲方的系统数据信息或在系统中留有技术备用锁匙和后门。</w:t>
      </w:r>
    </w:p>
    <w:p w14:paraId="17E0AA31">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3.有关保密的内容和义务，未经甲方解封则长期有效；本合同如有任何部分被视为无效或不可执行，均不影响本保密条款的效力。如乙方未能遵守上述约定造成泄密的，甲方可依据有关规定追究乙方的赔偿责任和违约责任。</w:t>
      </w:r>
    </w:p>
    <w:p w14:paraId="62EBDDCB">
      <w:pPr>
        <w:spacing w:line="324" w:lineRule="auto"/>
        <w:rPr>
          <w:rFonts w:hint="eastAsia" w:ascii="宋体" w:hAnsi="宋体" w:cs="宋体"/>
          <w:b/>
          <w:color w:val="auto"/>
          <w:szCs w:val="21"/>
        </w:rPr>
      </w:pPr>
      <w:r>
        <w:rPr>
          <w:rFonts w:hint="eastAsia" w:ascii="宋体" w:hAnsi="宋体" w:cs="宋体"/>
          <w:b/>
          <w:color w:val="auto"/>
          <w:szCs w:val="21"/>
        </w:rPr>
        <w:t>十九、税费</w:t>
      </w:r>
    </w:p>
    <w:p w14:paraId="6A622ADE">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1.中国政府根据现行税法所征收的一切税费均由各缴税责任方独立承担。</w:t>
      </w:r>
    </w:p>
    <w:p w14:paraId="131181C6">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2.在中国境外发生的与本合同相关的一切税费及不可预见费均由乙方负担。</w:t>
      </w:r>
    </w:p>
    <w:p w14:paraId="6FA1C74F">
      <w:pPr>
        <w:spacing w:line="324" w:lineRule="auto"/>
        <w:rPr>
          <w:rFonts w:hint="eastAsia" w:ascii="宋体" w:hAnsi="宋体" w:cs="宋体"/>
          <w:b/>
          <w:color w:val="auto"/>
          <w:szCs w:val="21"/>
        </w:rPr>
      </w:pPr>
      <w:r>
        <w:rPr>
          <w:rFonts w:hint="eastAsia" w:ascii="宋体" w:hAnsi="宋体" w:cs="宋体"/>
          <w:b/>
          <w:color w:val="auto"/>
          <w:szCs w:val="21"/>
        </w:rPr>
        <w:t>二十、合同生效</w:t>
      </w:r>
    </w:p>
    <w:p w14:paraId="7252D7C7">
      <w:pPr>
        <w:tabs>
          <w:tab w:val="left" w:pos="800"/>
        </w:tabs>
        <w:spacing w:line="324" w:lineRule="auto"/>
        <w:ind w:firstLine="420" w:firstLineChars="200"/>
        <w:rPr>
          <w:rFonts w:hint="eastAsia" w:ascii="宋体" w:hAnsi="宋体" w:cs="宋体"/>
          <w:color w:val="auto"/>
          <w:szCs w:val="21"/>
        </w:rPr>
      </w:pPr>
      <w:r>
        <w:rPr>
          <w:rFonts w:hint="eastAsia" w:ascii="宋体" w:hAnsi="宋体" w:cs="宋体"/>
          <w:color w:val="auto"/>
          <w:szCs w:val="21"/>
        </w:rPr>
        <w:t>本合同自甲、乙双方法定代表人或其授权代理人签字并盖章之日起生效。</w:t>
      </w:r>
    </w:p>
    <w:p w14:paraId="0148FF92">
      <w:pPr>
        <w:spacing w:line="324" w:lineRule="auto"/>
        <w:ind w:left="840" w:hanging="840"/>
        <w:rPr>
          <w:rFonts w:hint="eastAsia" w:ascii="宋体" w:hAnsi="宋体" w:cs="宋体"/>
          <w:b/>
          <w:color w:val="auto"/>
          <w:szCs w:val="21"/>
        </w:rPr>
      </w:pPr>
      <w:r>
        <w:rPr>
          <w:rFonts w:hint="eastAsia" w:ascii="宋体" w:hAnsi="宋体" w:cs="宋体"/>
          <w:b/>
          <w:color w:val="auto"/>
          <w:szCs w:val="21"/>
        </w:rPr>
        <w:t>二十一、其它</w:t>
      </w:r>
    </w:p>
    <w:p w14:paraId="1FE65E4C">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1.所有经双方或多方签署确认的文件（包括会议纪要、补充协议、往来信函）、采购文件和响应文件、合同的附件及《成交通知书》均为本合同不可分割的有效组成部分，与本合同具有同等的法律效力和履约义务，其生效日期为签字盖章确认之日期。</w:t>
      </w:r>
    </w:p>
    <w:p w14:paraId="464C8983">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 xml:space="preserve">2.如一方地址、电话、传真号码有变更，应在变更当日内书面通知对方，否则，应承担相应责任。 </w:t>
      </w:r>
    </w:p>
    <w:p w14:paraId="16DE8031">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3.乙方不得分包、转包，不得由第三方履行其合同项下的义务。</w:t>
      </w:r>
    </w:p>
    <w:p w14:paraId="61D1B4A1">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4.本合同一式</w:t>
      </w:r>
      <w:r>
        <w:rPr>
          <w:rFonts w:hint="eastAsia" w:ascii="宋体" w:hAnsi="宋体" w:cs="宋体"/>
          <w:bCs/>
          <w:color w:val="auto"/>
          <w:szCs w:val="21"/>
          <w:u w:val="single"/>
        </w:rPr>
        <w:t xml:space="preserve">    </w:t>
      </w:r>
      <w:r>
        <w:rPr>
          <w:rFonts w:hint="eastAsia" w:ascii="宋体" w:hAnsi="宋体" w:cs="宋体"/>
          <w:bCs/>
          <w:color w:val="auto"/>
          <w:szCs w:val="21"/>
        </w:rPr>
        <w:t>份，甲方执</w:t>
      </w:r>
      <w:r>
        <w:rPr>
          <w:rFonts w:hint="eastAsia" w:ascii="宋体" w:hAnsi="宋体" w:cs="宋体"/>
          <w:bCs/>
          <w:color w:val="auto"/>
          <w:szCs w:val="21"/>
          <w:u w:val="single"/>
        </w:rPr>
        <w:t xml:space="preserve">    </w:t>
      </w:r>
      <w:r>
        <w:rPr>
          <w:rFonts w:hint="eastAsia" w:ascii="宋体" w:hAnsi="宋体" w:cs="宋体"/>
          <w:bCs/>
          <w:color w:val="auto"/>
          <w:szCs w:val="21"/>
        </w:rPr>
        <w:t>份、乙方执</w:t>
      </w:r>
      <w:r>
        <w:rPr>
          <w:rFonts w:hint="eastAsia" w:ascii="宋体" w:hAnsi="宋体" w:cs="宋体"/>
          <w:bCs/>
          <w:color w:val="auto"/>
          <w:szCs w:val="21"/>
          <w:u w:val="single"/>
        </w:rPr>
        <w:t xml:space="preserve">    </w:t>
      </w:r>
      <w:r>
        <w:rPr>
          <w:rFonts w:hint="eastAsia" w:ascii="宋体" w:hAnsi="宋体" w:cs="宋体"/>
          <w:bCs/>
          <w:color w:val="auto"/>
          <w:szCs w:val="21"/>
        </w:rPr>
        <w:t>份，采购代理机构执1份。</w:t>
      </w:r>
    </w:p>
    <w:p w14:paraId="38B8A8AB">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5.本合同共计</w:t>
      </w:r>
      <w:r>
        <w:rPr>
          <w:rFonts w:hint="eastAsia" w:ascii="宋体" w:hAnsi="宋体" w:cs="宋体"/>
          <w:bCs/>
          <w:color w:val="auto"/>
          <w:szCs w:val="21"/>
          <w:u w:val="single"/>
        </w:rPr>
        <w:t xml:space="preserve">    </w:t>
      </w:r>
      <w:r>
        <w:rPr>
          <w:rFonts w:hint="eastAsia" w:ascii="宋体" w:hAnsi="宋体" w:cs="宋体"/>
          <w:bCs/>
          <w:color w:val="auto"/>
          <w:szCs w:val="21"/>
        </w:rPr>
        <w:t>页A4纸张，缺页之合同为无效合同。</w:t>
      </w:r>
    </w:p>
    <w:p w14:paraId="7A4FA4E2">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6.本合同签约履约地点：广东省佛山市。</w:t>
      </w:r>
    </w:p>
    <w:p w14:paraId="12511139">
      <w:pPr>
        <w:autoSpaceDE w:val="0"/>
        <w:autoSpaceDN w:val="0"/>
        <w:adjustRightInd w:val="0"/>
        <w:spacing w:before="2" w:line="324" w:lineRule="auto"/>
        <w:ind w:right="-2"/>
        <w:jc w:val="left"/>
        <w:rPr>
          <w:rFonts w:hint="eastAsia" w:ascii="宋体" w:hAnsi="宋体" w:cs="宋体"/>
          <w:b/>
          <w:color w:val="auto"/>
          <w:szCs w:val="21"/>
        </w:rPr>
      </w:pPr>
      <w:r>
        <w:rPr>
          <w:rFonts w:hint="eastAsia" w:ascii="宋体" w:hAnsi="宋体" w:cs="宋体"/>
          <w:b/>
          <w:color w:val="auto"/>
          <w:szCs w:val="21"/>
        </w:rPr>
        <w:t>（完）</w:t>
      </w:r>
    </w:p>
    <w:p w14:paraId="27D244ED">
      <w:pPr>
        <w:pStyle w:val="6"/>
        <w:spacing w:line="324" w:lineRule="auto"/>
        <w:rPr>
          <w:rFonts w:hint="eastAsia" w:ascii="宋体" w:hAnsi="宋体"/>
          <w:color w:val="auto"/>
          <w:szCs w:val="21"/>
        </w:rPr>
      </w:pPr>
    </w:p>
    <w:tbl>
      <w:tblPr>
        <w:tblStyle w:val="21"/>
        <w:tblW w:w="0" w:type="auto"/>
        <w:tblInd w:w="-72" w:type="dxa"/>
        <w:tblLayout w:type="fixed"/>
        <w:tblCellMar>
          <w:top w:w="0" w:type="dxa"/>
          <w:left w:w="108" w:type="dxa"/>
          <w:bottom w:w="0" w:type="dxa"/>
          <w:right w:w="108" w:type="dxa"/>
        </w:tblCellMar>
      </w:tblPr>
      <w:tblGrid>
        <w:gridCol w:w="4828"/>
        <w:gridCol w:w="4517"/>
      </w:tblGrid>
      <w:tr w14:paraId="5341C3FB">
        <w:tblPrEx>
          <w:tblCellMar>
            <w:top w:w="0" w:type="dxa"/>
            <w:left w:w="108" w:type="dxa"/>
            <w:bottom w:w="0" w:type="dxa"/>
            <w:right w:w="108" w:type="dxa"/>
          </w:tblCellMar>
        </w:tblPrEx>
        <w:trPr>
          <w:trHeight w:val="3081" w:hRule="atLeast"/>
        </w:trPr>
        <w:tc>
          <w:tcPr>
            <w:tcW w:w="4828" w:type="dxa"/>
          </w:tcPr>
          <w:p w14:paraId="3CB717E8">
            <w:pPr>
              <w:spacing w:line="324" w:lineRule="auto"/>
              <w:rPr>
                <w:rFonts w:hint="eastAsia" w:ascii="宋体" w:hAnsi="宋体" w:cs="宋体"/>
                <w:b/>
                <w:color w:val="auto"/>
                <w:szCs w:val="21"/>
              </w:rPr>
            </w:pPr>
            <w:r>
              <w:rPr>
                <w:rFonts w:hint="eastAsia" w:ascii="宋体" w:hAnsi="宋体" w:cs="宋体"/>
                <w:b/>
                <w:color w:val="auto"/>
                <w:szCs w:val="21"/>
              </w:rPr>
              <w:t>甲方（盖章）：</w:t>
            </w:r>
          </w:p>
          <w:p w14:paraId="5CD34808">
            <w:pPr>
              <w:spacing w:line="324" w:lineRule="auto"/>
              <w:rPr>
                <w:rFonts w:hint="eastAsia" w:ascii="宋体" w:hAnsi="宋体" w:cs="宋体"/>
                <w:color w:val="auto"/>
                <w:szCs w:val="21"/>
                <w:u w:val="dotted"/>
              </w:rPr>
            </w:pPr>
            <w:r>
              <w:rPr>
                <w:rFonts w:hint="eastAsia" w:ascii="宋体" w:hAnsi="宋体" w:cs="宋体"/>
                <w:color w:val="auto"/>
                <w:szCs w:val="21"/>
              </w:rPr>
              <w:t>法定代表人：</w:t>
            </w:r>
            <w:r>
              <w:rPr>
                <w:rFonts w:hint="eastAsia" w:ascii="宋体" w:hAnsi="宋体" w:cs="宋体"/>
                <w:color w:val="auto"/>
                <w:szCs w:val="21"/>
                <w:u w:val="dotted"/>
              </w:rPr>
              <w:t xml:space="preserve">                           </w:t>
            </w:r>
          </w:p>
          <w:p w14:paraId="37D767DC">
            <w:pPr>
              <w:spacing w:line="324" w:lineRule="auto"/>
              <w:rPr>
                <w:rFonts w:hint="eastAsia" w:ascii="宋体" w:hAnsi="宋体" w:cs="宋体"/>
                <w:color w:val="auto"/>
                <w:szCs w:val="21"/>
              </w:rPr>
            </w:pPr>
            <w:r>
              <w:rPr>
                <w:rFonts w:hint="eastAsia" w:ascii="宋体" w:hAnsi="宋体" w:cs="宋体"/>
                <w:color w:val="auto"/>
                <w:szCs w:val="21"/>
              </w:rPr>
              <w:t xml:space="preserve">授权代理人：                              </w:t>
            </w:r>
          </w:p>
          <w:p w14:paraId="14777E6D">
            <w:pPr>
              <w:spacing w:line="324" w:lineRule="auto"/>
              <w:rPr>
                <w:rFonts w:hint="eastAsia" w:ascii="宋体" w:hAnsi="宋体" w:cs="宋体"/>
                <w:color w:val="auto"/>
                <w:szCs w:val="21"/>
                <w:u w:val="dotted"/>
              </w:rPr>
            </w:pPr>
            <w:r>
              <w:rPr>
                <w:rFonts w:hint="eastAsia" w:ascii="宋体" w:hAnsi="宋体" w:cs="宋体"/>
                <w:color w:val="auto"/>
                <w:szCs w:val="21"/>
              </w:rPr>
              <w:t xml:space="preserve">项目负责人： </w:t>
            </w:r>
            <w:r>
              <w:rPr>
                <w:rFonts w:hint="eastAsia" w:ascii="宋体" w:hAnsi="宋体" w:cs="宋体"/>
                <w:color w:val="auto"/>
                <w:szCs w:val="21"/>
                <w:u w:val="dotted"/>
              </w:rPr>
              <w:t xml:space="preserve">                      </w:t>
            </w:r>
          </w:p>
          <w:p w14:paraId="55623CBF">
            <w:pPr>
              <w:spacing w:line="324" w:lineRule="auto"/>
              <w:rPr>
                <w:rFonts w:hint="eastAsia" w:ascii="宋体" w:hAnsi="宋体" w:cs="宋体"/>
                <w:color w:val="auto"/>
                <w:szCs w:val="21"/>
                <w:u w:val="dotted"/>
              </w:rPr>
            </w:pPr>
            <w:r>
              <w:rPr>
                <w:rFonts w:hint="eastAsia" w:ascii="宋体" w:hAnsi="宋体" w:cs="宋体"/>
                <w:color w:val="auto"/>
                <w:szCs w:val="21"/>
              </w:rPr>
              <w:t>地址：</w:t>
            </w:r>
          </w:p>
          <w:p w14:paraId="37B3AAAD">
            <w:pPr>
              <w:spacing w:line="324" w:lineRule="auto"/>
              <w:rPr>
                <w:rFonts w:hint="eastAsia" w:ascii="宋体" w:hAnsi="宋体" w:cs="宋体"/>
                <w:color w:val="auto"/>
                <w:szCs w:val="21"/>
              </w:rPr>
            </w:pPr>
            <w:r>
              <w:rPr>
                <w:rFonts w:hint="eastAsia" w:ascii="宋体" w:hAnsi="宋体" w:cs="宋体"/>
                <w:color w:val="auto"/>
                <w:szCs w:val="21"/>
              </w:rPr>
              <w:t>电话：</w:t>
            </w:r>
          </w:p>
          <w:p w14:paraId="6AE4D65F">
            <w:pPr>
              <w:spacing w:line="324" w:lineRule="auto"/>
              <w:rPr>
                <w:rFonts w:hint="eastAsia" w:ascii="宋体" w:hAnsi="宋体" w:cs="宋体"/>
                <w:color w:val="auto"/>
                <w:szCs w:val="21"/>
              </w:rPr>
            </w:pPr>
            <w:r>
              <w:rPr>
                <w:rFonts w:hint="eastAsia" w:ascii="宋体" w:hAnsi="宋体" w:cs="宋体"/>
                <w:color w:val="auto"/>
                <w:szCs w:val="21"/>
              </w:rPr>
              <w:t>传真：</w:t>
            </w:r>
          </w:p>
          <w:p w14:paraId="66B3D550">
            <w:pPr>
              <w:spacing w:line="324" w:lineRule="auto"/>
              <w:rPr>
                <w:rFonts w:hint="eastAsia" w:ascii="宋体" w:hAnsi="宋体" w:cs="宋体"/>
                <w:b/>
                <w:color w:val="auto"/>
                <w:szCs w:val="21"/>
              </w:rPr>
            </w:pPr>
            <w:r>
              <w:rPr>
                <w:rFonts w:hint="eastAsia" w:ascii="宋体" w:hAnsi="宋体" w:cs="宋体"/>
                <w:color w:val="auto"/>
                <w:szCs w:val="21"/>
              </w:rPr>
              <w:t>日期：           年     月    日</w:t>
            </w:r>
          </w:p>
        </w:tc>
        <w:tc>
          <w:tcPr>
            <w:tcW w:w="4517" w:type="dxa"/>
          </w:tcPr>
          <w:p w14:paraId="38CF67A4">
            <w:pPr>
              <w:spacing w:line="324" w:lineRule="auto"/>
              <w:rPr>
                <w:rFonts w:hint="eastAsia" w:ascii="宋体" w:hAnsi="宋体" w:cs="宋体"/>
                <w:b/>
                <w:color w:val="auto"/>
                <w:szCs w:val="21"/>
              </w:rPr>
            </w:pPr>
            <w:r>
              <w:rPr>
                <w:rFonts w:hint="eastAsia" w:ascii="宋体" w:hAnsi="宋体" w:cs="宋体"/>
                <w:b/>
                <w:color w:val="auto"/>
                <w:szCs w:val="21"/>
              </w:rPr>
              <w:t>乙方（盖章）：</w:t>
            </w:r>
          </w:p>
          <w:p w14:paraId="2058D089">
            <w:pPr>
              <w:spacing w:line="324" w:lineRule="auto"/>
              <w:rPr>
                <w:rFonts w:hint="eastAsia" w:ascii="宋体" w:hAnsi="宋体" w:cs="宋体"/>
                <w:color w:val="auto"/>
                <w:szCs w:val="21"/>
                <w:u w:val="dotted"/>
              </w:rPr>
            </w:pPr>
            <w:r>
              <w:rPr>
                <w:rFonts w:hint="eastAsia" w:ascii="宋体" w:hAnsi="宋体" w:cs="宋体"/>
                <w:color w:val="auto"/>
                <w:szCs w:val="21"/>
              </w:rPr>
              <w:t>法定代表人：</w:t>
            </w:r>
            <w:r>
              <w:rPr>
                <w:rFonts w:hint="eastAsia" w:ascii="宋体" w:hAnsi="宋体" w:cs="宋体"/>
                <w:color w:val="auto"/>
                <w:szCs w:val="21"/>
                <w:u w:val="dotted"/>
              </w:rPr>
              <w:t xml:space="preserve">                           </w:t>
            </w:r>
          </w:p>
          <w:p w14:paraId="4D9CA0E5">
            <w:pPr>
              <w:spacing w:line="324" w:lineRule="auto"/>
              <w:rPr>
                <w:rFonts w:hint="eastAsia" w:ascii="宋体" w:hAnsi="宋体" w:cs="宋体"/>
                <w:color w:val="auto"/>
                <w:szCs w:val="21"/>
                <w:u w:val="dotted"/>
              </w:rPr>
            </w:pPr>
          </w:p>
          <w:p w14:paraId="4D5746E2">
            <w:pPr>
              <w:spacing w:line="324" w:lineRule="auto"/>
              <w:rPr>
                <w:rFonts w:hint="eastAsia" w:ascii="宋体" w:hAnsi="宋体" w:cs="宋体"/>
                <w:color w:val="auto"/>
                <w:szCs w:val="21"/>
              </w:rPr>
            </w:pPr>
            <w:r>
              <w:rPr>
                <w:rFonts w:hint="eastAsia" w:ascii="宋体" w:hAnsi="宋体" w:cs="宋体"/>
                <w:color w:val="auto"/>
                <w:szCs w:val="21"/>
              </w:rPr>
              <w:t>地址：</w:t>
            </w:r>
          </w:p>
          <w:p w14:paraId="51870B25">
            <w:pPr>
              <w:spacing w:line="324" w:lineRule="auto"/>
              <w:rPr>
                <w:rFonts w:hint="eastAsia" w:ascii="宋体" w:hAnsi="宋体" w:cs="宋体"/>
                <w:color w:val="auto"/>
                <w:szCs w:val="21"/>
              </w:rPr>
            </w:pPr>
            <w:r>
              <w:rPr>
                <w:rFonts w:hint="eastAsia" w:ascii="宋体" w:hAnsi="宋体" w:cs="宋体"/>
                <w:color w:val="auto"/>
                <w:szCs w:val="21"/>
              </w:rPr>
              <w:t>电话：</w:t>
            </w:r>
          </w:p>
          <w:p w14:paraId="22FD983B">
            <w:pPr>
              <w:spacing w:line="324" w:lineRule="auto"/>
              <w:rPr>
                <w:rFonts w:hint="eastAsia" w:ascii="宋体" w:hAnsi="宋体" w:cs="宋体"/>
                <w:color w:val="auto"/>
                <w:szCs w:val="21"/>
              </w:rPr>
            </w:pPr>
            <w:r>
              <w:rPr>
                <w:rFonts w:hint="eastAsia" w:ascii="宋体" w:hAnsi="宋体" w:cs="宋体"/>
                <w:color w:val="auto"/>
                <w:szCs w:val="21"/>
              </w:rPr>
              <w:t>传真：</w:t>
            </w:r>
          </w:p>
          <w:p w14:paraId="68A93983">
            <w:pPr>
              <w:spacing w:line="324" w:lineRule="auto"/>
              <w:rPr>
                <w:rFonts w:hint="eastAsia" w:ascii="宋体" w:hAnsi="宋体" w:cs="宋体"/>
                <w:b/>
                <w:color w:val="auto"/>
                <w:szCs w:val="21"/>
              </w:rPr>
            </w:pPr>
            <w:r>
              <w:rPr>
                <w:rFonts w:hint="eastAsia" w:ascii="宋体" w:hAnsi="宋体" w:cs="宋体"/>
                <w:color w:val="auto"/>
                <w:szCs w:val="21"/>
              </w:rPr>
              <w:t>日期：        年     月     日</w:t>
            </w:r>
          </w:p>
        </w:tc>
      </w:tr>
      <w:tr w14:paraId="26F35273">
        <w:tblPrEx>
          <w:tblCellMar>
            <w:top w:w="0" w:type="dxa"/>
            <w:left w:w="108" w:type="dxa"/>
            <w:bottom w:w="0" w:type="dxa"/>
            <w:right w:w="108" w:type="dxa"/>
          </w:tblCellMar>
        </w:tblPrEx>
        <w:trPr>
          <w:trHeight w:val="2730" w:hRule="atLeast"/>
        </w:trPr>
        <w:tc>
          <w:tcPr>
            <w:tcW w:w="4828" w:type="dxa"/>
          </w:tcPr>
          <w:p w14:paraId="5A8A3A51">
            <w:pPr>
              <w:spacing w:line="324" w:lineRule="auto"/>
              <w:rPr>
                <w:rFonts w:hint="eastAsia" w:ascii="宋体" w:hAnsi="宋体" w:cs="宋体"/>
                <w:b/>
                <w:bCs/>
                <w:color w:val="auto"/>
                <w:szCs w:val="21"/>
              </w:rPr>
            </w:pPr>
          </w:p>
          <w:p w14:paraId="17DEE844">
            <w:pPr>
              <w:spacing w:line="324" w:lineRule="auto"/>
              <w:rPr>
                <w:rFonts w:hint="eastAsia" w:ascii="宋体" w:hAnsi="宋体" w:cs="宋体"/>
                <w:b/>
                <w:bCs/>
                <w:color w:val="auto"/>
                <w:szCs w:val="21"/>
              </w:rPr>
            </w:pPr>
          </w:p>
          <w:p w14:paraId="0CD0C08A">
            <w:pPr>
              <w:spacing w:line="324" w:lineRule="auto"/>
              <w:rPr>
                <w:rFonts w:hint="eastAsia" w:ascii="宋体" w:hAnsi="宋体" w:cs="宋体"/>
                <w:b/>
                <w:color w:val="auto"/>
                <w:szCs w:val="21"/>
              </w:rPr>
            </w:pPr>
            <w:r>
              <w:rPr>
                <w:rFonts w:hint="eastAsia" w:ascii="宋体" w:hAnsi="宋体" w:cs="宋体"/>
                <w:b/>
                <w:color w:val="auto"/>
                <w:szCs w:val="21"/>
              </w:rPr>
              <w:t xml:space="preserve">  </w:t>
            </w:r>
          </w:p>
        </w:tc>
        <w:tc>
          <w:tcPr>
            <w:tcW w:w="4517" w:type="dxa"/>
          </w:tcPr>
          <w:p w14:paraId="02D285A7">
            <w:pPr>
              <w:spacing w:line="324" w:lineRule="auto"/>
              <w:rPr>
                <w:rFonts w:hint="eastAsia" w:ascii="宋体" w:hAnsi="宋体" w:cs="宋体"/>
                <w:color w:val="auto"/>
                <w:szCs w:val="21"/>
              </w:rPr>
            </w:pPr>
          </w:p>
          <w:p w14:paraId="21831AD1">
            <w:pPr>
              <w:spacing w:line="324" w:lineRule="auto"/>
              <w:rPr>
                <w:rFonts w:hint="eastAsia" w:ascii="宋体" w:hAnsi="宋体" w:cs="宋体"/>
                <w:b/>
                <w:color w:val="auto"/>
                <w:szCs w:val="21"/>
              </w:rPr>
            </w:pPr>
            <w:r>
              <w:rPr>
                <w:rFonts w:hint="eastAsia" w:ascii="宋体" w:hAnsi="宋体" w:cs="宋体"/>
                <w:b/>
                <w:color w:val="auto"/>
                <w:szCs w:val="21"/>
              </w:rPr>
              <w:t>收款方、开票方须与乙方一致；专户为：</w:t>
            </w:r>
          </w:p>
          <w:p w14:paraId="6DCFD0E9">
            <w:pPr>
              <w:spacing w:line="324" w:lineRule="auto"/>
              <w:rPr>
                <w:rFonts w:hint="eastAsia" w:ascii="宋体" w:hAnsi="宋体" w:cs="宋体"/>
                <w:color w:val="auto"/>
                <w:szCs w:val="21"/>
              </w:rPr>
            </w:pPr>
          </w:p>
          <w:p w14:paraId="28F11D49">
            <w:pPr>
              <w:spacing w:line="324" w:lineRule="auto"/>
              <w:rPr>
                <w:rFonts w:hint="eastAsia" w:ascii="宋体" w:hAnsi="宋体" w:cs="宋体"/>
                <w:b/>
                <w:bCs/>
                <w:color w:val="auto"/>
                <w:szCs w:val="21"/>
              </w:rPr>
            </w:pPr>
            <w:r>
              <w:rPr>
                <w:rFonts w:hint="eastAsia" w:ascii="宋体" w:hAnsi="宋体" w:cs="宋体"/>
                <w:color w:val="auto"/>
                <w:szCs w:val="21"/>
              </w:rPr>
              <w:t>开户名称：</w:t>
            </w:r>
          </w:p>
          <w:p w14:paraId="4660D35B">
            <w:pPr>
              <w:spacing w:line="324" w:lineRule="auto"/>
              <w:rPr>
                <w:rFonts w:hint="eastAsia" w:ascii="宋体" w:hAnsi="宋体" w:cs="宋体"/>
                <w:b/>
                <w:bCs/>
                <w:color w:val="auto"/>
                <w:szCs w:val="21"/>
              </w:rPr>
            </w:pPr>
            <w:r>
              <w:rPr>
                <w:rFonts w:hint="eastAsia" w:ascii="宋体" w:hAnsi="宋体" w:cs="宋体"/>
                <w:color w:val="auto"/>
                <w:szCs w:val="21"/>
              </w:rPr>
              <w:t>银行账号：</w:t>
            </w:r>
          </w:p>
          <w:p w14:paraId="4C11BB22">
            <w:pPr>
              <w:spacing w:line="324" w:lineRule="auto"/>
              <w:rPr>
                <w:rFonts w:hint="eastAsia" w:ascii="宋体" w:hAnsi="宋体" w:cs="宋体"/>
                <w:b/>
                <w:color w:val="auto"/>
                <w:szCs w:val="21"/>
              </w:rPr>
            </w:pPr>
            <w:r>
              <w:rPr>
                <w:rFonts w:hint="eastAsia" w:ascii="宋体" w:hAnsi="宋体" w:cs="宋体"/>
                <w:color w:val="auto"/>
                <w:szCs w:val="21"/>
              </w:rPr>
              <w:t>开 户 行：</w:t>
            </w:r>
          </w:p>
        </w:tc>
      </w:tr>
    </w:tbl>
    <w:p w14:paraId="41DF8B3F">
      <w:pPr>
        <w:spacing w:line="324" w:lineRule="auto"/>
        <w:rPr>
          <w:color w:val="auto"/>
        </w:rPr>
      </w:pPr>
    </w:p>
    <w:p w14:paraId="3816BE69">
      <w:pPr>
        <w:spacing w:line="324" w:lineRule="auto"/>
        <w:jc w:val="left"/>
        <w:rPr>
          <w:rFonts w:hint="eastAsia" w:ascii="宋体" w:hAnsi="宋体" w:cs="宋体"/>
          <w:color w:val="auto"/>
          <w:szCs w:val="21"/>
        </w:rPr>
      </w:pPr>
      <w:r>
        <w:rPr>
          <w:rFonts w:hint="eastAsia" w:ascii="宋体" w:hAnsi="宋体" w:cs="宋体"/>
          <w:color w:val="auto"/>
          <w:szCs w:val="21"/>
        </w:rPr>
        <w:t xml:space="preserve"> 注：保单复印件后附</w:t>
      </w:r>
    </w:p>
    <w:p w14:paraId="2431097A">
      <w:pPr>
        <w:spacing w:line="324" w:lineRule="auto"/>
        <w:jc w:val="left"/>
        <w:rPr>
          <w:rFonts w:hint="eastAsia" w:ascii="宋体" w:hAnsi="宋体" w:cs="宋体"/>
          <w:color w:val="auto"/>
          <w:szCs w:val="21"/>
        </w:rPr>
      </w:pPr>
    </w:p>
    <w:p w14:paraId="406CB5B1">
      <w:pPr>
        <w:pStyle w:val="6"/>
        <w:spacing w:line="324" w:lineRule="auto"/>
        <w:rPr>
          <w:rFonts w:ascii="Times New Roman" w:hAnsi="Times New Roman" w:cs="Times New Roman"/>
          <w:color w:val="auto"/>
          <w:szCs w:val="21"/>
        </w:rPr>
      </w:pPr>
    </w:p>
    <w:p w14:paraId="0E09D609">
      <w:pPr>
        <w:spacing w:line="324" w:lineRule="auto"/>
        <w:rPr>
          <w:rFonts w:ascii="Times New Roman" w:hAnsi="Times New Roman" w:cs="Times New Roman"/>
          <w:color w:val="auto"/>
          <w:szCs w:val="21"/>
        </w:rPr>
      </w:pPr>
      <w:r>
        <w:rPr>
          <w:rFonts w:ascii="Times New Roman" w:hAnsi="Times New Roman" w:cs="Times New Roman"/>
          <w:color w:val="auto"/>
          <w:szCs w:val="21"/>
        </w:rPr>
        <w:br w:type="page"/>
      </w:r>
    </w:p>
    <w:p w14:paraId="1958EA1A">
      <w:pPr>
        <w:pStyle w:val="6"/>
        <w:spacing w:line="324" w:lineRule="auto"/>
        <w:rPr>
          <w:rFonts w:ascii="Times New Roman" w:hAnsi="Times New Roman" w:cs="Times New Roman"/>
          <w:color w:val="auto"/>
          <w:szCs w:val="21"/>
        </w:rPr>
      </w:pPr>
    </w:p>
    <w:p w14:paraId="7DD2E4EB">
      <w:pPr>
        <w:spacing w:line="324" w:lineRule="auto"/>
        <w:rPr>
          <w:rFonts w:ascii="Times New Roman" w:hAnsi="Times New Roman" w:cs="Times New Roman"/>
          <w:b/>
          <w:color w:val="auto"/>
          <w:szCs w:val="21"/>
        </w:rPr>
      </w:pPr>
    </w:p>
    <w:p w14:paraId="12EEAAE2">
      <w:pPr>
        <w:pStyle w:val="25"/>
        <w:spacing w:line="324" w:lineRule="auto"/>
        <w:jc w:val="center"/>
        <w:outlineLvl w:val="0"/>
        <w:rPr>
          <w:rFonts w:hint="default" w:ascii="Times New Roman" w:hAnsi="Times New Roman" w:cs="Times New Roman"/>
          <w:color w:val="auto"/>
          <w:sz w:val="28"/>
          <w:szCs w:val="28"/>
        </w:rPr>
      </w:pPr>
      <w:bookmarkStart w:id="34" w:name="_Toc24585"/>
      <w:r>
        <w:rPr>
          <w:rFonts w:hint="default" w:ascii="Times New Roman" w:hAnsi="Times New Roman" w:cs="Times New Roman"/>
          <w:b/>
          <w:color w:val="auto"/>
          <w:sz w:val="28"/>
          <w:szCs w:val="28"/>
        </w:rPr>
        <w:t>第六</w:t>
      </w:r>
      <w:r>
        <w:rPr>
          <w:rFonts w:hint="default" w:ascii="Times New Roman" w:hAnsi="Times New Roman" w:cs="Times New Roman"/>
          <w:b/>
          <w:color w:val="auto"/>
          <w:sz w:val="28"/>
          <w:szCs w:val="28"/>
          <w:lang w:eastAsia="zh-CN"/>
        </w:rPr>
        <w:t>部分</w:t>
      </w:r>
      <w:r>
        <w:rPr>
          <w:rFonts w:hint="default" w:ascii="Times New Roman" w:hAnsi="Times New Roman" w:cs="Times New Roman"/>
          <w:b/>
          <w:color w:val="auto"/>
          <w:sz w:val="28"/>
          <w:szCs w:val="28"/>
        </w:rPr>
        <w:t xml:space="preserve"> 响应文件格式与要求</w:t>
      </w:r>
      <w:bookmarkEnd w:id="34"/>
    </w:p>
    <w:p w14:paraId="2C865BE3">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供应商应提交证明其有资格参加磋商和成交后有能力履行合同的相关文件，并作为其响应文件的一部分，所有文件必须真实可靠、不得伪造，否则将按相关规定予以处罚。</w:t>
      </w:r>
    </w:p>
    <w:p w14:paraId="118468D0">
      <w:pPr>
        <w:pStyle w:val="25"/>
        <w:spacing w:line="324" w:lineRule="auto"/>
        <w:ind w:firstLine="480"/>
        <w:outlineLvl w:val="1"/>
        <w:rPr>
          <w:rFonts w:hint="default" w:ascii="Times New Roman" w:hAnsi="Times New Roman" w:cs="Times New Roman"/>
          <w:color w:val="auto"/>
          <w:sz w:val="21"/>
          <w:szCs w:val="21"/>
        </w:rPr>
      </w:pPr>
      <w:bookmarkStart w:id="35" w:name="_Toc22507"/>
      <w:bookmarkStart w:id="36" w:name="_Toc24671"/>
      <w:r>
        <w:rPr>
          <w:rFonts w:hint="default" w:ascii="Times New Roman" w:hAnsi="Times New Roman" w:cs="Times New Roman"/>
          <w:color w:val="auto"/>
          <w:sz w:val="21"/>
          <w:szCs w:val="21"/>
        </w:rPr>
        <w:t>1.法人或者其他组织的营业执照等证明文件，自然人的身份证明：</w:t>
      </w:r>
      <w:bookmarkEnd w:id="35"/>
      <w:bookmarkEnd w:id="36"/>
    </w:p>
    <w:p w14:paraId="3C6F572B">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7F0466C4">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5814E79E">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2.财务状况报告，依法缴纳税收和社会保障资金的相关材料（详见资格性审查表要求）</w:t>
      </w:r>
    </w:p>
    <w:p w14:paraId="6FB8DBE1">
      <w:pPr>
        <w:pStyle w:val="25"/>
        <w:spacing w:line="324" w:lineRule="auto"/>
        <w:ind w:firstLine="480"/>
        <w:outlineLvl w:val="1"/>
        <w:rPr>
          <w:rFonts w:hint="default" w:ascii="Times New Roman" w:hAnsi="Times New Roman" w:cs="Times New Roman"/>
          <w:color w:val="auto"/>
          <w:sz w:val="21"/>
          <w:szCs w:val="21"/>
        </w:rPr>
      </w:pPr>
      <w:bookmarkStart w:id="37" w:name="_Toc12254"/>
      <w:bookmarkStart w:id="38" w:name="_Toc29387"/>
      <w:r>
        <w:rPr>
          <w:rFonts w:hint="default" w:ascii="Times New Roman" w:hAnsi="Times New Roman" w:cs="Times New Roman"/>
          <w:color w:val="auto"/>
          <w:sz w:val="21"/>
          <w:szCs w:val="21"/>
        </w:rPr>
        <w:t>3.具有履行合同所必须的设备和专业技术能力的声明。</w:t>
      </w:r>
      <w:bookmarkEnd w:id="37"/>
      <w:bookmarkEnd w:id="38"/>
    </w:p>
    <w:p w14:paraId="1E7C6F42">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4.供应商参加政府采购前三年内在经营活动中没有重大违法记录声明函。</w:t>
      </w:r>
    </w:p>
    <w:p w14:paraId="0BFA63E8">
      <w:pPr>
        <w:pStyle w:val="25"/>
        <w:spacing w:line="324" w:lineRule="auto"/>
        <w:ind w:firstLine="480"/>
        <w:outlineLvl w:val="1"/>
        <w:rPr>
          <w:rFonts w:hint="default" w:ascii="Times New Roman" w:hAnsi="Times New Roman" w:cs="Times New Roman"/>
          <w:color w:val="auto"/>
          <w:sz w:val="21"/>
          <w:szCs w:val="21"/>
        </w:rPr>
      </w:pPr>
      <w:bookmarkStart w:id="39" w:name="_Toc7716"/>
      <w:bookmarkStart w:id="40" w:name="_Toc27794"/>
      <w:r>
        <w:rPr>
          <w:rFonts w:hint="default" w:ascii="Times New Roman" w:hAnsi="Times New Roman" w:cs="Times New Roman"/>
          <w:color w:val="auto"/>
          <w:sz w:val="21"/>
          <w:szCs w:val="21"/>
        </w:rPr>
        <w:t>5.信用记录查询</w:t>
      </w:r>
      <w:bookmarkEnd w:id="39"/>
      <w:bookmarkEnd w:id="40"/>
    </w:p>
    <w:p w14:paraId="3DDA85F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（1）查询渠道：通过“信用中国”网站(www.creditchina.gov.cn)和“中国政府采购网”（www.ccgp.gov.cn）进行查询；</w:t>
      </w:r>
    </w:p>
    <w:p w14:paraId="69C527FA">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（2）查询截止时点：提交响应文件截止日当天；</w:t>
      </w:r>
    </w:p>
    <w:p w14:paraId="2E7F4F61">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（3）查询记录：对列入失信被执行人、重大税收违法案件当事人名单、政府采购严重违法失信行为记录名单、信用报告进行查询；</w:t>
      </w:r>
    </w:p>
    <w:p w14:paraId="3FA3E4CC">
      <w:pPr>
        <w:pStyle w:val="25"/>
        <w:spacing w:line="324"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1BDA1A60">
      <w:pPr>
        <w:pStyle w:val="25"/>
        <w:spacing w:line="324" w:lineRule="auto"/>
        <w:ind w:firstLine="480"/>
        <w:outlineLvl w:val="1"/>
        <w:rPr>
          <w:rFonts w:hint="default" w:ascii="Times New Roman" w:hAnsi="Times New Roman" w:cs="Times New Roman"/>
          <w:color w:val="auto"/>
          <w:sz w:val="21"/>
          <w:szCs w:val="21"/>
        </w:rPr>
      </w:pPr>
      <w:bookmarkStart w:id="41" w:name="_Toc30176"/>
      <w:bookmarkStart w:id="42" w:name="_Toc7889"/>
      <w:r>
        <w:rPr>
          <w:rFonts w:hint="default" w:ascii="Times New Roman" w:hAnsi="Times New Roman" w:cs="Times New Roman"/>
          <w:color w:val="auto"/>
          <w:sz w:val="21"/>
          <w:szCs w:val="21"/>
        </w:rPr>
        <w:t>6. 按照磋商文件要求，供应商应当提交的资格、资信证明文件。</w:t>
      </w:r>
      <w:bookmarkEnd w:id="41"/>
      <w:bookmarkEnd w:id="42"/>
    </w:p>
    <w:p w14:paraId="337EF73E">
      <w:pPr>
        <w:pStyle w:val="25"/>
        <w:spacing w:line="324"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p>
    <w:p w14:paraId="64735F4F">
      <w:pPr>
        <w:spacing w:line="324" w:lineRule="auto"/>
        <w:rPr>
          <w:rFonts w:ascii="Times New Roman" w:hAnsi="Times New Roman" w:cs="Times New Roman"/>
          <w:b/>
          <w:color w:val="auto"/>
          <w:sz w:val="48"/>
        </w:rPr>
      </w:pPr>
      <w:r>
        <w:rPr>
          <w:rFonts w:ascii="Times New Roman" w:hAnsi="Times New Roman" w:cs="Times New Roman"/>
          <w:b/>
          <w:color w:val="auto"/>
          <w:sz w:val="48"/>
        </w:rPr>
        <w:br w:type="page"/>
      </w:r>
    </w:p>
    <w:p w14:paraId="45DD7D83">
      <w:pPr>
        <w:pageBreakBefore/>
        <w:spacing w:line="324" w:lineRule="auto"/>
        <w:jc w:val="center"/>
        <w:rPr>
          <w:rFonts w:ascii="Times New Roman" w:hAnsi="Times New Roman" w:cs="Times New Roman"/>
          <w:b/>
          <w:bCs/>
          <w:color w:val="auto"/>
          <w:sz w:val="36"/>
          <w:szCs w:val="36"/>
        </w:rPr>
      </w:pPr>
      <w:bookmarkStart w:id="43" w:name="_Toc419106563"/>
      <w:bookmarkStart w:id="44" w:name="_Toc373767199"/>
      <w:bookmarkStart w:id="45" w:name="_Toc17932"/>
      <w:bookmarkStart w:id="46" w:name="_Toc325031942"/>
      <w:bookmarkStart w:id="47" w:name="_Toc310519886"/>
      <w:bookmarkStart w:id="48" w:name="_Toc200168795"/>
      <w:bookmarkStart w:id="49" w:name="_Toc25312"/>
      <w:bookmarkStart w:id="50" w:name="_Toc19601"/>
      <w:bookmarkStart w:id="51" w:name="_Toc49329265"/>
      <w:bookmarkStart w:id="52" w:name="_Toc37670363"/>
      <w:bookmarkStart w:id="53" w:name="_Toc25726413"/>
      <w:bookmarkStart w:id="54" w:name="_Toc29817726"/>
      <w:bookmarkStart w:id="55" w:name="_Toc26261460"/>
      <w:bookmarkStart w:id="56" w:name="_Hlt113163462"/>
      <w:bookmarkStart w:id="57" w:name="_Hlt113175082"/>
      <w:bookmarkStart w:id="58" w:name="_Hlt113163463"/>
      <w:bookmarkStart w:id="59" w:name="_Hlt113175081"/>
      <w:bookmarkStart w:id="60" w:name="_Toc34980753"/>
      <w:r>
        <w:rPr>
          <w:rFonts w:ascii="Times New Roman" w:hAnsi="Times New Roman" w:cs="Times New Roman"/>
          <w:b/>
          <w:bCs/>
          <w:color w:val="auto"/>
          <w:sz w:val="36"/>
          <w:szCs w:val="36"/>
        </w:rPr>
        <w:t>响应文件目录</w:t>
      </w:r>
      <w:bookmarkEnd w:id="43"/>
      <w:bookmarkEnd w:id="44"/>
      <w:bookmarkEnd w:id="45"/>
      <w:bookmarkEnd w:id="46"/>
      <w:bookmarkEnd w:id="47"/>
      <w:bookmarkEnd w:id="48"/>
      <w:bookmarkEnd w:id="49"/>
      <w:bookmarkEnd w:id="50"/>
    </w:p>
    <w:p w14:paraId="3D621D42">
      <w:pPr>
        <w:spacing w:line="324" w:lineRule="auto"/>
        <w:jc w:val="center"/>
        <w:outlineLvl w:val="0"/>
        <w:rPr>
          <w:rFonts w:ascii="Times New Roman" w:hAnsi="Times New Roman" w:cs="Times New Roman"/>
          <w:b/>
          <w:color w:val="auto"/>
          <w:sz w:val="28"/>
          <w:szCs w:val="28"/>
        </w:rPr>
      </w:pPr>
      <w:bookmarkStart w:id="61" w:name="_法定代表人授权书"/>
      <w:bookmarkEnd w:id="61"/>
      <w:bookmarkStart w:id="62" w:name="_资格性文件清单"/>
      <w:bookmarkEnd w:id="62"/>
      <w:bookmarkStart w:id="63" w:name="_投标资格文件清单"/>
      <w:bookmarkEnd w:id="63"/>
      <w:bookmarkStart w:id="64" w:name="_初审文件清单"/>
      <w:bookmarkEnd w:id="64"/>
      <w:bookmarkStart w:id="65" w:name="_Toc286240891"/>
      <w:bookmarkStart w:id="66" w:name="_Toc224094430"/>
      <w:bookmarkStart w:id="67" w:name="_Toc217623813"/>
      <w:bookmarkStart w:id="68" w:name="_Toc20787"/>
      <w:bookmarkStart w:id="69" w:name="_Toc14400"/>
      <w:bookmarkStart w:id="70" w:name="_Toc10327"/>
      <w:bookmarkStart w:id="71" w:name="_Toc24619"/>
      <w:bookmarkStart w:id="72" w:name="_Toc136662939"/>
      <w:bookmarkStart w:id="73" w:name="_Toc136682915"/>
      <w:bookmarkStart w:id="74" w:name="_Toc159385074"/>
      <w:r>
        <w:rPr>
          <w:rFonts w:ascii="Times New Roman" w:hAnsi="Times New Roman" w:cs="Times New Roman"/>
          <w:b/>
          <w:color w:val="auto"/>
          <w:sz w:val="28"/>
          <w:szCs w:val="28"/>
        </w:rPr>
        <w:t>响应文件封面及目录部分</w:t>
      </w:r>
      <w:bookmarkEnd w:id="65"/>
      <w:bookmarkEnd w:id="66"/>
      <w:bookmarkEnd w:id="67"/>
      <w:bookmarkEnd w:id="68"/>
      <w:bookmarkEnd w:id="69"/>
    </w:p>
    <w:p w14:paraId="3F2203FA">
      <w:pPr>
        <w:spacing w:line="324" w:lineRule="auto"/>
        <w:ind w:firstLine="236" w:firstLineChars="98"/>
        <w:rPr>
          <w:rFonts w:ascii="Times New Roman" w:hAnsi="Times New Roman" w:cs="Times New Roman"/>
          <w:b/>
          <w:color w:val="auto"/>
          <w:sz w:val="24"/>
        </w:rPr>
      </w:pPr>
    </w:p>
    <w:p w14:paraId="2268474F">
      <w:pPr>
        <w:numPr>
          <w:ilvl w:val="0"/>
          <w:numId w:val="2"/>
        </w:numPr>
        <w:tabs>
          <w:tab w:val="left" w:pos="720"/>
          <w:tab w:val="clear" w:pos="695"/>
        </w:tabs>
        <w:spacing w:line="324" w:lineRule="auto"/>
        <w:ind w:left="0" w:hanging="540"/>
        <w:rPr>
          <w:rFonts w:ascii="Times New Roman" w:hAnsi="Times New Roman" w:cs="Times New Roman"/>
          <w:b/>
          <w:color w:val="auto"/>
          <w:sz w:val="24"/>
        </w:rPr>
      </w:pPr>
      <w:r>
        <w:rPr>
          <w:rFonts w:ascii="Times New Roman" w:hAnsi="Times New Roman" w:cs="Times New Roman"/>
          <w:b/>
          <w:color w:val="auto"/>
          <w:sz w:val="24"/>
        </w:rPr>
        <w:t>供应商应按本《采购文件》要求，自行设计和编制响应文件的封面和目录部分。</w:t>
      </w:r>
    </w:p>
    <w:p w14:paraId="241C26C6">
      <w:pPr>
        <w:numPr>
          <w:ilvl w:val="0"/>
          <w:numId w:val="2"/>
        </w:numPr>
        <w:tabs>
          <w:tab w:val="left" w:pos="720"/>
          <w:tab w:val="clear" w:pos="695"/>
        </w:tabs>
        <w:spacing w:line="324" w:lineRule="auto"/>
        <w:ind w:left="0" w:hanging="720"/>
        <w:rPr>
          <w:rFonts w:ascii="Times New Roman" w:hAnsi="Times New Roman" w:cs="Times New Roman"/>
          <w:b/>
          <w:color w:val="auto"/>
          <w:sz w:val="24"/>
        </w:rPr>
      </w:pPr>
      <w:r>
        <w:rPr>
          <w:rFonts w:ascii="Times New Roman" w:hAnsi="Times New Roman" w:cs="Times New Roman"/>
          <w:b/>
          <w:color w:val="auto"/>
          <w:sz w:val="24"/>
        </w:rPr>
        <w:t>响应文件封面上须包含但不限于以下内容：</w:t>
      </w:r>
    </w:p>
    <w:p w14:paraId="2AA8A45D">
      <w:pPr>
        <w:numPr>
          <w:ilvl w:val="1"/>
          <w:numId w:val="2"/>
        </w:numPr>
        <w:tabs>
          <w:tab w:val="left" w:pos="1440"/>
          <w:tab w:val="clear" w:pos="1115"/>
        </w:tabs>
        <w:spacing w:line="324" w:lineRule="auto"/>
        <w:ind w:left="0" w:hanging="215"/>
        <w:rPr>
          <w:rFonts w:ascii="Times New Roman" w:hAnsi="Times New Roman" w:cs="Times New Roman"/>
          <w:color w:val="auto"/>
          <w:szCs w:val="21"/>
          <w:lang w:val="en-GB"/>
        </w:rPr>
      </w:pPr>
      <w:r>
        <w:rPr>
          <w:rFonts w:ascii="Times New Roman" w:hAnsi="Times New Roman" w:cs="Times New Roman"/>
          <w:color w:val="auto"/>
          <w:szCs w:val="21"/>
          <w:lang w:val="en-GB"/>
        </w:rPr>
        <w:t>项目名称和项目编号；</w:t>
      </w:r>
    </w:p>
    <w:p w14:paraId="3C0EAE45">
      <w:pPr>
        <w:numPr>
          <w:ilvl w:val="1"/>
          <w:numId w:val="2"/>
        </w:numPr>
        <w:tabs>
          <w:tab w:val="left" w:pos="1440"/>
          <w:tab w:val="clear" w:pos="1115"/>
        </w:tabs>
        <w:spacing w:line="324" w:lineRule="auto"/>
        <w:ind w:left="0" w:hanging="215"/>
        <w:rPr>
          <w:rFonts w:ascii="Times New Roman" w:hAnsi="Times New Roman" w:cs="Times New Roman"/>
          <w:color w:val="auto"/>
          <w:szCs w:val="21"/>
          <w:lang w:val="en-GB"/>
        </w:rPr>
      </w:pPr>
      <w:r>
        <w:rPr>
          <w:rFonts w:ascii="Times New Roman" w:hAnsi="Times New Roman" w:cs="Times New Roman"/>
          <w:color w:val="auto"/>
          <w:szCs w:val="21"/>
          <w:lang w:val="en-GB"/>
        </w:rPr>
        <w:t>供应商名称；</w:t>
      </w:r>
    </w:p>
    <w:p w14:paraId="1FEB43DF">
      <w:pPr>
        <w:numPr>
          <w:ilvl w:val="1"/>
          <w:numId w:val="2"/>
        </w:numPr>
        <w:tabs>
          <w:tab w:val="left" w:pos="1440"/>
          <w:tab w:val="clear" w:pos="1115"/>
        </w:tabs>
        <w:spacing w:line="324" w:lineRule="auto"/>
        <w:ind w:left="0" w:hanging="215"/>
        <w:rPr>
          <w:rFonts w:ascii="Times New Roman" w:hAnsi="Times New Roman" w:cs="Times New Roman"/>
          <w:color w:val="auto"/>
          <w:szCs w:val="21"/>
          <w:lang w:val="en-GB"/>
        </w:rPr>
      </w:pPr>
      <w:r>
        <w:rPr>
          <w:rFonts w:ascii="Times New Roman" w:hAnsi="Times New Roman" w:cs="Times New Roman"/>
          <w:color w:val="auto"/>
          <w:szCs w:val="21"/>
          <w:lang w:val="en-GB"/>
        </w:rPr>
        <w:t>授权代表姓名及联系电话（含传真号码）</w:t>
      </w:r>
    </w:p>
    <w:p w14:paraId="013A1272">
      <w:pPr>
        <w:numPr>
          <w:ilvl w:val="1"/>
          <w:numId w:val="2"/>
        </w:numPr>
        <w:tabs>
          <w:tab w:val="left" w:pos="1440"/>
          <w:tab w:val="clear" w:pos="1115"/>
        </w:tabs>
        <w:spacing w:line="324" w:lineRule="auto"/>
        <w:ind w:left="0" w:hanging="215"/>
        <w:rPr>
          <w:rFonts w:ascii="Times New Roman" w:hAnsi="Times New Roman" w:cs="Times New Roman"/>
          <w:color w:val="auto"/>
          <w:szCs w:val="21"/>
          <w:lang w:val="en-GB"/>
        </w:rPr>
      </w:pPr>
      <w:r>
        <w:rPr>
          <w:rFonts w:ascii="Times New Roman" w:hAnsi="Times New Roman" w:cs="Times New Roman"/>
          <w:color w:val="auto"/>
          <w:szCs w:val="21"/>
          <w:lang w:val="en-GB"/>
        </w:rPr>
        <w:t>注明“正本”或“副本”字样。</w:t>
      </w:r>
    </w:p>
    <w:p w14:paraId="286A49F8">
      <w:pPr>
        <w:numPr>
          <w:ilvl w:val="0"/>
          <w:numId w:val="2"/>
        </w:numPr>
        <w:tabs>
          <w:tab w:val="left" w:pos="720"/>
          <w:tab w:val="clear" w:pos="695"/>
        </w:tabs>
        <w:spacing w:line="324" w:lineRule="auto"/>
        <w:ind w:left="0" w:hanging="540"/>
        <w:rPr>
          <w:rFonts w:ascii="Times New Roman" w:hAnsi="Times New Roman" w:cs="Times New Roman"/>
          <w:color w:val="auto"/>
          <w:sz w:val="20"/>
          <w:szCs w:val="22"/>
        </w:rPr>
      </w:pPr>
      <w:r>
        <w:rPr>
          <w:rFonts w:ascii="Times New Roman" w:hAnsi="Times New Roman" w:cs="Times New Roman"/>
          <w:b/>
          <w:color w:val="auto"/>
          <w:sz w:val="24"/>
        </w:rPr>
        <w:t>响应文件必须编制目录，且目录必须清晰、准确，与响应文件中的每页所加注的页码相对应。</w:t>
      </w:r>
    </w:p>
    <w:p w14:paraId="6CDFAE2B">
      <w:pPr>
        <w:numPr>
          <w:ilvl w:val="0"/>
          <w:numId w:val="2"/>
        </w:numPr>
        <w:tabs>
          <w:tab w:val="left" w:pos="720"/>
          <w:tab w:val="clear" w:pos="695"/>
        </w:tabs>
        <w:spacing w:line="324" w:lineRule="auto"/>
        <w:ind w:left="0" w:hanging="540"/>
        <w:rPr>
          <w:rFonts w:ascii="Times New Roman" w:hAnsi="Times New Roman" w:cs="Times New Roman"/>
          <w:b/>
          <w:color w:val="auto"/>
          <w:sz w:val="24"/>
        </w:rPr>
      </w:pPr>
      <w:r>
        <w:rPr>
          <w:rFonts w:ascii="Times New Roman" w:hAnsi="Times New Roman" w:cs="Times New Roman"/>
          <w:b/>
          <w:color w:val="auto"/>
          <w:sz w:val="24"/>
        </w:rPr>
        <w:t>响应文件的【正本】及所有【副本】的封面及骑缝均须加盖供应商公章。</w:t>
      </w:r>
    </w:p>
    <w:p w14:paraId="63535352">
      <w:pPr>
        <w:spacing w:line="324" w:lineRule="auto"/>
        <w:rPr>
          <w:rFonts w:ascii="Times New Roman" w:hAnsi="Times New Roman" w:cs="Times New Roman"/>
          <w:color w:val="auto"/>
          <w:sz w:val="20"/>
          <w:szCs w:val="22"/>
        </w:rPr>
      </w:pPr>
    </w:p>
    <w:p w14:paraId="43214EB1">
      <w:pPr>
        <w:spacing w:line="324" w:lineRule="auto"/>
        <w:ind w:firstLine="550" w:firstLineChars="250"/>
        <w:rPr>
          <w:rFonts w:ascii="Times New Roman" w:hAnsi="Times New Roman" w:cs="Times New Roman"/>
          <w:color w:val="auto"/>
          <w:sz w:val="22"/>
          <w:szCs w:val="22"/>
        </w:rPr>
      </w:pPr>
    </w:p>
    <w:p w14:paraId="5EF9E143">
      <w:pPr>
        <w:spacing w:line="324" w:lineRule="auto"/>
        <w:jc w:val="left"/>
        <w:rPr>
          <w:rFonts w:ascii="Times New Roman" w:hAnsi="Times New Roman" w:cs="Times New Roman"/>
          <w:color w:val="auto"/>
          <w:sz w:val="22"/>
          <w:szCs w:val="22"/>
        </w:rPr>
      </w:pPr>
      <w:r>
        <w:rPr>
          <w:rFonts w:ascii="Times New Roman" w:hAnsi="Times New Roman" w:cs="Times New Roman"/>
          <w:b/>
          <w:bCs/>
          <w:color w:val="auto"/>
          <w:sz w:val="24"/>
        </w:rPr>
        <w:t>注：供应商须按本部分的格式内容进行排版和编制《响应文件》，如属于格式外的，或本部分未提供具体格式的，供应商可根据投标方案或内容，针对评审子项要求，自行拟定具体格式和设计排版。</w:t>
      </w:r>
    </w:p>
    <w:p w14:paraId="5D930D8C">
      <w:pPr>
        <w:pStyle w:val="2"/>
        <w:pageBreakBefore/>
        <w:spacing w:line="324" w:lineRule="auto"/>
        <w:rPr>
          <w:rFonts w:ascii="Times New Roman" w:hAnsi="Times New Roman" w:eastAsiaTheme="minorEastAsia"/>
          <w:color w:val="auto"/>
          <w:sz w:val="36"/>
          <w:szCs w:val="36"/>
        </w:rPr>
      </w:pPr>
      <w:bookmarkStart w:id="75" w:name="_Toc29965"/>
      <w:bookmarkStart w:id="76" w:name="_Toc6174"/>
      <w:r>
        <w:rPr>
          <w:rFonts w:ascii="Times New Roman" w:hAnsi="Times New Roman" w:eastAsiaTheme="minorEastAsia"/>
          <w:color w:val="auto"/>
          <w:sz w:val="36"/>
          <w:szCs w:val="36"/>
        </w:rPr>
        <w:fldChar w:fldCharType="begin"/>
      </w:r>
      <w:r>
        <w:rPr>
          <w:rFonts w:ascii="Times New Roman" w:hAnsi="Times New Roman" w:eastAsiaTheme="minorEastAsia"/>
          <w:color w:val="auto"/>
          <w:sz w:val="36"/>
          <w:szCs w:val="36"/>
        </w:rPr>
        <w:instrText xml:space="preserve">HYPERLINK  \l "_投标文件目录"</w:instrText>
      </w:r>
      <w:r>
        <w:rPr>
          <w:rFonts w:ascii="Times New Roman" w:hAnsi="Times New Roman" w:eastAsiaTheme="minorEastAsia"/>
          <w:color w:val="auto"/>
          <w:sz w:val="36"/>
          <w:szCs w:val="36"/>
        </w:rPr>
        <w:fldChar w:fldCharType="separate"/>
      </w:r>
      <w:bookmarkStart w:id="77" w:name="_Toc113157429"/>
      <w:bookmarkStart w:id="78" w:name="_Toc240108116"/>
      <w:bookmarkStart w:id="79" w:name="_Toc200168796"/>
      <w:bookmarkStart w:id="80" w:name="_Toc259803669"/>
      <w:bookmarkStart w:id="81" w:name="_Toc159385073"/>
      <w:bookmarkStart w:id="82" w:name="_Toc419106564"/>
      <w:r>
        <w:rPr>
          <w:rFonts w:ascii="Times New Roman" w:hAnsi="Times New Roman" w:eastAsiaTheme="minorEastAsia"/>
          <w:color w:val="auto"/>
          <w:sz w:val="36"/>
          <w:szCs w:val="36"/>
        </w:rPr>
        <w:t>第一</w:t>
      </w:r>
      <w:bookmarkStart w:id="83" w:name="_Hlt112738827"/>
      <w:r>
        <w:rPr>
          <w:rFonts w:ascii="Times New Roman" w:hAnsi="Times New Roman" w:eastAsiaTheme="minorEastAsia"/>
          <w:color w:val="auto"/>
          <w:sz w:val="36"/>
          <w:szCs w:val="36"/>
        </w:rPr>
        <w:t xml:space="preserve">章 </w:t>
      </w:r>
      <w:bookmarkEnd w:id="83"/>
      <w:r>
        <w:rPr>
          <w:rFonts w:ascii="Times New Roman" w:hAnsi="Times New Roman" w:eastAsiaTheme="minorEastAsia"/>
          <w:color w:val="auto"/>
          <w:sz w:val="36"/>
          <w:szCs w:val="36"/>
        </w:rPr>
        <w:t xml:space="preserve"> </w:t>
      </w:r>
      <w:bookmarkStart w:id="84" w:name="_Hlt112738975"/>
      <w:r>
        <w:rPr>
          <w:rFonts w:ascii="Times New Roman" w:hAnsi="Times New Roman" w:eastAsiaTheme="minorEastAsia"/>
          <w:color w:val="auto"/>
          <w:sz w:val="36"/>
          <w:szCs w:val="36"/>
        </w:rPr>
        <w:t>资格性文</w:t>
      </w:r>
      <w:bookmarkEnd w:id="84"/>
      <w:bookmarkStart w:id="85" w:name="_Hlt112738761"/>
      <w:r>
        <w:rPr>
          <w:rFonts w:ascii="Times New Roman" w:hAnsi="Times New Roman" w:eastAsiaTheme="minorEastAsia"/>
          <w:color w:val="auto"/>
          <w:sz w:val="36"/>
          <w:szCs w:val="36"/>
        </w:rPr>
        <w:t>件</w:t>
      </w:r>
      <w:bookmarkEnd w:id="77"/>
      <w:bookmarkEnd w:id="78"/>
      <w:bookmarkEnd w:id="79"/>
      <w:bookmarkEnd w:id="80"/>
      <w:bookmarkEnd w:id="81"/>
      <w:bookmarkEnd w:id="82"/>
      <w:bookmarkEnd w:id="85"/>
      <w:r>
        <w:rPr>
          <w:rFonts w:ascii="Times New Roman" w:hAnsi="Times New Roman" w:eastAsiaTheme="minorEastAsia"/>
          <w:color w:val="auto"/>
          <w:sz w:val="36"/>
          <w:szCs w:val="36"/>
        </w:rPr>
        <w:fldChar w:fldCharType="end"/>
      </w:r>
      <w:bookmarkEnd w:id="70"/>
      <w:bookmarkEnd w:id="71"/>
      <w:bookmarkEnd w:id="75"/>
      <w:bookmarkEnd w:id="76"/>
    </w:p>
    <w:p w14:paraId="0D5B9DED">
      <w:pPr>
        <w:spacing w:line="324" w:lineRule="auto"/>
        <w:jc w:val="center"/>
        <w:rPr>
          <w:rFonts w:ascii="Times New Roman" w:hAnsi="Times New Roman" w:cs="Times New Roman"/>
          <w:b/>
          <w:color w:val="auto"/>
          <w:sz w:val="36"/>
          <w:szCs w:val="36"/>
          <w:shd w:val="clear" w:color="auto" w:fill="FFFF99"/>
        </w:rPr>
        <w:sectPr>
          <w:headerReference r:id="rId3" w:type="default"/>
          <w:footerReference r:id="rId4" w:type="default"/>
          <w:pgSz w:w="11906" w:h="16838"/>
          <w:pgMar w:top="1134" w:right="1134" w:bottom="1134" w:left="1587" w:header="567" w:footer="737" w:gutter="0"/>
          <w:cols w:space="720" w:num="1"/>
          <w:docGrid w:linePitch="312" w:charSpace="0"/>
        </w:sectPr>
      </w:pPr>
    </w:p>
    <w:p w14:paraId="6AF2A612">
      <w:pPr>
        <w:spacing w:line="324" w:lineRule="auto"/>
        <w:jc w:val="center"/>
        <w:rPr>
          <w:rFonts w:ascii="Times New Roman" w:hAnsi="Times New Roman" w:cs="Times New Roman"/>
          <w:b/>
          <w:bCs/>
          <w:color w:val="auto"/>
          <w:sz w:val="36"/>
          <w:szCs w:val="36"/>
        </w:rPr>
      </w:pPr>
      <w:bookmarkStart w:id="86" w:name="_资格性文件清单_1"/>
      <w:bookmarkEnd w:id="86"/>
      <w:bookmarkStart w:id="87" w:name="_Toc1449"/>
      <w:bookmarkStart w:id="88" w:name="_Toc20059"/>
      <w:bookmarkStart w:id="89" w:name="_Toc325031944"/>
      <w:bookmarkStart w:id="90" w:name="_Toc8065"/>
      <w:bookmarkStart w:id="91" w:name="_Toc310519888"/>
      <w:bookmarkStart w:id="92" w:name="_Toc419106565"/>
      <w:r>
        <w:rPr>
          <w:rFonts w:ascii="Times New Roman" w:hAnsi="Times New Roman" w:cs="Times New Roman"/>
          <w:b/>
          <w:bCs/>
          <w:color w:val="auto"/>
          <w:sz w:val="36"/>
          <w:szCs w:val="36"/>
        </w:rPr>
        <w:t>资格性文件</w:t>
      </w:r>
      <w:bookmarkEnd w:id="72"/>
      <w:bookmarkEnd w:id="73"/>
      <w:r>
        <w:rPr>
          <w:rFonts w:ascii="Times New Roman" w:hAnsi="Times New Roman" w:cs="Times New Roman"/>
          <w:b/>
          <w:bCs/>
          <w:color w:val="auto"/>
          <w:sz w:val="36"/>
          <w:szCs w:val="36"/>
        </w:rPr>
        <w:t>清单</w:t>
      </w:r>
      <w:bookmarkEnd w:id="74"/>
      <w:bookmarkEnd w:id="87"/>
      <w:bookmarkEnd w:id="88"/>
      <w:bookmarkEnd w:id="89"/>
      <w:bookmarkEnd w:id="90"/>
      <w:bookmarkEnd w:id="91"/>
      <w:bookmarkEnd w:id="92"/>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581"/>
        <w:gridCol w:w="5516"/>
        <w:gridCol w:w="717"/>
        <w:gridCol w:w="1039"/>
      </w:tblGrid>
      <w:tr w14:paraId="3BCA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shd w:val="clear" w:color="auto" w:fill="F3F3F3"/>
            <w:vAlign w:val="center"/>
          </w:tcPr>
          <w:p w14:paraId="1616DFD1">
            <w:pPr>
              <w:spacing w:line="324" w:lineRule="auto"/>
              <w:jc w:val="center"/>
              <w:rPr>
                <w:rFonts w:ascii="Times New Roman" w:hAnsi="Times New Roman" w:cs="Times New Roman"/>
                <w:b/>
                <w:bCs/>
                <w:color w:val="auto"/>
              </w:rPr>
            </w:pPr>
            <w:r>
              <w:rPr>
                <w:rFonts w:ascii="Times New Roman" w:hAnsi="Times New Roman" w:cs="Times New Roman"/>
                <w:b/>
                <w:bCs/>
                <w:color w:val="auto"/>
              </w:rPr>
              <w:t>序号</w:t>
            </w:r>
          </w:p>
        </w:tc>
        <w:tc>
          <w:tcPr>
            <w:tcW w:w="1581" w:type="dxa"/>
            <w:tcBorders>
              <w:right w:val="single" w:color="auto" w:sz="4" w:space="0"/>
            </w:tcBorders>
            <w:shd w:val="clear" w:color="auto" w:fill="F3F3F3"/>
            <w:vAlign w:val="center"/>
          </w:tcPr>
          <w:p w14:paraId="25CE5D2C">
            <w:pPr>
              <w:pStyle w:val="35"/>
              <w:keepNext w:val="0"/>
              <w:adjustRightInd/>
              <w:spacing w:before="0" w:after="0" w:line="324" w:lineRule="auto"/>
              <w:textAlignment w:val="auto"/>
              <w:rPr>
                <w:rFonts w:ascii="Times New Roman" w:hAnsi="Times New Roman" w:eastAsiaTheme="minorEastAsia"/>
                <w:b/>
                <w:bCs/>
                <w:snapToGrid/>
                <w:color w:val="auto"/>
                <w:spacing w:val="0"/>
                <w:kern w:val="2"/>
                <w:sz w:val="21"/>
                <w:szCs w:val="21"/>
              </w:rPr>
            </w:pPr>
            <w:r>
              <w:rPr>
                <w:rFonts w:ascii="Times New Roman" w:hAnsi="Times New Roman" w:eastAsiaTheme="minorEastAsia"/>
                <w:b/>
                <w:bCs/>
                <w:snapToGrid/>
                <w:color w:val="auto"/>
                <w:spacing w:val="0"/>
                <w:kern w:val="2"/>
                <w:sz w:val="21"/>
                <w:szCs w:val="21"/>
              </w:rPr>
              <w:t>文件名称</w:t>
            </w:r>
          </w:p>
        </w:tc>
        <w:tc>
          <w:tcPr>
            <w:tcW w:w="5516" w:type="dxa"/>
            <w:tcBorders>
              <w:left w:val="single" w:color="auto" w:sz="4" w:space="0"/>
            </w:tcBorders>
            <w:shd w:val="clear" w:color="auto" w:fill="F3F3F3"/>
            <w:vAlign w:val="center"/>
          </w:tcPr>
          <w:p w14:paraId="658D0ADD">
            <w:pPr>
              <w:pStyle w:val="35"/>
              <w:keepNext w:val="0"/>
              <w:adjustRightInd/>
              <w:spacing w:before="0" w:after="0" w:line="324" w:lineRule="auto"/>
              <w:textAlignment w:val="auto"/>
              <w:rPr>
                <w:rFonts w:ascii="Times New Roman" w:hAnsi="Times New Roman" w:eastAsiaTheme="minorEastAsia"/>
                <w:b/>
                <w:bCs/>
                <w:snapToGrid/>
                <w:color w:val="auto"/>
                <w:spacing w:val="0"/>
                <w:kern w:val="2"/>
                <w:sz w:val="21"/>
                <w:szCs w:val="21"/>
              </w:rPr>
            </w:pPr>
            <w:r>
              <w:rPr>
                <w:rFonts w:ascii="Times New Roman" w:hAnsi="Times New Roman" w:eastAsiaTheme="minorEastAsia"/>
                <w:b/>
                <w:bCs/>
                <w:snapToGrid/>
                <w:color w:val="auto"/>
                <w:spacing w:val="0"/>
                <w:kern w:val="2"/>
                <w:sz w:val="21"/>
                <w:szCs w:val="21"/>
              </w:rPr>
              <w:t>文件内容要求</w:t>
            </w:r>
          </w:p>
        </w:tc>
        <w:tc>
          <w:tcPr>
            <w:tcW w:w="717" w:type="dxa"/>
            <w:shd w:val="clear" w:color="auto" w:fill="F3F3F3"/>
            <w:vAlign w:val="center"/>
          </w:tcPr>
          <w:p w14:paraId="77F2C3A0">
            <w:pPr>
              <w:spacing w:line="324" w:lineRule="auto"/>
              <w:jc w:val="center"/>
              <w:rPr>
                <w:rFonts w:ascii="Times New Roman" w:hAnsi="Times New Roman" w:cs="Times New Roman"/>
                <w:b/>
                <w:bCs/>
                <w:color w:val="auto"/>
              </w:rPr>
            </w:pPr>
            <w:r>
              <w:rPr>
                <w:rFonts w:ascii="Times New Roman" w:hAnsi="Times New Roman" w:cs="Times New Roman"/>
                <w:b/>
                <w:bCs/>
                <w:color w:val="auto"/>
              </w:rPr>
              <w:t>数量</w:t>
            </w:r>
          </w:p>
        </w:tc>
        <w:tc>
          <w:tcPr>
            <w:tcW w:w="1039" w:type="dxa"/>
            <w:shd w:val="clear" w:color="auto" w:fill="F3F3F3"/>
            <w:vAlign w:val="center"/>
          </w:tcPr>
          <w:p w14:paraId="63020635">
            <w:pPr>
              <w:spacing w:line="324" w:lineRule="auto"/>
              <w:jc w:val="center"/>
              <w:rPr>
                <w:rFonts w:ascii="Times New Roman" w:hAnsi="Times New Roman" w:cs="Times New Roman"/>
                <w:b/>
                <w:bCs/>
                <w:color w:val="auto"/>
              </w:rPr>
            </w:pPr>
            <w:r>
              <w:rPr>
                <w:rFonts w:ascii="Times New Roman" w:hAnsi="Times New Roman" w:cs="Times New Roman"/>
                <w:b/>
                <w:bCs/>
                <w:color w:val="auto"/>
              </w:rPr>
              <w:t>文件属性</w:t>
            </w:r>
          </w:p>
        </w:tc>
      </w:tr>
      <w:tr w14:paraId="42CE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448166B6">
            <w:pPr>
              <w:numPr>
                <w:ilvl w:val="0"/>
                <w:numId w:val="3"/>
              </w:numPr>
              <w:tabs>
                <w:tab w:val="left" w:pos="180"/>
              </w:tabs>
              <w:spacing w:line="324" w:lineRule="auto"/>
              <w:jc w:val="center"/>
              <w:rPr>
                <w:rFonts w:ascii="Times New Roman" w:hAnsi="Times New Roman" w:cs="Times New Roman"/>
                <w:color w:val="auto"/>
              </w:rPr>
            </w:pPr>
          </w:p>
        </w:tc>
        <w:tc>
          <w:tcPr>
            <w:tcW w:w="1581" w:type="dxa"/>
            <w:tcBorders>
              <w:right w:val="single" w:color="auto" w:sz="4" w:space="0"/>
            </w:tcBorders>
            <w:vAlign w:val="center"/>
          </w:tcPr>
          <w:p w14:paraId="1952CE12">
            <w:pPr>
              <w:spacing w:line="324" w:lineRule="auto"/>
              <w:jc w:val="center"/>
              <w:rPr>
                <w:rFonts w:ascii="Times New Roman" w:hAnsi="Times New Roman" w:cs="Times New Roman"/>
                <w:color w:val="auto"/>
              </w:rPr>
            </w:pPr>
            <w:r>
              <w:rPr>
                <w:rFonts w:ascii="Times New Roman" w:hAnsi="Times New Roman" w:cs="Times New Roman"/>
                <w:color w:val="auto"/>
              </w:rPr>
              <w:t>响应承诺函</w:t>
            </w:r>
          </w:p>
        </w:tc>
        <w:tc>
          <w:tcPr>
            <w:tcW w:w="5516" w:type="dxa"/>
            <w:tcBorders>
              <w:left w:val="single" w:color="auto" w:sz="4" w:space="0"/>
            </w:tcBorders>
            <w:vAlign w:val="center"/>
          </w:tcPr>
          <w:p w14:paraId="286AC494">
            <w:pPr>
              <w:spacing w:line="324" w:lineRule="auto"/>
              <w:jc w:val="center"/>
              <w:rPr>
                <w:rFonts w:ascii="Times New Roman" w:hAnsi="Times New Roman" w:cs="Times New Roman"/>
                <w:color w:val="auto"/>
              </w:rPr>
            </w:pPr>
            <w:r>
              <w:rPr>
                <w:rFonts w:ascii="Times New Roman" w:hAnsi="Times New Roman" w:cs="Times New Roman"/>
                <w:color w:val="auto"/>
              </w:rPr>
              <w:t>按对应格式文件签署、盖章</w:t>
            </w:r>
          </w:p>
        </w:tc>
        <w:tc>
          <w:tcPr>
            <w:tcW w:w="717" w:type="dxa"/>
            <w:vAlign w:val="center"/>
          </w:tcPr>
          <w:p w14:paraId="34B410AB">
            <w:pPr>
              <w:spacing w:line="324" w:lineRule="auto"/>
              <w:jc w:val="center"/>
              <w:rPr>
                <w:rFonts w:ascii="Times New Roman" w:hAnsi="Times New Roman" w:cs="Times New Roman"/>
                <w:color w:val="auto"/>
              </w:rPr>
            </w:pPr>
            <w:r>
              <w:rPr>
                <w:rFonts w:ascii="Times New Roman" w:hAnsi="Times New Roman" w:cs="Times New Roman"/>
                <w:color w:val="auto"/>
              </w:rPr>
              <w:t>1份</w:t>
            </w:r>
          </w:p>
        </w:tc>
        <w:tc>
          <w:tcPr>
            <w:tcW w:w="1039" w:type="dxa"/>
            <w:vAlign w:val="center"/>
          </w:tcPr>
          <w:p w14:paraId="269B80E8">
            <w:pPr>
              <w:spacing w:line="324" w:lineRule="auto"/>
              <w:jc w:val="center"/>
              <w:rPr>
                <w:rFonts w:ascii="Times New Roman" w:hAnsi="Times New Roman" w:cs="Times New Roman"/>
                <w:color w:val="auto"/>
              </w:rPr>
            </w:pPr>
            <w:r>
              <w:rPr>
                <w:rFonts w:ascii="Times New Roman" w:hAnsi="Times New Roman" w:cs="Times New Roman"/>
                <w:color w:val="auto"/>
              </w:rPr>
              <w:t>原件</w:t>
            </w:r>
          </w:p>
        </w:tc>
      </w:tr>
      <w:tr w14:paraId="7989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3C0BB557">
            <w:pPr>
              <w:numPr>
                <w:ilvl w:val="0"/>
                <w:numId w:val="3"/>
              </w:numPr>
              <w:tabs>
                <w:tab w:val="left" w:pos="180"/>
              </w:tabs>
              <w:spacing w:line="324" w:lineRule="auto"/>
              <w:jc w:val="center"/>
              <w:rPr>
                <w:rFonts w:ascii="Times New Roman" w:hAnsi="Times New Roman" w:cs="Times New Roman"/>
                <w:color w:val="auto"/>
              </w:rPr>
            </w:pPr>
          </w:p>
        </w:tc>
        <w:tc>
          <w:tcPr>
            <w:tcW w:w="1581" w:type="dxa"/>
            <w:tcBorders>
              <w:right w:val="single" w:color="auto" w:sz="4" w:space="0"/>
            </w:tcBorders>
            <w:vAlign w:val="center"/>
          </w:tcPr>
          <w:p w14:paraId="5CA420E4">
            <w:pPr>
              <w:spacing w:line="324" w:lineRule="auto"/>
              <w:jc w:val="center"/>
              <w:rPr>
                <w:rFonts w:ascii="Times New Roman" w:hAnsi="Times New Roman" w:cs="Times New Roman"/>
                <w:color w:val="auto"/>
              </w:rPr>
            </w:pPr>
            <w:r>
              <w:rPr>
                <w:rFonts w:ascii="Times New Roman" w:hAnsi="Times New Roman" w:cs="Times New Roman"/>
                <w:color w:val="auto"/>
              </w:rPr>
              <w:t>法定代表人/法定负责人证明书</w:t>
            </w:r>
          </w:p>
        </w:tc>
        <w:tc>
          <w:tcPr>
            <w:tcW w:w="5516" w:type="dxa"/>
            <w:tcBorders>
              <w:left w:val="single" w:color="auto" w:sz="4" w:space="0"/>
            </w:tcBorders>
            <w:vAlign w:val="center"/>
          </w:tcPr>
          <w:p w14:paraId="0E270AA4">
            <w:pPr>
              <w:spacing w:line="324" w:lineRule="auto"/>
              <w:jc w:val="center"/>
              <w:rPr>
                <w:rFonts w:ascii="Times New Roman" w:hAnsi="Times New Roman" w:cs="Times New Roman"/>
                <w:color w:val="auto"/>
              </w:rPr>
            </w:pPr>
            <w:r>
              <w:rPr>
                <w:rFonts w:ascii="Times New Roman" w:hAnsi="Times New Roman" w:cs="Times New Roman"/>
                <w:color w:val="auto"/>
              </w:rPr>
              <w:t>按对应格式文件签署、盖章</w:t>
            </w:r>
          </w:p>
        </w:tc>
        <w:tc>
          <w:tcPr>
            <w:tcW w:w="717" w:type="dxa"/>
            <w:vAlign w:val="center"/>
          </w:tcPr>
          <w:p w14:paraId="2C8C6E53">
            <w:pPr>
              <w:spacing w:line="324" w:lineRule="auto"/>
              <w:jc w:val="center"/>
              <w:rPr>
                <w:rFonts w:ascii="Times New Roman" w:hAnsi="Times New Roman" w:cs="Times New Roman"/>
                <w:color w:val="auto"/>
              </w:rPr>
            </w:pPr>
            <w:r>
              <w:rPr>
                <w:rFonts w:ascii="Times New Roman" w:hAnsi="Times New Roman" w:cs="Times New Roman"/>
                <w:color w:val="auto"/>
              </w:rPr>
              <w:t>1份</w:t>
            </w:r>
          </w:p>
        </w:tc>
        <w:tc>
          <w:tcPr>
            <w:tcW w:w="1039" w:type="dxa"/>
            <w:vAlign w:val="center"/>
          </w:tcPr>
          <w:p w14:paraId="57927342">
            <w:pPr>
              <w:spacing w:line="324" w:lineRule="auto"/>
              <w:jc w:val="center"/>
              <w:rPr>
                <w:rFonts w:ascii="Times New Roman" w:hAnsi="Times New Roman" w:cs="Times New Roman"/>
                <w:color w:val="auto"/>
              </w:rPr>
            </w:pPr>
            <w:r>
              <w:rPr>
                <w:rFonts w:ascii="Times New Roman" w:hAnsi="Times New Roman" w:cs="Times New Roman"/>
                <w:color w:val="auto"/>
              </w:rPr>
              <w:t>原件</w:t>
            </w:r>
          </w:p>
        </w:tc>
      </w:tr>
      <w:tr w14:paraId="4E9D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4DE0D2B">
            <w:pPr>
              <w:numPr>
                <w:ilvl w:val="0"/>
                <w:numId w:val="3"/>
              </w:numPr>
              <w:tabs>
                <w:tab w:val="left" w:pos="180"/>
              </w:tabs>
              <w:spacing w:line="324" w:lineRule="auto"/>
              <w:jc w:val="center"/>
              <w:rPr>
                <w:rFonts w:ascii="Times New Roman" w:hAnsi="Times New Roman" w:cs="Times New Roman"/>
                <w:color w:val="auto"/>
              </w:rPr>
            </w:pPr>
          </w:p>
        </w:tc>
        <w:tc>
          <w:tcPr>
            <w:tcW w:w="1581" w:type="dxa"/>
            <w:tcBorders>
              <w:right w:val="single" w:color="auto" w:sz="4" w:space="0"/>
            </w:tcBorders>
            <w:vAlign w:val="center"/>
          </w:tcPr>
          <w:p w14:paraId="09897147">
            <w:pPr>
              <w:spacing w:line="324" w:lineRule="auto"/>
              <w:jc w:val="center"/>
              <w:rPr>
                <w:rFonts w:ascii="Times New Roman" w:hAnsi="Times New Roman" w:cs="Times New Roman"/>
                <w:color w:val="auto"/>
              </w:rPr>
            </w:pPr>
            <w:r>
              <w:rPr>
                <w:rFonts w:ascii="Times New Roman" w:hAnsi="Times New Roman" w:cs="Times New Roman"/>
                <w:color w:val="auto"/>
              </w:rPr>
              <w:t>法定代表人/法定负责人授权书</w:t>
            </w:r>
          </w:p>
        </w:tc>
        <w:tc>
          <w:tcPr>
            <w:tcW w:w="5516" w:type="dxa"/>
            <w:tcBorders>
              <w:left w:val="single" w:color="auto" w:sz="4" w:space="0"/>
            </w:tcBorders>
            <w:vAlign w:val="center"/>
          </w:tcPr>
          <w:p w14:paraId="75AEFBD1">
            <w:pPr>
              <w:spacing w:line="324" w:lineRule="auto"/>
              <w:jc w:val="center"/>
              <w:rPr>
                <w:rFonts w:ascii="Times New Roman" w:hAnsi="Times New Roman" w:cs="Times New Roman"/>
                <w:color w:val="auto"/>
              </w:rPr>
            </w:pPr>
            <w:r>
              <w:rPr>
                <w:rFonts w:ascii="Times New Roman" w:hAnsi="Times New Roman" w:cs="Times New Roman"/>
                <w:color w:val="auto"/>
              </w:rPr>
              <w:t>按对应格式文件签署、盖章</w:t>
            </w:r>
          </w:p>
        </w:tc>
        <w:tc>
          <w:tcPr>
            <w:tcW w:w="717" w:type="dxa"/>
            <w:vAlign w:val="center"/>
          </w:tcPr>
          <w:p w14:paraId="5F7B6CEA">
            <w:pPr>
              <w:spacing w:line="324" w:lineRule="auto"/>
              <w:jc w:val="center"/>
              <w:rPr>
                <w:rFonts w:ascii="Times New Roman" w:hAnsi="Times New Roman" w:cs="Times New Roman"/>
                <w:color w:val="auto"/>
              </w:rPr>
            </w:pPr>
            <w:r>
              <w:rPr>
                <w:rFonts w:ascii="Times New Roman" w:hAnsi="Times New Roman" w:cs="Times New Roman"/>
                <w:color w:val="auto"/>
              </w:rPr>
              <w:t>1份</w:t>
            </w:r>
          </w:p>
        </w:tc>
        <w:tc>
          <w:tcPr>
            <w:tcW w:w="1039" w:type="dxa"/>
            <w:vAlign w:val="center"/>
          </w:tcPr>
          <w:p w14:paraId="7DE4050D">
            <w:pPr>
              <w:spacing w:line="324" w:lineRule="auto"/>
              <w:jc w:val="center"/>
              <w:rPr>
                <w:rFonts w:ascii="Times New Roman" w:hAnsi="Times New Roman" w:cs="Times New Roman"/>
                <w:color w:val="auto"/>
              </w:rPr>
            </w:pPr>
            <w:r>
              <w:rPr>
                <w:rFonts w:ascii="Times New Roman" w:hAnsi="Times New Roman" w:cs="Times New Roman"/>
                <w:color w:val="auto"/>
              </w:rPr>
              <w:t>原件</w:t>
            </w:r>
          </w:p>
        </w:tc>
      </w:tr>
      <w:tr w14:paraId="6E53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193DB2CC">
            <w:pPr>
              <w:numPr>
                <w:ilvl w:val="0"/>
                <w:numId w:val="3"/>
              </w:numPr>
              <w:tabs>
                <w:tab w:val="left" w:pos="180"/>
              </w:tabs>
              <w:spacing w:line="324" w:lineRule="auto"/>
              <w:jc w:val="center"/>
              <w:rPr>
                <w:rFonts w:ascii="Times New Roman" w:hAnsi="Times New Roman" w:cs="Times New Roman"/>
                <w:color w:val="auto"/>
              </w:rPr>
            </w:pPr>
          </w:p>
        </w:tc>
        <w:tc>
          <w:tcPr>
            <w:tcW w:w="1581" w:type="dxa"/>
            <w:tcBorders>
              <w:right w:val="single" w:color="auto" w:sz="4" w:space="0"/>
            </w:tcBorders>
            <w:vAlign w:val="center"/>
          </w:tcPr>
          <w:p w14:paraId="594F9C63">
            <w:pPr>
              <w:spacing w:line="324" w:lineRule="auto"/>
              <w:jc w:val="center"/>
              <w:rPr>
                <w:rFonts w:ascii="Times New Roman" w:hAnsi="Times New Roman" w:cs="Times New Roman"/>
                <w:color w:val="auto"/>
              </w:rPr>
            </w:pPr>
            <w:r>
              <w:rPr>
                <w:rFonts w:ascii="Times New Roman" w:hAnsi="Times New Roman" w:cs="Times New Roman"/>
                <w:color w:val="auto"/>
              </w:rPr>
              <w:t>资格性证明材料</w:t>
            </w:r>
          </w:p>
        </w:tc>
        <w:tc>
          <w:tcPr>
            <w:tcW w:w="5516" w:type="dxa"/>
            <w:tcBorders>
              <w:left w:val="single" w:color="auto" w:sz="4" w:space="0"/>
            </w:tcBorders>
            <w:vAlign w:val="center"/>
          </w:tcPr>
          <w:p w14:paraId="670B2235">
            <w:pPr>
              <w:spacing w:line="324" w:lineRule="auto"/>
              <w:jc w:val="center"/>
              <w:rPr>
                <w:rFonts w:ascii="Times New Roman" w:hAnsi="Times New Roman" w:cs="Times New Roman"/>
                <w:color w:val="auto"/>
              </w:rPr>
            </w:pPr>
            <w:r>
              <w:rPr>
                <w:rFonts w:ascii="Times New Roman" w:hAnsi="Times New Roman" w:cs="Times New Roman"/>
                <w:color w:val="auto"/>
              </w:rPr>
              <w:t>按对应格式文件签署、盖章</w:t>
            </w:r>
          </w:p>
        </w:tc>
        <w:tc>
          <w:tcPr>
            <w:tcW w:w="717" w:type="dxa"/>
            <w:vAlign w:val="center"/>
          </w:tcPr>
          <w:p w14:paraId="776A9BC0">
            <w:pPr>
              <w:spacing w:line="324" w:lineRule="auto"/>
              <w:jc w:val="center"/>
              <w:rPr>
                <w:rFonts w:ascii="Times New Roman" w:hAnsi="Times New Roman" w:cs="Times New Roman"/>
                <w:color w:val="auto"/>
              </w:rPr>
            </w:pPr>
            <w:r>
              <w:rPr>
                <w:rFonts w:ascii="Times New Roman" w:hAnsi="Times New Roman" w:cs="Times New Roman"/>
                <w:color w:val="auto"/>
              </w:rPr>
              <w:t>1套</w:t>
            </w:r>
          </w:p>
        </w:tc>
        <w:tc>
          <w:tcPr>
            <w:tcW w:w="1039" w:type="dxa"/>
            <w:vAlign w:val="center"/>
          </w:tcPr>
          <w:p w14:paraId="7EBCA8FB">
            <w:pPr>
              <w:spacing w:line="324" w:lineRule="auto"/>
              <w:jc w:val="center"/>
              <w:rPr>
                <w:rFonts w:ascii="Times New Roman" w:hAnsi="Times New Roman" w:cs="Times New Roman"/>
                <w:color w:val="auto"/>
              </w:rPr>
            </w:pPr>
            <w:r>
              <w:rPr>
                <w:rFonts w:ascii="Times New Roman" w:hAnsi="Times New Roman" w:cs="Times New Roman"/>
                <w:color w:val="auto"/>
              </w:rPr>
              <w:t>原件/复印件</w:t>
            </w:r>
          </w:p>
        </w:tc>
      </w:tr>
      <w:tr w14:paraId="1AE8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3C43448">
            <w:pPr>
              <w:numPr>
                <w:ilvl w:val="0"/>
                <w:numId w:val="3"/>
              </w:numPr>
              <w:tabs>
                <w:tab w:val="left" w:pos="180"/>
              </w:tabs>
              <w:spacing w:line="324" w:lineRule="auto"/>
              <w:jc w:val="center"/>
              <w:rPr>
                <w:rFonts w:ascii="Times New Roman" w:hAnsi="Times New Roman" w:cs="Times New Roman"/>
                <w:color w:val="auto"/>
              </w:rPr>
            </w:pPr>
          </w:p>
        </w:tc>
        <w:tc>
          <w:tcPr>
            <w:tcW w:w="1581" w:type="dxa"/>
            <w:tcBorders>
              <w:right w:val="single" w:color="auto" w:sz="4" w:space="0"/>
            </w:tcBorders>
            <w:vAlign w:val="center"/>
          </w:tcPr>
          <w:p w14:paraId="19AA39BA">
            <w:pPr>
              <w:spacing w:line="324" w:lineRule="auto"/>
              <w:jc w:val="center"/>
              <w:rPr>
                <w:rFonts w:ascii="Times New Roman" w:hAnsi="Times New Roman" w:cs="Times New Roman"/>
                <w:color w:val="auto"/>
              </w:rPr>
            </w:pPr>
            <w:r>
              <w:rPr>
                <w:rFonts w:ascii="Times New Roman" w:hAnsi="Times New Roman" w:cs="Times New Roman"/>
                <w:color w:val="auto"/>
              </w:rPr>
              <w:t>营业执照副本</w:t>
            </w:r>
          </w:p>
          <w:p w14:paraId="76F7AB43">
            <w:pPr>
              <w:spacing w:line="324" w:lineRule="auto"/>
              <w:jc w:val="center"/>
              <w:rPr>
                <w:rFonts w:ascii="Times New Roman" w:hAnsi="Times New Roman" w:cs="Times New Roman"/>
                <w:color w:val="auto"/>
              </w:rPr>
            </w:pPr>
            <w:r>
              <w:rPr>
                <w:rFonts w:ascii="Times New Roman" w:hAnsi="Times New Roman" w:cs="Times New Roman"/>
                <w:color w:val="auto"/>
              </w:rPr>
              <w:t>副  本</w:t>
            </w:r>
          </w:p>
        </w:tc>
        <w:tc>
          <w:tcPr>
            <w:tcW w:w="5516" w:type="dxa"/>
            <w:tcBorders>
              <w:left w:val="single" w:color="auto" w:sz="4" w:space="0"/>
            </w:tcBorders>
            <w:vAlign w:val="center"/>
          </w:tcPr>
          <w:p w14:paraId="23814829">
            <w:pPr>
              <w:spacing w:line="324" w:lineRule="auto"/>
              <w:jc w:val="left"/>
              <w:rPr>
                <w:rFonts w:ascii="Times New Roman" w:hAnsi="Times New Roman" w:cs="Times New Roman"/>
                <w:color w:val="auto"/>
              </w:rPr>
            </w:pPr>
            <w:r>
              <w:rPr>
                <w:rFonts w:ascii="Times New Roman" w:hAnsi="Times New Roman" w:cs="Times New Roman"/>
                <w:color w:val="auto"/>
              </w:rPr>
              <w:t>供应商须是中华人民共和国大陆境内合法注册的独立法人或其他组织，能独立承担民事责任。</w:t>
            </w:r>
          </w:p>
        </w:tc>
        <w:tc>
          <w:tcPr>
            <w:tcW w:w="717" w:type="dxa"/>
            <w:vAlign w:val="center"/>
          </w:tcPr>
          <w:p w14:paraId="50C1B358">
            <w:pPr>
              <w:spacing w:line="324" w:lineRule="auto"/>
              <w:jc w:val="center"/>
              <w:rPr>
                <w:rFonts w:ascii="Times New Roman" w:hAnsi="Times New Roman" w:cs="Times New Roman"/>
                <w:color w:val="auto"/>
              </w:rPr>
            </w:pPr>
            <w:r>
              <w:rPr>
                <w:rFonts w:ascii="Times New Roman" w:hAnsi="Times New Roman" w:cs="Times New Roman"/>
                <w:color w:val="auto"/>
              </w:rPr>
              <w:t>1份</w:t>
            </w:r>
          </w:p>
        </w:tc>
        <w:tc>
          <w:tcPr>
            <w:tcW w:w="1039" w:type="dxa"/>
            <w:vAlign w:val="center"/>
          </w:tcPr>
          <w:p w14:paraId="7AFED23F">
            <w:pPr>
              <w:pStyle w:val="35"/>
              <w:keepNext w:val="0"/>
              <w:adjustRightInd/>
              <w:spacing w:before="0" w:after="0" w:line="324" w:lineRule="auto"/>
              <w:textAlignment w:val="auto"/>
              <w:rPr>
                <w:rFonts w:ascii="Times New Roman" w:hAnsi="Times New Roman" w:eastAsiaTheme="minorEastAsia"/>
                <w:snapToGrid/>
                <w:color w:val="auto"/>
                <w:spacing w:val="0"/>
                <w:kern w:val="2"/>
                <w:sz w:val="21"/>
                <w:szCs w:val="21"/>
              </w:rPr>
            </w:pPr>
            <w:r>
              <w:rPr>
                <w:rFonts w:ascii="Times New Roman" w:hAnsi="Times New Roman" w:eastAsiaTheme="minorEastAsia"/>
                <w:snapToGrid/>
                <w:color w:val="auto"/>
                <w:spacing w:val="0"/>
                <w:kern w:val="2"/>
                <w:sz w:val="21"/>
                <w:szCs w:val="21"/>
              </w:rPr>
              <w:t>副本</w:t>
            </w:r>
          </w:p>
          <w:p w14:paraId="64EA85FC">
            <w:pPr>
              <w:pStyle w:val="35"/>
              <w:keepNext w:val="0"/>
              <w:adjustRightInd/>
              <w:spacing w:before="0" w:after="0" w:line="324" w:lineRule="auto"/>
              <w:textAlignment w:val="auto"/>
              <w:rPr>
                <w:rFonts w:ascii="Times New Roman" w:hAnsi="Times New Roman" w:eastAsiaTheme="minorEastAsia"/>
                <w:color w:val="auto"/>
              </w:rPr>
            </w:pPr>
            <w:r>
              <w:rPr>
                <w:rFonts w:ascii="Times New Roman" w:hAnsi="Times New Roman" w:eastAsiaTheme="minorEastAsia"/>
                <w:snapToGrid/>
                <w:color w:val="auto"/>
                <w:spacing w:val="0"/>
                <w:kern w:val="2"/>
                <w:sz w:val="21"/>
                <w:szCs w:val="21"/>
              </w:rPr>
              <w:t>复印件</w:t>
            </w:r>
          </w:p>
        </w:tc>
      </w:tr>
      <w:tr w14:paraId="1A4F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2FD3636A">
            <w:pPr>
              <w:numPr>
                <w:ilvl w:val="0"/>
                <w:numId w:val="3"/>
              </w:numPr>
              <w:tabs>
                <w:tab w:val="left" w:pos="180"/>
              </w:tabs>
              <w:spacing w:line="324" w:lineRule="auto"/>
              <w:jc w:val="center"/>
              <w:rPr>
                <w:rFonts w:ascii="Times New Roman" w:hAnsi="Times New Roman" w:cs="Times New Roman"/>
                <w:color w:val="auto"/>
              </w:rPr>
            </w:pPr>
          </w:p>
        </w:tc>
        <w:tc>
          <w:tcPr>
            <w:tcW w:w="1581" w:type="dxa"/>
            <w:tcBorders>
              <w:right w:val="single" w:color="auto" w:sz="4" w:space="0"/>
            </w:tcBorders>
            <w:vAlign w:val="center"/>
          </w:tcPr>
          <w:p w14:paraId="6D6BA67C">
            <w:pPr>
              <w:spacing w:line="324" w:lineRule="auto"/>
              <w:jc w:val="center"/>
              <w:rPr>
                <w:rFonts w:ascii="Times New Roman" w:hAnsi="Times New Roman" w:cs="Times New Roman"/>
                <w:color w:val="auto"/>
              </w:rPr>
            </w:pPr>
            <w:r>
              <w:rPr>
                <w:rFonts w:ascii="Times New Roman" w:hAnsi="Times New Roman" w:cs="Times New Roman"/>
                <w:color w:val="auto"/>
              </w:rPr>
              <w:t>有依法缴纳税收和社会保障资金的良好记录</w:t>
            </w:r>
          </w:p>
        </w:tc>
        <w:tc>
          <w:tcPr>
            <w:tcW w:w="5516" w:type="dxa"/>
            <w:tcBorders>
              <w:left w:val="single" w:color="auto" w:sz="4" w:space="0"/>
            </w:tcBorders>
            <w:vAlign w:val="center"/>
          </w:tcPr>
          <w:p w14:paraId="7B51081D">
            <w:pPr>
              <w:spacing w:line="324" w:lineRule="auto"/>
              <w:jc w:val="left"/>
              <w:rPr>
                <w:rFonts w:ascii="Times New Roman" w:hAnsi="Times New Roman" w:cs="Times New Roman"/>
                <w:color w:val="auto"/>
              </w:rPr>
            </w:pPr>
            <w:r>
              <w:rPr>
                <w:rFonts w:ascii="Times New Roman" w:hAnsi="Times New Roman" w:cs="Times New Roman"/>
                <w:color w:val="auto"/>
              </w:rPr>
              <w:t>提供提供投标截止日前6个月内任意1个月依法缴纳税收和社会保障资金的相关材料。如依法免税或不需要缴纳社会保障资金的，提供相应证明材料。</w:t>
            </w:r>
          </w:p>
        </w:tc>
        <w:tc>
          <w:tcPr>
            <w:tcW w:w="717" w:type="dxa"/>
            <w:vAlign w:val="center"/>
          </w:tcPr>
          <w:p w14:paraId="3CA54869">
            <w:pPr>
              <w:spacing w:line="324" w:lineRule="auto"/>
              <w:jc w:val="center"/>
              <w:rPr>
                <w:rFonts w:ascii="Times New Roman" w:hAnsi="Times New Roman" w:cs="Times New Roman"/>
                <w:color w:val="auto"/>
              </w:rPr>
            </w:pPr>
            <w:r>
              <w:rPr>
                <w:rFonts w:ascii="Times New Roman" w:hAnsi="Times New Roman" w:cs="Times New Roman"/>
                <w:color w:val="auto"/>
              </w:rPr>
              <w:t>1份</w:t>
            </w:r>
          </w:p>
        </w:tc>
        <w:tc>
          <w:tcPr>
            <w:tcW w:w="1039" w:type="dxa"/>
            <w:vAlign w:val="center"/>
          </w:tcPr>
          <w:p w14:paraId="5B62DD83">
            <w:pPr>
              <w:pStyle w:val="35"/>
              <w:keepNext w:val="0"/>
              <w:adjustRightInd/>
              <w:spacing w:before="0" w:after="0" w:line="324" w:lineRule="auto"/>
              <w:textAlignment w:val="auto"/>
              <w:rPr>
                <w:rFonts w:ascii="Times New Roman" w:hAnsi="Times New Roman" w:eastAsiaTheme="minorEastAsia"/>
                <w:snapToGrid/>
                <w:color w:val="auto"/>
                <w:spacing w:val="0"/>
                <w:kern w:val="2"/>
                <w:sz w:val="21"/>
                <w:szCs w:val="21"/>
              </w:rPr>
            </w:pPr>
            <w:r>
              <w:rPr>
                <w:rFonts w:ascii="Times New Roman" w:hAnsi="Times New Roman" w:eastAsiaTheme="minorEastAsia"/>
                <w:snapToGrid/>
                <w:color w:val="auto"/>
                <w:spacing w:val="0"/>
                <w:kern w:val="2"/>
                <w:sz w:val="21"/>
                <w:szCs w:val="21"/>
              </w:rPr>
              <w:t>复印件</w:t>
            </w:r>
          </w:p>
        </w:tc>
      </w:tr>
      <w:tr w14:paraId="1076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08E0E768">
            <w:pPr>
              <w:numPr>
                <w:ilvl w:val="0"/>
                <w:numId w:val="3"/>
              </w:numPr>
              <w:tabs>
                <w:tab w:val="left" w:pos="180"/>
              </w:tabs>
              <w:spacing w:line="324" w:lineRule="auto"/>
              <w:jc w:val="center"/>
              <w:rPr>
                <w:rFonts w:ascii="Times New Roman" w:hAnsi="Times New Roman" w:cs="Times New Roman"/>
                <w:color w:val="auto"/>
              </w:rPr>
            </w:pPr>
          </w:p>
        </w:tc>
        <w:tc>
          <w:tcPr>
            <w:tcW w:w="1581" w:type="dxa"/>
            <w:tcBorders>
              <w:right w:val="single" w:color="auto" w:sz="4" w:space="0"/>
            </w:tcBorders>
            <w:vAlign w:val="center"/>
          </w:tcPr>
          <w:p w14:paraId="3C86AAE9">
            <w:pPr>
              <w:spacing w:line="324" w:lineRule="auto"/>
              <w:jc w:val="center"/>
              <w:rPr>
                <w:rFonts w:ascii="Times New Roman" w:hAnsi="Times New Roman" w:cs="Times New Roman"/>
                <w:color w:val="auto"/>
              </w:rPr>
            </w:pPr>
            <w:r>
              <w:rPr>
                <w:rFonts w:ascii="Times New Roman" w:hAnsi="Times New Roman" w:cs="Times New Roman"/>
                <w:color w:val="auto"/>
              </w:rPr>
              <w:t>具有良好的商业信誉和健全的财务会计制度</w:t>
            </w:r>
          </w:p>
        </w:tc>
        <w:tc>
          <w:tcPr>
            <w:tcW w:w="5516" w:type="dxa"/>
            <w:tcBorders>
              <w:left w:val="single" w:color="auto" w:sz="4" w:space="0"/>
            </w:tcBorders>
            <w:vAlign w:val="center"/>
          </w:tcPr>
          <w:p w14:paraId="4CCC13B3">
            <w:pPr>
              <w:spacing w:line="324" w:lineRule="auto"/>
              <w:jc w:val="left"/>
              <w:rPr>
                <w:rFonts w:ascii="Times New Roman" w:hAnsi="Times New Roman" w:cs="Times New Roman"/>
                <w:color w:val="auto"/>
              </w:rPr>
            </w:pPr>
            <w:r>
              <w:rPr>
                <w:rFonts w:ascii="Times New Roman" w:hAnsi="Times New Roman" w:cs="Times New Roman"/>
                <w:color w:val="auto"/>
              </w:rPr>
              <w:t>提供以下</w:t>
            </w:r>
            <w:r>
              <w:rPr>
                <w:rFonts w:hint="eastAsia" w:ascii="Times New Roman" w:hAnsi="Times New Roman" w:cs="Times New Roman"/>
                <w:color w:val="auto"/>
              </w:rPr>
              <w:t>两</w:t>
            </w:r>
            <w:r>
              <w:rPr>
                <w:rFonts w:ascii="Times New Roman" w:hAnsi="Times New Roman" w:cs="Times New Roman"/>
                <w:color w:val="auto"/>
              </w:rPr>
              <w:t>种证明材料之一：1.提供2022或2023年度财务状况报告，财务状况报告须由第三方会计师事务所出具，能清晰显示第三方会计师事务所的印章，并能反映审计结论；</w:t>
            </w:r>
            <w:r>
              <w:rPr>
                <w:rFonts w:hint="eastAsia" w:ascii="Times New Roman" w:hAnsi="Times New Roman" w:cs="Times New Roman"/>
                <w:color w:val="auto"/>
              </w:rPr>
              <w:t>2</w:t>
            </w:r>
            <w:r>
              <w:rPr>
                <w:rFonts w:ascii="Times New Roman" w:hAnsi="Times New Roman" w:cs="Times New Roman"/>
                <w:color w:val="auto"/>
              </w:rPr>
              <w:t>.提供投标截止日前6个月内基本开户银行出具的资信证明，并同时提交开户（基本户）许可证扫描件，开户（基本户）许可证已取消的，应提供能体现基本开户银行的“基本存款账户编号”的相关证明。</w:t>
            </w:r>
          </w:p>
        </w:tc>
        <w:tc>
          <w:tcPr>
            <w:tcW w:w="717" w:type="dxa"/>
            <w:vAlign w:val="center"/>
          </w:tcPr>
          <w:p w14:paraId="0C2CA908">
            <w:pPr>
              <w:spacing w:line="324" w:lineRule="auto"/>
              <w:jc w:val="center"/>
              <w:rPr>
                <w:rFonts w:ascii="Times New Roman" w:hAnsi="Times New Roman" w:cs="Times New Roman"/>
                <w:color w:val="auto"/>
              </w:rPr>
            </w:pPr>
            <w:r>
              <w:rPr>
                <w:rFonts w:ascii="Times New Roman" w:hAnsi="Times New Roman" w:cs="Times New Roman"/>
                <w:color w:val="auto"/>
              </w:rPr>
              <w:t>1份</w:t>
            </w:r>
          </w:p>
        </w:tc>
        <w:tc>
          <w:tcPr>
            <w:tcW w:w="1039" w:type="dxa"/>
            <w:vAlign w:val="center"/>
          </w:tcPr>
          <w:p w14:paraId="5C6CC868">
            <w:pPr>
              <w:pStyle w:val="35"/>
              <w:keepNext w:val="0"/>
              <w:adjustRightInd/>
              <w:spacing w:before="0" w:after="0" w:line="324" w:lineRule="auto"/>
              <w:textAlignment w:val="auto"/>
              <w:rPr>
                <w:rFonts w:ascii="Times New Roman" w:hAnsi="Times New Roman" w:eastAsiaTheme="minorEastAsia"/>
                <w:snapToGrid/>
                <w:color w:val="auto"/>
                <w:spacing w:val="0"/>
                <w:kern w:val="2"/>
                <w:sz w:val="21"/>
                <w:szCs w:val="21"/>
              </w:rPr>
            </w:pPr>
            <w:r>
              <w:rPr>
                <w:rFonts w:ascii="Times New Roman" w:hAnsi="Times New Roman" w:eastAsiaTheme="minorEastAsia"/>
                <w:snapToGrid/>
                <w:color w:val="auto"/>
                <w:spacing w:val="0"/>
                <w:kern w:val="2"/>
                <w:sz w:val="21"/>
                <w:szCs w:val="21"/>
              </w:rPr>
              <w:t>复印件</w:t>
            </w:r>
          </w:p>
        </w:tc>
      </w:tr>
      <w:tr w14:paraId="2090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3B52BEEB">
            <w:pPr>
              <w:numPr>
                <w:ilvl w:val="0"/>
                <w:numId w:val="3"/>
              </w:numPr>
              <w:tabs>
                <w:tab w:val="left" w:pos="180"/>
              </w:tabs>
              <w:spacing w:line="324" w:lineRule="auto"/>
              <w:jc w:val="center"/>
              <w:rPr>
                <w:rFonts w:ascii="Times New Roman" w:hAnsi="Times New Roman" w:cs="Times New Roman"/>
                <w:color w:val="auto"/>
              </w:rPr>
            </w:pPr>
          </w:p>
        </w:tc>
        <w:tc>
          <w:tcPr>
            <w:tcW w:w="1581" w:type="dxa"/>
            <w:tcBorders>
              <w:right w:val="single" w:color="auto" w:sz="4" w:space="0"/>
            </w:tcBorders>
            <w:vAlign w:val="center"/>
          </w:tcPr>
          <w:p w14:paraId="23AE8D6F">
            <w:pPr>
              <w:spacing w:line="324" w:lineRule="auto"/>
              <w:jc w:val="center"/>
              <w:rPr>
                <w:rFonts w:ascii="Times New Roman" w:hAnsi="Times New Roman" w:cs="Times New Roman"/>
                <w:color w:val="auto"/>
              </w:rPr>
            </w:pPr>
            <w:r>
              <w:rPr>
                <w:rFonts w:ascii="Times New Roman" w:hAnsi="Times New Roman" w:cs="Times New Roman"/>
                <w:color w:val="auto"/>
              </w:rPr>
              <w:t>具有履行合同所必需的设备和专业技术能力的承诺</w:t>
            </w:r>
          </w:p>
        </w:tc>
        <w:tc>
          <w:tcPr>
            <w:tcW w:w="5516" w:type="dxa"/>
            <w:tcBorders>
              <w:left w:val="single" w:color="auto" w:sz="4" w:space="0"/>
            </w:tcBorders>
            <w:vAlign w:val="center"/>
          </w:tcPr>
          <w:p w14:paraId="620BC05B">
            <w:pPr>
              <w:spacing w:line="324" w:lineRule="auto"/>
              <w:jc w:val="left"/>
              <w:rPr>
                <w:rFonts w:ascii="Times New Roman" w:hAnsi="Times New Roman" w:cs="Times New Roman"/>
                <w:color w:val="auto"/>
              </w:rPr>
            </w:pPr>
            <w:r>
              <w:rPr>
                <w:rFonts w:ascii="Times New Roman" w:hAnsi="Times New Roman" w:cs="Times New Roman"/>
                <w:color w:val="auto"/>
              </w:rPr>
              <w:t>按投标（响应）文件格式填写《具有履行合同所必需的设备和专业技术能力的承诺函》。</w:t>
            </w:r>
          </w:p>
        </w:tc>
        <w:tc>
          <w:tcPr>
            <w:tcW w:w="717" w:type="dxa"/>
            <w:vAlign w:val="center"/>
          </w:tcPr>
          <w:p w14:paraId="2F7B8E85">
            <w:pPr>
              <w:spacing w:line="324" w:lineRule="auto"/>
              <w:jc w:val="center"/>
              <w:rPr>
                <w:rFonts w:ascii="Times New Roman" w:hAnsi="Times New Roman" w:cs="Times New Roman"/>
                <w:color w:val="auto"/>
              </w:rPr>
            </w:pPr>
            <w:r>
              <w:rPr>
                <w:rFonts w:ascii="Times New Roman" w:hAnsi="Times New Roman" w:cs="Times New Roman"/>
                <w:color w:val="auto"/>
              </w:rPr>
              <w:t>1份</w:t>
            </w:r>
          </w:p>
        </w:tc>
        <w:tc>
          <w:tcPr>
            <w:tcW w:w="1039" w:type="dxa"/>
            <w:vAlign w:val="center"/>
          </w:tcPr>
          <w:p w14:paraId="1E58F3DF">
            <w:pPr>
              <w:spacing w:line="324" w:lineRule="auto"/>
              <w:jc w:val="center"/>
              <w:rPr>
                <w:rFonts w:ascii="Times New Roman" w:hAnsi="Times New Roman" w:cs="Times New Roman"/>
                <w:color w:val="auto"/>
              </w:rPr>
            </w:pPr>
            <w:r>
              <w:rPr>
                <w:rFonts w:ascii="Times New Roman" w:hAnsi="Times New Roman" w:cs="Times New Roman"/>
                <w:color w:val="auto"/>
              </w:rPr>
              <w:t>原件</w:t>
            </w:r>
          </w:p>
        </w:tc>
      </w:tr>
      <w:tr w14:paraId="1C40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0477522">
            <w:pPr>
              <w:numPr>
                <w:ilvl w:val="0"/>
                <w:numId w:val="3"/>
              </w:numPr>
              <w:tabs>
                <w:tab w:val="left" w:pos="180"/>
              </w:tabs>
              <w:spacing w:line="324" w:lineRule="auto"/>
              <w:jc w:val="center"/>
              <w:rPr>
                <w:rFonts w:ascii="Times New Roman" w:hAnsi="Times New Roman" w:cs="Times New Roman"/>
                <w:color w:val="auto"/>
              </w:rPr>
            </w:pPr>
          </w:p>
        </w:tc>
        <w:tc>
          <w:tcPr>
            <w:tcW w:w="1581" w:type="dxa"/>
            <w:tcBorders>
              <w:right w:val="single" w:color="auto" w:sz="4" w:space="0"/>
            </w:tcBorders>
            <w:vAlign w:val="center"/>
          </w:tcPr>
          <w:p w14:paraId="4FFF00B0">
            <w:pPr>
              <w:spacing w:line="324" w:lineRule="auto"/>
              <w:jc w:val="center"/>
              <w:rPr>
                <w:rFonts w:ascii="Times New Roman" w:hAnsi="Times New Roman" w:cs="Times New Roman"/>
                <w:color w:val="auto"/>
              </w:rPr>
            </w:pPr>
            <w:r>
              <w:rPr>
                <w:rFonts w:ascii="Times New Roman" w:hAnsi="Times New Roman" w:cs="Times New Roman"/>
                <w:color w:val="auto"/>
              </w:rPr>
              <w:t>参与采购活动前三年内在经营活动中没有重大违法记录的书面声明函</w:t>
            </w:r>
          </w:p>
        </w:tc>
        <w:tc>
          <w:tcPr>
            <w:tcW w:w="5516" w:type="dxa"/>
            <w:tcBorders>
              <w:left w:val="single" w:color="auto" w:sz="4" w:space="0"/>
            </w:tcBorders>
            <w:vAlign w:val="center"/>
          </w:tcPr>
          <w:p w14:paraId="4AF2CEA3">
            <w:pPr>
              <w:spacing w:line="324" w:lineRule="auto"/>
              <w:jc w:val="center"/>
              <w:rPr>
                <w:rFonts w:ascii="Times New Roman" w:hAnsi="Times New Roman" w:cs="Times New Roman"/>
                <w:color w:val="auto"/>
              </w:rPr>
            </w:pPr>
            <w:r>
              <w:rPr>
                <w:rFonts w:ascii="Times New Roman" w:hAnsi="Times New Roman" w:cs="Times New Roman"/>
                <w:color w:val="auto"/>
              </w:rPr>
              <w:t>按对应格式文件签署、盖章</w:t>
            </w:r>
          </w:p>
        </w:tc>
        <w:tc>
          <w:tcPr>
            <w:tcW w:w="717" w:type="dxa"/>
            <w:vAlign w:val="center"/>
          </w:tcPr>
          <w:p w14:paraId="2A973054">
            <w:pPr>
              <w:spacing w:line="324" w:lineRule="auto"/>
              <w:jc w:val="center"/>
              <w:rPr>
                <w:rFonts w:ascii="Times New Roman" w:hAnsi="Times New Roman" w:cs="Times New Roman"/>
                <w:color w:val="auto"/>
              </w:rPr>
            </w:pPr>
            <w:r>
              <w:rPr>
                <w:rFonts w:ascii="Times New Roman" w:hAnsi="Times New Roman" w:cs="Times New Roman"/>
                <w:color w:val="auto"/>
              </w:rPr>
              <w:t>1份</w:t>
            </w:r>
          </w:p>
        </w:tc>
        <w:tc>
          <w:tcPr>
            <w:tcW w:w="1039" w:type="dxa"/>
            <w:vAlign w:val="center"/>
          </w:tcPr>
          <w:p w14:paraId="48F98B35">
            <w:pPr>
              <w:spacing w:line="324" w:lineRule="auto"/>
              <w:jc w:val="center"/>
              <w:rPr>
                <w:rFonts w:ascii="Times New Roman" w:hAnsi="Times New Roman" w:cs="Times New Roman"/>
                <w:color w:val="auto"/>
              </w:rPr>
            </w:pPr>
            <w:r>
              <w:rPr>
                <w:rFonts w:ascii="Times New Roman" w:hAnsi="Times New Roman" w:cs="Times New Roman"/>
                <w:color w:val="auto"/>
              </w:rPr>
              <w:t>原件</w:t>
            </w:r>
          </w:p>
        </w:tc>
      </w:tr>
      <w:tr w14:paraId="1197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4EA36E25">
            <w:pPr>
              <w:numPr>
                <w:ilvl w:val="0"/>
                <w:numId w:val="3"/>
              </w:numPr>
              <w:tabs>
                <w:tab w:val="left" w:pos="180"/>
              </w:tabs>
              <w:spacing w:line="324" w:lineRule="auto"/>
              <w:jc w:val="center"/>
              <w:rPr>
                <w:rFonts w:ascii="Times New Roman" w:hAnsi="Times New Roman" w:cs="Times New Roman"/>
                <w:color w:val="auto"/>
              </w:rPr>
            </w:pPr>
          </w:p>
        </w:tc>
        <w:tc>
          <w:tcPr>
            <w:tcW w:w="1581" w:type="dxa"/>
            <w:tcBorders>
              <w:right w:val="single" w:color="auto" w:sz="4" w:space="0"/>
            </w:tcBorders>
            <w:vAlign w:val="center"/>
          </w:tcPr>
          <w:p w14:paraId="3D6BCD74">
            <w:pPr>
              <w:spacing w:line="324" w:lineRule="auto"/>
              <w:jc w:val="center"/>
              <w:rPr>
                <w:rFonts w:ascii="Times New Roman" w:hAnsi="Times New Roman" w:cs="Times New Roman"/>
                <w:color w:val="auto"/>
              </w:rPr>
            </w:pPr>
            <w:r>
              <w:rPr>
                <w:rFonts w:ascii="Times New Roman" w:hAnsi="Times New Roman" w:cs="Times New Roman"/>
                <w:color w:val="auto"/>
              </w:rPr>
              <w:t>《中小企业声明函》</w:t>
            </w:r>
          </w:p>
        </w:tc>
        <w:tc>
          <w:tcPr>
            <w:tcW w:w="5516" w:type="dxa"/>
            <w:tcBorders>
              <w:left w:val="single" w:color="auto" w:sz="4" w:space="0"/>
            </w:tcBorders>
            <w:vAlign w:val="center"/>
          </w:tcPr>
          <w:p w14:paraId="57059910">
            <w:pPr>
              <w:spacing w:line="324" w:lineRule="auto"/>
              <w:jc w:val="center"/>
              <w:rPr>
                <w:rFonts w:ascii="Times New Roman" w:hAnsi="Times New Roman" w:cs="Times New Roman"/>
                <w:color w:val="auto"/>
              </w:rPr>
            </w:pPr>
            <w:r>
              <w:rPr>
                <w:rFonts w:ascii="Times New Roman" w:hAnsi="Times New Roman" w:cs="Times New Roman"/>
                <w:color w:val="auto"/>
              </w:rPr>
              <w:t>按对应格式文件签署、盖章</w:t>
            </w:r>
          </w:p>
        </w:tc>
        <w:tc>
          <w:tcPr>
            <w:tcW w:w="717" w:type="dxa"/>
            <w:vAlign w:val="center"/>
          </w:tcPr>
          <w:p w14:paraId="55607395">
            <w:pPr>
              <w:spacing w:line="324" w:lineRule="auto"/>
              <w:jc w:val="center"/>
              <w:rPr>
                <w:rFonts w:ascii="Times New Roman" w:hAnsi="Times New Roman" w:cs="Times New Roman"/>
                <w:color w:val="auto"/>
              </w:rPr>
            </w:pPr>
            <w:r>
              <w:rPr>
                <w:rFonts w:ascii="Times New Roman" w:hAnsi="Times New Roman" w:cs="Times New Roman"/>
                <w:color w:val="auto"/>
              </w:rPr>
              <w:t>1份</w:t>
            </w:r>
          </w:p>
        </w:tc>
        <w:tc>
          <w:tcPr>
            <w:tcW w:w="1039" w:type="dxa"/>
            <w:vAlign w:val="center"/>
          </w:tcPr>
          <w:p w14:paraId="59B90357">
            <w:pPr>
              <w:spacing w:line="324" w:lineRule="auto"/>
              <w:jc w:val="center"/>
              <w:rPr>
                <w:rFonts w:ascii="Times New Roman" w:hAnsi="Times New Roman" w:cs="Times New Roman"/>
                <w:color w:val="auto"/>
              </w:rPr>
            </w:pPr>
            <w:r>
              <w:rPr>
                <w:rFonts w:ascii="Times New Roman" w:hAnsi="Times New Roman" w:cs="Times New Roman"/>
                <w:color w:val="auto"/>
              </w:rPr>
              <w:t>原件</w:t>
            </w:r>
          </w:p>
        </w:tc>
      </w:tr>
      <w:tr w14:paraId="3DD4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44" w:type="dxa"/>
            <w:vAlign w:val="center"/>
          </w:tcPr>
          <w:p w14:paraId="417179F4">
            <w:pPr>
              <w:numPr>
                <w:ilvl w:val="0"/>
                <w:numId w:val="3"/>
              </w:numPr>
              <w:tabs>
                <w:tab w:val="left" w:pos="180"/>
              </w:tabs>
              <w:spacing w:line="324" w:lineRule="auto"/>
              <w:jc w:val="center"/>
              <w:rPr>
                <w:rFonts w:ascii="Times New Roman" w:hAnsi="Times New Roman" w:cs="Times New Roman"/>
                <w:color w:val="auto"/>
              </w:rPr>
            </w:pPr>
          </w:p>
        </w:tc>
        <w:tc>
          <w:tcPr>
            <w:tcW w:w="1581" w:type="dxa"/>
            <w:tcBorders>
              <w:right w:val="single" w:color="auto" w:sz="4" w:space="0"/>
            </w:tcBorders>
            <w:vAlign w:val="center"/>
          </w:tcPr>
          <w:p w14:paraId="43C82E0B">
            <w:pPr>
              <w:spacing w:line="324" w:lineRule="auto"/>
              <w:jc w:val="center"/>
              <w:rPr>
                <w:rFonts w:ascii="Times New Roman" w:hAnsi="Times New Roman" w:cs="Times New Roman"/>
                <w:color w:val="auto"/>
              </w:rPr>
            </w:pPr>
            <w:r>
              <w:rPr>
                <w:rFonts w:ascii="Times New Roman" w:hAnsi="Times New Roman" w:cs="Times New Roman"/>
                <w:color w:val="auto"/>
              </w:rPr>
              <w:t>其他资料</w:t>
            </w:r>
          </w:p>
        </w:tc>
        <w:tc>
          <w:tcPr>
            <w:tcW w:w="5516" w:type="dxa"/>
            <w:tcBorders>
              <w:left w:val="single" w:color="auto" w:sz="4" w:space="0"/>
            </w:tcBorders>
            <w:vAlign w:val="center"/>
          </w:tcPr>
          <w:p w14:paraId="525594BC">
            <w:pPr>
              <w:spacing w:line="324" w:lineRule="auto"/>
              <w:jc w:val="center"/>
              <w:rPr>
                <w:rFonts w:ascii="Times New Roman" w:hAnsi="Times New Roman" w:cs="Times New Roman"/>
                <w:color w:val="auto"/>
              </w:rPr>
            </w:pPr>
            <w:r>
              <w:rPr>
                <w:rFonts w:ascii="Times New Roman" w:hAnsi="Times New Roman" w:cs="Times New Roman"/>
                <w:color w:val="auto"/>
              </w:rPr>
              <w:t>详见</w:t>
            </w:r>
            <w:r>
              <w:rPr>
                <w:rFonts w:hint="eastAsia" w:ascii="Times New Roman" w:hAnsi="Times New Roman" w:cs="Times New Roman"/>
                <w:color w:val="auto"/>
              </w:rPr>
              <w:t>成交供应商</w:t>
            </w:r>
            <w:r>
              <w:rPr>
                <w:rFonts w:ascii="Times New Roman" w:hAnsi="Times New Roman" w:cs="Times New Roman"/>
                <w:color w:val="auto"/>
              </w:rPr>
              <w:t>资格要求（如有）</w:t>
            </w:r>
          </w:p>
        </w:tc>
        <w:tc>
          <w:tcPr>
            <w:tcW w:w="717" w:type="dxa"/>
            <w:vAlign w:val="center"/>
          </w:tcPr>
          <w:p w14:paraId="38B4A3E1">
            <w:pPr>
              <w:spacing w:line="324" w:lineRule="auto"/>
              <w:jc w:val="center"/>
              <w:rPr>
                <w:rFonts w:ascii="Times New Roman" w:hAnsi="Times New Roman" w:cs="Times New Roman"/>
                <w:color w:val="auto"/>
              </w:rPr>
            </w:pPr>
            <w:r>
              <w:rPr>
                <w:rFonts w:ascii="Times New Roman" w:hAnsi="Times New Roman" w:cs="Times New Roman"/>
                <w:color w:val="auto"/>
              </w:rPr>
              <w:t>1份</w:t>
            </w:r>
          </w:p>
        </w:tc>
        <w:tc>
          <w:tcPr>
            <w:tcW w:w="1039" w:type="dxa"/>
            <w:vAlign w:val="center"/>
          </w:tcPr>
          <w:p w14:paraId="3F091AE8">
            <w:pPr>
              <w:pStyle w:val="35"/>
              <w:keepNext w:val="0"/>
              <w:adjustRightInd/>
              <w:spacing w:before="0" w:after="0" w:line="324" w:lineRule="auto"/>
              <w:textAlignment w:val="auto"/>
              <w:rPr>
                <w:rFonts w:ascii="Times New Roman" w:hAnsi="Times New Roman" w:eastAsiaTheme="minorEastAsia"/>
                <w:snapToGrid/>
                <w:color w:val="auto"/>
                <w:spacing w:val="0"/>
                <w:kern w:val="2"/>
                <w:sz w:val="21"/>
                <w:szCs w:val="21"/>
              </w:rPr>
            </w:pPr>
            <w:r>
              <w:rPr>
                <w:rFonts w:ascii="Times New Roman" w:hAnsi="Times New Roman" w:eastAsiaTheme="minorEastAsia"/>
                <w:snapToGrid/>
                <w:color w:val="auto"/>
                <w:spacing w:val="0"/>
                <w:kern w:val="2"/>
                <w:sz w:val="21"/>
                <w:szCs w:val="21"/>
              </w:rPr>
              <w:t>复印件</w:t>
            </w:r>
          </w:p>
        </w:tc>
      </w:tr>
    </w:tbl>
    <w:p w14:paraId="3FEB806A">
      <w:pPr>
        <w:pStyle w:val="36"/>
        <w:spacing w:line="324" w:lineRule="auto"/>
        <w:ind w:hanging="420"/>
        <w:jc w:val="center"/>
        <w:rPr>
          <w:rFonts w:ascii="Times New Roman" w:hAnsi="Times New Roman" w:eastAsiaTheme="minorEastAsia"/>
          <w:b/>
          <w:bCs/>
          <w:color w:val="auto"/>
          <w:sz w:val="30"/>
        </w:rPr>
      </w:pPr>
      <w:r>
        <w:rPr>
          <w:rFonts w:ascii="Times New Roman" w:hAnsi="Times New Roman" w:eastAsiaTheme="minorEastAsia"/>
          <w:b/>
          <w:bCs/>
          <w:color w:val="auto"/>
          <w:sz w:val="30"/>
        </w:rPr>
        <w:t>特别提示与要求！</w:t>
      </w:r>
    </w:p>
    <w:p w14:paraId="68B0972C">
      <w:pPr>
        <w:pStyle w:val="36"/>
        <w:spacing w:line="324" w:lineRule="auto"/>
        <w:ind w:firstLine="420" w:firstLineChars="200"/>
        <w:rPr>
          <w:rFonts w:ascii="Times New Roman" w:hAnsi="Times New Roman" w:eastAsiaTheme="minorEastAsia"/>
          <w:color w:val="auto"/>
        </w:rPr>
      </w:pPr>
      <w:r>
        <w:rPr>
          <w:rFonts w:ascii="Times New Roman" w:hAnsi="Times New Roman" w:eastAsiaTheme="minorEastAsia"/>
          <w:color w:val="auto"/>
        </w:rPr>
        <w:t>以上材料将作为供应商资格性审查的重要内容之一，供应商必须严格按照其内容及序列要求在响应文件中对应如实提供，对缺漏和不符合项将会直接导致无效响应！</w:t>
      </w:r>
    </w:p>
    <w:p w14:paraId="611D079A">
      <w:pPr>
        <w:pStyle w:val="4"/>
        <w:pageBreakBefore/>
        <w:numPr>
          <w:ilvl w:val="0"/>
          <w:numId w:val="3"/>
        </w:numPr>
        <w:spacing w:after="0" w:afterLines="0" w:line="324" w:lineRule="auto"/>
        <w:rPr>
          <w:rFonts w:ascii="Times New Roman" w:hAnsi="Times New Roman" w:eastAsiaTheme="minorEastAsia"/>
          <w:color w:val="auto"/>
          <w:szCs w:val="21"/>
        </w:rPr>
        <w:sectPr>
          <w:pgSz w:w="11906" w:h="16838"/>
          <w:pgMar w:top="1134" w:right="1134" w:bottom="1134" w:left="1587" w:header="567" w:footer="737" w:gutter="0"/>
          <w:cols w:space="720" w:num="1"/>
          <w:docGrid w:linePitch="312" w:charSpace="0"/>
        </w:sectPr>
      </w:pPr>
      <w:bookmarkStart w:id="93" w:name="_法定代表人授权书_1"/>
      <w:bookmarkEnd w:id="93"/>
      <w:bookmarkStart w:id="94" w:name="_Toc136682916"/>
      <w:bookmarkStart w:id="95" w:name="_Toc119321151"/>
      <w:bookmarkStart w:id="96" w:name="_Toc136662940"/>
      <w:bookmarkStart w:id="97" w:name="_Toc159385075"/>
    </w:p>
    <w:p w14:paraId="1E4EE3CA">
      <w:pPr>
        <w:pageBreakBefore/>
        <w:spacing w:line="324" w:lineRule="auto"/>
        <w:jc w:val="center"/>
        <w:outlineLvl w:val="1"/>
        <w:rPr>
          <w:rFonts w:ascii="Times New Roman" w:hAnsi="Times New Roman" w:cs="Times New Roman"/>
          <w:b/>
          <w:bCs/>
          <w:color w:val="auto"/>
          <w:sz w:val="36"/>
          <w:szCs w:val="36"/>
        </w:rPr>
      </w:pPr>
      <w:bookmarkStart w:id="98" w:name="_投标承诺函_1"/>
      <w:bookmarkEnd w:id="98"/>
      <w:bookmarkStart w:id="99" w:name="_Toc9168"/>
      <w:bookmarkStart w:id="100" w:name="_Toc26339"/>
      <w:bookmarkStart w:id="101" w:name="_Toc419106566"/>
      <w:bookmarkStart w:id="102" w:name="_Toc15578"/>
      <w:bookmarkStart w:id="103" w:name="_Toc29357"/>
      <w:r>
        <w:rPr>
          <w:rFonts w:ascii="Times New Roman" w:hAnsi="Times New Roman" w:cs="Times New Roman"/>
          <w:b/>
          <w:bCs/>
          <w:color w:val="auto"/>
          <w:sz w:val="36"/>
          <w:szCs w:val="36"/>
        </w:rPr>
        <w:t>1.1 响应承诺函</w:t>
      </w:r>
      <w:bookmarkEnd w:id="51"/>
      <w:bookmarkEnd w:id="52"/>
      <w:bookmarkEnd w:id="94"/>
      <w:bookmarkEnd w:id="95"/>
      <w:bookmarkEnd w:id="96"/>
      <w:bookmarkEnd w:id="97"/>
      <w:bookmarkEnd w:id="99"/>
      <w:bookmarkEnd w:id="100"/>
      <w:bookmarkEnd w:id="101"/>
      <w:bookmarkEnd w:id="102"/>
      <w:bookmarkEnd w:id="103"/>
    </w:p>
    <w:p w14:paraId="38D29389">
      <w:pPr>
        <w:spacing w:line="324" w:lineRule="auto"/>
        <w:ind w:left="315" w:hanging="315" w:hangingChars="150"/>
        <w:rPr>
          <w:rFonts w:ascii="Times New Roman" w:hAnsi="Times New Roman" w:cs="Times New Roman"/>
          <w:bCs/>
          <w:color w:val="auto"/>
          <w:szCs w:val="21"/>
        </w:rPr>
      </w:pPr>
      <w:r>
        <w:rPr>
          <w:rFonts w:ascii="Times New Roman" w:hAnsi="Times New Roman" w:cs="Times New Roman"/>
          <w:bCs/>
          <w:color w:val="auto"/>
          <w:szCs w:val="21"/>
        </w:rPr>
        <w:t xml:space="preserve">致 </w:t>
      </w:r>
      <w:r>
        <w:rPr>
          <w:rFonts w:hint="eastAsia" w:ascii="Times New Roman" w:hAnsi="Times New Roman" w:cs="Times New Roman"/>
          <w:bCs/>
          <w:color w:val="auto"/>
          <w:szCs w:val="21"/>
        </w:rPr>
        <w:t>佛山市消防救援支队</w:t>
      </w:r>
      <w:r>
        <w:rPr>
          <w:rFonts w:ascii="Times New Roman" w:hAnsi="Times New Roman" w:cs="Times New Roman"/>
          <w:bCs/>
          <w:color w:val="auto"/>
          <w:szCs w:val="21"/>
        </w:rPr>
        <w:t>/广东远东招标代理有限公司：</w:t>
      </w:r>
    </w:p>
    <w:p w14:paraId="7B8309CD">
      <w:pPr>
        <w:spacing w:line="324" w:lineRule="auto"/>
        <w:ind w:firstLine="420"/>
        <w:rPr>
          <w:rFonts w:ascii="Times New Roman" w:hAnsi="Times New Roman" w:cs="Times New Roman"/>
          <w:color w:val="auto"/>
          <w:szCs w:val="21"/>
        </w:rPr>
      </w:pPr>
      <w:r>
        <w:rPr>
          <w:rFonts w:ascii="Times New Roman" w:hAnsi="Times New Roman" w:cs="Times New Roman"/>
          <w:color w:val="auto"/>
          <w:szCs w:val="21"/>
        </w:rPr>
        <w:t>我方根据《竞争性磋商文件》的要求，通过委任的全权代表，向贵方递交密封册装的全套响应文件参与下列项目的响应，现为我方的一切响应行为作</w:t>
      </w:r>
      <w:r>
        <w:rPr>
          <w:rFonts w:ascii="Times New Roman" w:hAnsi="Times New Roman" w:cs="Times New Roman"/>
          <w:bCs/>
          <w:color w:val="auto"/>
          <w:szCs w:val="21"/>
        </w:rPr>
        <w:t>郑重承诺及声明如下：</w:t>
      </w:r>
    </w:p>
    <w:p w14:paraId="00DBD5F0">
      <w:pPr>
        <w:numPr>
          <w:ilvl w:val="0"/>
          <w:numId w:val="4"/>
        </w:numPr>
        <w:spacing w:line="324" w:lineRule="auto"/>
        <w:ind w:left="0"/>
        <w:rPr>
          <w:rFonts w:ascii="Times New Roman" w:hAnsi="Times New Roman" w:cs="Times New Roman"/>
          <w:color w:val="auto"/>
          <w:szCs w:val="21"/>
        </w:rPr>
      </w:pPr>
      <w:r>
        <w:rPr>
          <w:rFonts w:ascii="Times New Roman" w:hAnsi="Times New Roman" w:cs="Times New Roman"/>
          <w:color w:val="auto"/>
          <w:szCs w:val="21"/>
        </w:rPr>
        <w:t xml:space="preserve">项目名称： </w:t>
      </w:r>
      <w:r>
        <w:rPr>
          <w:rFonts w:hint="eastAsia" w:ascii="Times New Roman" w:hAnsi="Times New Roman" w:cs="Times New Roman"/>
          <w:color w:val="auto"/>
          <w:szCs w:val="21"/>
        </w:rPr>
        <w:t>佛山市消防救援支队2024年全媒体中心驻点服务项目</w:t>
      </w:r>
      <w:r>
        <w:rPr>
          <w:rFonts w:ascii="Times New Roman" w:hAnsi="Times New Roman" w:cs="Times New Roman"/>
          <w:color w:val="auto"/>
          <w:szCs w:val="21"/>
        </w:rPr>
        <w:fldChar w:fldCharType="begin"/>
      </w:r>
      <w:r>
        <w:rPr>
          <w:rFonts w:ascii="Times New Roman" w:hAnsi="Times New Roman" w:cs="Times New Roman"/>
          <w:color w:val="auto"/>
          <w:szCs w:val="21"/>
        </w:rPr>
        <w:instrText xml:space="preserve"> DOCVARIABLE  项目名称  \* MERGEFORMAT </w:instrText>
      </w:r>
      <w:r>
        <w:rPr>
          <w:rFonts w:ascii="Times New Roman" w:hAnsi="Times New Roman" w:cs="Times New Roman"/>
          <w:color w:val="auto"/>
          <w:szCs w:val="21"/>
        </w:rPr>
        <w:fldChar w:fldCharType="separate"/>
      </w:r>
      <w:r>
        <w:rPr>
          <w:rFonts w:ascii="Times New Roman" w:hAnsi="Times New Roman" w:cs="Times New Roman"/>
          <w:color w:val="auto"/>
          <w:szCs w:val="21"/>
        </w:rPr>
        <w:fldChar w:fldCharType="end"/>
      </w:r>
      <w:r>
        <w:rPr>
          <w:rFonts w:ascii="Times New Roman" w:hAnsi="Times New Roman" w:cs="Times New Roman"/>
          <w:color w:val="auto"/>
          <w:szCs w:val="21"/>
        </w:rPr>
        <w:t>；</w:t>
      </w:r>
    </w:p>
    <w:p w14:paraId="7AE58C65">
      <w:pPr>
        <w:spacing w:line="324" w:lineRule="auto"/>
        <w:rPr>
          <w:rFonts w:ascii="Times New Roman" w:hAnsi="Times New Roman" w:cs="Times New Roman"/>
          <w:color w:val="auto"/>
          <w:szCs w:val="21"/>
        </w:rPr>
      </w:pPr>
      <w:r>
        <w:rPr>
          <w:rFonts w:ascii="Times New Roman" w:hAnsi="Times New Roman" w:cs="Times New Roman"/>
          <w:color w:val="auto"/>
          <w:szCs w:val="21"/>
        </w:rPr>
        <w:t xml:space="preserve">    项目编号： </w:t>
      </w:r>
      <w:r>
        <w:rPr>
          <w:rFonts w:hint="eastAsia" w:ascii="Times New Roman" w:hAnsi="Times New Roman" w:cs="Times New Roman"/>
          <w:color w:val="auto"/>
          <w:szCs w:val="21"/>
        </w:rPr>
        <w:t>2024XFCG-20</w:t>
      </w:r>
      <w:r>
        <w:rPr>
          <w:rFonts w:ascii="Times New Roman" w:hAnsi="Times New Roman" w:cs="Times New Roman"/>
          <w:color w:val="auto"/>
          <w:szCs w:val="21"/>
        </w:rPr>
        <w:fldChar w:fldCharType="begin"/>
      </w:r>
      <w:r>
        <w:rPr>
          <w:rFonts w:ascii="Times New Roman" w:hAnsi="Times New Roman" w:cs="Times New Roman"/>
          <w:color w:val="auto"/>
          <w:szCs w:val="21"/>
        </w:rPr>
        <w:instrText xml:space="preserve"> DOCVARIABLE  采购编号  \* MERGEFORMAT </w:instrText>
      </w:r>
      <w:r>
        <w:rPr>
          <w:rFonts w:ascii="Times New Roman" w:hAnsi="Times New Roman" w:cs="Times New Roman"/>
          <w:color w:val="auto"/>
          <w:szCs w:val="21"/>
        </w:rPr>
        <w:fldChar w:fldCharType="separate"/>
      </w:r>
      <w:r>
        <w:rPr>
          <w:rFonts w:ascii="Times New Roman" w:hAnsi="Times New Roman" w:cs="Times New Roman"/>
          <w:color w:val="auto"/>
          <w:szCs w:val="21"/>
        </w:rPr>
        <w:fldChar w:fldCharType="end"/>
      </w:r>
    </w:p>
    <w:p w14:paraId="0F696555">
      <w:pPr>
        <w:numPr>
          <w:ilvl w:val="0"/>
          <w:numId w:val="4"/>
        </w:numPr>
        <w:tabs>
          <w:tab w:val="left" w:pos="9000"/>
        </w:tabs>
        <w:spacing w:line="324" w:lineRule="auto"/>
        <w:ind w:left="0"/>
        <w:rPr>
          <w:rFonts w:ascii="Times New Roman" w:hAnsi="Times New Roman" w:cs="Times New Roman"/>
          <w:color w:val="auto"/>
          <w:szCs w:val="21"/>
        </w:rPr>
      </w:pPr>
      <w:r>
        <w:rPr>
          <w:rFonts w:ascii="Times New Roman" w:hAnsi="Times New Roman" w:cs="Times New Roman"/>
          <w:color w:val="auto"/>
          <w:szCs w:val="21"/>
        </w:rPr>
        <w:t>我方已认真阅读了全部采购文件及其相关文件，完全清楚理解其内容要求及规约，对文件的合理性、公正性和程序安排均没有任何异议、质疑和误解之处。</w:t>
      </w:r>
    </w:p>
    <w:p w14:paraId="2B70BBFB">
      <w:pPr>
        <w:numPr>
          <w:ilvl w:val="0"/>
          <w:numId w:val="4"/>
        </w:numPr>
        <w:spacing w:line="324" w:lineRule="auto"/>
        <w:ind w:left="0"/>
        <w:rPr>
          <w:rFonts w:ascii="Times New Roman" w:hAnsi="Times New Roman" w:cs="Times New Roman"/>
          <w:color w:val="auto"/>
          <w:szCs w:val="21"/>
        </w:rPr>
      </w:pPr>
      <w:r>
        <w:rPr>
          <w:rFonts w:ascii="Times New Roman" w:hAnsi="Times New Roman" w:cs="Times New Roman"/>
          <w:color w:val="auto"/>
          <w:szCs w:val="21"/>
        </w:rPr>
        <w:t>我方所提供的一切文件均已经过认真、严格的审核，其内容已充分表达了我方的真实意愿，没有任何遗漏、虚假、侵权之处，若出现违背诚实信用和商业道德之行为，愿独自承担相应的法律责任。</w:t>
      </w:r>
    </w:p>
    <w:p w14:paraId="4C685DDB">
      <w:pPr>
        <w:numPr>
          <w:ilvl w:val="0"/>
          <w:numId w:val="4"/>
        </w:numPr>
        <w:spacing w:line="324" w:lineRule="auto"/>
        <w:ind w:left="0"/>
        <w:rPr>
          <w:rFonts w:ascii="Times New Roman" w:hAnsi="Times New Roman" w:cs="Times New Roman"/>
          <w:color w:val="auto"/>
          <w:szCs w:val="21"/>
        </w:rPr>
      </w:pPr>
      <w:r>
        <w:rPr>
          <w:rFonts w:ascii="Times New Roman" w:hAnsi="Times New Roman" w:cs="Times New Roman"/>
          <w:color w:val="auto"/>
          <w:szCs w:val="21"/>
        </w:rPr>
        <w:t>我方没有为本项目提供整体设计、规范编制或者项目管理、监理、检测等服务。</w:t>
      </w:r>
    </w:p>
    <w:p w14:paraId="1B6F3941">
      <w:pPr>
        <w:numPr>
          <w:ilvl w:val="0"/>
          <w:numId w:val="4"/>
        </w:numPr>
        <w:spacing w:line="324" w:lineRule="auto"/>
        <w:ind w:left="0"/>
        <w:rPr>
          <w:rFonts w:ascii="Times New Roman" w:hAnsi="Times New Roman" w:cs="Times New Roman"/>
          <w:color w:val="auto"/>
          <w:szCs w:val="21"/>
        </w:rPr>
      </w:pPr>
      <w:r>
        <w:rPr>
          <w:rFonts w:ascii="Times New Roman" w:hAnsi="Times New Roman" w:cs="Times New Roman"/>
          <w:color w:val="auto"/>
          <w:szCs w:val="21"/>
        </w:rPr>
        <w:t>响应有效期自递交响应文件起至确定正式</w:t>
      </w:r>
      <w:r>
        <w:rPr>
          <w:rFonts w:hint="eastAsia" w:ascii="Times New Roman" w:hAnsi="Times New Roman" w:cs="Times New Roman"/>
          <w:color w:val="auto"/>
          <w:szCs w:val="21"/>
        </w:rPr>
        <w:t>成交供应商</w:t>
      </w:r>
      <w:r>
        <w:rPr>
          <w:rFonts w:ascii="Times New Roman" w:hAnsi="Times New Roman" w:cs="Times New Roman"/>
          <w:color w:val="auto"/>
          <w:szCs w:val="21"/>
        </w:rPr>
        <w:t>止，若我方获成交资格，响应有效期则相应延长至项目服务期满之日，不论在任何时候，定将按贵方的要求在规定时间内如实提供一切补充材料。</w:t>
      </w:r>
    </w:p>
    <w:p w14:paraId="23F9109C">
      <w:pPr>
        <w:numPr>
          <w:ilvl w:val="0"/>
          <w:numId w:val="4"/>
        </w:numPr>
        <w:spacing w:line="324" w:lineRule="auto"/>
        <w:ind w:left="0"/>
        <w:rPr>
          <w:rFonts w:ascii="Times New Roman" w:hAnsi="Times New Roman" w:cs="Times New Roman"/>
          <w:color w:val="auto"/>
          <w:szCs w:val="21"/>
        </w:rPr>
      </w:pPr>
      <w:r>
        <w:rPr>
          <w:rFonts w:ascii="Times New Roman" w:hAnsi="Times New Roman" w:cs="Times New Roman"/>
          <w:color w:val="auto"/>
          <w:szCs w:val="21"/>
        </w:rPr>
        <w:t>完全服从和尊重磋商小组所作的评审结果，同时清楚理解到仅凭报价或单一竞争优势并非是决定成交资格的唯一重要依据。</w:t>
      </w:r>
    </w:p>
    <w:p w14:paraId="58510EA4">
      <w:pPr>
        <w:numPr>
          <w:ilvl w:val="0"/>
          <w:numId w:val="4"/>
        </w:numPr>
        <w:spacing w:line="324" w:lineRule="auto"/>
        <w:ind w:left="0"/>
        <w:rPr>
          <w:rFonts w:ascii="Times New Roman" w:hAnsi="Times New Roman" w:cs="Times New Roman"/>
          <w:color w:val="auto"/>
          <w:szCs w:val="21"/>
        </w:rPr>
      </w:pPr>
      <w:r>
        <w:rPr>
          <w:rFonts w:ascii="Times New Roman" w:hAnsi="Times New Roman" w:cs="Times New Roman"/>
          <w:color w:val="auto"/>
          <w:szCs w:val="21"/>
        </w:rPr>
        <w:t>同意按采购文件的要求认真履行</w:t>
      </w:r>
      <w:r>
        <w:rPr>
          <w:rFonts w:hint="eastAsia" w:ascii="Times New Roman" w:hAnsi="Times New Roman" w:cs="Times New Roman"/>
          <w:color w:val="auto"/>
          <w:szCs w:val="21"/>
        </w:rPr>
        <w:t>成交供应商</w:t>
      </w:r>
      <w:r>
        <w:rPr>
          <w:rFonts w:ascii="Times New Roman" w:hAnsi="Times New Roman" w:cs="Times New Roman"/>
          <w:color w:val="auto"/>
          <w:szCs w:val="21"/>
        </w:rPr>
        <w:t>应尽的义务，若我方行为不当而损害了</w:t>
      </w:r>
      <w:r>
        <w:rPr>
          <w:rFonts w:hint="eastAsia" w:ascii="Times New Roman" w:hAnsi="Times New Roman" w:cs="Times New Roman"/>
          <w:color w:val="auto"/>
          <w:szCs w:val="21"/>
        </w:rPr>
        <w:t>采购人</w:t>
      </w:r>
      <w:r>
        <w:rPr>
          <w:rFonts w:ascii="Times New Roman" w:hAnsi="Times New Roman" w:cs="Times New Roman"/>
          <w:color w:val="auto"/>
          <w:szCs w:val="21"/>
        </w:rPr>
        <w:t>的合法权益，我方愿在任何时候无条件承担相应的缔约过失责任和经济赔偿。</w:t>
      </w:r>
    </w:p>
    <w:p w14:paraId="03E693B0">
      <w:pPr>
        <w:numPr>
          <w:ilvl w:val="0"/>
          <w:numId w:val="4"/>
        </w:numPr>
        <w:spacing w:line="324" w:lineRule="auto"/>
        <w:ind w:left="0"/>
        <w:rPr>
          <w:rFonts w:ascii="Times New Roman" w:hAnsi="Times New Roman" w:cs="Times New Roman"/>
          <w:color w:val="auto"/>
          <w:szCs w:val="21"/>
        </w:rPr>
      </w:pPr>
      <w:r>
        <w:rPr>
          <w:rFonts w:ascii="Times New Roman" w:hAnsi="Times New Roman" w:cs="Times New Roman"/>
          <w:color w:val="auto"/>
          <w:szCs w:val="21"/>
        </w:rPr>
        <w:t>我方已依法缴纳了各项税费及社会保险费用，如有需要，可随时向</w:t>
      </w:r>
      <w:r>
        <w:rPr>
          <w:rFonts w:hint="eastAsia" w:ascii="Times New Roman" w:hAnsi="Times New Roman" w:cs="Times New Roman"/>
          <w:color w:val="auto"/>
          <w:szCs w:val="21"/>
        </w:rPr>
        <w:t>采购人</w:t>
      </w:r>
      <w:r>
        <w:rPr>
          <w:rFonts w:ascii="Times New Roman" w:hAnsi="Times New Roman" w:cs="Times New Roman"/>
          <w:color w:val="auto"/>
          <w:szCs w:val="21"/>
        </w:rPr>
        <w:t>提交近三个月内的相关缴费证明，以便核查。</w:t>
      </w:r>
    </w:p>
    <w:p w14:paraId="3B5A1CB5">
      <w:pPr>
        <w:numPr>
          <w:ilvl w:val="0"/>
          <w:numId w:val="4"/>
        </w:numPr>
        <w:spacing w:line="324" w:lineRule="auto"/>
        <w:ind w:left="0"/>
        <w:rPr>
          <w:rFonts w:ascii="Times New Roman" w:hAnsi="Times New Roman" w:cs="Times New Roman"/>
          <w:color w:val="auto"/>
          <w:szCs w:val="21"/>
        </w:rPr>
      </w:pPr>
      <w:r>
        <w:rPr>
          <w:rFonts w:ascii="Times New Roman" w:hAnsi="Times New Roman" w:cs="Times New Roman"/>
          <w:color w:val="auto"/>
          <w:szCs w:val="21"/>
        </w:rPr>
        <w:t>我方已依法建立健全的财务会计制度，如有需要，可随时向</w:t>
      </w:r>
      <w:r>
        <w:rPr>
          <w:rFonts w:hint="eastAsia" w:ascii="Times New Roman" w:hAnsi="Times New Roman" w:cs="Times New Roman"/>
          <w:color w:val="auto"/>
          <w:szCs w:val="21"/>
        </w:rPr>
        <w:t>采购人</w:t>
      </w:r>
      <w:r>
        <w:rPr>
          <w:rFonts w:ascii="Times New Roman" w:hAnsi="Times New Roman" w:cs="Times New Roman"/>
          <w:color w:val="auto"/>
          <w:szCs w:val="21"/>
        </w:rPr>
        <w:t>提交相关证明材料，以便核查。</w:t>
      </w:r>
    </w:p>
    <w:p w14:paraId="55420D40">
      <w:pPr>
        <w:numPr>
          <w:ilvl w:val="0"/>
          <w:numId w:val="4"/>
        </w:numPr>
        <w:spacing w:line="324" w:lineRule="auto"/>
        <w:ind w:left="0"/>
        <w:rPr>
          <w:rFonts w:ascii="Times New Roman" w:hAnsi="Times New Roman" w:cs="Times New Roman"/>
          <w:color w:val="auto"/>
          <w:szCs w:val="21"/>
        </w:rPr>
      </w:pPr>
      <w:r>
        <w:rPr>
          <w:rFonts w:ascii="Times New Roman" w:hAnsi="Times New Roman" w:cs="Times New Roman"/>
          <w:color w:val="auto"/>
          <w:szCs w:val="21"/>
        </w:rPr>
        <w:t>本公司（企业）的单位负责人与所参投的本采购项目的其他</w:t>
      </w:r>
      <w:r>
        <w:rPr>
          <w:rFonts w:hint="eastAsia" w:ascii="Times New Roman" w:hAnsi="Times New Roman" w:cs="Times New Roman"/>
          <w:color w:val="auto"/>
          <w:szCs w:val="21"/>
        </w:rPr>
        <w:t>成交供应商</w:t>
      </w:r>
      <w:r>
        <w:rPr>
          <w:rFonts w:ascii="Times New Roman" w:hAnsi="Times New Roman" w:cs="Times New Roman"/>
          <w:color w:val="auto"/>
          <w:szCs w:val="21"/>
        </w:rPr>
        <w:t>的单位负责人不为同一人且与其他</w:t>
      </w:r>
      <w:r>
        <w:rPr>
          <w:rFonts w:hint="eastAsia" w:ascii="Times New Roman" w:hAnsi="Times New Roman" w:cs="Times New Roman"/>
          <w:color w:val="auto"/>
          <w:szCs w:val="21"/>
        </w:rPr>
        <w:t>成交供应商</w:t>
      </w:r>
      <w:r>
        <w:rPr>
          <w:rFonts w:ascii="Times New Roman" w:hAnsi="Times New Roman" w:cs="Times New Roman"/>
          <w:color w:val="auto"/>
          <w:szCs w:val="21"/>
        </w:rPr>
        <w:t>之间不存在直接控股、管理关系。</w:t>
      </w:r>
    </w:p>
    <w:p w14:paraId="1EF937AD">
      <w:pPr>
        <w:numPr>
          <w:ilvl w:val="0"/>
          <w:numId w:val="4"/>
        </w:numPr>
        <w:spacing w:line="324" w:lineRule="auto"/>
        <w:ind w:left="0"/>
        <w:rPr>
          <w:rFonts w:ascii="Times New Roman" w:hAnsi="Times New Roman" w:cs="Times New Roman"/>
          <w:color w:val="auto"/>
          <w:szCs w:val="21"/>
        </w:rPr>
      </w:pPr>
      <w:r>
        <w:rPr>
          <w:rFonts w:ascii="Times New Roman" w:hAnsi="Times New Roman" w:cs="Times New Roman"/>
          <w:color w:val="auto"/>
          <w:szCs w:val="21"/>
        </w:rPr>
        <w:t>本公司（企业）承诺在本次采购活动中，如有违法、违规、弄虚作假行为，所造成的损失、不良后果及法律责任，一律由我公司（企业）承担。</w:t>
      </w:r>
    </w:p>
    <w:p w14:paraId="3FF5EBE5">
      <w:pPr>
        <w:numPr>
          <w:ilvl w:val="0"/>
          <w:numId w:val="4"/>
        </w:numPr>
        <w:spacing w:line="324" w:lineRule="auto"/>
        <w:ind w:left="0"/>
        <w:rPr>
          <w:rFonts w:ascii="Times New Roman" w:hAnsi="Times New Roman" w:cs="Times New Roman"/>
          <w:color w:val="auto"/>
          <w:szCs w:val="21"/>
        </w:rPr>
      </w:pPr>
      <w:r>
        <w:rPr>
          <w:rFonts w:ascii="Times New Roman" w:hAnsi="Times New Roman" w:cs="Times New Roman"/>
          <w:color w:val="auto"/>
          <w:szCs w:val="21"/>
        </w:rPr>
        <w:t>本承诺函效力及范围均涵盖我方整套响应文件和一切补充文件。</w:t>
      </w:r>
    </w:p>
    <w:p w14:paraId="2FAFA7E2">
      <w:pPr>
        <w:spacing w:line="324" w:lineRule="auto"/>
        <w:rPr>
          <w:rFonts w:ascii="Times New Roman" w:hAnsi="Times New Roman" w:cs="Times New Roman"/>
          <w:color w:val="auto"/>
          <w:szCs w:val="21"/>
        </w:rPr>
      </w:pPr>
    </w:p>
    <w:p w14:paraId="7B4F00C3">
      <w:pPr>
        <w:spacing w:line="324"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供应商名称：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单位名称</w:t>
      </w:r>
      <w:r>
        <w:rPr>
          <w:rFonts w:ascii="Times New Roman" w:hAnsi="Times New Roman" w:cs="Times New Roman"/>
          <w:color w:val="auto"/>
          <w:szCs w:val="21"/>
          <w:u w:val="single"/>
        </w:rPr>
        <w:t xml:space="preserve">全称）                </w:t>
      </w:r>
      <w:r>
        <w:rPr>
          <w:rFonts w:ascii="Times New Roman" w:hAnsi="Times New Roman" w:cs="Times New Roman"/>
          <w:color w:val="auto"/>
          <w:szCs w:val="21"/>
        </w:rPr>
        <w:t>（</w:t>
      </w:r>
      <w:r>
        <w:rPr>
          <w:rFonts w:ascii="Times New Roman" w:hAnsi="Times New Roman" w:cs="Times New Roman"/>
          <w:color w:val="auto"/>
          <w:szCs w:val="21"/>
          <w:lang w:val="zh-CN"/>
        </w:rPr>
        <w:t>加盖供应商公章</w:t>
      </w:r>
      <w:r>
        <w:rPr>
          <w:rFonts w:ascii="Times New Roman" w:hAnsi="Times New Roman" w:cs="Times New Roman"/>
          <w:color w:val="auto"/>
          <w:szCs w:val="21"/>
        </w:rPr>
        <w:t>）</w:t>
      </w:r>
    </w:p>
    <w:p w14:paraId="18126868">
      <w:pPr>
        <w:tabs>
          <w:tab w:val="left" w:pos="-3780"/>
        </w:tabs>
        <w:spacing w:line="324"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承诺日期：</w:t>
      </w:r>
      <w:r>
        <w:rPr>
          <w:rFonts w:ascii="Times New Roman" w:hAnsi="Times New Roman" w:cs="Times New Roman"/>
          <w:color w:val="auto"/>
          <w:szCs w:val="21"/>
          <w:u w:val="single"/>
        </w:rPr>
        <w:t xml:space="preserve">    </w:t>
      </w:r>
      <w:r>
        <w:rPr>
          <w:rFonts w:ascii="Times New Roman" w:hAnsi="Times New Roman" w:cs="Times New Roman"/>
          <w:color w:val="auto"/>
          <w:szCs w:val="21"/>
        </w:rPr>
        <w:t>年</w:t>
      </w:r>
      <w:r>
        <w:rPr>
          <w:rFonts w:ascii="Times New Roman" w:hAnsi="Times New Roman" w:cs="Times New Roman"/>
          <w:color w:val="auto"/>
          <w:szCs w:val="21"/>
          <w:u w:val="single"/>
        </w:rPr>
        <w:t xml:space="preserve">    </w:t>
      </w:r>
      <w:r>
        <w:rPr>
          <w:rFonts w:ascii="Times New Roman" w:hAnsi="Times New Roman" w:cs="Times New Roman"/>
          <w:color w:val="auto"/>
          <w:szCs w:val="21"/>
        </w:rPr>
        <w:t>月</w:t>
      </w:r>
      <w:r>
        <w:rPr>
          <w:rFonts w:ascii="Times New Roman" w:hAnsi="Times New Roman" w:cs="Times New Roman"/>
          <w:color w:val="auto"/>
          <w:szCs w:val="21"/>
          <w:u w:val="single"/>
        </w:rPr>
        <w:t xml:space="preserve">    </w:t>
      </w:r>
      <w:r>
        <w:rPr>
          <w:rFonts w:ascii="Times New Roman" w:hAnsi="Times New Roman" w:cs="Times New Roman"/>
          <w:color w:val="auto"/>
          <w:szCs w:val="21"/>
        </w:rPr>
        <w:t>日。</w:t>
      </w:r>
    </w:p>
    <w:p w14:paraId="50D28C74">
      <w:pPr>
        <w:spacing w:line="324" w:lineRule="auto"/>
        <w:rPr>
          <w:rFonts w:ascii="Times New Roman" w:hAnsi="Times New Roman" w:cs="Times New Roman"/>
          <w:color w:val="auto"/>
          <w:szCs w:val="21"/>
        </w:rPr>
      </w:pPr>
      <w:bookmarkStart w:id="104" w:name="_投标承诺函"/>
      <w:bookmarkEnd w:id="104"/>
      <w:bookmarkStart w:id="105" w:name="_法人代表授权书"/>
      <w:bookmarkEnd w:id="105"/>
      <w:bookmarkStart w:id="106" w:name="_Toc136682917"/>
      <w:bookmarkStart w:id="107" w:name="_Toc136662941"/>
      <w:bookmarkStart w:id="108" w:name="_Toc37670364"/>
      <w:bookmarkStart w:id="109" w:name="_Toc119321152"/>
      <w:bookmarkStart w:id="110" w:name="_Toc49329266"/>
      <w:r>
        <w:rPr>
          <w:rFonts w:ascii="Times New Roman" w:hAnsi="Times New Roman" w:cs="Times New Roman"/>
          <w:color w:val="auto"/>
          <w:szCs w:val="21"/>
        </w:rPr>
        <w:t>说明：</w:t>
      </w:r>
    </w:p>
    <w:p w14:paraId="6AD0C1C3">
      <w:pPr>
        <w:tabs>
          <w:tab w:val="left" w:pos="-3780"/>
        </w:tabs>
        <w:spacing w:line="324" w:lineRule="auto"/>
        <w:rPr>
          <w:rFonts w:ascii="Times New Roman" w:hAnsi="Times New Roman" w:cs="Times New Roman"/>
          <w:color w:val="auto"/>
          <w:szCs w:val="21"/>
        </w:rPr>
      </w:pPr>
      <w:r>
        <w:rPr>
          <w:rFonts w:ascii="Times New Roman" w:hAnsi="Times New Roman" w:cs="Times New Roman"/>
          <w:color w:val="auto"/>
          <w:szCs w:val="21"/>
        </w:rPr>
        <w:t>1、本承诺函内容不得擅自删改。</w:t>
      </w:r>
    </w:p>
    <w:p w14:paraId="4591570F">
      <w:pPr>
        <w:pageBreakBefore/>
        <w:numPr>
          <w:ilvl w:val="0"/>
          <w:numId w:val="5"/>
        </w:numPr>
        <w:spacing w:line="324" w:lineRule="auto"/>
        <w:ind w:left="0"/>
        <w:rPr>
          <w:rFonts w:ascii="Times New Roman" w:hAnsi="Times New Roman" w:cs="Times New Roman"/>
          <w:color w:val="auto"/>
          <w:szCs w:val="21"/>
        </w:rPr>
        <w:sectPr>
          <w:pgSz w:w="11906" w:h="16838"/>
          <w:pgMar w:top="1134" w:right="1134" w:bottom="1134" w:left="1587" w:header="567" w:footer="737" w:gutter="0"/>
          <w:cols w:space="720" w:num="1"/>
          <w:docGrid w:linePitch="312" w:charSpace="0"/>
        </w:sectPr>
      </w:pPr>
      <w:bookmarkStart w:id="111" w:name="_法人授权书"/>
      <w:bookmarkEnd w:id="111"/>
      <w:bookmarkStart w:id="112" w:name="_Toc159385076"/>
    </w:p>
    <w:bookmarkEnd w:id="53"/>
    <w:bookmarkEnd w:id="54"/>
    <w:bookmarkEnd w:id="55"/>
    <w:bookmarkEnd w:id="106"/>
    <w:bookmarkEnd w:id="107"/>
    <w:bookmarkEnd w:id="108"/>
    <w:bookmarkEnd w:id="109"/>
    <w:bookmarkEnd w:id="110"/>
    <w:bookmarkEnd w:id="112"/>
    <w:p w14:paraId="06942E44">
      <w:pPr>
        <w:pageBreakBefore/>
        <w:spacing w:line="324" w:lineRule="auto"/>
        <w:jc w:val="center"/>
        <w:outlineLvl w:val="1"/>
        <w:rPr>
          <w:rFonts w:ascii="Times New Roman" w:hAnsi="Times New Roman" w:cs="Times New Roman"/>
          <w:b/>
          <w:bCs/>
          <w:color w:val="auto"/>
          <w:sz w:val="36"/>
          <w:szCs w:val="36"/>
        </w:rPr>
      </w:pPr>
      <w:bookmarkStart w:id="113" w:name="_企业资质、资格性证明"/>
      <w:bookmarkEnd w:id="113"/>
      <w:bookmarkStart w:id="114" w:name="_法人授权书_1"/>
      <w:bookmarkEnd w:id="114"/>
      <w:bookmarkStart w:id="115" w:name="_Toc26401"/>
      <w:bookmarkStart w:id="116" w:name="_Toc17786"/>
      <w:bookmarkStart w:id="117" w:name="_Toc419106567"/>
      <w:bookmarkStart w:id="118" w:name="_Toc4275"/>
      <w:bookmarkStart w:id="119" w:name="_Toc12876"/>
      <w:bookmarkStart w:id="120" w:name="_Toc14873257"/>
      <w:bookmarkStart w:id="121" w:name="_Toc22939"/>
      <w:bookmarkStart w:id="122" w:name="_Toc24149"/>
      <w:bookmarkStart w:id="123" w:name="_Toc3230"/>
      <w:bookmarkStart w:id="124" w:name="_Toc25532"/>
      <w:bookmarkStart w:id="125" w:name="_Toc27819"/>
      <w:bookmarkStart w:id="126" w:name="_Toc438547162"/>
      <w:bookmarkStart w:id="127" w:name="_Toc13594"/>
      <w:bookmarkStart w:id="128" w:name="_Toc16815"/>
      <w:bookmarkStart w:id="129" w:name="_Toc419106569"/>
      <w:bookmarkStart w:id="130" w:name="_Toc159385077"/>
      <w:r>
        <w:rPr>
          <w:rFonts w:ascii="Times New Roman" w:hAnsi="Times New Roman" w:cs="Times New Roman"/>
          <w:b/>
          <w:bCs/>
          <w:color w:val="auto"/>
          <w:sz w:val="36"/>
          <w:szCs w:val="36"/>
        </w:rPr>
        <w:t>1.2 法定代表人/法定负责人证明书</w:t>
      </w:r>
      <w:bookmarkEnd w:id="115"/>
      <w:bookmarkEnd w:id="116"/>
      <w:bookmarkEnd w:id="117"/>
      <w:bookmarkEnd w:id="118"/>
      <w:bookmarkEnd w:id="119"/>
      <w:bookmarkEnd w:id="120"/>
      <w:bookmarkEnd w:id="121"/>
      <w:bookmarkEnd w:id="122"/>
      <w:bookmarkEnd w:id="123"/>
      <w:bookmarkEnd w:id="124"/>
    </w:p>
    <w:p w14:paraId="7AF74EF4">
      <w:pPr>
        <w:spacing w:line="324" w:lineRule="auto"/>
        <w:ind w:left="316" w:hanging="316" w:hangingChars="150"/>
        <w:rPr>
          <w:rFonts w:ascii="Times New Roman" w:hAnsi="Times New Roman" w:cs="Times New Roman"/>
          <w:b/>
          <w:bCs/>
          <w:color w:val="auto"/>
        </w:rPr>
      </w:pPr>
    </w:p>
    <w:p w14:paraId="3FA6EA2B">
      <w:pPr>
        <w:spacing w:line="324" w:lineRule="auto"/>
        <w:ind w:left="315" w:hanging="315" w:hangingChars="150"/>
        <w:rPr>
          <w:rFonts w:ascii="Times New Roman" w:hAnsi="Times New Roman" w:cs="Times New Roman"/>
          <w:bCs/>
          <w:color w:val="auto"/>
          <w:szCs w:val="21"/>
        </w:rPr>
      </w:pPr>
      <w:r>
        <w:rPr>
          <w:rFonts w:ascii="Times New Roman" w:hAnsi="Times New Roman" w:cs="Times New Roman"/>
          <w:bCs/>
          <w:color w:val="auto"/>
          <w:szCs w:val="21"/>
        </w:rPr>
        <w:t xml:space="preserve">致  </w:t>
      </w:r>
      <w:r>
        <w:rPr>
          <w:rFonts w:hint="eastAsia" w:ascii="Times New Roman" w:hAnsi="Times New Roman" w:cs="Times New Roman"/>
          <w:bCs/>
          <w:color w:val="auto"/>
          <w:szCs w:val="21"/>
        </w:rPr>
        <w:t>佛山市消防救援支队</w:t>
      </w:r>
      <w:r>
        <w:rPr>
          <w:rFonts w:ascii="Times New Roman" w:hAnsi="Times New Roman" w:cs="Times New Roman"/>
          <w:bCs/>
          <w:color w:val="auto"/>
          <w:szCs w:val="21"/>
        </w:rPr>
        <w:t>/广东远东招标代理有限公司：</w:t>
      </w:r>
    </w:p>
    <w:p w14:paraId="4108D250">
      <w:pPr>
        <w:spacing w:line="324" w:lineRule="auto"/>
        <w:ind w:left="315" w:hanging="315" w:hangingChars="150"/>
        <w:rPr>
          <w:rFonts w:ascii="Times New Roman" w:hAnsi="Times New Roman" w:cs="Times New Roman"/>
          <w:bCs/>
          <w:color w:val="auto"/>
          <w:szCs w:val="21"/>
        </w:rPr>
      </w:pPr>
    </w:p>
    <w:p w14:paraId="36C61F3C">
      <w:pPr>
        <w:spacing w:line="324" w:lineRule="auto"/>
        <w:rPr>
          <w:rFonts w:ascii="Times New Roman" w:hAnsi="Times New Roman" w:cs="Times New Roman"/>
          <w:color w:val="auto"/>
          <w:szCs w:val="21"/>
        </w:rPr>
      </w:pPr>
      <w:bookmarkStart w:id="131" w:name="_Toc304886140"/>
      <w:bookmarkStart w:id="132" w:name="_Toc14873258"/>
      <w:bookmarkStart w:id="133" w:name="_Toc304304969"/>
      <w:bookmarkStart w:id="134" w:name="_Ref266198344"/>
      <w:bookmarkStart w:id="135" w:name="_Toc3157"/>
      <w:bookmarkStart w:id="136" w:name="_Toc310519891"/>
      <w:bookmarkStart w:id="137" w:name="_Toc325031947"/>
      <w:bookmarkStart w:id="138" w:name="_Toc419106568"/>
      <w:r>
        <w:rPr>
          <w:rFonts w:ascii="Times New Roman" w:hAnsi="Times New Roman" w:cs="Times New Roman"/>
          <w:color w:val="auto"/>
          <w:szCs w:val="21"/>
          <w:u w:val="single"/>
        </w:rPr>
        <w:t xml:space="preserve">          </w:t>
      </w:r>
      <w:r>
        <w:rPr>
          <w:rFonts w:ascii="Times New Roman" w:hAnsi="Times New Roman" w:cs="Times New Roman"/>
          <w:color w:val="auto"/>
          <w:szCs w:val="21"/>
        </w:rPr>
        <w:t>同志，现任我单位</w:t>
      </w:r>
      <w:r>
        <w:rPr>
          <w:rFonts w:ascii="Times New Roman" w:hAnsi="Times New Roman" w:cs="Times New Roman"/>
          <w:color w:val="auto"/>
          <w:szCs w:val="21"/>
          <w:u w:val="single"/>
        </w:rPr>
        <w:t xml:space="preserve">          </w:t>
      </w:r>
      <w:r>
        <w:rPr>
          <w:rFonts w:ascii="Times New Roman" w:hAnsi="Times New Roman" w:cs="Times New Roman"/>
          <w:color w:val="auto"/>
          <w:szCs w:val="21"/>
        </w:rPr>
        <w:t>职务，为法定代表人，特此证明。</w:t>
      </w:r>
    </w:p>
    <w:p w14:paraId="6EAA5B9B">
      <w:pPr>
        <w:spacing w:line="324" w:lineRule="auto"/>
        <w:ind w:firstLine="210" w:firstLineChars="100"/>
        <w:rPr>
          <w:rFonts w:ascii="Times New Roman" w:hAnsi="Times New Roman" w:cs="Times New Roman"/>
          <w:color w:val="auto"/>
          <w:szCs w:val="21"/>
        </w:rPr>
      </w:pPr>
      <w:r>
        <w:rPr>
          <w:rFonts w:ascii="Times New Roman" w:hAnsi="Times New Roman" w:cs="Times New Roman"/>
          <w:color w:val="auto"/>
          <w:szCs w:val="21"/>
        </w:rPr>
        <w:t xml:space="preserve">签发日期：   年  月  日 </w:t>
      </w:r>
    </w:p>
    <w:p w14:paraId="3AE81BB7">
      <w:pPr>
        <w:spacing w:line="324" w:lineRule="auto"/>
        <w:ind w:firstLine="210" w:firstLineChars="100"/>
        <w:rPr>
          <w:rFonts w:ascii="Times New Roman" w:hAnsi="Times New Roman" w:cs="Times New Roman"/>
          <w:color w:val="auto"/>
          <w:szCs w:val="21"/>
        </w:rPr>
      </w:pPr>
      <w:r>
        <w:rPr>
          <w:rFonts w:ascii="Times New Roman" w:hAnsi="Times New Roman" w:cs="Times New Roman"/>
          <w:color w:val="auto"/>
          <w:szCs w:val="21"/>
        </w:rPr>
        <w:t>单位名称：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单位名称</w:t>
      </w:r>
      <w:r>
        <w:rPr>
          <w:rFonts w:ascii="Times New Roman" w:hAnsi="Times New Roman" w:cs="Times New Roman"/>
          <w:color w:val="auto"/>
          <w:szCs w:val="21"/>
          <w:u w:val="single"/>
        </w:rPr>
        <w:t xml:space="preserve">全称）  </w:t>
      </w:r>
      <w:r>
        <w:rPr>
          <w:rFonts w:ascii="Times New Roman" w:hAnsi="Times New Roman" w:cs="Times New Roman"/>
          <w:color w:val="auto"/>
          <w:szCs w:val="21"/>
        </w:rPr>
        <w:t>（</w:t>
      </w:r>
      <w:r>
        <w:rPr>
          <w:rFonts w:ascii="Times New Roman" w:hAnsi="Times New Roman" w:cs="Times New Roman"/>
          <w:color w:val="auto"/>
          <w:szCs w:val="21"/>
          <w:lang w:val="zh-CN"/>
        </w:rPr>
        <w:t>加盖供应商公章</w:t>
      </w:r>
      <w:r>
        <w:rPr>
          <w:rFonts w:ascii="Times New Roman" w:hAnsi="Times New Roman" w:cs="Times New Roman"/>
          <w:color w:val="auto"/>
          <w:szCs w:val="21"/>
        </w:rPr>
        <w:t>）</w:t>
      </w:r>
    </w:p>
    <w:p w14:paraId="3F391230">
      <w:pPr>
        <w:spacing w:line="324" w:lineRule="auto"/>
        <w:ind w:firstLine="210" w:firstLineChars="100"/>
        <w:rPr>
          <w:rFonts w:ascii="Times New Roman" w:hAnsi="Times New Roman" w:cs="Times New Roman"/>
          <w:color w:val="auto"/>
          <w:szCs w:val="21"/>
        </w:rPr>
      </w:pPr>
    </w:p>
    <w:p w14:paraId="26C9D278">
      <w:pPr>
        <w:spacing w:line="324" w:lineRule="auto"/>
        <w:ind w:firstLine="210" w:firstLineChars="100"/>
        <w:rPr>
          <w:rFonts w:ascii="Times New Roman" w:hAnsi="Times New Roman" w:cs="Times New Roman"/>
          <w:color w:val="auto"/>
          <w:szCs w:val="21"/>
          <w:u w:val="single"/>
        </w:rPr>
      </w:pPr>
      <w:r>
        <w:rPr>
          <w:rFonts w:ascii="Times New Roman" w:hAnsi="Times New Roman" w:cs="Times New Roman"/>
          <w:color w:val="auto"/>
          <w:szCs w:val="21"/>
        </w:rPr>
        <w:t>附：法定代表人性别：</w:t>
      </w:r>
      <w:r>
        <w:rPr>
          <w:rFonts w:ascii="Times New Roman" w:hAnsi="Times New Roman" w:cs="Times New Roman"/>
          <w:color w:val="auto"/>
          <w:szCs w:val="21"/>
          <w:u w:val="single"/>
        </w:rPr>
        <w:t xml:space="preserve">            </w:t>
      </w:r>
      <w:r>
        <w:rPr>
          <w:rFonts w:ascii="Times New Roman" w:hAnsi="Times New Roman" w:cs="Times New Roman"/>
          <w:color w:val="auto"/>
          <w:szCs w:val="21"/>
        </w:rPr>
        <w:t xml:space="preserve">    年龄：</w:t>
      </w:r>
      <w:r>
        <w:rPr>
          <w:rFonts w:ascii="Times New Roman" w:hAnsi="Times New Roman" w:cs="Times New Roman"/>
          <w:color w:val="auto"/>
          <w:szCs w:val="21"/>
          <w:u w:val="single"/>
        </w:rPr>
        <w:t xml:space="preserve">           </w:t>
      </w:r>
    </w:p>
    <w:p w14:paraId="43A01336">
      <w:pPr>
        <w:spacing w:line="324" w:lineRule="auto"/>
        <w:ind w:firstLine="630" w:firstLineChars="300"/>
        <w:rPr>
          <w:rFonts w:ascii="Times New Roman" w:hAnsi="Times New Roman" w:cs="Times New Roman"/>
          <w:color w:val="auto"/>
          <w:szCs w:val="21"/>
          <w:u w:val="single"/>
        </w:rPr>
      </w:pPr>
      <w:r>
        <w:rPr>
          <w:rFonts w:ascii="Times New Roman" w:hAnsi="Times New Roman" w:cs="Times New Roman"/>
          <w:color w:val="auto"/>
          <w:szCs w:val="21"/>
        </w:rPr>
        <w:t>身份证号码：</w:t>
      </w:r>
      <w:r>
        <w:rPr>
          <w:rFonts w:hint="eastAsia" w:ascii="Times New Roman" w:hAnsi="Times New Roman" w:cs="Times New Roman"/>
          <w:color w:val="auto"/>
          <w:szCs w:val="21"/>
          <w:u w:val="single"/>
        </w:rPr>
        <w:t xml:space="preserve">             </w:t>
      </w:r>
    </w:p>
    <w:p w14:paraId="1EA8A883">
      <w:pPr>
        <w:spacing w:line="324" w:lineRule="auto"/>
        <w:ind w:firstLine="630" w:firstLineChars="300"/>
        <w:rPr>
          <w:rFonts w:ascii="Times New Roman" w:hAnsi="Times New Roman" w:cs="Times New Roman"/>
          <w:color w:val="auto"/>
          <w:szCs w:val="21"/>
          <w:u w:val="single"/>
        </w:rPr>
      </w:pPr>
      <w:r>
        <w:rPr>
          <w:rFonts w:ascii="Times New Roman" w:hAnsi="Times New Roman" w:cs="Times New Roman"/>
          <w:color w:val="auto"/>
          <w:szCs w:val="21"/>
        </w:rPr>
        <w:t>联系电话：</w:t>
      </w:r>
      <w:r>
        <w:rPr>
          <w:rFonts w:hint="eastAsia" w:ascii="Times New Roman" w:hAnsi="Times New Roman" w:cs="Times New Roman"/>
          <w:color w:val="auto"/>
          <w:szCs w:val="21"/>
          <w:u w:val="single"/>
        </w:rPr>
        <w:t xml:space="preserve">               </w:t>
      </w:r>
    </w:p>
    <w:p w14:paraId="4C243A7D">
      <w:pPr>
        <w:spacing w:line="324" w:lineRule="auto"/>
        <w:ind w:firstLine="630" w:firstLineChars="300"/>
        <w:rPr>
          <w:rFonts w:ascii="Times New Roman" w:hAnsi="Times New Roman" w:cs="Times New Roman"/>
          <w:color w:val="auto"/>
          <w:szCs w:val="21"/>
          <w:u w:val="single"/>
        </w:rPr>
      </w:pPr>
      <w:r>
        <w:rPr>
          <w:rFonts w:ascii="Times New Roman" w:hAnsi="Times New Roman" w:cs="Times New Roman"/>
          <w:color w:val="auto"/>
          <w:szCs w:val="21"/>
        </w:rPr>
        <w:t>营业执照号码：</w:t>
      </w:r>
      <w:r>
        <w:rPr>
          <w:rFonts w:ascii="Times New Roman" w:hAnsi="Times New Roman" w:cs="Times New Roman"/>
          <w:color w:val="auto"/>
          <w:szCs w:val="21"/>
          <w:u w:val="single"/>
        </w:rPr>
        <w:t xml:space="preserve">                     </w:t>
      </w:r>
      <w:r>
        <w:rPr>
          <w:rFonts w:ascii="Times New Roman" w:hAnsi="Times New Roman" w:cs="Times New Roman"/>
          <w:color w:val="auto"/>
          <w:szCs w:val="21"/>
        </w:rPr>
        <w:t xml:space="preserve">  单位性质：</w:t>
      </w:r>
      <w:r>
        <w:rPr>
          <w:rFonts w:hint="eastAsia" w:ascii="Times New Roman" w:hAnsi="Times New Roman" w:cs="Times New Roman"/>
          <w:color w:val="auto"/>
          <w:szCs w:val="21"/>
          <w:u w:val="single"/>
        </w:rPr>
        <w:t xml:space="preserve">          </w:t>
      </w:r>
    </w:p>
    <w:p w14:paraId="61D9015C">
      <w:pPr>
        <w:spacing w:line="324" w:lineRule="auto"/>
        <w:ind w:firstLine="630" w:firstLineChars="300"/>
        <w:rPr>
          <w:rFonts w:ascii="Times New Roman" w:hAnsi="Times New Roman" w:cs="Times New Roman"/>
          <w:color w:val="auto"/>
          <w:szCs w:val="21"/>
          <w:u w:val="single"/>
        </w:rPr>
      </w:pPr>
      <w:r>
        <w:rPr>
          <w:rFonts w:ascii="Times New Roman" w:hAnsi="Times New Roman" w:cs="Times New Roman"/>
          <w:color w:val="auto"/>
          <w:szCs w:val="21"/>
        </w:rPr>
        <w:t>成立时间：</w:t>
      </w:r>
      <w:r>
        <w:rPr>
          <w:rFonts w:hint="eastAsia" w:ascii="Times New Roman" w:hAnsi="Times New Roman" w:cs="Times New Roman"/>
          <w:color w:val="auto"/>
          <w:szCs w:val="21"/>
          <w:u w:val="single"/>
        </w:rPr>
        <w:t xml:space="preserve">             </w:t>
      </w:r>
    </w:p>
    <w:p w14:paraId="3DAAE436">
      <w:pPr>
        <w:spacing w:line="324" w:lineRule="auto"/>
        <w:rPr>
          <w:rFonts w:ascii="Times New Roman" w:hAnsi="Times New Roman" w:cs="Times New Roman"/>
          <w:color w:val="auto"/>
          <w:szCs w:val="21"/>
        </w:rPr>
      </w:pPr>
    </w:p>
    <w:p w14:paraId="1BFF4F27">
      <w:pPr>
        <w:spacing w:line="324" w:lineRule="auto"/>
        <w:rPr>
          <w:rFonts w:ascii="Times New Roman" w:hAnsi="Times New Roman" w:cs="Times New Roman"/>
          <w:color w:val="auto"/>
          <w:szCs w:val="21"/>
        </w:rPr>
      </w:pPr>
      <w:r>
        <w:rPr>
          <w:rFonts w:ascii="Times New Roman" w:hAnsi="Times New Roman" w:cs="Times New Roman"/>
          <w:color w:val="auto"/>
          <w:szCs w:val="21"/>
        </w:rPr>
        <w:t>说明：1.法定代表人为企业事业单位、国家机关、社会团体的主要行政负责人。</w:t>
      </w:r>
    </w:p>
    <w:p w14:paraId="7EBC113C">
      <w:pPr>
        <w:spacing w:line="324" w:lineRule="auto"/>
        <w:rPr>
          <w:rFonts w:ascii="Times New Roman" w:hAnsi="Times New Roman" w:cs="Times New Roman"/>
          <w:color w:val="auto"/>
          <w:szCs w:val="21"/>
        </w:rPr>
      </w:pPr>
      <w:r>
        <w:rPr>
          <w:rFonts w:ascii="Times New Roman" w:hAnsi="Times New Roman" w:cs="Times New Roman"/>
          <w:color w:val="auto"/>
          <w:szCs w:val="21"/>
        </w:rPr>
        <w:t xml:space="preserve">      2.内容必须填写真实、清楚、涂改无效，不得转让、买卖。</w:t>
      </w:r>
    </w:p>
    <w:p w14:paraId="509EE25D">
      <w:pPr>
        <w:spacing w:line="324" w:lineRule="auto"/>
        <w:ind w:firstLine="630" w:firstLineChars="300"/>
        <w:rPr>
          <w:rFonts w:ascii="Times New Roman" w:hAnsi="Times New Roman" w:cs="Times New Roman"/>
          <w:b/>
          <w:color w:val="auto"/>
          <w:szCs w:val="21"/>
        </w:rPr>
      </w:pPr>
      <w:r>
        <w:rPr>
          <w:rFonts w:ascii="Times New Roman" w:hAnsi="Times New Roman" w:cs="Times New Roman"/>
          <w:color w:val="auto"/>
          <w:szCs w:val="21"/>
        </w:rPr>
        <w:t>3.将此证明书提交对方作为合同附件</w:t>
      </w:r>
      <w:r>
        <w:rPr>
          <w:rFonts w:ascii="Times New Roman" w:hAnsi="Times New Roman" w:cs="Times New Roman"/>
          <w:b/>
          <w:color w:val="auto"/>
          <w:szCs w:val="21"/>
        </w:rPr>
        <w:t>。</w:t>
      </w:r>
    </w:p>
    <w:p w14:paraId="11532B5E">
      <w:pPr>
        <w:spacing w:line="324" w:lineRule="auto"/>
        <w:rPr>
          <w:rFonts w:ascii="Times New Roman" w:hAnsi="Times New Roman" w:cs="Times New Roman"/>
          <w:color w:val="auto"/>
          <w:szCs w:val="21"/>
        </w:rPr>
      </w:pPr>
    </w:p>
    <w:p w14:paraId="7FE30A2C">
      <w:pPr>
        <w:spacing w:line="324" w:lineRule="auto"/>
        <w:ind w:left="158" w:hanging="157" w:hangingChars="75"/>
        <w:rPr>
          <w:rFonts w:ascii="Times New Roman" w:hAnsi="Times New Roman" w:cs="Times New Roman"/>
          <w:b/>
          <w:color w:val="auto"/>
          <w:szCs w:val="21"/>
        </w:rPr>
      </w:pPr>
      <w:r>
        <w:rPr>
          <w:rFonts w:ascii="Times New Roman" w:hAnsi="Times New Roman" w:cs="Times New Roman"/>
          <w:color w:val="auto"/>
          <w:szCs w:val="21"/>
        </w:rPr>
        <w:t xml:space="preserve"> </w:t>
      </w:r>
      <w:r>
        <w:rPr>
          <w:rFonts w:ascii="Times New Roman" w:hAnsi="Times New Roman" w:cs="Times New Roman"/>
          <w:b/>
          <w:color w:val="auto"/>
          <w:szCs w:val="21"/>
        </w:rPr>
        <w:t xml:space="preserve"> 附：法定代表人的身份证复印件：</w:t>
      </w:r>
    </w:p>
    <w:bookmarkEnd w:id="131"/>
    <w:bookmarkEnd w:id="132"/>
    <w:bookmarkEnd w:id="133"/>
    <w:bookmarkEnd w:id="134"/>
    <w:bookmarkEnd w:id="135"/>
    <w:bookmarkEnd w:id="136"/>
    <w:bookmarkEnd w:id="137"/>
    <w:bookmarkEnd w:id="138"/>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14:paraId="247A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vAlign w:val="center"/>
          </w:tcPr>
          <w:p w14:paraId="201A2EB2">
            <w:pPr>
              <w:spacing w:line="324" w:lineRule="auto"/>
              <w:jc w:val="center"/>
              <w:rPr>
                <w:rFonts w:ascii="Times New Roman" w:hAnsi="Times New Roman" w:cs="Times New Roman"/>
                <w:color w:val="auto"/>
                <w:szCs w:val="21"/>
              </w:rPr>
            </w:pPr>
            <w:r>
              <w:rPr>
                <w:rFonts w:ascii="Times New Roman" w:hAnsi="Times New Roman" w:cs="Times New Roman"/>
                <w:color w:val="auto"/>
                <w:szCs w:val="21"/>
              </w:rPr>
              <w:t xml:space="preserve">此处粘贴法定代表人/法定负责人身份证复印件（双面） </w:t>
            </w:r>
            <w:r>
              <w:rPr>
                <w:rFonts w:ascii="Times New Roman" w:hAnsi="Times New Roman" w:cs="Times New Roman"/>
                <w:b/>
                <w:color w:val="auto"/>
                <w:szCs w:val="21"/>
              </w:rPr>
              <w:t>或</w:t>
            </w:r>
            <w:r>
              <w:rPr>
                <w:rFonts w:ascii="Times New Roman" w:hAnsi="Times New Roman" w:cs="Times New Roman"/>
                <w:color w:val="auto"/>
                <w:szCs w:val="21"/>
              </w:rPr>
              <w:t xml:space="preserve"> 直接扫描到此张纸上</w:t>
            </w:r>
          </w:p>
          <w:p w14:paraId="71F5BAEA">
            <w:pPr>
              <w:spacing w:line="324" w:lineRule="auto"/>
              <w:jc w:val="center"/>
              <w:rPr>
                <w:rFonts w:ascii="Times New Roman" w:hAnsi="Times New Roman" w:cs="Times New Roman"/>
                <w:b/>
                <w:color w:val="auto"/>
                <w:szCs w:val="21"/>
              </w:rPr>
            </w:pPr>
            <w:r>
              <w:rPr>
                <w:rFonts w:ascii="Times New Roman" w:hAnsi="Times New Roman" w:cs="Times New Roman"/>
                <w:color w:val="auto"/>
                <w:szCs w:val="21"/>
              </w:rPr>
              <w:t>注：若页面不够位置的，可另行附页，但须紧接此页</w:t>
            </w:r>
          </w:p>
        </w:tc>
      </w:tr>
    </w:tbl>
    <w:p w14:paraId="69ABA406">
      <w:pPr>
        <w:spacing w:line="324" w:lineRule="auto"/>
        <w:rPr>
          <w:rFonts w:ascii="Times New Roman" w:hAnsi="Times New Roman" w:cs="Times New Roman"/>
          <w:color w:val="auto"/>
        </w:rPr>
      </w:pPr>
    </w:p>
    <w:p w14:paraId="2B821B4F">
      <w:pPr>
        <w:pageBreakBefore/>
        <w:numPr>
          <w:ilvl w:val="0"/>
          <w:numId w:val="6"/>
        </w:numPr>
        <w:spacing w:line="324" w:lineRule="auto"/>
        <w:ind w:left="0"/>
        <w:jc w:val="center"/>
        <w:outlineLvl w:val="1"/>
        <w:rPr>
          <w:rFonts w:ascii="Times New Roman" w:hAnsi="Times New Roman" w:cs="Times New Roman"/>
          <w:b/>
          <w:bCs/>
          <w:color w:val="auto"/>
          <w:sz w:val="36"/>
          <w:szCs w:val="36"/>
        </w:rPr>
      </w:pPr>
      <w:bookmarkStart w:id="139" w:name="_Toc31199"/>
      <w:bookmarkStart w:id="140" w:name="_Toc17628"/>
      <w:bookmarkStart w:id="141" w:name="_Toc18311"/>
      <w:bookmarkStart w:id="142" w:name="_Toc25633"/>
      <w:bookmarkStart w:id="143" w:name="_Toc27685"/>
      <w:bookmarkStart w:id="144" w:name="_Toc20492"/>
      <w:bookmarkStart w:id="145" w:name="_Toc145"/>
      <w:bookmarkStart w:id="146" w:name="_Toc1549"/>
      <w:bookmarkStart w:id="147" w:name="_Toc3986"/>
      <w:bookmarkStart w:id="148" w:name="_Toc1089"/>
      <w:r>
        <w:rPr>
          <w:rFonts w:ascii="Times New Roman" w:hAnsi="Times New Roman" w:cs="Times New Roman"/>
          <w:b/>
          <w:bCs/>
          <w:color w:val="auto"/>
          <w:sz w:val="36"/>
          <w:szCs w:val="36"/>
        </w:rPr>
        <w:t>法定代表人/法定负责人授权书</w:t>
      </w:r>
      <w:bookmarkEnd w:id="139"/>
      <w:bookmarkEnd w:id="140"/>
      <w:bookmarkEnd w:id="141"/>
      <w:bookmarkEnd w:id="142"/>
      <w:bookmarkEnd w:id="143"/>
      <w:bookmarkEnd w:id="144"/>
      <w:bookmarkEnd w:id="145"/>
      <w:bookmarkEnd w:id="146"/>
      <w:bookmarkEnd w:id="147"/>
      <w:bookmarkEnd w:id="148"/>
    </w:p>
    <w:p w14:paraId="144FE34F">
      <w:pPr>
        <w:spacing w:line="324" w:lineRule="auto"/>
        <w:jc w:val="left"/>
        <w:rPr>
          <w:rFonts w:ascii="Times New Roman" w:hAnsi="Times New Roman" w:cs="Times New Roman"/>
          <w:bCs/>
          <w:color w:val="auto"/>
          <w:szCs w:val="21"/>
        </w:rPr>
      </w:pPr>
    </w:p>
    <w:p w14:paraId="027D638D">
      <w:pPr>
        <w:spacing w:line="324" w:lineRule="auto"/>
        <w:jc w:val="left"/>
        <w:rPr>
          <w:rFonts w:ascii="Times New Roman" w:hAnsi="Times New Roman" w:cs="Times New Roman"/>
          <w:bCs/>
          <w:color w:val="auto"/>
          <w:szCs w:val="21"/>
        </w:rPr>
      </w:pPr>
      <w:r>
        <w:rPr>
          <w:rFonts w:ascii="Times New Roman" w:hAnsi="Times New Roman" w:cs="Times New Roman"/>
          <w:bCs/>
          <w:color w:val="auto"/>
          <w:szCs w:val="21"/>
        </w:rPr>
        <w:t>致：</w:t>
      </w:r>
      <w:r>
        <w:rPr>
          <w:rFonts w:hint="eastAsia" w:ascii="Times New Roman" w:hAnsi="Times New Roman" w:cs="Times New Roman"/>
          <w:bCs/>
          <w:color w:val="auto"/>
          <w:szCs w:val="21"/>
          <w:u w:val="single"/>
        </w:rPr>
        <w:t>佛山市消防救援支队</w:t>
      </w:r>
      <w:r>
        <w:rPr>
          <w:rFonts w:ascii="Times New Roman" w:hAnsi="Times New Roman" w:cs="Times New Roman"/>
          <w:bCs/>
          <w:color w:val="auto"/>
          <w:szCs w:val="21"/>
          <w:u w:val="single"/>
        </w:rPr>
        <w:t>、广东远东招标代理有限公司</w:t>
      </w:r>
    </w:p>
    <w:p w14:paraId="1F054692">
      <w:pPr>
        <w:spacing w:line="324" w:lineRule="auto"/>
        <w:ind w:firstLine="420" w:firstLineChars="200"/>
        <w:jc w:val="left"/>
        <w:rPr>
          <w:rFonts w:ascii="Times New Roman" w:hAnsi="Times New Roman" w:cs="Times New Roman"/>
          <w:color w:val="auto"/>
          <w:szCs w:val="21"/>
          <w:lang w:val="en-GB"/>
        </w:rPr>
      </w:pPr>
      <w:r>
        <w:rPr>
          <w:rFonts w:ascii="Times New Roman" w:hAnsi="Times New Roman" w:cs="Times New Roman"/>
          <w:color w:val="auto"/>
          <w:szCs w:val="21"/>
          <w:lang w:val="en-GB"/>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14:paraId="74F5AD07">
      <w:pPr>
        <w:spacing w:line="324" w:lineRule="auto"/>
        <w:ind w:firstLine="462" w:firstLineChars="220"/>
        <w:jc w:val="left"/>
        <w:rPr>
          <w:rFonts w:ascii="Times New Roman" w:hAnsi="Times New Roman" w:cs="Times New Roman"/>
          <w:color w:val="auto"/>
          <w:szCs w:val="21"/>
        </w:rPr>
      </w:pPr>
      <w:r>
        <w:rPr>
          <w:rFonts w:ascii="Times New Roman" w:hAnsi="Times New Roman" w:cs="Times New Roman"/>
          <w:color w:val="auto"/>
          <w:szCs w:val="21"/>
        </w:rPr>
        <w:t xml:space="preserve">项目名称： </w:t>
      </w:r>
      <w:r>
        <w:rPr>
          <w:rFonts w:hint="eastAsia" w:ascii="Times New Roman" w:hAnsi="Times New Roman" w:cs="Times New Roman"/>
          <w:color w:val="auto"/>
          <w:szCs w:val="21"/>
        </w:rPr>
        <w:t>佛山市消防救援支队2024年全媒体中心驻点服务项目</w:t>
      </w:r>
    </w:p>
    <w:p w14:paraId="726CE664">
      <w:pPr>
        <w:spacing w:line="324" w:lineRule="auto"/>
        <w:ind w:firstLine="462" w:firstLineChars="220"/>
        <w:jc w:val="left"/>
        <w:rPr>
          <w:rFonts w:ascii="Times New Roman" w:hAnsi="Times New Roman" w:cs="Times New Roman"/>
          <w:color w:val="auto"/>
          <w:szCs w:val="21"/>
          <w:lang w:val="en-GB"/>
        </w:rPr>
      </w:pPr>
      <w:r>
        <w:rPr>
          <w:rFonts w:ascii="Times New Roman" w:hAnsi="Times New Roman" w:cs="Times New Roman"/>
          <w:color w:val="auto"/>
          <w:szCs w:val="21"/>
          <w:lang w:val="en-GB"/>
        </w:rPr>
        <w:t xml:space="preserve">项目编号： </w:t>
      </w:r>
      <w:r>
        <w:rPr>
          <w:rFonts w:hint="eastAsia" w:ascii="Times New Roman" w:hAnsi="Times New Roman" w:cs="Times New Roman"/>
          <w:color w:val="auto"/>
          <w:szCs w:val="21"/>
          <w:lang w:val="en-GB"/>
        </w:rPr>
        <w:t>2024XFCG-20</w:t>
      </w:r>
      <w:r>
        <w:rPr>
          <w:rFonts w:ascii="Times New Roman" w:hAnsi="Times New Roman" w:cs="Times New Roman"/>
          <w:color w:val="auto"/>
          <w:szCs w:val="21"/>
          <w:lang w:val="en-GB"/>
        </w:rPr>
        <w:fldChar w:fldCharType="begin"/>
      </w:r>
      <w:r>
        <w:rPr>
          <w:rFonts w:ascii="Times New Roman" w:hAnsi="Times New Roman" w:cs="Times New Roman"/>
          <w:color w:val="auto"/>
          <w:szCs w:val="21"/>
          <w:lang w:val="en-GB"/>
        </w:rPr>
        <w:instrText xml:space="preserve"> DOCVARIABLE  项目名称  \* MERGEFORMAT </w:instrText>
      </w:r>
      <w:r>
        <w:rPr>
          <w:rFonts w:ascii="Times New Roman" w:hAnsi="Times New Roman" w:cs="Times New Roman"/>
          <w:color w:val="auto"/>
          <w:szCs w:val="21"/>
          <w:lang w:val="en-GB"/>
        </w:rPr>
        <w:fldChar w:fldCharType="separate"/>
      </w:r>
      <w:r>
        <w:rPr>
          <w:rFonts w:ascii="Times New Roman" w:hAnsi="Times New Roman" w:cs="Times New Roman"/>
          <w:color w:val="auto"/>
          <w:szCs w:val="21"/>
          <w:lang w:val="en-GB"/>
        </w:rPr>
        <w:fldChar w:fldCharType="end"/>
      </w:r>
    </w:p>
    <w:p w14:paraId="3599D23A">
      <w:pPr>
        <w:spacing w:line="324" w:lineRule="auto"/>
        <w:ind w:firstLine="420" w:firstLineChars="200"/>
        <w:jc w:val="left"/>
        <w:rPr>
          <w:rFonts w:ascii="Times New Roman" w:hAnsi="Times New Roman" w:cs="Times New Roman"/>
          <w:color w:val="auto"/>
          <w:szCs w:val="21"/>
        </w:rPr>
      </w:pPr>
      <w:r>
        <w:rPr>
          <w:rFonts w:ascii="Times New Roman" w:hAnsi="Times New Roman" w:cs="Times New Roman"/>
          <w:color w:val="auto"/>
          <w:szCs w:val="21"/>
        </w:rPr>
        <w:t>委任授权代表姓名：</w:t>
      </w:r>
      <w:r>
        <w:rPr>
          <w:rFonts w:ascii="Times New Roman" w:hAnsi="Times New Roman" w:cs="Times New Roman"/>
          <w:color w:val="auto"/>
          <w:szCs w:val="21"/>
          <w:u w:val="single"/>
        </w:rPr>
        <w:t xml:space="preserve">   （印刷体）</w:t>
      </w:r>
      <w:r>
        <w:rPr>
          <w:rFonts w:hint="eastAsia" w:ascii="Times New Roman" w:hAnsi="Times New Roman" w:cs="Times New Roman"/>
          <w:color w:val="auto"/>
          <w:szCs w:val="21"/>
          <w:u w:val="single"/>
        </w:rPr>
        <w:t xml:space="preserve"> </w:t>
      </w:r>
      <w:r>
        <w:rPr>
          <w:rFonts w:ascii="Times New Roman" w:hAnsi="Times New Roman" w:cs="Times New Roman"/>
          <w:color w:val="auto"/>
          <w:szCs w:val="21"/>
          <w:u w:val="single"/>
        </w:rPr>
        <w:t xml:space="preserve">     </w:t>
      </w:r>
      <w:r>
        <w:rPr>
          <w:rFonts w:ascii="Times New Roman" w:hAnsi="Times New Roman" w:cs="Times New Roman"/>
          <w:color w:val="auto"/>
          <w:szCs w:val="21"/>
        </w:rPr>
        <w:t>，身份证号码：</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rPr>
        <w:t>；</w:t>
      </w:r>
    </w:p>
    <w:p w14:paraId="25BF689F">
      <w:pPr>
        <w:spacing w:line="324" w:lineRule="auto"/>
        <w:ind w:firstLine="420" w:firstLineChars="200"/>
        <w:jc w:val="left"/>
        <w:rPr>
          <w:rFonts w:ascii="Times New Roman" w:hAnsi="Times New Roman" w:cs="Times New Roman"/>
          <w:color w:val="auto"/>
          <w:szCs w:val="21"/>
        </w:rPr>
      </w:pPr>
      <w:r>
        <w:rPr>
          <w:rFonts w:ascii="Times New Roman" w:hAnsi="Times New Roman" w:cs="Times New Roman"/>
          <w:color w:val="auto"/>
          <w:szCs w:val="21"/>
        </w:rPr>
        <w:t>联系电话（手机）：</w:t>
      </w:r>
      <w:r>
        <w:rPr>
          <w:rFonts w:ascii="Times New Roman" w:hAnsi="Times New Roman" w:cs="Times New Roman"/>
          <w:color w:val="auto"/>
          <w:szCs w:val="21"/>
          <w:u w:val="single"/>
        </w:rPr>
        <w:t xml:space="preserve">                   </w:t>
      </w:r>
      <w:r>
        <w:rPr>
          <w:rFonts w:ascii="Times New Roman" w:hAnsi="Times New Roman" w:cs="Times New Roman"/>
          <w:color w:val="auto"/>
          <w:szCs w:val="21"/>
        </w:rPr>
        <w:t>，现职务：</w:t>
      </w:r>
      <w:r>
        <w:rPr>
          <w:rFonts w:ascii="Times New Roman" w:hAnsi="Times New Roman" w:cs="Times New Roman"/>
          <w:color w:val="auto"/>
          <w:szCs w:val="21"/>
          <w:u w:val="single"/>
        </w:rPr>
        <w:t xml:space="preserve">                    </w:t>
      </w:r>
      <w:r>
        <w:rPr>
          <w:rFonts w:ascii="Times New Roman" w:hAnsi="Times New Roman" w:cs="Times New Roman"/>
          <w:color w:val="auto"/>
          <w:szCs w:val="21"/>
        </w:rPr>
        <w:t xml:space="preserve">； </w:t>
      </w:r>
    </w:p>
    <w:p w14:paraId="16504614">
      <w:pPr>
        <w:spacing w:line="324" w:lineRule="auto"/>
        <w:ind w:firstLine="420" w:firstLineChars="200"/>
        <w:jc w:val="left"/>
        <w:rPr>
          <w:rFonts w:ascii="Times New Roman" w:hAnsi="Times New Roman" w:cs="Times New Roman"/>
          <w:color w:val="auto"/>
          <w:szCs w:val="21"/>
        </w:rPr>
      </w:pPr>
      <w:r>
        <w:rPr>
          <w:rFonts w:ascii="Times New Roman" w:hAnsi="Times New Roman" w:cs="Times New Roman"/>
          <w:color w:val="auto"/>
          <w:szCs w:val="21"/>
        </w:rPr>
        <w:t>授权权限：全权代表本单位参与上述项目的投标、</w:t>
      </w:r>
      <w:r>
        <w:rPr>
          <w:rFonts w:ascii="Times New Roman" w:hAnsi="Times New Roman" w:cs="Times New Roman"/>
          <w:color w:val="auto"/>
          <w:szCs w:val="21"/>
          <w:lang w:val="en-GB"/>
        </w:rPr>
        <w:t>递交响应文件、出席开标全程、响应评委会临时召唤而出席评标现场；按照</w:t>
      </w:r>
      <w:r>
        <w:rPr>
          <w:rFonts w:hint="eastAsia" w:ascii="Times New Roman" w:hAnsi="Times New Roman" w:cs="Times New Roman"/>
          <w:color w:val="auto"/>
          <w:szCs w:val="21"/>
          <w:lang w:val="en-GB"/>
        </w:rPr>
        <w:t>采购人</w:t>
      </w:r>
      <w:r>
        <w:rPr>
          <w:rFonts w:ascii="Times New Roman" w:hAnsi="Times New Roman" w:cs="Times New Roman"/>
          <w:color w:val="auto"/>
          <w:szCs w:val="21"/>
          <w:lang w:val="en-GB"/>
        </w:rPr>
        <w:t>和评委会的要求现场处理投标相关事宜；</w:t>
      </w:r>
      <w:r>
        <w:rPr>
          <w:rFonts w:ascii="Times New Roman" w:hAnsi="Times New Roman" w:cs="Times New Roman"/>
          <w:color w:val="auto"/>
          <w:szCs w:val="21"/>
        </w:rPr>
        <w:t>负责提供与签署确认一切文书资料，以及向贵方递交的任何补充承诺。</w:t>
      </w:r>
    </w:p>
    <w:p w14:paraId="6B0C9A3C">
      <w:pPr>
        <w:spacing w:line="324" w:lineRule="auto"/>
        <w:ind w:firstLine="420" w:firstLineChars="200"/>
        <w:jc w:val="left"/>
        <w:rPr>
          <w:rFonts w:ascii="Times New Roman" w:hAnsi="Times New Roman" w:cs="Times New Roman"/>
          <w:color w:val="auto"/>
          <w:szCs w:val="21"/>
        </w:rPr>
      </w:pPr>
      <w:r>
        <w:rPr>
          <w:rFonts w:ascii="Times New Roman" w:hAnsi="Times New Roman" w:cs="Times New Roman"/>
          <w:color w:val="auto"/>
          <w:szCs w:val="21"/>
        </w:rPr>
        <w:t>有效期限：与本项目磋商文件要求的投标有效期相同，自本单位盖章之日起生效。</w:t>
      </w:r>
    </w:p>
    <w:p w14:paraId="140FBD03">
      <w:pPr>
        <w:spacing w:line="324" w:lineRule="auto"/>
        <w:ind w:firstLine="420" w:firstLineChars="200"/>
        <w:jc w:val="left"/>
        <w:rPr>
          <w:rFonts w:ascii="Times New Roman" w:hAnsi="Times New Roman" w:cs="Times New Roman"/>
          <w:color w:val="auto"/>
          <w:szCs w:val="21"/>
        </w:rPr>
      </w:pPr>
      <w:r>
        <w:rPr>
          <w:rFonts w:ascii="Times New Roman" w:hAnsi="Times New Roman" w:cs="Times New Roman"/>
          <w:color w:val="auto"/>
          <w:szCs w:val="21"/>
        </w:rPr>
        <w:t>特此授权证明。</w:t>
      </w:r>
    </w:p>
    <w:p w14:paraId="58770996">
      <w:pPr>
        <w:spacing w:line="324" w:lineRule="auto"/>
        <w:ind w:firstLine="420" w:firstLineChars="200"/>
        <w:jc w:val="left"/>
        <w:rPr>
          <w:rFonts w:ascii="Times New Roman" w:hAnsi="Times New Roman" w:cs="Times New Roman"/>
          <w:color w:val="auto"/>
          <w:szCs w:val="21"/>
          <w:lang w:val="en-GB"/>
        </w:rPr>
      </w:pPr>
      <w:r>
        <w:rPr>
          <w:rFonts w:hint="eastAsia" w:ascii="Times New Roman" w:hAnsi="Times New Roman" w:cs="Times New Roman"/>
          <w:color w:val="auto"/>
          <w:szCs w:val="21"/>
          <w:lang w:val="en-GB"/>
        </w:rPr>
        <w:t>供应商</w:t>
      </w:r>
      <w:r>
        <w:rPr>
          <w:rFonts w:ascii="Times New Roman" w:hAnsi="Times New Roman" w:cs="Times New Roman"/>
          <w:color w:val="auto"/>
          <w:szCs w:val="21"/>
          <w:lang w:val="en-GB"/>
        </w:rPr>
        <w:t>名称：</w:t>
      </w:r>
      <w:r>
        <w:rPr>
          <w:rFonts w:ascii="Times New Roman" w:hAnsi="Times New Roman" w:cs="Times New Roman"/>
          <w:color w:val="auto"/>
          <w:szCs w:val="21"/>
          <w:u w:val="single"/>
          <w:lang w:val="en-GB"/>
        </w:rPr>
        <w:t xml:space="preserve">       </w:t>
      </w:r>
      <w:r>
        <w:rPr>
          <w:rFonts w:ascii="Times New Roman" w:hAnsi="Times New Roman" w:cs="Times New Roman"/>
          <w:color w:val="auto"/>
          <w:szCs w:val="21"/>
          <w:u w:val="single"/>
        </w:rPr>
        <w:t>（</w:t>
      </w:r>
      <w:r>
        <w:rPr>
          <w:rFonts w:hint="eastAsia" w:ascii="Times New Roman" w:hAnsi="Times New Roman" w:cs="Times New Roman"/>
          <w:color w:val="auto"/>
          <w:szCs w:val="21"/>
          <w:u w:val="single"/>
        </w:rPr>
        <w:t>单位名称</w:t>
      </w:r>
      <w:r>
        <w:rPr>
          <w:rFonts w:ascii="Times New Roman" w:hAnsi="Times New Roman" w:cs="Times New Roman"/>
          <w:color w:val="auto"/>
          <w:szCs w:val="21"/>
          <w:u w:val="single"/>
        </w:rPr>
        <w:t>全称）</w:t>
      </w:r>
      <w:r>
        <w:rPr>
          <w:rFonts w:ascii="Times New Roman" w:hAnsi="Times New Roman" w:cs="Times New Roman"/>
          <w:color w:val="auto"/>
          <w:szCs w:val="21"/>
          <w:u w:val="single"/>
          <w:lang w:val="en-GB"/>
        </w:rPr>
        <w:t xml:space="preserve">              </w:t>
      </w:r>
      <w:r>
        <w:rPr>
          <w:rFonts w:ascii="Times New Roman" w:hAnsi="Times New Roman" w:cs="Times New Roman"/>
          <w:color w:val="auto"/>
          <w:szCs w:val="21"/>
        </w:rPr>
        <w:t>（</w:t>
      </w:r>
      <w:r>
        <w:rPr>
          <w:rFonts w:ascii="Times New Roman" w:hAnsi="Times New Roman" w:cs="Times New Roman"/>
          <w:color w:val="auto"/>
          <w:szCs w:val="21"/>
          <w:lang w:val="zh-CN"/>
        </w:rPr>
        <w:t>加盖供应商公章</w:t>
      </w:r>
      <w:r>
        <w:rPr>
          <w:rFonts w:ascii="Times New Roman" w:hAnsi="Times New Roman" w:cs="Times New Roman"/>
          <w:color w:val="auto"/>
          <w:szCs w:val="21"/>
        </w:rPr>
        <w:t>）</w:t>
      </w:r>
    </w:p>
    <w:p w14:paraId="1635ADF8">
      <w:pPr>
        <w:spacing w:line="324" w:lineRule="auto"/>
        <w:ind w:firstLine="420" w:firstLineChars="200"/>
        <w:jc w:val="left"/>
        <w:rPr>
          <w:rFonts w:ascii="Times New Roman" w:hAnsi="Times New Roman" w:cs="Times New Roman"/>
          <w:color w:val="auto"/>
          <w:szCs w:val="21"/>
          <w:lang w:val="en-GB"/>
        </w:rPr>
      </w:pPr>
      <w:r>
        <w:rPr>
          <w:rFonts w:ascii="Times New Roman" w:hAnsi="Times New Roman" w:cs="Times New Roman"/>
          <w:color w:val="auto"/>
          <w:szCs w:val="21"/>
          <w:lang w:val="en-GB"/>
        </w:rPr>
        <w:t>法定代表人（或事业单位负责人）：</w:t>
      </w:r>
      <w:r>
        <w:rPr>
          <w:rFonts w:ascii="Times New Roman" w:hAnsi="Times New Roman" w:cs="Times New Roman"/>
          <w:color w:val="auto"/>
          <w:szCs w:val="21"/>
          <w:u w:val="single"/>
          <w:lang w:val="en-GB"/>
        </w:rPr>
        <w:t xml:space="preserve">                   </w:t>
      </w:r>
      <w:r>
        <w:rPr>
          <w:rFonts w:ascii="Times New Roman" w:hAnsi="Times New Roman" w:cs="Times New Roman"/>
          <w:color w:val="auto"/>
          <w:szCs w:val="21"/>
          <w:lang w:val="en-GB"/>
        </w:rPr>
        <w:t>（亲笔签名）</w:t>
      </w:r>
    </w:p>
    <w:p w14:paraId="4F823847">
      <w:pPr>
        <w:spacing w:line="324" w:lineRule="auto"/>
        <w:ind w:firstLine="420" w:firstLineChars="200"/>
        <w:jc w:val="left"/>
        <w:rPr>
          <w:rFonts w:ascii="Times New Roman" w:hAnsi="Times New Roman" w:cs="Times New Roman"/>
          <w:color w:val="auto"/>
          <w:szCs w:val="21"/>
          <w:lang w:val="en-GB"/>
        </w:rPr>
      </w:pPr>
      <w:r>
        <w:rPr>
          <w:rFonts w:ascii="Times New Roman" w:hAnsi="Times New Roman" w:cs="Times New Roman"/>
          <w:color w:val="auto"/>
          <w:szCs w:val="21"/>
          <w:lang w:val="en-GB"/>
        </w:rPr>
        <w:t>职    务：</w:t>
      </w:r>
      <w:r>
        <w:rPr>
          <w:rFonts w:ascii="Times New Roman" w:hAnsi="Times New Roman" w:cs="Times New Roman"/>
          <w:color w:val="auto"/>
          <w:szCs w:val="21"/>
          <w:u w:val="single"/>
          <w:lang w:val="en-GB"/>
        </w:rPr>
        <w:t xml:space="preserve">           </w:t>
      </w:r>
      <w:r>
        <w:rPr>
          <w:rFonts w:ascii="Times New Roman" w:hAnsi="Times New Roman" w:cs="Times New Roman"/>
          <w:color w:val="auto"/>
          <w:szCs w:val="21"/>
          <w:lang w:val="en-GB"/>
        </w:rPr>
        <w:t>；联系电话：</w:t>
      </w:r>
      <w:r>
        <w:rPr>
          <w:rFonts w:ascii="Times New Roman" w:hAnsi="Times New Roman" w:cs="Times New Roman"/>
          <w:color w:val="auto"/>
          <w:szCs w:val="21"/>
          <w:u w:val="single"/>
          <w:lang w:val="en-GB"/>
        </w:rPr>
        <w:t xml:space="preserve">          </w:t>
      </w:r>
      <w:r>
        <w:rPr>
          <w:rFonts w:ascii="Times New Roman" w:hAnsi="Times New Roman" w:cs="Times New Roman"/>
          <w:color w:val="auto"/>
          <w:szCs w:val="21"/>
          <w:lang w:val="en-GB"/>
        </w:rPr>
        <w:t>； 传真号码：</w:t>
      </w:r>
      <w:r>
        <w:rPr>
          <w:rFonts w:ascii="Times New Roman" w:hAnsi="Times New Roman" w:cs="Times New Roman"/>
          <w:color w:val="auto"/>
          <w:szCs w:val="21"/>
          <w:u w:val="single"/>
          <w:lang w:val="en-GB"/>
        </w:rPr>
        <w:t xml:space="preserve">           </w:t>
      </w:r>
      <w:r>
        <w:rPr>
          <w:rFonts w:ascii="Times New Roman" w:hAnsi="Times New Roman" w:cs="Times New Roman"/>
          <w:color w:val="auto"/>
          <w:szCs w:val="21"/>
          <w:lang w:val="en-GB"/>
        </w:rPr>
        <w:t>；</w:t>
      </w:r>
    </w:p>
    <w:p w14:paraId="5630CF24">
      <w:pPr>
        <w:spacing w:line="324" w:lineRule="auto"/>
        <w:ind w:firstLine="420" w:firstLineChars="200"/>
        <w:jc w:val="left"/>
        <w:rPr>
          <w:rFonts w:ascii="Times New Roman" w:hAnsi="Times New Roman" w:cs="Times New Roman"/>
          <w:color w:val="auto"/>
          <w:szCs w:val="21"/>
          <w:lang w:val="en-GB"/>
        </w:rPr>
      </w:pPr>
      <w:r>
        <w:rPr>
          <w:rFonts w:ascii="Times New Roman" w:hAnsi="Times New Roman" w:cs="Times New Roman"/>
          <w:color w:val="auto"/>
          <w:szCs w:val="21"/>
          <w:lang w:val="en-GB"/>
        </w:rPr>
        <w:t>生 效 日 期 ：</w:t>
      </w:r>
      <w:r>
        <w:rPr>
          <w:rFonts w:ascii="Times New Roman" w:hAnsi="Times New Roman" w:cs="Times New Roman"/>
          <w:color w:val="auto"/>
          <w:szCs w:val="21"/>
          <w:u w:val="single"/>
        </w:rPr>
        <w:t xml:space="preserve">   </w:t>
      </w:r>
      <w:r>
        <w:rPr>
          <w:rFonts w:ascii="Times New Roman" w:hAnsi="Times New Roman" w:cs="Times New Roman"/>
          <w:color w:val="auto"/>
          <w:szCs w:val="21"/>
          <w:lang w:val="en-GB"/>
        </w:rPr>
        <w:t>年</w:t>
      </w:r>
      <w:r>
        <w:rPr>
          <w:rFonts w:ascii="Times New Roman" w:hAnsi="Times New Roman" w:cs="Times New Roman"/>
          <w:color w:val="auto"/>
          <w:szCs w:val="21"/>
          <w:u w:val="single"/>
          <w:lang w:val="en-GB"/>
        </w:rPr>
        <w:t xml:space="preserve">   </w:t>
      </w:r>
      <w:r>
        <w:rPr>
          <w:rFonts w:ascii="Times New Roman" w:hAnsi="Times New Roman" w:cs="Times New Roman"/>
          <w:color w:val="auto"/>
          <w:szCs w:val="21"/>
          <w:lang w:val="en-GB"/>
        </w:rPr>
        <w:t>月</w:t>
      </w:r>
      <w:r>
        <w:rPr>
          <w:rFonts w:ascii="Times New Roman" w:hAnsi="Times New Roman" w:cs="Times New Roman"/>
          <w:color w:val="auto"/>
          <w:szCs w:val="21"/>
          <w:u w:val="single"/>
          <w:lang w:val="en-GB"/>
        </w:rPr>
        <w:t xml:space="preserve">   </w:t>
      </w:r>
      <w:r>
        <w:rPr>
          <w:rFonts w:ascii="Times New Roman" w:hAnsi="Times New Roman" w:cs="Times New Roman"/>
          <w:color w:val="auto"/>
          <w:szCs w:val="21"/>
          <w:lang w:val="en-GB"/>
        </w:rPr>
        <w:t>日。</w:t>
      </w:r>
    </w:p>
    <w:p w14:paraId="02472D1C">
      <w:pPr>
        <w:spacing w:line="324" w:lineRule="auto"/>
        <w:jc w:val="left"/>
        <w:rPr>
          <w:rFonts w:ascii="Times New Roman" w:hAnsi="Times New Roman" w:cs="Times New Roman"/>
          <w:color w:val="auto"/>
          <w:szCs w:val="21"/>
          <w:lang w:val="en-GB"/>
        </w:rPr>
      </w:pPr>
      <w:r>
        <w:rPr>
          <w:rFonts w:ascii="Times New Roman" w:hAnsi="Times New Roman" w:cs="Times New Roman"/>
          <w:color w:val="auto"/>
          <w:szCs w:val="21"/>
          <w:lang w:val="en-GB"/>
        </w:rPr>
        <w:t>说明：</w:t>
      </w:r>
    </w:p>
    <w:p w14:paraId="1BEFE635">
      <w:pPr>
        <w:spacing w:line="324" w:lineRule="auto"/>
        <w:ind w:left="315" w:hanging="315" w:hangingChars="150"/>
        <w:jc w:val="left"/>
        <w:rPr>
          <w:rFonts w:ascii="Times New Roman" w:hAnsi="Times New Roman" w:cs="Times New Roman"/>
          <w:color w:val="auto"/>
          <w:szCs w:val="21"/>
          <w:lang w:val="en-GB"/>
        </w:rPr>
      </w:pPr>
      <w:r>
        <w:rPr>
          <w:rFonts w:ascii="Times New Roman" w:hAnsi="Times New Roman" w:cs="Times New Roman"/>
          <w:color w:val="auto"/>
          <w:szCs w:val="21"/>
          <w:lang w:val="en-GB"/>
        </w:rPr>
        <w:t>1、</w:t>
      </w:r>
      <w:r>
        <w:rPr>
          <w:rFonts w:ascii="Times New Roman" w:hAnsi="Times New Roman" w:cs="Times New Roman"/>
          <w:color w:val="auto"/>
          <w:szCs w:val="21"/>
          <w:u w:val="single"/>
          <w:lang w:val="en-GB"/>
        </w:rPr>
        <w:t>授权代表人在递交投标文件时，须向采购代理机构人员出示此份证明书的原件，否则，采购代理机构将拒收其投标文件。</w:t>
      </w:r>
    </w:p>
    <w:p w14:paraId="084A4C25">
      <w:pPr>
        <w:spacing w:line="324" w:lineRule="auto"/>
        <w:ind w:left="315" w:hanging="315" w:hangingChars="150"/>
        <w:jc w:val="left"/>
        <w:rPr>
          <w:rFonts w:ascii="Times New Roman" w:hAnsi="Times New Roman" w:cs="Times New Roman"/>
          <w:color w:val="auto"/>
          <w:szCs w:val="21"/>
          <w:lang w:val="en-GB"/>
        </w:rPr>
      </w:pPr>
      <w:r>
        <w:rPr>
          <w:rFonts w:ascii="Times New Roman" w:hAnsi="Times New Roman" w:cs="Times New Roman"/>
          <w:color w:val="auto"/>
          <w:szCs w:val="21"/>
          <w:lang w:val="en-GB"/>
        </w:rPr>
        <w:t>2、本授权书内容不得擅自删改。如法定代表人（或事业单位负责人）亲临现场参与投标、决策、签字的，则不需此</w:t>
      </w:r>
      <w:r>
        <w:rPr>
          <w:rFonts w:hint="eastAsia" w:ascii="Times New Roman" w:hAnsi="Times New Roman" w:cs="Times New Roman"/>
          <w:color w:val="auto"/>
          <w:szCs w:val="21"/>
          <w:lang w:val="en-GB"/>
        </w:rPr>
        <w:t>授权书</w:t>
      </w:r>
      <w:r>
        <w:rPr>
          <w:rFonts w:ascii="Times New Roman" w:hAnsi="Times New Roman" w:cs="Times New Roman"/>
          <w:color w:val="auto"/>
          <w:szCs w:val="21"/>
          <w:lang w:val="en-GB"/>
        </w:rPr>
        <w:t>。</w:t>
      </w:r>
    </w:p>
    <w:p w14:paraId="73D4D10D">
      <w:pPr>
        <w:spacing w:line="324" w:lineRule="auto"/>
        <w:jc w:val="left"/>
        <w:rPr>
          <w:rFonts w:ascii="Times New Roman" w:hAnsi="Times New Roman" w:cs="Times New Roman"/>
          <w:b/>
          <w:color w:val="auto"/>
          <w:szCs w:val="21"/>
          <w:lang w:val="en-GB"/>
        </w:rPr>
      </w:pPr>
      <w:r>
        <w:rPr>
          <w:rFonts w:ascii="Times New Roman" w:hAnsi="Times New Roman" w:cs="Times New Roman"/>
          <w:b/>
          <w:color w:val="auto"/>
          <w:szCs w:val="21"/>
          <w:lang w:val="en-GB"/>
        </w:rPr>
        <w:t>附：被授权人的身份证复印件：</w:t>
      </w:r>
    </w:p>
    <w:tbl>
      <w:tblPr>
        <w:tblStyle w:val="21"/>
        <w:tblW w:w="0" w:type="auto"/>
        <w:tblInd w:w="0" w:type="dxa"/>
        <w:tblLayout w:type="fixed"/>
        <w:tblCellMar>
          <w:top w:w="0" w:type="dxa"/>
          <w:left w:w="108" w:type="dxa"/>
          <w:bottom w:w="0" w:type="dxa"/>
          <w:right w:w="108" w:type="dxa"/>
        </w:tblCellMar>
      </w:tblPr>
      <w:tblGrid>
        <w:gridCol w:w="9396"/>
      </w:tblGrid>
      <w:tr w14:paraId="66898EF8">
        <w:tblPrEx>
          <w:tblCellMar>
            <w:top w:w="0" w:type="dxa"/>
            <w:left w:w="108" w:type="dxa"/>
            <w:bottom w:w="0" w:type="dxa"/>
            <w:right w:w="108" w:type="dxa"/>
          </w:tblCellMar>
        </w:tblPrEx>
        <w:trPr>
          <w:trHeight w:val="2794" w:hRule="atLeast"/>
        </w:trPr>
        <w:tc>
          <w:tcPr>
            <w:tcW w:w="9396" w:type="dxa"/>
            <w:vAlign w:val="center"/>
          </w:tcPr>
          <w:p w14:paraId="0CB034BA">
            <w:pPr>
              <w:spacing w:line="324" w:lineRule="auto"/>
              <w:jc w:val="center"/>
              <w:rPr>
                <w:rFonts w:ascii="Times New Roman" w:hAnsi="Times New Roman" w:cs="Times New Roman"/>
                <w:color w:val="auto"/>
                <w:szCs w:val="21"/>
              </w:rPr>
            </w:pPr>
            <w:r>
              <w:rPr>
                <w:rFonts w:ascii="Times New Roman" w:hAnsi="Times New Roman" w:cs="Times New Roman"/>
                <w:color w:val="auto"/>
                <w:szCs w:val="21"/>
              </w:rPr>
              <w:t>此处粘贴全权代表（被授权人）的身份证复印件（双面）或 直接扫描到此张纸上</w:t>
            </w:r>
          </w:p>
          <w:p w14:paraId="7AB1D7E8">
            <w:pPr>
              <w:spacing w:line="324" w:lineRule="auto"/>
              <w:jc w:val="center"/>
              <w:rPr>
                <w:rFonts w:ascii="Times New Roman" w:hAnsi="Times New Roman" w:cs="Times New Roman"/>
                <w:color w:val="auto"/>
                <w:szCs w:val="21"/>
              </w:rPr>
            </w:pPr>
            <w:r>
              <w:rPr>
                <w:rFonts w:ascii="Times New Roman" w:hAnsi="Times New Roman" w:cs="Times New Roman"/>
                <w:color w:val="auto"/>
                <w:szCs w:val="21"/>
              </w:rPr>
              <w:t>注：若页面不够位置的，可另行附页，但须紧接此页</w:t>
            </w:r>
          </w:p>
        </w:tc>
      </w:tr>
    </w:tbl>
    <w:p w14:paraId="3B4A5E3E">
      <w:pPr>
        <w:pageBreakBefore/>
        <w:numPr>
          <w:ilvl w:val="0"/>
          <w:numId w:val="6"/>
        </w:numPr>
        <w:spacing w:line="324" w:lineRule="auto"/>
        <w:ind w:left="0"/>
        <w:jc w:val="center"/>
        <w:outlineLvl w:val="1"/>
        <w:rPr>
          <w:rFonts w:ascii="Times New Roman" w:hAnsi="Times New Roman" w:cs="Times New Roman"/>
          <w:b/>
          <w:bCs/>
          <w:color w:val="auto"/>
          <w:sz w:val="36"/>
          <w:szCs w:val="36"/>
        </w:rPr>
      </w:pPr>
      <w:bookmarkStart w:id="149" w:name="_Toc2680"/>
      <w:r>
        <w:rPr>
          <w:rFonts w:ascii="Times New Roman" w:hAnsi="Times New Roman" w:cs="Times New Roman"/>
          <w:b/>
          <w:bCs/>
          <w:color w:val="auto"/>
          <w:sz w:val="36"/>
          <w:szCs w:val="36"/>
        </w:rPr>
        <w:t>资格性证明材料</w:t>
      </w:r>
      <w:bookmarkEnd w:id="125"/>
      <w:bookmarkEnd w:id="126"/>
      <w:bookmarkEnd w:id="127"/>
      <w:bookmarkEnd w:id="128"/>
      <w:bookmarkEnd w:id="149"/>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2719"/>
        <w:gridCol w:w="6232"/>
      </w:tblGrid>
      <w:tr w14:paraId="0F4D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449" w:type="dxa"/>
            <w:shd w:val="clear" w:color="auto" w:fill="F3F3F3"/>
            <w:vAlign w:val="center"/>
          </w:tcPr>
          <w:p w14:paraId="619E850E">
            <w:pPr>
              <w:spacing w:line="324" w:lineRule="auto"/>
              <w:jc w:val="center"/>
              <w:rPr>
                <w:rFonts w:ascii="Times New Roman" w:hAnsi="Times New Roman" w:cs="Times New Roman"/>
                <w:b/>
                <w:bCs/>
                <w:color w:val="auto"/>
              </w:rPr>
            </w:pPr>
            <w:r>
              <w:rPr>
                <w:rFonts w:ascii="Times New Roman" w:hAnsi="Times New Roman" w:cs="Times New Roman"/>
                <w:b/>
                <w:bCs/>
                <w:color w:val="auto"/>
              </w:rPr>
              <w:t>序号</w:t>
            </w:r>
          </w:p>
        </w:tc>
        <w:tc>
          <w:tcPr>
            <w:tcW w:w="2719" w:type="dxa"/>
            <w:tcBorders>
              <w:right w:val="single" w:color="auto" w:sz="4" w:space="0"/>
            </w:tcBorders>
            <w:shd w:val="clear" w:color="auto" w:fill="F3F3F3"/>
            <w:vAlign w:val="center"/>
          </w:tcPr>
          <w:p w14:paraId="4E3A115F">
            <w:pPr>
              <w:pStyle w:val="35"/>
              <w:keepNext w:val="0"/>
              <w:adjustRightInd/>
              <w:spacing w:before="0" w:after="0" w:line="324" w:lineRule="auto"/>
              <w:textAlignment w:val="auto"/>
              <w:rPr>
                <w:rFonts w:ascii="Times New Roman" w:hAnsi="Times New Roman" w:eastAsiaTheme="minorEastAsia"/>
                <w:b/>
                <w:bCs/>
                <w:snapToGrid/>
                <w:color w:val="auto"/>
                <w:spacing w:val="0"/>
                <w:kern w:val="2"/>
                <w:sz w:val="21"/>
                <w:szCs w:val="21"/>
              </w:rPr>
            </w:pPr>
            <w:r>
              <w:rPr>
                <w:rFonts w:ascii="Times New Roman" w:hAnsi="Times New Roman" w:eastAsiaTheme="minorEastAsia"/>
                <w:b/>
                <w:bCs/>
                <w:snapToGrid/>
                <w:color w:val="auto"/>
                <w:spacing w:val="0"/>
                <w:kern w:val="2"/>
                <w:sz w:val="21"/>
                <w:szCs w:val="21"/>
              </w:rPr>
              <w:t>文件名称</w:t>
            </w:r>
          </w:p>
        </w:tc>
        <w:tc>
          <w:tcPr>
            <w:tcW w:w="6232" w:type="dxa"/>
            <w:tcBorders>
              <w:left w:val="single" w:color="auto" w:sz="4" w:space="0"/>
            </w:tcBorders>
            <w:shd w:val="clear" w:color="auto" w:fill="F3F3F3"/>
            <w:vAlign w:val="center"/>
          </w:tcPr>
          <w:p w14:paraId="413A1696">
            <w:pPr>
              <w:spacing w:line="324" w:lineRule="auto"/>
              <w:jc w:val="center"/>
              <w:rPr>
                <w:rFonts w:ascii="Times New Roman" w:hAnsi="Times New Roman" w:cs="Times New Roman"/>
                <w:b/>
                <w:bCs/>
                <w:color w:val="auto"/>
              </w:rPr>
            </w:pPr>
            <w:r>
              <w:rPr>
                <w:rFonts w:ascii="Times New Roman" w:hAnsi="Times New Roman" w:cs="Times New Roman"/>
                <w:b/>
                <w:bCs/>
                <w:color w:val="auto"/>
              </w:rPr>
              <w:t>文件内容要求</w:t>
            </w:r>
          </w:p>
        </w:tc>
      </w:tr>
      <w:tr w14:paraId="1B04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jc w:val="center"/>
        </w:trPr>
        <w:tc>
          <w:tcPr>
            <w:tcW w:w="9400" w:type="dxa"/>
            <w:gridSpan w:val="3"/>
            <w:vAlign w:val="center"/>
          </w:tcPr>
          <w:p w14:paraId="58BDA732">
            <w:pPr>
              <w:spacing w:line="324" w:lineRule="auto"/>
              <w:rPr>
                <w:rFonts w:ascii="Times New Roman" w:hAnsi="Times New Roman" w:cs="Times New Roman"/>
                <w:b/>
                <w:color w:val="auto"/>
              </w:rPr>
            </w:pPr>
            <w:r>
              <w:rPr>
                <w:rFonts w:ascii="Times New Roman" w:hAnsi="Times New Roman" w:cs="Times New Roman"/>
                <w:b/>
                <w:color w:val="auto"/>
              </w:rPr>
              <w:t>一、本表为《中华人民共和国政府采购法》第二十二条规定的条件所对应的证明材料。《中华人民共和国政府采购法实施条例》第十七条规定：参加政府采购活动的供应商应当具备政府采购法第二十二条第一款规定的条件，提供下列材料：</w:t>
            </w:r>
          </w:p>
        </w:tc>
      </w:tr>
      <w:tr w14:paraId="76F8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449" w:type="dxa"/>
            <w:vAlign w:val="center"/>
          </w:tcPr>
          <w:p w14:paraId="53FC7D7D">
            <w:pPr>
              <w:tabs>
                <w:tab w:val="left" w:pos="180"/>
              </w:tabs>
              <w:spacing w:line="324" w:lineRule="auto"/>
              <w:rPr>
                <w:color w:val="auto"/>
              </w:rPr>
            </w:pPr>
            <w:r>
              <w:rPr>
                <w:rFonts w:hint="eastAsia"/>
                <w:color w:val="auto"/>
              </w:rPr>
              <w:t>1</w:t>
            </w:r>
          </w:p>
        </w:tc>
        <w:tc>
          <w:tcPr>
            <w:tcW w:w="2719" w:type="dxa"/>
            <w:tcBorders>
              <w:right w:val="single" w:color="auto" w:sz="4" w:space="0"/>
            </w:tcBorders>
            <w:vAlign w:val="center"/>
          </w:tcPr>
          <w:p w14:paraId="074E2FB2">
            <w:pPr>
              <w:spacing w:line="324" w:lineRule="auto"/>
              <w:rPr>
                <w:rFonts w:ascii="Times New Roman" w:hAnsi="Times New Roman" w:cs="Times New Roman"/>
                <w:color w:val="auto"/>
              </w:rPr>
            </w:pPr>
            <w:r>
              <w:rPr>
                <w:rFonts w:ascii="Times New Roman" w:hAnsi="Times New Roman" w:cs="Times New Roman"/>
                <w:color w:val="auto"/>
              </w:rPr>
              <w:t>独立法人或者其他组织的营业执照副本等证明文件，自然人的身份证明</w:t>
            </w:r>
          </w:p>
        </w:tc>
        <w:tc>
          <w:tcPr>
            <w:tcW w:w="6232" w:type="dxa"/>
            <w:tcBorders>
              <w:left w:val="single" w:color="auto" w:sz="4" w:space="0"/>
            </w:tcBorders>
            <w:vAlign w:val="center"/>
          </w:tcPr>
          <w:p w14:paraId="6B786ACD">
            <w:pPr>
              <w:spacing w:line="324" w:lineRule="auto"/>
              <w:rPr>
                <w:rFonts w:ascii="Times New Roman" w:hAnsi="Times New Roman" w:cs="Times New Roman"/>
                <w:b/>
                <w:color w:val="auto"/>
              </w:rPr>
            </w:pPr>
            <w:r>
              <w:rPr>
                <w:rFonts w:ascii="Times New Roman" w:hAnsi="Times New Roman" w:cs="Times New Roman"/>
                <w:b/>
                <w:color w:val="auto"/>
              </w:rPr>
              <w:t>《营业执照副本》</w:t>
            </w:r>
          </w:p>
          <w:p w14:paraId="19151971">
            <w:pPr>
              <w:spacing w:line="324" w:lineRule="auto"/>
              <w:rPr>
                <w:rFonts w:ascii="Times New Roman" w:hAnsi="Times New Roman" w:cs="Times New Roman"/>
                <w:color w:val="auto"/>
              </w:rPr>
            </w:pPr>
            <w:r>
              <w:rPr>
                <w:rFonts w:ascii="Times New Roman" w:hAnsi="Times New Roman" w:cs="Times New Roman"/>
                <w:color w:val="auto"/>
              </w:rPr>
              <w:t>注：本项目不接受自然人参与。</w:t>
            </w:r>
          </w:p>
        </w:tc>
      </w:tr>
      <w:tr w14:paraId="5FF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jc w:val="center"/>
        </w:trPr>
        <w:tc>
          <w:tcPr>
            <w:tcW w:w="449" w:type="dxa"/>
            <w:vAlign w:val="center"/>
          </w:tcPr>
          <w:p w14:paraId="46572955">
            <w:pPr>
              <w:tabs>
                <w:tab w:val="left" w:pos="180"/>
              </w:tabs>
              <w:spacing w:line="324" w:lineRule="auto"/>
              <w:rPr>
                <w:rFonts w:ascii="Times New Roman" w:hAnsi="Times New Roman" w:cs="Times New Roman"/>
                <w:color w:val="auto"/>
              </w:rPr>
            </w:pPr>
            <w:r>
              <w:rPr>
                <w:rFonts w:hint="eastAsia" w:ascii="Times New Roman" w:hAnsi="Times New Roman" w:cs="Times New Roman"/>
                <w:color w:val="auto"/>
              </w:rPr>
              <w:t>2</w:t>
            </w:r>
          </w:p>
        </w:tc>
        <w:tc>
          <w:tcPr>
            <w:tcW w:w="2719" w:type="dxa"/>
            <w:tcBorders>
              <w:right w:val="single" w:color="auto" w:sz="4" w:space="0"/>
            </w:tcBorders>
            <w:vAlign w:val="center"/>
          </w:tcPr>
          <w:p w14:paraId="36EA4E25">
            <w:pPr>
              <w:spacing w:line="324" w:lineRule="auto"/>
              <w:rPr>
                <w:rFonts w:ascii="Times New Roman" w:hAnsi="Times New Roman" w:cs="Times New Roman"/>
                <w:color w:val="auto"/>
              </w:rPr>
            </w:pPr>
            <w:r>
              <w:rPr>
                <w:rFonts w:ascii="Times New Roman" w:hAnsi="Times New Roman" w:cs="Times New Roman"/>
                <w:color w:val="auto"/>
              </w:rPr>
              <w:t>有依法缴纳税收和社会保障资金的良好记录</w:t>
            </w:r>
          </w:p>
        </w:tc>
        <w:tc>
          <w:tcPr>
            <w:tcW w:w="6232" w:type="dxa"/>
            <w:tcBorders>
              <w:left w:val="single" w:color="auto" w:sz="4" w:space="0"/>
            </w:tcBorders>
            <w:vAlign w:val="center"/>
          </w:tcPr>
          <w:p w14:paraId="55A240F9">
            <w:pPr>
              <w:spacing w:line="324" w:lineRule="auto"/>
              <w:rPr>
                <w:rFonts w:ascii="Times New Roman" w:hAnsi="Times New Roman" w:cs="Times New Roman"/>
                <w:b/>
                <w:bCs/>
                <w:color w:val="auto"/>
              </w:rPr>
            </w:pPr>
            <w:r>
              <w:rPr>
                <w:rFonts w:ascii="Times New Roman" w:hAnsi="Times New Roman" w:cs="Times New Roman"/>
                <w:b/>
                <w:bCs/>
                <w:color w:val="auto"/>
              </w:rPr>
              <w:t>《有依法缴纳税收和社会保障资金的良好记录》</w:t>
            </w:r>
          </w:p>
          <w:p w14:paraId="215ECF93">
            <w:pPr>
              <w:spacing w:line="324" w:lineRule="auto"/>
              <w:rPr>
                <w:rFonts w:ascii="Times New Roman" w:hAnsi="Times New Roman" w:cs="Times New Roman"/>
                <w:color w:val="auto"/>
              </w:rPr>
            </w:pPr>
            <w:r>
              <w:rPr>
                <w:rFonts w:ascii="Times New Roman" w:hAnsi="Times New Roman" w:cs="Times New Roman"/>
                <w:color w:val="auto"/>
              </w:rPr>
              <w:t>注：按后文格式填写，提供相关材料。</w:t>
            </w:r>
          </w:p>
        </w:tc>
      </w:tr>
      <w:tr w14:paraId="2A8F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449" w:type="dxa"/>
            <w:vAlign w:val="center"/>
          </w:tcPr>
          <w:p w14:paraId="6768CC42">
            <w:pPr>
              <w:tabs>
                <w:tab w:val="left" w:pos="180"/>
              </w:tabs>
              <w:spacing w:line="324" w:lineRule="auto"/>
              <w:rPr>
                <w:rFonts w:ascii="Times New Roman" w:hAnsi="Times New Roman" w:cs="Times New Roman"/>
                <w:color w:val="auto"/>
              </w:rPr>
            </w:pPr>
            <w:r>
              <w:rPr>
                <w:rFonts w:hint="eastAsia" w:ascii="Times New Roman" w:hAnsi="Times New Roman" w:cs="Times New Roman"/>
                <w:color w:val="auto"/>
              </w:rPr>
              <w:t>3</w:t>
            </w:r>
          </w:p>
        </w:tc>
        <w:tc>
          <w:tcPr>
            <w:tcW w:w="2719" w:type="dxa"/>
            <w:tcBorders>
              <w:right w:val="single" w:color="auto" w:sz="4" w:space="0"/>
            </w:tcBorders>
            <w:vAlign w:val="center"/>
          </w:tcPr>
          <w:p w14:paraId="6AD1ABC7">
            <w:pPr>
              <w:spacing w:line="324" w:lineRule="auto"/>
              <w:rPr>
                <w:rFonts w:ascii="Times New Roman" w:hAnsi="Times New Roman" w:cs="Times New Roman"/>
                <w:color w:val="auto"/>
              </w:rPr>
            </w:pPr>
            <w:r>
              <w:rPr>
                <w:rFonts w:ascii="Times New Roman" w:hAnsi="Times New Roman" w:cs="Times New Roman"/>
                <w:color w:val="auto"/>
              </w:rPr>
              <w:t>具有良好的商业信誉和健全的财务会计制度</w:t>
            </w:r>
          </w:p>
        </w:tc>
        <w:tc>
          <w:tcPr>
            <w:tcW w:w="6232" w:type="dxa"/>
            <w:tcBorders>
              <w:left w:val="single" w:color="auto" w:sz="4" w:space="0"/>
            </w:tcBorders>
            <w:vAlign w:val="center"/>
          </w:tcPr>
          <w:p w14:paraId="69E4EF10">
            <w:pPr>
              <w:spacing w:line="324" w:lineRule="auto"/>
              <w:rPr>
                <w:rFonts w:ascii="Times New Roman" w:hAnsi="Times New Roman" w:cs="Times New Roman"/>
                <w:b/>
                <w:bCs/>
                <w:color w:val="auto"/>
              </w:rPr>
            </w:pPr>
            <w:r>
              <w:rPr>
                <w:rFonts w:ascii="Times New Roman" w:hAnsi="Times New Roman" w:cs="Times New Roman"/>
                <w:b/>
                <w:bCs/>
                <w:color w:val="auto"/>
              </w:rPr>
              <w:t>《具有良好的商业信誉和健全的财务会计制度》</w:t>
            </w:r>
          </w:p>
          <w:p w14:paraId="67EA2836">
            <w:pPr>
              <w:spacing w:line="324" w:lineRule="auto"/>
              <w:rPr>
                <w:rFonts w:ascii="Times New Roman" w:hAnsi="Times New Roman" w:cs="Times New Roman"/>
                <w:color w:val="auto"/>
              </w:rPr>
            </w:pPr>
            <w:r>
              <w:rPr>
                <w:rFonts w:ascii="Times New Roman" w:hAnsi="Times New Roman" w:cs="Times New Roman"/>
                <w:color w:val="auto"/>
              </w:rPr>
              <w:t>注：按后文格式填写，提供相关资料。</w:t>
            </w:r>
          </w:p>
        </w:tc>
      </w:tr>
      <w:tr w14:paraId="217A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exact"/>
          <w:jc w:val="center"/>
        </w:trPr>
        <w:tc>
          <w:tcPr>
            <w:tcW w:w="449" w:type="dxa"/>
            <w:vAlign w:val="center"/>
          </w:tcPr>
          <w:p w14:paraId="32A9FCAF">
            <w:pPr>
              <w:tabs>
                <w:tab w:val="left" w:pos="180"/>
              </w:tabs>
              <w:spacing w:line="324" w:lineRule="auto"/>
              <w:rPr>
                <w:rFonts w:ascii="Times New Roman" w:hAnsi="Times New Roman" w:cs="Times New Roman"/>
                <w:color w:val="auto"/>
              </w:rPr>
            </w:pPr>
            <w:r>
              <w:rPr>
                <w:rFonts w:hint="eastAsia" w:ascii="Times New Roman" w:hAnsi="Times New Roman" w:cs="Times New Roman"/>
                <w:color w:val="auto"/>
              </w:rPr>
              <w:t>4</w:t>
            </w:r>
          </w:p>
        </w:tc>
        <w:tc>
          <w:tcPr>
            <w:tcW w:w="2719" w:type="dxa"/>
            <w:tcBorders>
              <w:right w:val="single" w:color="auto" w:sz="4" w:space="0"/>
            </w:tcBorders>
            <w:vAlign w:val="center"/>
          </w:tcPr>
          <w:p w14:paraId="2DD9BF1E">
            <w:pPr>
              <w:spacing w:line="324" w:lineRule="auto"/>
              <w:rPr>
                <w:rFonts w:ascii="Times New Roman" w:hAnsi="Times New Roman" w:cs="Times New Roman"/>
                <w:color w:val="auto"/>
              </w:rPr>
            </w:pPr>
            <w:r>
              <w:rPr>
                <w:rFonts w:ascii="Times New Roman" w:hAnsi="Times New Roman" w:cs="Times New Roman"/>
                <w:color w:val="auto"/>
              </w:rPr>
              <w:t>具有履行合同所必需的设备和专业技术能力</w:t>
            </w:r>
          </w:p>
        </w:tc>
        <w:tc>
          <w:tcPr>
            <w:tcW w:w="6232" w:type="dxa"/>
            <w:tcBorders>
              <w:left w:val="single" w:color="auto" w:sz="4" w:space="0"/>
            </w:tcBorders>
            <w:vAlign w:val="center"/>
          </w:tcPr>
          <w:p w14:paraId="2B73A0B0">
            <w:pPr>
              <w:spacing w:line="324" w:lineRule="auto"/>
              <w:rPr>
                <w:rFonts w:ascii="Times New Roman" w:hAnsi="Times New Roman" w:cs="Times New Roman"/>
                <w:b/>
                <w:color w:val="auto"/>
              </w:rPr>
            </w:pPr>
            <w:r>
              <w:rPr>
                <w:rFonts w:ascii="Times New Roman" w:hAnsi="Times New Roman" w:cs="Times New Roman"/>
                <w:b/>
                <w:color w:val="auto"/>
              </w:rPr>
              <w:t>《具有履行合同所必需的设备和专业技术能力的承诺函》</w:t>
            </w:r>
          </w:p>
          <w:p w14:paraId="27AB6399">
            <w:pPr>
              <w:spacing w:line="324" w:lineRule="auto"/>
              <w:rPr>
                <w:rFonts w:ascii="Times New Roman" w:hAnsi="Times New Roman" w:cs="Times New Roman"/>
                <w:color w:val="auto"/>
              </w:rPr>
            </w:pPr>
            <w:r>
              <w:rPr>
                <w:rFonts w:ascii="Times New Roman" w:hAnsi="Times New Roman" w:cs="Times New Roman"/>
                <w:color w:val="auto"/>
              </w:rPr>
              <w:t>注：按后文格式填写，提供原件。</w:t>
            </w:r>
          </w:p>
        </w:tc>
      </w:tr>
      <w:tr w14:paraId="7724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exact"/>
          <w:jc w:val="center"/>
        </w:trPr>
        <w:tc>
          <w:tcPr>
            <w:tcW w:w="449" w:type="dxa"/>
            <w:vAlign w:val="center"/>
          </w:tcPr>
          <w:p w14:paraId="6476CC15">
            <w:pPr>
              <w:tabs>
                <w:tab w:val="left" w:pos="180"/>
              </w:tabs>
              <w:spacing w:line="324" w:lineRule="auto"/>
              <w:rPr>
                <w:rFonts w:ascii="Times New Roman" w:hAnsi="Times New Roman" w:cs="Times New Roman"/>
                <w:color w:val="auto"/>
              </w:rPr>
            </w:pPr>
            <w:r>
              <w:rPr>
                <w:rFonts w:hint="eastAsia" w:ascii="Times New Roman" w:hAnsi="Times New Roman" w:cs="Times New Roman"/>
                <w:color w:val="auto"/>
              </w:rPr>
              <w:t>5</w:t>
            </w:r>
          </w:p>
        </w:tc>
        <w:tc>
          <w:tcPr>
            <w:tcW w:w="2719" w:type="dxa"/>
            <w:tcBorders>
              <w:right w:val="single" w:color="auto" w:sz="4" w:space="0"/>
            </w:tcBorders>
            <w:vAlign w:val="center"/>
          </w:tcPr>
          <w:p w14:paraId="0C8FB1EB">
            <w:pPr>
              <w:spacing w:line="324" w:lineRule="auto"/>
              <w:rPr>
                <w:rFonts w:ascii="Times New Roman" w:hAnsi="Times New Roman" w:cs="Times New Roman"/>
                <w:color w:val="auto"/>
              </w:rPr>
            </w:pPr>
            <w:r>
              <w:rPr>
                <w:rFonts w:ascii="Times New Roman" w:hAnsi="Times New Roman" w:cs="Times New Roman"/>
                <w:color w:val="auto"/>
              </w:rPr>
              <w:t>参与采购活动前三年内在经营活动中没有重大违法记录</w:t>
            </w:r>
          </w:p>
        </w:tc>
        <w:tc>
          <w:tcPr>
            <w:tcW w:w="6232" w:type="dxa"/>
            <w:tcBorders>
              <w:left w:val="single" w:color="auto" w:sz="4" w:space="0"/>
            </w:tcBorders>
            <w:vAlign w:val="center"/>
          </w:tcPr>
          <w:p w14:paraId="681BD3C3">
            <w:pPr>
              <w:spacing w:line="324" w:lineRule="auto"/>
              <w:rPr>
                <w:rFonts w:ascii="Times New Roman" w:hAnsi="Times New Roman" w:cs="Times New Roman"/>
                <w:b/>
                <w:color w:val="auto"/>
              </w:rPr>
            </w:pPr>
            <w:r>
              <w:rPr>
                <w:rFonts w:ascii="Times New Roman" w:hAnsi="Times New Roman" w:cs="Times New Roman"/>
                <w:b/>
                <w:color w:val="auto"/>
              </w:rPr>
              <w:t>《参与采购活动前三年内在经营活动中没有重大违法记录的书面声明函》</w:t>
            </w:r>
          </w:p>
          <w:p w14:paraId="79609F36">
            <w:pPr>
              <w:spacing w:line="324" w:lineRule="auto"/>
              <w:rPr>
                <w:rFonts w:ascii="Times New Roman" w:hAnsi="Times New Roman" w:cs="Times New Roman"/>
                <w:color w:val="auto"/>
              </w:rPr>
            </w:pPr>
            <w:r>
              <w:rPr>
                <w:rFonts w:ascii="Times New Roman" w:hAnsi="Times New Roman" w:cs="Times New Roman"/>
                <w:color w:val="auto"/>
              </w:rPr>
              <w:t>注：按后文格式填写，提供原件。</w:t>
            </w:r>
          </w:p>
        </w:tc>
      </w:tr>
      <w:tr w14:paraId="7187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jc w:val="center"/>
        </w:trPr>
        <w:tc>
          <w:tcPr>
            <w:tcW w:w="449" w:type="dxa"/>
            <w:vAlign w:val="center"/>
          </w:tcPr>
          <w:p w14:paraId="115BE313">
            <w:pPr>
              <w:tabs>
                <w:tab w:val="left" w:pos="180"/>
              </w:tabs>
              <w:spacing w:line="324" w:lineRule="auto"/>
              <w:rPr>
                <w:rFonts w:ascii="Times New Roman" w:hAnsi="Times New Roman" w:cs="Times New Roman"/>
                <w:color w:val="auto"/>
              </w:rPr>
            </w:pPr>
            <w:r>
              <w:rPr>
                <w:rFonts w:hint="eastAsia" w:ascii="Times New Roman" w:hAnsi="Times New Roman" w:cs="Times New Roman"/>
                <w:color w:val="auto"/>
              </w:rPr>
              <w:t>6</w:t>
            </w:r>
          </w:p>
        </w:tc>
        <w:tc>
          <w:tcPr>
            <w:tcW w:w="2719" w:type="dxa"/>
            <w:tcBorders>
              <w:right w:val="single" w:color="auto" w:sz="4" w:space="0"/>
            </w:tcBorders>
            <w:vAlign w:val="center"/>
          </w:tcPr>
          <w:p w14:paraId="4270CA0D">
            <w:pPr>
              <w:spacing w:line="324" w:lineRule="auto"/>
              <w:jc w:val="left"/>
              <w:rPr>
                <w:rFonts w:ascii="Times New Roman" w:hAnsi="Times New Roman" w:cs="Times New Roman"/>
                <w:color w:val="auto"/>
              </w:rPr>
            </w:pPr>
            <w:r>
              <w:rPr>
                <w:rFonts w:ascii="Times New Roman" w:hAnsi="Times New Roman" w:cs="Times New Roman"/>
                <w:color w:val="auto"/>
              </w:rPr>
              <w:t>《中小企业声明函》</w:t>
            </w:r>
          </w:p>
        </w:tc>
        <w:tc>
          <w:tcPr>
            <w:tcW w:w="6232" w:type="dxa"/>
            <w:tcBorders>
              <w:left w:val="single" w:color="auto" w:sz="4" w:space="0"/>
            </w:tcBorders>
            <w:vAlign w:val="center"/>
          </w:tcPr>
          <w:p w14:paraId="24E62A0A">
            <w:pPr>
              <w:spacing w:line="324" w:lineRule="auto"/>
              <w:jc w:val="left"/>
              <w:rPr>
                <w:rFonts w:ascii="Times New Roman" w:hAnsi="Times New Roman" w:cs="Times New Roman"/>
                <w:color w:val="auto"/>
              </w:rPr>
            </w:pPr>
            <w:r>
              <w:rPr>
                <w:rFonts w:ascii="Times New Roman" w:hAnsi="Times New Roman" w:cs="Times New Roman"/>
                <w:color w:val="auto"/>
              </w:rPr>
              <w:t>按对应格式文件签署、盖章（如有）</w:t>
            </w:r>
          </w:p>
        </w:tc>
      </w:tr>
      <w:tr w14:paraId="4DC2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449" w:type="dxa"/>
            <w:vAlign w:val="center"/>
          </w:tcPr>
          <w:p w14:paraId="2FF0F384">
            <w:pPr>
              <w:tabs>
                <w:tab w:val="left" w:pos="180"/>
              </w:tabs>
              <w:spacing w:line="324" w:lineRule="auto"/>
              <w:rPr>
                <w:rFonts w:ascii="Times New Roman" w:hAnsi="Times New Roman" w:cs="Times New Roman"/>
                <w:color w:val="auto"/>
              </w:rPr>
            </w:pPr>
            <w:r>
              <w:rPr>
                <w:rFonts w:hint="eastAsia" w:ascii="Times New Roman" w:hAnsi="Times New Roman" w:cs="Times New Roman"/>
                <w:color w:val="auto"/>
              </w:rPr>
              <w:t>7</w:t>
            </w:r>
          </w:p>
        </w:tc>
        <w:tc>
          <w:tcPr>
            <w:tcW w:w="2719" w:type="dxa"/>
            <w:tcBorders>
              <w:right w:val="single" w:color="auto" w:sz="4" w:space="0"/>
            </w:tcBorders>
            <w:vAlign w:val="center"/>
          </w:tcPr>
          <w:p w14:paraId="696925B3">
            <w:pPr>
              <w:spacing w:line="324" w:lineRule="auto"/>
              <w:jc w:val="left"/>
              <w:rPr>
                <w:rFonts w:ascii="Times New Roman" w:hAnsi="Times New Roman" w:cs="Times New Roman"/>
                <w:color w:val="auto"/>
              </w:rPr>
            </w:pPr>
            <w:r>
              <w:rPr>
                <w:rFonts w:hint="eastAsia" w:ascii="Times New Roman" w:hAnsi="Times New Roman" w:cs="Times New Roman"/>
                <w:color w:val="auto"/>
              </w:rPr>
              <w:t>企业资质</w:t>
            </w:r>
          </w:p>
        </w:tc>
        <w:tc>
          <w:tcPr>
            <w:tcW w:w="6232" w:type="dxa"/>
            <w:tcBorders>
              <w:left w:val="single" w:color="auto" w:sz="4" w:space="0"/>
            </w:tcBorders>
            <w:vAlign w:val="center"/>
          </w:tcPr>
          <w:p w14:paraId="734C085A">
            <w:pPr>
              <w:spacing w:line="324" w:lineRule="auto"/>
              <w:jc w:val="left"/>
              <w:rPr>
                <w:rFonts w:ascii="Times New Roman" w:hAnsi="Times New Roman" w:cs="Times New Roman"/>
                <w:color w:val="auto"/>
                <w:szCs w:val="21"/>
              </w:rPr>
            </w:pPr>
            <w:r>
              <w:rPr>
                <w:rFonts w:ascii="Times New Roman" w:hAnsi="Times New Roman" w:cs="Times New Roman"/>
                <w:color w:val="auto"/>
                <w:szCs w:val="21"/>
              </w:rPr>
              <w:t>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r>
              <w:rPr>
                <w:rFonts w:hint="eastAsia" w:ascii="Times New Roman" w:hAnsi="Times New Roman" w:cs="Times New Roman"/>
                <w:color w:val="auto"/>
                <w:szCs w:val="21"/>
              </w:rPr>
              <w:t>。</w:t>
            </w:r>
          </w:p>
          <w:p w14:paraId="6584D0A6">
            <w:pPr>
              <w:spacing w:line="324" w:lineRule="auto"/>
              <w:jc w:val="left"/>
              <w:rPr>
                <w:rFonts w:ascii="Times New Roman" w:hAnsi="Times New Roman" w:cs="Times New Roman"/>
                <w:color w:val="auto"/>
              </w:rPr>
            </w:pPr>
            <w:r>
              <w:rPr>
                <w:rFonts w:ascii="Times New Roman" w:hAnsi="Times New Roman" w:cs="Times New Roman"/>
                <w:color w:val="auto"/>
              </w:rPr>
              <w:t>注：按后文格式填写，提供</w:t>
            </w:r>
            <w:r>
              <w:rPr>
                <w:rFonts w:hint="eastAsia" w:ascii="Times New Roman" w:hAnsi="Times New Roman" w:cs="Times New Roman"/>
                <w:color w:val="auto"/>
              </w:rPr>
              <w:t>复印件</w:t>
            </w:r>
            <w:r>
              <w:rPr>
                <w:rFonts w:ascii="Times New Roman" w:hAnsi="Times New Roman" w:cs="Times New Roman"/>
                <w:color w:val="auto"/>
              </w:rPr>
              <w:t>。</w:t>
            </w:r>
          </w:p>
        </w:tc>
      </w:tr>
      <w:tr w14:paraId="3DC8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9400" w:type="dxa"/>
            <w:gridSpan w:val="3"/>
            <w:vAlign w:val="center"/>
          </w:tcPr>
          <w:p w14:paraId="26D6D24A">
            <w:pPr>
              <w:spacing w:line="324" w:lineRule="auto"/>
              <w:rPr>
                <w:rFonts w:ascii="Times New Roman" w:hAnsi="Times New Roman" w:cs="Times New Roman"/>
                <w:b/>
                <w:color w:val="auto"/>
              </w:rPr>
            </w:pPr>
            <w:r>
              <w:rPr>
                <w:rFonts w:ascii="Times New Roman" w:hAnsi="Times New Roman" w:cs="Times New Roman"/>
                <w:b/>
                <w:color w:val="auto"/>
              </w:rPr>
              <w:t>二、其他证明材料</w:t>
            </w:r>
          </w:p>
        </w:tc>
      </w:tr>
      <w:tr w14:paraId="65FB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449" w:type="dxa"/>
            <w:vAlign w:val="center"/>
          </w:tcPr>
          <w:p w14:paraId="5737C963">
            <w:pPr>
              <w:tabs>
                <w:tab w:val="left" w:pos="180"/>
              </w:tabs>
              <w:spacing w:line="324" w:lineRule="auto"/>
              <w:jc w:val="center"/>
              <w:rPr>
                <w:rFonts w:ascii="Times New Roman" w:hAnsi="Times New Roman" w:cs="Times New Roman"/>
                <w:color w:val="auto"/>
              </w:rPr>
            </w:pPr>
            <w:r>
              <w:rPr>
                <w:rFonts w:ascii="Times New Roman" w:hAnsi="Times New Roman" w:cs="Times New Roman"/>
                <w:color w:val="auto"/>
              </w:rPr>
              <w:t>1</w:t>
            </w:r>
          </w:p>
        </w:tc>
        <w:tc>
          <w:tcPr>
            <w:tcW w:w="2719" w:type="dxa"/>
            <w:tcBorders>
              <w:right w:val="single" w:color="auto" w:sz="4" w:space="0"/>
            </w:tcBorders>
            <w:vAlign w:val="center"/>
          </w:tcPr>
          <w:p w14:paraId="61B0905F">
            <w:pPr>
              <w:spacing w:line="324" w:lineRule="auto"/>
              <w:rPr>
                <w:rFonts w:ascii="Times New Roman" w:hAnsi="Times New Roman" w:cs="Times New Roman"/>
                <w:color w:val="auto"/>
              </w:rPr>
            </w:pPr>
            <w:r>
              <w:rPr>
                <w:rFonts w:ascii="Times New Roman" w:hAnsi="Times New Roman" w:cs="Times New Roman"/>
                <w:color w:val="auto"/>
              </w:rPr>
              <w:t>如有</w:t>
            </w:r>
          </w:p>
        </w:tc>
        <w:tc>
          <w:tcPr>
            <w:tcW w:w="6232" w:type="dxa"/>
            <w:tcBorders>
              <w:left w:val="single" w:color="auto" w:sz="4" w:space="0"/>
            </w:tcBorders>
            <w:vAlign w:val="center"/>
          </w:tcPr>
          <w:p w14:paraId="0D350320">
            <w:pPr>
              <w:spacing w:line="324" w:lineRule="auto"/>
              <w:rPr>
                <w:rFonts w:ascii="Times New Roman" w:hAnsi="Times New Roman" w:cs="Times New Roman"/>
                <w:b/>
                <w:color w:val="auto"/>
              </w:rPr>
            </w:pPr>
          </w:p>
        </w:tc>
      </w:tr>
      <w:tr w14:paraId="06A0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9400" w:type="dxa"/>
            <w:gridSpan w:val="3"/>
            <w:vAlign w:val="center"/>
          </w:tcPr>
          <w:p w14:paraId="3E699CF4">
            <w:pPr>
              <w:spacing w:line="324" w:lineRule="auto"/>
              <w:rPr>
                <w:rFonts w:ascii="Times New Roman" w:hAnsi="Times New Roman" w:cs="Times New Roman"/>
                <w:b/>
                <w:color w:val="auto"/>
              </w:rPr>
            </w:pPr>
            <w:r>
              <w:rPr>
                <w:rFonts w:ascii="Times New Roman" w:hAnsi="Times New Roman" w:cs="Times New Roman"/>
                <w:b/>
                <w:color w:val="auto"/>
              </w:rPr>
              <w:t>注：以上资料内容若注明原件的须提供原件，否则提供复印件或网络打印页</w:t>
            </w:r>
          </w:p>
        </w:tc>
      </w:tr>
    </w:tbl>
    <w:p w14:paraId="6C40281C">
      <w:pPr>
        <w:spacing w:line="324" w:lineRule="auto"/>
        <w:rPr>
          <w:rFonts w:ascii="Times New Roman" w:hAnsi="Times New Roman" w:cs="Times New Roman"/>
          <w:b/>
          <w:color w:val="auto"/>
          <w:u w:val="double"/>
        </w:rPr>
      </w:pPr>
    </w:p>
    <w:p w14:paraId="0DB45117">
      <w:pPr>
        <w:spacing w:line="324" w:lineRule="auto"/>
        <w:rPr>
          <w:rFonts w:ascii="Times New Roman" w:hAnsi="Times New Roman" w:cs="Times New Roman"/>
          <w:b/>
          <w:color w:val="auto"/>
        </w:rPr>
      </w:pPr>
      <w:r>
        <w:rPr>
          <w:rFonts w:ascii="Times New Roman" w:hAnsi="Times New Roman" w:cs="Times New Roman"/>
          <w:b/>
          <w:color w:val="auto"/>
          <w:u w:val="double"/>
        </w:rPr>
        <w:t>本表附件</w:t>
      </w:r>
      <w:r>
        <w:rPr>
          <w:rFonts w:ascii="Times New Roman" w:hAnsi="Times New Roman" w:cs="Times New Roman"/>
          <w:b/>
          <w:color w:val="auto"/>
        </w:rPr>
        <w:t>：在本表之后按顺序提交表格中要求的证明资料。</w:t>
      </w:r>
    </w:p>
    <w:p w14:paraId="3D3F8AE2">
      <w:pPr>
        <w:spacing w:line="324" w:lineRule="auto"/>
        <w:rPr>
          <w:rFonts w:ascii="Times New Roman" w:hAnsi="Times New Roman" w:cs="Times New Roman"/>
          <w:b/>
          <w:color w:val="auto"/>
        </w:rPr>
      </w:pPr>
    </w:p>
    <w:p w14:paraId="725BFF00">
      <w:pPr>
        <w:spacing w:line="324" w:lineRule="auto"/>
        <w:jc w:val="left"/>
        <w:rPr>
          <w:rFonts w:ascii="Times New Roman" w:hAnsi="Times New Roman" w:cs="Times New Roman"/>
          <w:b/>
          <w:bCs/>
          <w:color w:val="auto"/>
          <w:sz w:val="36"/>
          <w:szCs w:val="36"/>
        </w:rPr>
      </w:pPr>
      <w:bookmarkStart w:id="150" w:name="_Toc13912"/>
      <w:bookmarkStart w:id="151" w:name="_Toc8783"/>
      <w:r>
        <w:rPr>
          <w:rFonts w:ascii="Times New Roman" w:hAnsi="Times New Roman" w:cs="Times New Roman"/>
          <w:b/>
          <w:bCs/>
          <w:color w:val="auto"/>
          <w:sz w:val="36"/>
          <w:szCs w:val="36"/>
        </w:rPr>
        <w:br w:type="page"/>
      </w:r>
    </w:p>
    <w:p w14:paraId="006057D5">
      <w:pPr>
        <w:spacing w:line="324" w:lineRule="auto"/>
        <w:jc w:val="center"/>
        <w:outlineLvl w:val="1"/>
        <w:rPr>
          <w:rFonts w:ascii="Times New Roman" w:hAnsi="Times New Roman" w:cs="Times New Roman"/>
          <w:color w:val="auto"/>
          <w:sz w:val="36"/>
          <w:szCs w:val="36"/>
        </w:rPr>
      </w:pPr>
      <w:r>
        <w:rPr>
          <w:rFonts w:ascii="Times New Roman" w:hAnsi="Times New Roman" w:cs="Times New Roman"/>
          <w:b/>
          <w:bCs/>
          <w:color w:val="auto"/>
          <w:sz w:val="36"/>
          <w:szCs w:val="36"/>
        </w:rPr>
        <w:t>1.5营业执照副本</w:t>
      </w:r>
      <w:bookmarkEnd w:id="150"/>
      <w:bookmarkEnd w:id="151"/>
    </w:p>
    <w:p w14:paraId="7A456F5A">
      <w:pPr>
        <w:pStyle w:val="9"/>
        <w:spacing w:line="324" w:lineRule="auto"/>
        <w:rPr>
          <w:rFonts w:ascii="Times New Roman" w:hAnsi="Times New Roman" w:cs="Times New Roman"/>
          <w:color w:val="auto"/>
          <w:sz w:val="21"/>
        </w:rPr>
      </w:pPr>
    </w:p>
    <w:p w14:paraId="31266E49">
      <w:pPr>
        <w:pStyle w:val="9"/>
        <w:spacing w:line="324" w:lineRule="auto"/>
        <w:ind w:firstLine="420" w:firstLineChars="200"/>
        <w:rPr>
          <w:rFonts w:ascii="Times New Roman" w:hAnsi="Times New Roman" w:cs="Times New Roman"/>
          <w:color w:val="auto"/>
          <w:sz w:val="21"/>
        </w:rPr>
      </w:pPr>
      <w:r>
        <w:rPr>
          <w:rFonts w:ascii="Times New Roman" w:hAnsi="Times New Roman" w:cs="Times New Roman"/>
          <w:color w:val="auto"/>
          <w:sz w:val="21"/>
        </w:rPr>
        <w:t>提供在中华人民共和国境内注册的独立法人或其他组织的营业执照或事业单位法人证书或社会团体法人登记证书复印件并加盖供应商公章</w:t>
      </w:r>
      <w:r>
        <w:rPr>
          <w:rFonts w:hint="eastAsia" w:ascii="Times New Roman" w:hAnsi="Times New Roman" w:cs="Times New Roman"/>
          <w:color w:val="auto"/>
          <w:sz w:val="21"/>
        </w:rPr>
        <w:t>。</w:t>
      </w:r>
    </w:p>
    <w:p w14:paraId="50B01E00">
      <w:pPr>
        <w:pStyle w:val="10"/>
        <w:spacing w:after="0" w:line="324" w:lineRule="auto"/>
        <w:rPr>
          <w:color w:val="auto"/>
        </w:rPr>
      </w:pPr>
    </w:p>
    <w:p w14:paraId="6E5DB75F">
      <w:pPr>
        <w:pStyle w:val="9"/>
        <w:spacing w:line="324" w:lineRule="auto"/>
        <w:ind w:firstLine="723" w:firstLineChars="200"/>
        <w:rPr>
          <w:rFonts w:ascii="Times New Roman" w:hAnsi="Times New Roman" w:cs="Times New Roman"/>
          <w:b/>
          <w:bCs/>
          <w:color w:val="auto"/>
          <w:sz w:val="36"/>
          <w:szCs w:val="36"/>
        </w:rPr>
      </w:pPr>
      <w:bookmarkStart w:id="152" w:name="_Toc12605"/>
      <w:bookmarkStart w:id="153" w:name="_Toc684"/>
      <w:r>
        <w:rPr>
          <w:rFonts w:ascii="Times New Roman" w:hAnsi="Times New Roman" w:cs="Times New Roman"/>
          <w:b/>
          <w:bCs/>
          <w:color w:val="auto"/>
          <w:sz w:val="36"/>
          <w:szCs w:val="36"/>
        </w:rPr>
        <w:t>1.6有依法缴纳税收和社会保障资金的良好记录</w:t>
      </w:r>
      <w:bookmarkEnd w:id="152"/>
    </w:p>
    <w:p w14:paraId="5698A8FE">
      <w:pPr>
        <w:pStyle w:val="37"/>
        <w:spacing w:line="324" w:lineRule="auto"/>
        <w:ind w:firstLine="42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提供投标截止日前6个月内任意1个月依法缴纳税收和社会保障资金的相关材料。如依法免税或不需要缴纳社会保障资金的，提供相应证明材料。</w:t>
      </w:r>
    </w:p>
    <w:p w14:paraId="759D382E">
      <w:pPr>
        <w:pStyle w:val="37"/>
        <w:spacing w:line="324" w:lineRule="auto"/>
        <w:ind w:firstLine="0"/>
        <w:rPr>
          <w:rFonts w:ascii="Times New Roman" w:hAnsi="Times New Roman" w:cs="Times New Roman" w:eastAsiaTheme="minorEastAsia"/>
          <w:color w:val="auto"/>
        </w:rPr>
      </w:pPr>
    </w:p>
    <w:p w14:paraId="534DA039">
      <w:pPr>
        <w:spacing w:line="324" w:lineRule="auto"/>
        <w:jc w:val="center"/>
        <w:outlineLvl w:val="1"/>
        <w:rPr>
          <w:rFonts w:ascii="Times New Roman" w:hAnsi="Times New Roman" w:cs="Times New Roman"/>
          <w:b/>
          <w:bCs/>
          <w:color w:val="auto"/>
          <w:sz w:val="36"/>
          <w:szCs w:val="36"/>
        </w:rPr>
      </w:pPr>
      <w:bookmarkStart w:id="154" w:name="_Toc21804"/>
      <w:r>
        <w:rPr>
          <w:rFonts w:ascii="Times New Roman" w:hAnsi="Times New Roman" w:cs="Times New Roman"/>
          <w:b/>
          <w:bCs/>
          <w:color w:val="auto"/>
          <w:sz w:val="36"/>
          <w:szCs w:val="36"/>
        </w:rPr>
        <w:t>1.7具有良好的商业信誉和健全的财务会计制度</w:t>
      </w:r>
      <w:bookmarkEnd w:id="154"/>
    </w:p>
    <w:p w14:paraId="1809AF60">
      <w:pPr>
        <w:pStyle w:val="37"/>
        <w:spacing w:line="324" w:lineRule="auto"/>
        <w:ind w:firstLine="42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提供以下</w:t>
      </w:r>
      <w:r>
        <w:rPr>
          <w:rFonts w:hint="eastAsia" w:ascii="Times New Roman" w:hAnsi="Times New Roman" w:cs="Times New Roman" w:eastAsiaTheme="minorEastAsia"/>
          <w:color w:val="auto"/>
          <w:sz w:val="21"/>
          <w:szCs w:val="21"/>
        </w:rPr>
        <w:t>两</w:t>
      </w:r>
      <w:r>
        <w:rPr>
          <w:rFonts w:ascii="Times New Roman" w:hAnsi="Times New Roman" w:cs="Times New Roman" w:eastAsiaTheme="minorEastAsia"/>
          <w:color w:val="auto"/>
          <w:sz w:val="21"/>
          <w:szCs w:val="21"/>
        </w:rPr>
        <w:t>种证明材料之一：1.提供2022或2023年度财务状况报告，财务状况报告须由第三方会计师事务所出具，能清晰显示第三方会计师事务所的印章，并能反映审计结论；</w:t>
      </w:r>
      <w:r>
        <w:rPr>
          <w:rFonts w:hint="eastAsia" w:ascii="Times New Roman" w:hAnsi="Times New Roman" w:cs="Times New Roman" w:eastAsiaTheme="minorEastAsia"/>
          <w:color w:val="auto"/>
          <w:sz w:val="21"/>
          <w:szCs w:val="21"/>
        </w:rPr>
        <w:t>2</w:t>
      </w:r>
      <w:r>
        <w:rPr>
          <w:rFonts w:ascii="Times New Roman" w:hAnsi="Times New Roman" w:cs="Times New Roman" w:eastAsiaTheme="minorEastAsia"/>
          <w:color w:val="auto"/>
          <w:sz w:val="21"/>
          <w:szCs w:val="21"/>
        </w:rPr>
        <w:t>.提供投标截止日前6个月内基本开户银行出具的资信证明，并同时提交开户（基本户）许可证扫描件，开户（基本户）许可证已取消的，应提供能体现基本开户银行的“基本存款账户编号”的相关证明。</w:t>
      </w:r>
    </w:p>
    <w:p w14:paraId="1C86624D">
      <w:pPr>
        <w:pStyle w:val="37"/>
        <w:spacing w:line="324" w:lineRule="auto"/>
        <w:ind w:firstLine="420"/>
        <w:rPr>
          <w:rFonts w:ascii="Times New Roman" w:hAnsi="Times New Roman" w:cs="Times New Roman" w:eastAsiaTheme="minorEastAsia"/>
          <w:color w:val="auto"/>
          <w:sz w:val="24"/>
        </w:rPr>
      </w:pPr>
    </w:p>
    <w:p w14:paraId="1FC73FE8">
      <w:pPr>
        <w:spacing w:line="324" w:lineRule="auto"/>
        <w:jc w:val="center"/>
        <w:outlineLvl w:val="1"/>
        <w:rPr>
          <w:rFonts w:ascii="Times New Roman" w:hAnsi="Times New Roman" w:cs="Times New Roman"/>
          <w:b/>
          <w:bCs/>
          <w:color w:val="auto"/>
          <w:sz w:val="36"/>
          <w:szCs w:val="36"/>
        </w:rPr>
      </w:pPr>
      <w:bookmarkStart w:id="155" w:name="_Toc15097"/>
      <w:r>
        <w:rPr>
          <w:rFonts w:ascii="Times New Roman" w:hAnsi="Times New Roman" w:cs="Times New Roman"/>
          <w:b/>
          <w:bCs/>
          <w:color w:val="auto"/>
          <w:sz w:val="36"/>
          <w:szCs w:val="36"/>
        </w:rPr>
        <w:t>1.8</w:t>
      </w:r>
      <w:r>
        <w:rPr>
          <w:rFonts w:ascii="Times New Roman" w:hAnsi="Times New Roman" w:cs="Times New Roman"/>
          <w:b/>
          <w:bCs/>
          <w:color w:val="auto"/>
          <w:kern w:val="0"/>
          <w:sz w:val="36"/>
          <w:szCs w:val="36"/>
        </w:rPr>
        <w:t>具有履行合同所必需的设备和专业技术能力的承诺</w:t>
      </w:r>
      <w:bookmarkEnd w:id="153"/>
      <w:r>
        <w:rPr>
          <w:rFonts w:ascii="Times New Roman" w:hAnsi="Times New Roman" w:cs="Times New Roman"/>
          <w:b/>
          <w:bCs/>
          <w:color w:val="auto"/>
          <w:kern w:val="0"/>
          <w:sz w:val="36"/>
          <w:szCs w:val="36"/>
        </w:rPr>
        <w:t>函</w:t>
      </w:r>
      <w:bookmarkEnd w:id="155"/>
    </w:p>
    <w:p w14:paraId="06B7C5C0">
      <w:pPr>
        <w:pStyle w:val="37"/>
        <w:spacing w:line="324" w:lineRule="auto"/>
        <w:ind w:firstLine="42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我方诚意参与本项目投标，并特此承诺：我方具有履行合同所必需的设备和专业技术能力。如有任何虚假和不实，我方自愿放弃投标资格并承担一切相关责任。</w:t>
      </w:r>
    </w:p>
    <w:p w14:paraId="2AC8B5E9">
      <w:pPr>
        <w:pStyle w:val="37"/>
        <w:spacing w:line="324" w:lineRule="auto"/>
        <w:ind w:firstLine="42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特此承诺。</w:t>
      </w:r>
    </w:p>
    <w:p w14:paraId="61C47FFC">
      <w:pPr>
        <w:spacing w:line="324" w:lineRule="auto"/>
        <w:rPr>
          <w:rFonts w:ascii="Times New Roman" w:hAnsi="Times New Roman" w:cs="Times New Roman"/>
          <w:color w:val="auto"/>
          <w:szCs w:val="21"/>
          <w:u w:val="dotted"/>
        </w:rPr>
      </w:pPr>
    </w:p>
    <w:p w14:paraId="7BFA91C9">
      <w:pPr>
        <w:spacing w:line="324" w:lineRule="auto"/>
        <w:jc w:val="right"/>
        <w:rPr>
          <w:rFonts w:ascii="Times New Roman" w:hAnsi="Times New Roman" w:cs="Times New Roman"/>
          <w:color w:val="auto"/>
          <w:szCs w:val="21"/>
        </w:rPr>
      </w:pPr>
      <w:r>
        <w:rPr>
          <w:rFonts w:ascii="Times New Roman" w:hAnsi="Times New Roman" w:cs="Times New Roman"/>
          <w:color w:val="auto"/>
          <w:szCs w:val="21"/>
        </w:rPr>
        <w:t>供应商名称：</w:t>
      </w:r>
      <w:r>
        <w:rPr>
          <w:rFonts w:ascii="Times New Roman" w:hAnsi="Times New Roman" w:cs="Times New Roman"/>
          <w:color w:val="auto"/>
          <w:szCs w:val="21"/>
          <w:u w:val="single"/>
          <w:lang w:val="en-GB"/>
        </w:rPr>
        <w:t xml:space="preserve">       </w:t>
      </w:r>
      <w:r>
        <w:rPr>
          <w:rFonts w:ascii="Times New Roman" w:hAnsi="Times New Roman" w:cs="Times New Roman"/>
          <w:color w:val="auto"/>
          <w:szCs w:val="21"/>
          <w:u w:val="single"/>
        </w:rPr>
        <w:t>（</w:t>
      </w:r>
      <w:r>
        <w:rPr>
          <w:rFonts w:hint="eastAsia" w:ascii="Times New Roman" w:hAnsi="Times New Roman" w:cs="Times New Roman"/>
          <w:color w:val="auto"/>
          <w:szCs w:val="21"/>
          <w:u w:val="single"/>
        </w:rPr>
        <w:t>单位名称</w:t>
      </w:r>
      <w:r>
        <w:rPr>
          <w:rFonts w:ascii="Times New Roman" w:hAnsi="Times New Roman" w:cs="Times New Roman"/>
          <w:color w:val="auto"/>
          <w:szCs w:val="21"/>
          <w:u w:val="single"/>
        </w:rPr>
        <w:t>全称）</w:t>
      </w:r>
      <w:r>
        <w:rPr>
          <w:rFonts w:ascii="Times New Roman" w:hAnsi="Times New Roman" w:cs="Times New Roman"/>
          <w:color w:val="auto"/>
          <w:szCs w:val="21"/>
          <w:u w:val="single"/>
          <w:lang w:val="en-GB"/>
        </w:rPr>
        <w:t xml:space="preserve">              </w:t>
      </w:r>
      <w:r>
        <w:rPr>
          <w:rFonts w:ascii="Times New Roman" w:hAnsi="Times New Roman" w:cs="Times New Roman"/>
          <w:color w:val="auto"/>
          <w:szCs w:val="21"/>
        </w:rPr>
        <w:t>（</w:t>
      </w:r>
      <w:r>
        <w:rPr>
          <w:rFonts w:ascii="Times New Roman" w:hAnsi="Times New Roman" w:cs="Times New Roman"/>
          <w:color w:val="auto"/>
          <w:szCs w:val="21"/>
          <w:lang w:val="zh-CN"/>
        </w:rPr>
        <w:t>加盖供应商公章</w:t>
      </w:r>
      <w:r>
        <w:rPr>
          <w:rFonts w:ascii="Times New Roman" w:hAnsi="Times New Roman" w:cs="Times New Roman"/>
          <w:color w:val="auto"/>
          <w:szCs w:val="21"/>
        </w:rPr>
        <w:t>）</w:t>
      </w:r>
    </w:p>
    <w:p w14:paraId="6902B4F4">
      <w:pPr>
        <w:spacing w:line="324" w:lineRule="auto"/>
        <w:ind w:firstLine="420" w:firstLineChars="200"/>
        <w:jc w:val="left"/>
        <w:rPr>
          <w:rFonts w:ascii="Times New Roman" w:hAnsi="Times New Roman" w:cs="Times New Roman"/>
          <w:color w:val="auto"/>
        </w:rPr>
      </w:pPr>
    </w:p>
    <w:p w14:paraId="2AAA4B45">
      <w:pPr>
        <w:spacing w:line="324" w:lineRule="auto"/>
        <w:rPr>
          <w:rFonts w:ascii="Times New Roman" w:hAnsi="Times New Roman" w:cs="Times New Roman"/>
          <w:b/>
          <w:bCs/>
          <w:color w:val="auto"/>
          <w:sz w:val="36"/>
          <w:szCs w:val="36"/>
        </w:rPr>
      </w:pPr>
      <w:bookmarkStart w:id="156" w:name="_Toc9846"/>
      <w:r>
        <w:rPr>
          <w:rFonts w:ascii="Times New Roman" w:hAnsi="Times New Roman" w:cs="Times New Roman"/>
          <w:b/>
          <w:bCs/>
          <w:color w:val="auto"/>
          <w:sz w:val="36"/>
          <w:szCs w:val="36"/>
        </w:rPr>
        <w:br w:type="page"/>
      </w:r>
    </w:p>
    <w:p w14:paraId="2DCA5B4D">
      <w:pPr>
        <w:pStyle w:val="38"/>
        <w:spacing w:line="324" w:lineRule="auto"/>
        <w:jc w:val="center"/>
        <w:outlineLvl w:val="1"/>
        <w:rPr>
          <w:rFonts w:ascii="Times New Roman" w:hAnsi="Times New Roman" w:eastAsiaTheme="minorEastAsia"/>
          <w:b/>
          <w:bCs/>
          <w:color w:val="auto"/>
          <w:sz w:val="36"/>
          <w:szCs w:val="36"/>
        </w:rPr>
      </w:pPr>
      <w:r>
        <w:rPr>
          <w:rFonts w:ascii="Times New Roman" w:hAnsi="Times New Roman" w:eastAsiaTheme="minorEastAsia"/>
          <w:b/>
          <w:bCs/>
          <w:color w:val="auto"/>
          <w:sz w:val="36"/>
          <w:szCs w:val="36"/>
        </w:rPr>
        <w:t>1.9参与采购活动前三年内在经营活动中没有重大违法记录的书面声明函</w:t>
      </w:r>
      <w:bookmarkEnd w:id="156"/>
    </w:p>
    <w:p w14:paraId="70A8866B">
      <w:pPr>
        <w:pStyle w:val="38"/>
        <w:spacing w:line="324" w:lineRule="auto"/>
        <w:rPr>
          <w:rFonts w:ascii="Times New Roman" w:hAnsi="Times New Roman" w:eastAsiaTheme="minorEastAsia"/>
          <w:b/>
          <w:color w:val="auto"/>
          <w:szCs w:val="21"/>
        </w:rPr>
      </w:pPr>
      <w:r>
        <w:rPr>
          <w:rFonts w:ascii="Times New Roman" w:hAnsi="Times New Roman" w:eastAsiaTheme="minorEastAsia"/>
          <w:b/>
          <w:color w:val="auto"/>
          <w:szCs w:val="21"/>
        </w:rPr>
        <w:t>致：</w:t>
      </w:r>
      <w:r>
        <w:rPr>
          <w:rFonts w:hint="eastAsia" w:ascii="Times New Roman" w:hAnsi="Times New Roman" w:eastAsiaTheme="minorEastAsia"/>
          <w:b/>
          <w:color w:val="auto"/>
          <w:szCs w:val="21"/>
          <w:u w:val="single"/>
        </w:rPr>
        <w:t>佛山市消防救援支队</w:t>
      </w:r>
      <w:r>
        <w:rPr>
          <w:rFonts w:ascii="Times New Roman" w:hAnsi="Times New Roman" w:eastAsiaTheme="minorEastAsia"/>
          <w:b/>
          <w:color w:val="auto"/>
          <w:szCs w:val="21"/>
          <w:u w:val="single"/>
        </w:rPr>
        <w:t>、广东远东招标代理有限公司</w:t>
      </w:r>
      <w:r>
        <w:rPr>
          <w:rFonts w:ascii="Times New Roman" w:hAnsi="Times New Roman" w:eastAsiaTheme="minorEastAsia"/>
          <w:b/>
          <w:color w:val="auto"/>
          <w:szCs w:val="21"/>
        </w:rPr>
        <w:t>：</w:t>
      </w:r>
    </w:p>
    <w:p w14:paraId="39C1E806">
      <w:pPr>
        <w:pStyle w:val="38"/>
        <w:spacing w:line="324" w:lineRule="auto"/>
        <w:ind w:firstLine="420" w:firstLineChars="200"/>
        <w:rPr>
          <w:rFonts w:ascii="Times New Roman" w:hAnsi="Times New Roman" w:eastAsiaTheme="minorEastAsia"/>
          <w:color w:val="auto"/>
          <w:szCs w:val="21"/>
        </w:rPr>
      </w:pPr>
      <w:r>
        <w:rPr>
          <w:rFonts w:ascii="Times New Roman" w:hAnsi="Times New Roman" w:eastAsiaTheme="minorEastAsia"/>
          <w:color w:val="auto"/>
          <w:szCs w:val="21"/>
        </w:rPr>
        <w:t>我方已认真阅读了全部招标文件及其相关文件，完全清楚理解其内容及规约，我方特此声明，我方参加政府采购活动前三年内在经营活动中没有重大违法记录。如有任何虚假和不实，我方自愿放弃投标资格并承担一切相关责任。</w:t>
      </w:r>
    </w:p>
    <w:p w14:paraId="020C7AE5">
      <w:pPr>
        <w:pStyle w:val="38"/>
        <w:spacing w:line="324" w:lineRule="auto"/>
        <w:ind w:firstLine="420" w:firstLineChars="200"/>
        <w:rPr>
          <w:rFonts w:ascii="Times New Roman" w:hAnsi="Times New Roman" w:eastAsiaTheme="minorEastAsia"/>
          <w:color w:val="auto"/>
          <w:szCs w:val="21"/>
        </w:rPr>
      </w:pPr>
      <w:r>
        <w:rPr>
          <w:rFonts w:ascii="Times New Roman" w:hAnsi="Times New Roman" w:eastAsiaTheme="minorEastAsia"/>
          <w:color w:val="auto"/>
          <w:szCs w:val="21"/>
        </w:rPr>
        <w:t>特此声明。</w:t>
      </w:r>
    </w:p>
    <w:p w14:paraId="17583EAC">
      <w:pPr>
        <w:pStyle w:val="38"/>
        <w:spacing w:line="324" w:lineRule="auto"/>
        <w:ind w:firstLine="420" w:firstLineChars="200"/>
        <w:rPr>
          <w:rFonts w:ascii="Times New Roman" w:hAnsi="Times New Roman" w:eastAsiaTheme="minorEastAsia"/>
          <w:color w:val="auto"/>
          <w:szCs w:val="21"/>
        </w:rPr>
      </w:pPr>
    </w:p>
    <w:p w14:paraId="41B26B8E">
      <w:pPr>
        <w:spacing w:line="324" w:lineRule="auto"/>
        <w:ind w:firstLine="420" w:firstLineChars="200"/>
        <w:jc w:val="right"/>
        <w:rPr>
          <w:rFonts w:ascii="Times New Roman" w:hAnsi="Times New Roman" w:cs="Times New Roman"/>
          <w:color w:val="auto"/>
          <w:szCs w:val="21"/>
        </w:rPr>
      </w:pPr>
      <w:r>
        <w:rPr>
          <w:rFonts w:ascii="Times New Roman" w:hAnsi="Times New Roman" w:cs="Times New Roman"/>
          <w:color w:val="auto"/>
          <w:szCs w:val="21"/>
        </w:rPr>
        <w:t>供应商名称：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单位名称</w:t>
      </w:r>
      <w:r>
        <w:rPr>
          <w:rFonts w:ascii="Times New Roman" w:hAnsi="Times New Roman" w:cs="Times New Roman"/>
          <w:color w:val="auto"/>
          <w:szCs w:val="21"/>
          <w:u w:val="single"/>
        </w:rPr>
        <w:t xml:space="preserve">全称）                </w:t>
      </w:r>
      <w:r>
        <w:rPr>
          <w:rFonts w:ascii="Times New Roman" w:hAnsi="Times New Roman" w:cs="Times New Roman"/>
          <w:color w:val="auto"/>
          <w:szCs w:val="21"/>
        </w:rPr>
        <w:t>（</w:t>
      </w:r>
      <w:r>
        <w:rPr>
          <w:rFonts w:ascii="Times New Roman" w:hAnsi="Times New Roman" w:cs="Times New Roman"/>
          <w:color w:val="auto"/>
          <w:szCs w:val="21"/>
          <w:lang w:val="zh-CN"/>
        </w:rPr>
        <w:t>加盖供应商公章</w:t>
      </w:r>
      <w:r>
        <w:rPr>
          <w:rFonts w:ascii="Times New Roman" w:hAnsi="Times New Roman" w:cs="Times New Roman"/>
          <w:color w:val="auto"/>
          <w:szCs w:val="21"/>
        </w:rPr>
        <w:t>）</w:t>
      </w:r>
    </w:p>
    <w:p w14:paraId="66457B26">
      <w:pPr>
        <w:pStyle w:val="38"/>
        <w:spacing w:line="324" w:lineRule="auto"/>
        <w:jc w:val="right"/>
        <w:rPr>
          <w:rFonts w:ascii="Times New Roman" w:hAnsi="Times New Roman" w:eastAsiaTheme="minorEastAsia"/>
          <w:color w:val="auto"/>
          <w:szCs w:val="21"/>
        </w:rPr>
      </w:pPr>
      <w:r>
        <w:rPr>
          <w:rFonts w:ascii="Times New Roman" w:hAnsi="Times New Roman" w:eastAsiaTheme="minorEastAsia"/>
          <w:color w:val="auto"/>
          <w:szCs w:val="21"/>
        </w:rPr>
        <w:t>日  期：</w:t>
      </w:r>
      <w:r>
        <w:rPr>
          <w:rFonts w:ascii="Times New Roman" w:hAnsi="Times New Roman" w:eastAsiaTheme="minorEastAsia"/>
          <w:color w:val="auto"/>
          <w:szCs w:val="21"/>
          <w:u w:val="single"/>
        </w:rPr>
        <w:t xml:space="preserve">    </w:t>
      </w:r>
      <w:r>
        <w:rPr>
          <w:rFonts w:ascii="Times New Roman" w:hAnsi="Times New Roman" w:eastAsiaTheme="minorEastAsia"/>
          <w:color w:val="auto"/>
          <w:szCs w:val="21"/>
        </w:rPr>
        <w:t>年</w:t>
      </w:r>
      <w:r>
        <w:rPr>
          <w:rFonts w:ascii="Times New Roman" w:hAnsi="Times New Roman" w:eastAsiaTheme="minorEastAsia"/>
          <w:color w:val="auto"/>
          <w:szCs w:val="21"/>
          <w:u w:val="single"/>
        </w:rPr>
        <w:t xml:space="preserve">    </w:t>
      </w:r>
      <w:r>
        <w:rPr>
          <w:rFonts w:ascii="Times New Roman" w:hAnsi="Times New Roman" w:eastAsiaTheme="minorEastAsia"/>
          <w:color w:val="auto"/>
          <w:szCs w:val="21"/>
        </w:rPr>
        <w:t>月</w:t>
      </w:r>
      <w:r>
        <w:rPr>
          <w:rFonts w:ascii="Times New Roman" w:hAnsi="Times New Roman" w:eastAsiaTheme="minorEastAsia"/>
          <w:color w:val="auto"/>
          <w:szCs w:val="21"/>
          <w:u w:val="single"/>
        </w:rPr>
        <w:t xml:space="preserve">    </w:t>
      </w:r>
      <w:r>
        <w:rPr>
          <w:rFonts w:ascii="Times New Roman" w:hAnsi="Times New Roman" w:eastAsiaTheme="minorEastAsia"/>
          <w:color w:val="auto"/>
          <w:szCs w:val="21"/>
        </w:rPr>
        <w:t>日</w:t>
      </w:r>
    </w:p>
    <w:p w14:paraId="674C6070">
      <w:pPr>
        <w:tabs>
          <w:tab w:val="left" w:pos="-3780"/>
        </w:tabs>
        <w:spacing w:line="324" w:lineRule="auto"/>
        <w:rPr>
          <w:rFonts w:ascii="Times New Roman" w:hAnsi="Times New Roman" w:cs="Times New Roman"/>
          <w:color w:val="auto"/>
          <w:szCs w:val="21"/>
        </w:rPr>
      </w:pPr>
    </w:p>
    <w:p w14:paraId="626237EC">
      <w:pPr>
        <w:spacing w:line="324" w:lineRule="auto"/>
        <w:rPr>
          <w:rFonts w:ascii="Times New Roman" w:hAnsi="Times New Roman" w:cs="Times New Roman"/>
          <w:b/>
          <w:bCs/>
          <w:color w:val="auto"/>
          <w:szCs w:val="21"/>
        </w:rPr>
      </w:pPr>
      <w:r>
        <w:rPr>
          <w:rFonts w:ascii="Times New Roman" w:hAnsi="Times New Roman" w:cs="Times New Roman"/>
          <w:b/>
          <w:bCs/>
          <w:color w:val="auto"/>
          <w:szCs w:val="21"/>
        </w:rPr>
        <w:t>说明：</w:t>
      </w:r>
    </w:p>
    <w:p w14:paraId="57375D5B">
      <w:pPr>
        <w:tabs>
          <w:tab w:val="left" w:pos="-3780"/>
        </w:tabs>
        <w:spacing w:line="324" w:lineRule="auto"/>
        <w:rPr>
          <w:rFonts w:ascii="Times New Roman" w:hAnsi="Times New Roman" w:cs="Times New Roman"/>
          <w:b/>
          <w:bCs/>
          <w:color w:val="auto"/>
          <w:szCs w:val="21"/>
        </w:rPr>
      </w:pPr>
      <w:r>
        <w:rPr>
          <w:rFonts w:ascii="Times New Roman" w:hAnsi="Times New Roman" w:cs="Times New Roman"/>
          <w:b/>
          <w:bCs/>
          <w:color w:val="auto"/>
          <w:szCs w:val="21"/>
        </w:rPr>
        <w:t>以上承诺书内容不得擅自删改。</w:t>
      </w:r>
    </w:p>
    <w:bookmarkEnd w:id="129"/>
    <w:p w14:paraId="2BAD46F0">
      <w:pPr>
        <w:spacing w:line="324" w:lineRule="auto"/>
        <w:jc w:val="left"/>
        <w:rPr>
          <w:rFonts w:ascii="Times New Roman" w:hAnsi="Times New Roman" w:cs="Times New Roman"/>
          <w:b/>
          <w:bCs/>
          <w:color w:val="auto"/>
          <w:kern w:val="0"/>
          <w:sz w:val="36"/>
          <w:szCs w:val="20"/>
        </w:rPr>
      </w:pPr>
      <w:bookmarkStart w:id="157" w:name="_Toc17758"/>
      <w:r>
        <w:rPr>
          <w:rFonts w:ascii="Times New Roman" w:hAnsi="Times New Roman" w:cs="Times New Roman"/>
          <w:b/>
          <w:bCs/>
          <w:color w:val="auto"/>
          <w:kern w:val="0"/>
          <w:sz w:val="36"/>
          <w:szCs w:val="20"/>
        </w:rPr>
        <w:br w:type="page"/>
      </w:r>
    </w:p>
    <w:p w14:paraId="051EFC44">
      <w:pPr>
        <w:spacing w:line="324" w:lineRule="auto"/>
        <w:jc w:val="center"/>
        <w:outlineLvl w:val="1"/>
        <w:rPr>
          <w:rFonts w:ascii="Times New Roman" w:hAnsi="Times New Roman" w:cs="Times New Roman"/>
          <w:b/>
          <w:bCs/>
          <w:color w:val="auto"/>
          <w:kern w:val="0"/>
          <w:sz w:val="36"/>
          <w:szCs w:val="20"/>
        </w:rPr>
      </w:pPr>
      <w:r>
        <w:rPr>
          <w:rFonts w:ascii="Times New Roman" w:hAnsi="Times New Roman" w:cs="Times New Roman"/>
          <w:b/>
          <w:bCs/>
          <w:color w:val="auto"/>
          <w:kern w:val="0"/>
          <w:sz w:val="36"/>
          <w:szCs w:val="20"/>
        </w:rPr>
        <w:t>1.1</w:t>
      </w:r>
      <w:r>
        <w:rPr>
          <w:rFonts w:hint="eastAsia" w:ascii="Times New Roman" w:hAnsi="Times New Roman" w:cs="Times New Roman"/>
          <w:b/>
          <w:bCs/>
          <w:color w:val="auto"/>
          <w:kern w:val="0"/>
          <w:sz w:val="36"/>
          <w:szCs w:val="20"/>
        </w:rPr>
        <w:t>0</w:t>
      </w:r>
      <w:r>
        <w:rPr>
          <w:rFonts w:ascii="Times New Roman" w:hAnsi="Times New Roman" w:cs="Times New Roman"/>
          <w:b/>
          <w:bCs/>
          <w:color w:val="auto"/>
          <w:kern w:val="0"/>
          <w:sz w:val="36"/>
          <w:szCs w:val="20"/>
        </w:rPr>
        <w:t>中小企业声明函</w:t>
      </w:r>
      <w:bookmarkEnd w:id="157"/>
    </w:p>
    <w:p w14:paraId="7CF79F67">
      <w:pPr>
        <w:spacing w:line="324" w:lineRule="auto"/>
        <w:ind w:firstLine="480"/>
        <w:rPr>
          <w:rFonts w:ascii="Times New Roman" w:hAnsi="Times New Roman" w:cs="Times New Roman"/>
          <w:color w:val="auto"/>
          <w:szCs w:val="21"/>
        </w:rPr>
      </w:pPr>
      <w:r>
        <w:rPr>
          <w:rFonts w:ascii="Times New Roman" w:hAnsi="Times New Roman" w:cs="Times New Roman"/>
          <w:color w:val="auto"/>
          <w:szCs w:val="21"/>
        </w:rPr>
        <w:t>中小企业声明函（所投产品制造商为中小企业时提交本函，所属行业应符合磋商文件中明确的本项目所属行业）</w:t>
      </w:r>
    </w:p>
    <w:p w14:paraId="1AC95BC8">
      <w:pPr>
        <w:spacing w:line="324" w:lineRule="auto"/>
        <w:ind w:firstLine="480"/>
        <w:rPr>
          <w:rFonts w:ascii="Times New Roman" w:hAnsi="Times New Roman" w:cs="Times New Roman"/>
          <w:color w:val="auto"/>
          <w:szCs w:val="21"/>
        </w:rPr>
      </w:pPr>
    </w:p>
    <w:p w14:paraId="17FDB1CD">
      <w:pPr>
        <w:spacing w:line="324" w:lineRule="auto"/>
        <w:jc w:val="center"/>
        <w:rPr>
          <w:rFonts w:ascii="Times New Roman" w:hAnsi="Times New Roman" w:cs="Times New Roman"/>
          <w:color w:val="auto"/>
          <w:sz w:val="24"/>
        </w:rPr>
      </w:pPr>
      <w:r>
        <w:rPr>
          <w:rFonts w:ascii="Times New Roman" w:hAnsi="Times New Roman" w:cs="Times New Roman"/>
          <w:b/>
          <w:color w:val="auto"/>
          <w:sz w:val="24"/>
        </w:rPr>
        <w:t>中小企业声明函（服务）</w:t>
      </w:r>
    </w:p>
    <w:p w14:paraId="5722E049">
      <w:pPr>
        <w:spacing w:line="324" w:lineRule="auto"/>
        <w:ind w:firstLine="480"/>
        <w:rPr>
          <w:rFonts w:ascii="Times New Roman" w:hAnsi="Times New Roman" w:cs="Times New Roman"/>
          <w:color w:val="auto"/>
          <w:szCs w:val="21"/>
        </w:rPr>
      </w:pPr>
      <w:r>
        <w:rPr>
          <w:rFonts w:ascii="Times New Roman" w:hAnsi="Times New Roman" w:cs="Times New Roman"/>
          <w:color w:val="auto"/>
          <w:szCs w:val="21"/>
          <w:shd w:val="clear" w:color="auto" w:fill="FFFFFF"/>
        </w:rPr>
        <w:t>本公司郑重声明，根据《政府采购促进中小企业发展管理行办法》（财库〔2020〕46号）的规定，本公司参加</w:t>
      </w:r>
      <w:r>
        <w:rPr>
          <w:rFonts w:hint="eastAsia" w:ascii="Times New Roman" w:hAnsi="Times New Roman" w:cs="Times New Roman"/>
          <w:color w:val="auto"/>
          <w:szCs w:val="21"/>
          <w:u w:val="single"/>
          <w:shd w:val="clear" w:color="auto" w:fill="FFFFFF"/>
        </w:rPr>
        <w:t>佛山市消防救援支队</w:t>
      </w:r>
      <w:r>
        <w:rPr>
          <w:rFonts w:ascii="Times New Roman" w:hAnsi="Times New Roman" w:cs="Times New Roman"/>
          <w:color w:val="auto"/>
          <w:szCs w:val="21"/>
          <w:shd w:val="clear" w:color="auto" w:fill="FFFFFF"/>
        </w:rPr>
        <w:t>的</w:t>
      </w:r>
      <w:r>
        <w:rPr>
          <w:rFonts w:hint="eastAsia" w:ascii="Times New Roman" w:hAnsi="Times New Roman" w:cs="Times New Roman"/>
          <w:color w:val="auto"/>
          <w:szCs w:val="21"/>
          <w:u w:val="single"/>
          <w:shd w:val="clear" w:color="auto" w:fill="FFFFFF"/>
          <w:lang w:val="en-IE"/>
        </w:rPr>
        <w:t>佛山市消防救援支队2024年全媒体中心驻点服务项目</w:t>
      </w:r>
      <w:r>
        <w:rPr>
          <w:rFonts w:ascii="Times New Roman" w:hAnsi="Times New Roman" w:cs="Times New Roman"/>
          <w:color w:val="auto"/>
          <w:szCs w:val="21"/>
        </w:rPr>
        <w:t>采购活动，服务全部由符合政策要求的中小企业承接。相关企业（含联合体中的中小企业、签订分包意向协议的中小企业）的具体情况如下：</w:t>
      </w:r>
    </w:p>
    <w:p w14:paraId="6D52C419">
      <w:pPr>
        <w:pStyle w:val="12"/>
        <w:snapToGrid/>
        <w:spacing w:line="324"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1.</w:t>
      </w:r>
      <w:r>
        <w:rPr>
          <w:rFonts w:hint="eastAsia" w:ascii="Times New Roman" w:hAnsi="Times New Roman" w:cs="Times New Roman"/>
          <w:color w:val="auto"/>
          <w:sz w:val="21"/>
          <w:szCs w:val="21"/>
          <w:u w:val="single"/>
          <w:shd w:val="clear" w:color="auto" w:fill="FFFFFF"/>
          <w:lang w:val="en-IE"/>
        </w:rPr>
        <w:t>佛山市消防救援支队2024年全媒体中心驻点服务项目</w:t>
      </w:r>
      <w:r>
        <w:rPr>
          <w:rFonts w:ascii="Times New Roman" w:hAnsi="Times New Roman" w:cs="Times New Roman"/>
          <w:color w:val="auto"/>
          <w:sz w:val="21"/>
          <w:szCs w:val="21"/>
        </w:rPr>
        <w:t>，属于</w:t>
      </w:r>
      <w:r>
        <w:rPr>
          <w:rFonts w:hint="eastAsia" w:ascii="Times New Roman" w:hAnsi="Times New Roman" w:cs="Times New Roman"/>
          <w:color w:val="auto"/>
          <w:sz w:val="21"/>
          <w:szCs w:val="21"/>
          <w:u w:val="single"/>
        </w:rPr>
        <w:t>其他未列明行业</w:t>
      </w:r>
      <w:r>
        <w:rPr>
          <w:rFonts w:ascii="Times New Roman" w:hAnsi="Times New Roman" w:cs="Times New Roman"/>
          <w:color w:val="auto"/>
          <w:sz w:val="21"/>
          <w:szCs w:val="21"/>
        </w:rPr>
        <w:t>；承接企业为</w:t>
      </w:r>
      <w:r>
        <w:rPr>
          <w:rFonts w:ascii="Times New Roman" w:hAnsi="Times New Roman" w:cs="Times New Roman"/>
          <w:color w:val="auto"/>
          <w:sz w:val="21"/>
          <w:szCs w:val="21"/>
          <w:u w:val="single"/>
        </w:rPr>
        <w:t>（企业名称）</w:t>
      </w:r>
      <w:r>
        <w:rPr>
          <w:rFonts w:ascii="Times New Roman" w:hAnsi="Times New Roman" w:cs="Times New Roman"/>
          <w:color w:val="auto"/>
          <w:sz w:val="21"/>
          <w:szCs w:val="21"/>
        </w:rPr>
        <w:t>，从业人员</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人，营业收入为</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万元，资产总额为</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万元，属于</w:t>
      </w:r>
      <w:r>
        <w:rPr>
          <w:rFonts w:ascii="Times New Roman" w:hAnsi="Times New Roman" w:cs="Times New Roman"/>
          <w:color w:val="auto"/>
          <w:sz w:val="21"/>
          <w:szCs w:val="21"/>
          <w:u w:val="single"/>
        </w:rPr>
        <w:t>(中型企业、小型企业、微型企业）</w:t>
      </w:r>
      <w:r>
        <w:rPr>
          <w:rFonts w:ascii="Times New Roman" w:hAnsi="Times New Roman" w:cs="Times New Roman"/>
          <w:color w:val="auto"/>
          <w:sz w:val="21"/>
          <w:szCs w:val="21"/>
        </w:rPr>
        <w:t>；</w:t>
      </w:r>
    </w:p>
    <w:p w14:paraId="1EFED167">
      <w:pPr>
        <w:pStyle w:val="12"/>
        <w:snapToGrid/>
        <w:spacing w:line="324"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以上企业，不属于大企业的分支机构，不存在控股股东为大企业的情形，也不存在与大企业负责人为同一人的情形。</w:t>
      </w:r>
    </w:p>
    <w:p w14:paraId="61CEF646">
      <w:pPr>
        <w:pStyle w:val="12"/>
        <w:snapToGrid/>
        <w:spacing w:line="324"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本企业对上述声明函的真实性负责。如有虚假，将依法承担相应责任。</w:t>
      </w:r>
    </w:p>
    <w:p w14:paraId="04CFE0C7">
      <w:pPr>
        <w:tabs>
          <w:tab w:val="left" w:pos="-3780"/>
        </w:tabs>
        <w:spacing w:line="324" w:lineRule="auto"/>
        <w:ind w:firstLine="422" w:firstLineChars="200"/>
        <w:rPr>
          <w:rFonts w:ascii="Times New Roman" w:hAnsi="Times New Roman" w:cs="Times New Roman"/>
          <w:b/>
          <w:color w:val="auto"/>
          <w:szCs w:val="21"/>
        </w:rPr>
      </w:pPr>
    </w:p>
    <w:p w14:paraId="27FA2CDB">
      <w:pPr>
        <w:spacing w:line="324" w:lineRule="auto"/>
        <w:ind w:firstLine="420" w:firstLineChars="200"/>
        <w:jc w:val="right"/>
        <w:rPr>
          <w:rFonts w:ascii="Times New Roman" w:hAnsi="Times New Roman" w:cs="Times New Roman"/>
          <w:color w:val="auto"/>
          <w:szCs w:val="21"/>
        </w:rPr>
      </w:pPr>
      <w:r>
        <w:rPr>
          <w:rFonts w:ascii="Times New Roman" w:hAnsi="Times New Roman" w:cs="Times New Roman"/>
          <w:color w:val="auto"/>
          <w:szCs w:val="21"/>
        </w:rPr>
        <w:t>供应商名称：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单位名称</w:t>
      </w:r>
      <w:r>
        <w:rPr>
          <w:rFonts w:ascii="Times New Roman" w:hAnsi="Times New Roman" w:cs="Times New Roman"/>
          <w:color w:val="auto"/>
          <w:szCs w:val="21"/>
          <w:u w:val="single"/>
        </w:rPr>
        <w:t xml:space="preserve">全称）                </w:t>
      </w:r>
      <w:r>
        <w:rPr>
          <w:rFonts w:ascii="Times New Roman" w:hAnsi="Times New Roman" w:cs="Times New Roman"/>
          <w:color w:val="auto"/>
          <w:szCs w:val="21"/>
        </w:rPr>
        <w:t>（</w:t>
      </w:r>
      <w:r>
        <w:rPr>
          <w:rFonts w:ascii="Times New Roman" w:hAnsi="Times New Roman" w:cs="Times New Roman"/>
          <w:color w:val="auto"/>
          <w:szCs w:val="21"/>
          <w:lang w:val="zh-CN"/>
        </w:rPr>
        <w:t>加盖供应商公章</w:t>
      </w:r>
      <w:r>
        <w:rPr>
          <w:rFonts w:ascii="Times New Roman" w:hAnsi="Times New Roman" w:cs="Times New Roman"/>
          <w:color w:val="auto"/>
          <w:szCs w:val="21"/>
        </w:rPr>
        <w:t>）</w:t>
      </w:r>
    </w:p>
    <w:p w14:paraId="01ABA3A9">
      <w:pPr>
        <w:spacing w:line="324" w:lineRule="auto"/>
        <w:jc w:val="right"/>
        <w:rPr>
          <w:rFonts w:ascii="Times New Roman" w:hAnsi="Times New Roman" w:cs="Times New Roman"/>
          <w:bCs/>
          <w:color w:val="auto"/>
          <w:szCs w:val="21"/>
        </w:rPr>
      </w:pPr>
      <w:r>
        <w:rPr>
          <w:rFonts w:ascii="Times New Roman" w:hAnsi="Times New Roman" w:cs="Times New Roman"/>
          <w:bCs/>
          <w:color w:val="auto"/>
          <w:szCs w:val="21"/>
        </w:rPr>
        <w:t>日期：</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年</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月</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日</w:t>
      </w:r>
    </w:p>
    <w:p w14:paraId="0F6C52E6">
      <w:pPr>
        <w:spacing w:line="324" w:lineRule="auto"/>
        <w:ind w:firstLine="480"/>
        <w:rPr>
          <w:rFonts w:ascii="Times New Roman" w:hAnsi="Times New Roman" w:cs="Times New Roman"/>
          <w:bCs/>
          <w:color w:val="auto"/>
          <w:sz w:val="28"/>
          <w:szCs w:val="28"/>
        </w:rPr>
      </w:pPr>
    </w:p>
    <w:p w14:paraId="2DF4A7FA">
      <w:pPr>
        <w:spacing w:line="324" w:lineRule="auto"/>
        <w:ind w:firstLine="480"/>
        <w:rPr>
          <w:rFonts w:ascii="Times New Roman" w:hAnsi="Times New Roman" w:cs="Times New Roman"/>
          <w:color w:val="auto"/>
          <w:sz w:val="28"/>
          <w:szCs w:val="28"/>
        </w:rPr>
      </w:pPr>
    </w:p>
    <w:p w14:paraId="0DC6F6EE">
      <w:pPr>
        <w:spacing w:line="324" w:lineRule="auto"/>
        <w:rPr>
          <w:rFonts w:ascii="Times New Roman" w:hAnsi="Times New Roman" w:cs="Times New Roman"/>
          <w:color w:val="auto"/>
          <w:szCs w:val="21"/>
        </w:rPr>
      </w:pPr>
      <w:r>
        <w:rPr>
          <w:rFonts w:ascii="Times New Roman" w:hAnsi="Times New Roman" w:cs="Times New Roman"/>
          <w:color w:val="auto"/>
          <w:szCs w:val="21"/>
        </w:rPr>
        <w:t>1、从业人员、营业收入、资产总额填报上一年度数据，无上一年度数据的新成立企业可不填报。</w:t>
      </w:r>
    </w:p>
    <w:p w14:paraId="58B476DA">
      <w:pPr>
        <w:tabs>
          <w:tab w:val="left" w:pos="540"/>
        </w:tabs>
        <w:spacing w:line="324" w:lineRule="auto"/>
        <w:ind w:left="525" w:hanging="525" w:hangingChars="250"/>
        <w:rPr>
          <w:rFonts w:ascii="Times New Roman" w:hAnsi="Times New Roman" w:cs="Times New Roman"/>
          <w:b/>
          <w:color w:val="auto"/>
          <w:szCs w:val="21"/>
          <w:lang w:val="en-GB"/>
        </w:rPr>
      </w:pPr>
      <w:r>
        <w:rPr>
          <w:rFonts w:ascii="Times New Roman" w:hAnsi="Times New Roman" w:cs="Times New Roman"/>
          <w:color w:val="auto"/>
          <w:szCs w:val="21"/>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4F06D5AA">
      <w:pPr>
        <w:pStyle w:val="9"/>
        <w:spacing w:line="324" w:lineRule="auto"/>
        <w:rPr>
          <w:rFonts w:ascii="Times New Roman" w:hAnsi="Times New Roman" w:cs="Times New Roman"/>
          <w:b/>
          <w:color w:val="auto"/>
          <w:sz w:val="21"/>
          <w:lang w:val="en-GB"/>
        </w:rPr>
      </w:pPr>
    </w:p>
    <w:p w14:paraId="6D9AF5AC">
      <w:pPr>
        <w:spacing w:line="324" w:lineRule="auto"/>
        <w:jc w:val="center"/>
        <w:rPr>
          <w:rFonts w:ascii="Times New Roman" w:hAnsi="Times New Roman" w:cs="Times New Roman"/>
          <w:b/>
          <w:bCs/>
          <w:color w:val="auto"/>
          <w:kern w:val="0"/>
          <w:sz w:val="36"/>
          <w:szCs w:val="20"/>
        </w:rPr>
      </w:pPr>
      <w:r>
        <w:rPr>
          <w:rFonts w:ascii="Times New Roman" w:hAnsi="Times New Roman" w:cs="Times New Roman"/>
          <w:color w:val="auto"/>
          <w:szCs w:val="21"/>
        </w:rPr>
        <w:br w:type="page"/>
      </w:r>
      <w:r>
        <w:rPr>
          <w:rFonts w:ascii="Times New Roman" w:hAnsi="Times New Roman" w:cs="Times New Roman"/>
          <w:b/>
          <w:bCs/>
          <w:color w:val="auto"/>
          <w:kern w:val="0"/>
          <w:sz w:val="36"/>
          <w:szCs w:val="20"/>
        </w:rPr>
        <w:t>残疾人福利性单位声明函（如有）</w:t>
      </w:r>
    </w:p>
    <w:p w14:paraId="0F8B847D">
      <w:pPr>
        <w:spacing w:line="324" w:lineRule="auto"/>
        <w:jc w:val="center"/>
        <w:rPr>
          <w:rFonts w:ascii="Times New Roman" w:hAnsi="Times New Roman" w:cs="Times New Roman"/>
          <w:b/>
          <w:bCs/>
          <w:color w:val="auto"/>
          <w:kern w:val="0"/>
          <w:sz w:val="36"/>
          <w:szCs w:val="20"/>
        </w:rPr>
      </w:pPr>
    </w:p>
    <w:p w14:paraId="2AA130BD">
      <w:pPr>
        <w:spacing w:line="324" w:lineRule="auto"/>
        <w:ind w:firstLine="420" w:firstLineChars="200"/>
        <w:jc w:val="left"/>
        <w:rPr>
          <w:rFonts w:ascii="Times New Roman" w:hAnsi="Times New Roman" w:cs="Times New Roman"/>
          <w:color w:val="auto"/>
          <w:szCs w:val="21"/>
        </w:rPr>
      </w:pPr>
      <w:r>
        <w:rPr>
          <w:rFonts w:ascii="Times New Roman" w:hAnsi="Times New Roman" w:cs="Times New Roman"/>
          <w:color w:val="auto"/>
          <w:szCs w:val="21"/>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051099DD">
      <w:pPr>
        <w:spacing w:line="324" w:lineRule="auto"/>
        <w:jc w:val="center"/>
        <w:rPr>
          <w:rFonts w:ascii="Times New Roman" w:hAnsi="Times New Roman" w:cs="Times New Roman"/>
          <w:color w:val="auto"/>
          <w:szCs w:val="21"/>
        </w:rPr>
      </w:pPr>
    </w:p>
    <w:p w14:paraId="423DD8C7">
      <w:pPr>
        <w:spacing w:line="324" w:lineRule="auto"/>
        <w:ind w:firstLine="420" w:firstLineChars="200"/>
        <w:jc w:val="right"/>
        <w:rPr>
          <w:rFonts w:ascii="Times New Roman" w:hAnsi="Times New Roman" w:cs="Times New Roman"/>
          <w:color w:val="auto"/>
          <w:szCs w:val="21"/>
        </w:rPr>
      </w:pPr>
      <w:r>
        <w:rPr>
          <w:rFonts w:ascii="Times New Roman" w:hAnsi="Times New Roman" w:cs="Times New Roman"/>
          <w:color w:val="auto"/>
          <w:szCs w:val="21"/>
        </w:rPr>
        <w:t>供应商名称：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单位名称</w:t>
      </w:r>
      <w:r>
        <w:rPr>
          <w:rFonts w:ascii="Times New Roman" w:hAnsi="Times New Roman" w:cs="Times New Roman"/>
          <w:color w:val="auto"/>
          <w:szCs w:val="21"/>
          <w:u w:val="single"/>
        </w:rPr>
        <w:t xml:space="preserve">全称）                </w:t>
      </w:r>
      <w:r>
        <w:rPr>
          <w:rFonts w:ascii="Times New Roman" w:hAnsi="Times New Roman" w:cs="Times New Roman"/>
          <w:color w:val="auto"/>
          <w:szCs w:val="21"/>
        </w:rPr>
        <w:t>（</w:t>
      </w:r>
      <w:r>
        <w:rPr>
          <w:rFonts w:ascii="Times New Roman" w:hAnsi="Times New Roman" w:cs="Times New Roman"/>
          <w:color w:val="auto"/>
          <w:szCs w:val="21"/>
          <w:lang w:val="zh-CN"/>
        </w:rPr>
        <w:t>加盖供应商公章</w:t>
      </w:r>
      <w:r>
        <w:rPr>
          <w:rFonts w:ascii="Times New Roman" w:hAnsi="Times New Roman" w:cs="Times New Roman"/>
          <w:color w:val="auto"/>
          <w:szCs w:val="21"/>
        </w:rPr>
        <w:t>）</w:t>
      </w:r>
    </w:p>
    <w:p w14:paraId="4F6850A9">
      <w:pPr>
        <w:spacing w:line="324" w:lineRule="auto"/>
        <w:jc w:val="right"/>
        <w:rPr>
          <w:rFonts w:ascii="Times New Roman" w:hAnsi="Times New Roman" w:cs="Times New Roman"/>
          <w:color w:val="auto"/>
          <w:szCs w:val="21"/>
          <w:u w:val="single"/>
        </w:rPr>
      </w:pPr>
      <w:r>
        <w:rPr>
          <w:rFonts w:ascii="Times New Roman" w:hAnsi="Times New Roman" w:cs="Times New Roman"/>
          <w:bCs/>
          <w:color w:val="auto"/>
          <w:szCs w:val="21"/>
        </w:rPr>
        <w:t>日期：</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年</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月</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日</w:t>
      </w:r>
    </w:p>
    <w:p w14:paraId="7E8AAC10">
      <w:pPr>
        <w:spacing w:line="324" w:lineRule="auto"/>
        <w:jc w:val="center"/>
        <w:rPr>
          <w:rFonts w:ascii="Times New Roman" w:hAnsi="Times New Roman" w:cs="Times New Roman"/>
          <w:color w:val="auto"/>
          <w:szCs w:val="21"/>
        </w:rPr>
      </w:pPr>
    </w:p>
    <w:p w14:paraId="4260DE1F">
      <w:pPr>
        <w:spacing w:line="324" w:lineRule="auto"/>
        <w:jc w:val="left"/>
        <w:rPr>
          <w:rFonts w:ascii="Times New Roman" w:hAnsi="Times New Roman" w:cs="Times New Roman"/>
          <w:color w:val="auto"/>
          <w:szCs w:val="21"/>
        </w:rPr>
      </w:pPr>
    </w:p>
    <w:p w14:paraId="2217E9EC">
      <w:pPr>
        <w:spacing w:line="324" w:lineRule="auto"/>
        <w:jc w:val="left"/>
        <w:rPr>
          <w:rFonts w:ascii="Times New Roman" w:hAnsi="Times New Roman" w:cs="Times New Roman"/>
          <w:color w:val="auto"/>
          <w:szCs w:val="21"/>
        </w:rPr>
      </w:pPr>
      <w:r>
        <w:rPr>
          <w:rFonts w:ascii="Times New Roman" w:hAnsi="Times New Roman" w:cs="Times New Roman"/>
          <w:color w:val="auto"/>
          <w:szCs w:val="21"/>
        </w:rPr>
        <w:t>注：享受政府采购支持政策的残疾人福利性单位应当同时满足以下条件：</w:t>
      </w:r>
    </w:p>
    <w:p w14:paraId="778B7FD6">
      <w:pPr>
        <w:spacing w:line="324" w:lineRule="auto"/>
        <w:ind w:firstLine="420" w:firstLineChars="200"/>
        <w:jc w:val="left"/>
        <w:rPr>
          <w:rFonts w:ascii="Times New Roman" w:hAnsi="Times New Roman" w:cs="Times New Roman"/>
          <w:color w:val="auto"/>
          <w:szCs w:val="21"/>
        </w:rPr>
      </w:pPr>
      <w:r>
        <w:rPr>
          <w:rFonts w:ascii="Times New Roman" w:hAnsi="Times New Roman" w:cs="Times New Roman"/>
          <w:color w:val="auto"/>
          <w:szCs w:val="21"/>
        </w:rPr>
        <w:t>（一）安置的残疾人占本单位在职职工人数的比例不低于25%（含25%），并且安置的残疾人人数不少于10 人（含10 人）；</w:t>
      </w:r>
    </w:p>
    <w:p w14:paraId="22D3CC20">
      <w:pPr>
        <w:spacing w:line="324" w:lineRule="auto"/>
        <w:ind w:firstLine="420" w:firstLineChars="200"/>
        <w:jc w:val="left"/>
        <w:rPr>
          <w:rFonts w:ascii="Times New Roman" w:hAnsi="Times New Roman" w:cs="Times New Roman"/>
          <w:color w:val="auto"/>
          <w:szCs w:val="21"/>
        </w:rPr>
      </w:pPr>
      <w:r>
        <w:rPr>
          <w:rFonts w:ascii="Times New Roman" w:hAnsi="Times New Roman" w:cs="Times New Roman"/>
          <w:color w:val="auto"/>
          <w:szCs w:val="21"/>
        </w:rPr>
        <w:t>（二）依法与安置的每位残疾人签订了一年以上（含一年）的劳动合同或服务协议；</w:t>
      </w:r>
    </w:p>
    <w:p w14:paraId="30E74ADD">
      <w:pPr>
        <w:spacing w:line="324" w:lineRule="auto"/>
        <w:ind w:firstLine="420" w:firstLineChars="200"/>
        <w:jc w:val="left"/>
        <w:rPr>
          <w:rFonts w:ascii="Times New Roman" w:hAnsi="Times New Roman" w:cs="Times New Roman"/>
          <w:color w:val="auto"/>
          <w:szCs w:val="21"/>
        </w:rPr>
      </w:pPr>
      <w:r>
        <w:rPr>
          <w:rFonts w:ascii="Times New Roman" w:hAnsi="Times New Roman" w:cs="Times New Roman"/>
          <w:color w:val="auto"/>
          <w:szCs w:val="21"/>
        </w:rPr>
        <w:t>（三）为安置的每位残疾人按月足额缴纳了基本养老保险、基本医疗保险、失业保险、工伤保险和生育保险等社会保险费；</w:t>
      </w:r>
    </w:p>
    <w:p w14:paraId="3AEC7B34">
      <w:pPr>
        <w:spacing w:line="324" w:lineRule="auto"/>
        <w:ind w:firstLine="420" w:firstLineChars="200"/>
        <w:jc w:val="left"/>
        <w:rPr>
          <w:rFonts w:ascii="Times New Roman" w:hAnsi="Times New Roman" w:cs="Times New Roman"/>
          <w:color w:val="auto"/>
          <w:szCs w:val="21"/>
        </w:rPr>
      </w:pPr>
      <w:r>
        <w:rPr>
          <w:rFonts w:ascii="Times New Roman" w:hAnsi="Times New Roman" w:cs="Times New Roman"/>
          <w:color w:val="auto"/>
          <w:szCs w:val="21"/>
        </w:rPr>
        <w:t>（四）通过银行等金融机构向安置的每位残疾人，按月支付了不低于单位所在区县适用的经省级人民政府批准的月最低工资标准的工资；</w:t>
      </w:r>
    </w:p>
    <w:p w14:paraId="7AA24437">
      <w:pPr>
        <w:spacing w:line="324" w:lineRule="auto"/>
        <w:ind w:firstLine="420" w:firstLineChars="200"/>
        <w:jc w:val="left"/>
        <w:rPr>
          <w:rFonts w:ascii="Times New Roman" w:hAnsi="Times New Roman" w:cs="Times New Roman"/>
          <w:color w:val="auto"/>
          <w:szCs w:val="21"/>
        </w:rPr>
      </w:pPr>
      <w:r>
        <w:rPr>
          <w:rFonts w:ascii="Times New Roman" w:hAnsi="Times New Roman" w:cs="Times New Roman"/>
          <w:color w:val="auto"/>
          <w:szCs w:val="21"/>
        </w:rPr>
        <w:t>（五）提供本单位制造的货物、承担的工程或者服务（以下简称产品），或者提供其他残疾人福利性单位制造的货物（不包括使用非残疾人福利性单位注册商标的货物）。</w:t>
      </w:r>
    </w:p>
    <w:p w14:paraId="2074BDB7">
      <w:pPr>
        <w:spacing w:line="324" w:lineRule="auto"/>
        <w:jc w:val="center"/>
        <w:rPr>
          <w:rFonts w:ascii="Times New Roman" w:hAnsi="Times New Roman" w:cs="Times New Roman"/>
          <w:color w:val="auto"/>
          <w:szCs w:val="21"/>
        </w:rPr>
      </w:pPr>
      <w:r>
        <w:rPr>
          <w:rFonts w:ascii="Times New Roman" w:hAnsi="Times New Roman" w:cs="Times New Roman"/>
          <w:color w:val="auto"/>
          <w:szCs w:val="21"/>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残疾人福利性单位声明函》，并对声明的真实性负责。</w:t>
      </w:r>
    </w:p>
    <w:p w14:paraId="1EA3777A">
      <w:pPr>
        <w:spacing w:line="324" w:lineRule="auto"/>
        <w:jc w:val="center"/>
        <w:rPr>
          <w:rFonts w:ascii="Times New Roman" w:hAnsi="Times New Roman" w:cs="Times New Roman"/>
          <w:color w:val="auto"/>
          <w:szCs w:val="21"/>
        </w:rPr>
      </w:pPr>
    </w:p>
    <w:p w14:paraId="144DC1AF">
      <w:pPr>
        <w:spacing w:line="324" w:lineRule="auto"/>
        <w:jc w:val="center"/>
        <w:rPr>
          <w:rFonts w:ascii="Times New Roman" w:hAnsi="Times New Roman" w:cs="Times New Roman"/>
          <w:b/>
          <w:bCs/>
          <w:color w:val="auto"/>
          <w:kern w:val="0"/>
          <w:sz w:val="36"/>
          <w:szCs w:val="20"/>
        </w:rPr>
      </w:pPr>
    </w:p>
    <w:p w14:paraId="69ADA903">
      <w:pPr>
        <w:spacing w:line="324" w:lineRule="auto"/>
        <w:jc w:val="center"/>
        <w:rPr>
          <w:rFonts w:ascii="Times New Roman" w:hAnsi="Times New Roman" w:cs="Times New Roman"/>
          <w:b/>
          <w:bCs/>
          <w:color w:val="auto"/>
          <w:kern w:val="0"/>
          <w:sz w:val="32"/>
          <w:szCs w:val="32"/>
        </w:rPr>
      </w:pPr>
      <w:r>
        <w:rPr>
          <w:rFonts w:ascii="Times New Roman" w:hAnsi="Times New Roman" w:cs="Times New Roman"/>
          <w:b/>
          <w:bCs/>
          <w:color w:val="auto"/>
          <w:kern w:val="0"/>
          <w:sz w:val="32"/>
          <w:szCs w:val="32"/>
        </w:rPr>
        <w:t>监狱企业的证明文件（如有）</w:t>
      </w:r>
    </w:p>
    <w:p w14:paraId="04B2AB1A">
      <w:pPr>
        <w:spacing w:line="324" w:lineRule="auto"/>
        <w:jc w:val="center"/>
        <w:rPr>
          <w:rFonts w:ascii="Times New Roman" w:hAnsi="Times New Roman" w:cs="Times New Roman"/>
          <w:b/>
          <w:bCs/>
          <w:color w:val="auto"/>
          <w:kern w:val="0"/>
          <w:szCs w:val="21"/>
        </w:rPr>
      </w:pPr>
    </w:p>
    <w:p w14:paraId="7657D8D2">
      <w:pPr>
        <w:pStyle w:val="46"/>
        <w:spacing w:line="324" w:lineRule="auto"/>
        <w:ind w:left="0" w:leftChars="0" w:right="0" w:rightChars="0"/>
        <w:rPr>
          <w:rFonts w:eastAsiaTheme="minorEastAsia"/>
          <w:color w:val="auto"/>
          <w:szCs w:val="21"/>
        </w:rPr>
      </w:pPr>
      <w:r>
        <w:rPr>
          <w:rFonts w:eastAsiaTheme="minorEastAsia"/>
          <w:color w:val="auto"/>
          <w:szCs w:val="21"/>
        </w:rPr>
        <w:t>说明：监狱企业参加政府采购活动时，应当提供由省级以上监狱管理局、戒毒管理局（含新疆生产建设兵团）出具的属于监狱企业的证明文件，并加盖投标单位公章。</w:t>
      </w:r>
    </w:p>
    <w:p w14:paraId="5B8CBB94">
      <w:pPr>
        <w:pStyle w:val="46"/>
        <w:spacing w:line="324" w:lineRule="auto"/>
        <w:ind w:left="0" w:leftChars="0" w:right="0" w:rightChars="0"/>
        <w:rPr>
          <w:rFonts w:eastAsiaTheme="minorEastAsia"/>
          <w:color w:val="auto"/>
          <w:szCs w:val="21"/>
        </w:rPr>
        <w:sectPr>
          <w:pgSz w:w="11906" w:h="16838"/>
          <w:pgMar w:top="1134" w:right="1134" w:bottom="1134" w:left="1587" w:header="567" w:footer="737" w:gutter="0"/>
          <w:cols w:space="720" w:num="1"/>
          <w:docGrid w:linePitch="312" w:charSpace="0"/>
        </w:sectPr>
      </w:pPr>
    </w:p>
    <w:p w14:paraId="0ADE3398">
      <w:pPr>
        <w:pageBreakBefore/>
        <w:spacing w:line="324" w:lineRule="auto"/>
        <w:jc w:val="center"/>
        <w:outlineLvl w:val="1"/>
        <w:rPr>
          <w:rFonts w:ascii="Times New Roman" w:hAnsi="Times New Roman" w:cs="Times New Roman"/>
          <w:b/>
          <w:bCs/>
          <w:color w:val="auto"/>
          <w:sz w:val="36"/>
          <w:szCs w:val="36"/>
        </w:rPr>
      </w:pPr>
      <w:bookmarkStart w:id="158" w:name="_Toc5841"/>
      <w:bookmarkStart w:id="159" w:name="_Toc8977"/>
      <w:bookmarkStart w:id="160" w:name="_Toc6410"/>
      <w:bookmarkStart w:id="161" w:name="_Toc438547164"/>
      <w:bookmarkStart w:id="162" w:name="_Toc7378"/>
      <w:r>
        <w:rPr>
          <w:rFonts w:ascii="Times New Roman" w:hAnsi="Times New Roman" w:cs="Times New Roman"/>
          <w:b/>
          <w:bCs/>
          <w:color w:val="auto"/>
          <w:sz w:val="36"/>
          <w:szCs w:val="36"/>
        </w:rPr>
        <w:t>1.1</w:t>
      </w:r>
      <w:r>
        <w:rPr>
          <w:rFonts w:hint="eastAsia" w:ascii="Times New Roman" w:hAnsi="Times New Roman" w:cs="Times New Roman"/>
          <w:b/>
          <w:bCs/>
          <w:color w:val="auto"/>
          <w:sz w:val="36"/>
          <w:szCs w:val="36"/>
        </w:rPr>
        <w:t>1</w:t>
      </w:r>
      <w:r>
        <w:rPr>
          <w:rFonts w:ascii="Times New Roman" w:hAnsi="Times New Roman" w:cs="Times New Roman"/>
          <w:b/>
          <w:bCs/>
          <w:color w:val="auto"/>
          <w:sz w:val="36"/>
          <w:szCs w:val="36"/>
        </w:rPr>
        <w:t>其他证明材料</w:t>
      </w:r>
      <w:bookmarkEnd w:id="158"/>
      <w:bookmarkEnd w:id="159"/>
      <w:bookmarkEnd w:id="160"/>
      <w:bookmarkEnd w:id="161"/>
      <w:bookmarkEnd w:id="162"/>
    </w:p>
    <w:p w14:paraId="13C79941">
      <w:pPr>
        <w:numPr>
          <w:ilvl w:val="0"/>
          <w:numId w:val="7"/>
        </w:numPr>
        <w:spacing w:line="324" w:lineRule="auto"/>
        <w:rPr>
          <w:rFonts w:ascii="Times New Roman" w:hAnsi="Times New Roman" w:cs="Times New Roman"/>
          <w:bCs/>
          <w:color w:val="auto"/>
          <w:szCs w:val="21"/>
        </w:rPr>
      </w:pPr>
      <w:r>
        <w:rPr>
          <w:rFonts w:hint="eastAsia" w:ascii="Times New Roman" w:hAnsi="Times New Roman" w:cs="Times New Roman"/>
          <w:bCs/>
          <w:color w:val="auto"/>
          <w:szCs w:val="21"/>
        </w:rPr>
        <w:t>成交供应商</w:t>
      </w:r>
      <w:r>
        <w:rPr>
          <w:rFonts w:ascii="Times New Roman" w:hAnsi="Times New Roman" w:cs="Times New Roman"/>
          <w:bCs/>
          <w:color w:val="auto"/>
          <w:szCs w:val="21"/>
        </w:rPr>
        <w:t>未被列入“信用中国”网站(www.creditchina.gov.cn)“失信被执行人”记录名单；未处于中国政府采购网(www.ccgp.gov.cn)“政府采购严重违法失信行为记录名单”中的禁止参加政府采购活动期间。（以投标截止日当天在“信用中国”网站（www.creditchina.gov.cn）及中国政府采购网(www.ccgp.gov.cn)查询结果为准，如相关失信记录已失效，</w:t>
      </w:r>
      <w:r>
        <w:rPr>
          <w:rFonts w:hint="eastAsia" w:ascii="Times New Roman" w:hAnsi="Times New Roman" w:cs="Times New Roman"/>
          <w:bCs/>
          <w:color w:val="auto"/>
          <w:szCs w:val="21"/>
        </w:rPr>
        <w:t>成交供应商</w:t>
      </w:r>
      <w:r>
        <w:rPr>
          <w:rFonts w:ascii="Times New Roman" w:hAnsi="Times New Roman" w:cs="Times New Roman"/>
          <w:bCs/>
          <w:color w:val="auto"/>
          <w:szCs w:val="21"/>
        </w:rPr>
        <w:t>需提供相关证明资料。）</w:t>
      </w:r>
    </w:p>
    <w:p w14:paraId="0995D73C">
      <w:pPr>
        <w:spacing w:line="324" w:lineRule="auto"/>
        <w:rPr>
          <w:rFonts w:ascii="Times New Roman" w:hAnsi="Times New Roman" w:cs="Times New Roman"/>
          <w:bCs/>
          <w:color w:val="auto"/>
          <w:szCs w:val="21"/>
        </w:rPr>
      </w:pPr>
      <w:r>
        <w:rPr>
          <w:rFonts w:hint="eastAsia" w:ascii="Times New Roman" w:hAnsi="Times New Roman" w:cs="Times New Roman"/>
          <w:bCs/>
          <w:color w:val="auto"/>
          <w:szCs w:val="21"/>
        </w:rPr>
        <w:t>2、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p>
    <w:p w14:paraId="01EE6000">
      <w:pPr>
        <w:spacing w:line="324" w:lineRule="auto"/>
        <w:rPr>
          <w:rFonts w:ascii="Times New Roman" w:hAnsi="Times New Roman" w:cs="Times New Roman"/>
          <w:bCs/>
          <w:color w:val="auto"/>
          <w:szCs w:val="21"/>
        </w:rPr>
      </w:pPr>
      <w:r>
        <w:rPr>
          <w:rFonts w:hint="eastAsia" w:ascii="Times New Roman" w:hAnsi="Times New Roman" w:cs="Times New Roman"/>
          <w:bCs/>
          <w:color w:val="auto"/>
          <w:szCs w:val="21"/>
        </w:rPr>
        <w:t>3、</w:t>
      </w:r>
      <w:r>
        <w:rPr>
          <w:rFonts w:ascii="Times New Roman" w:hAnsi="Times New Roman" w:cs="Times New Roman"/>
          <w:bCs/>
          <w:color w:val="auto"/>
          <w:szCs w:val="21"/>
        </w:rPr>
        <w:t>供应商认为有必要提供的其他文件材料。</w:t>
      </w:r>
    </w:p>
    <w:bookmarkEnd w:id="130"/>
    <w:p w14:paraId="7C39344A">
      <w:pPr>
        <w:pStyle w:val="2"/>
        <w:pageBreakBefore/>
        <w:spacing w:line="324" w:lineRule="auto"/>
        <w:rPr>
          <w:rFonts w:ascii="Times New Roman" w:hAnsi="Times New Roman" w:eastAsiaTheme="minorEastAsia"/>
          <w:color w:val="auto"/>
          <w:sz w:val="36"/>
          <w:szCs w:val="36"/>
        </w:rPr>
        <w:sectPr>
          <w:pgSz w:w="11906" w:h="16838"/>
          <w:pgMar w:top="1134" w:right="1134" w:bottom="1134" w:left="1587" w:header="567" w:footer="737" w:gutter="0"/>
          <w:cols w:space="720" w:num="1"/>
          <w:docGrid w:linePitch="312" w:charSpace="0"/>
        </w:sectPr>
      </w:pPr>
      <w:bookmarkStart w:id="163" w:name="_Toc9610"/>
      <w:bookmarkStart w:id="164" w:name="_Toc31284"/>
      <w:bookmarkStart w:id="165" w:name="_Toc24232"/>
      <w:bookmarkStart w:id="166" w:name="_Toc240108117"/>
      <w:bookmarkStart w:id="167" w:name="_Toc28454"/>
      <w:bookmarkStart w:id="168" w:name="_Toc419106572"/>
      <w:bookmarkStart w:id="169" w:name="_Toc259803670"/>
      <w:r>
        <w:rPr>
          <w:rFonts w:ascii="Times New Roman" w:hAnsi="Times New Roman" w:eastAsiaTheme="minorEastAsia"/>
          <w:color w:val="auto"/>
          <w:sz w:val="36"/>
          <w:szCs w:val="36"/>
        </w:rPr>
        <w:t>第二章  评审内容索引</w:t>
      </w:r>
      <w:bookmarkEnd w:id="163"/>
      <w:bookmarkEnd w:id="164"/>
      <w:bookmarkEnd w:id="165"/>
      <w:bookmarkEnd w:id="166"/>
      <w:bookmarkEnd w:id="167"/>
      <w:bookmarkEnd w:id="168"/>
      <w:bookmarkEnd w:id="169"/>
    </w:p>
    <w:p w14:paraId="3B59F6FE">
      <w:pPr>
        <w:pageBreakBefore/>
        <w:numPr>
          <w:ilvl w:val="0"/>
          <w:numId w:val="8"/>
        </w:numPr>
        <w:spacing w:line="324" w:lineRule="auto"/>
        <w:ind w:left="0"/>
        <w:jc w:val="center"/>
        <w:outlineLvl w:val="1"/>
        <w:rPr>
          <w:rFonts w:ascii="Times New Roman" w:hAnsi="Times New Roman" w:cs="Times New Roman"/>
          <w:b/>
          <w:bCs/>
          <w:color w:val="auto"/>
          <w:sz w:val="36"/>
          <w:szCs w:val="36"/>
        </w:rPr>
      </w:pPr>
      <w:bookmarkStart w:id="170" w:name="_评审内容索引表"/>
      <w:bookmarkEnd w:id="170"/>
      <w:bookmarkStart w:id="171" w:name="_Toc24428"/>
      <w:bookmarkStart w:id="172" w:name="_Toc419106573"/>
      <w:bookmarkStart w:id="173" w:name="_Toc28520"/>
      <w:bookmarkStart w:id="174" w:name="_Toc3608"/>
      <w:bookmarkStart w:id="175" w:name="_Toc28098"/>
      <w:r>
        <w:rPr>
          <w:rFonts w:ascii="Times New Roman" w:hAnsi="Times New Roman" w:cs="Times New Roman"/>
          <w:b/>
          <w:bCs/>
          <w:color w:val="auto"/>
          <w:sz w:val="36"/>
          <w:szCs w:val="36"/>
        </w:rPr>
        <w:t>符合性审查索引表</w:t>
      </w:r>
      <w:bookmarkEnd w:id="171"/>
    </w:p>
    <w:tbl>
      <w:tblPr>
        <w:tblStyle w:val="21"/>
        <w:tblW w:w="9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570"/>
        <w:gridCol w:w="1406"/>
        <w:gridCol w:w="2067"/>
      </w:tblGrid>
      <w:tr w14:paraId="01342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F3F3F3"/>
            <w:vAlign w:val="center"/>
          </w:tcPr>
          <w:p w14:paraId="3FBAB1E6">
            <w:pPr>
              <w:pStyle w:val="47"/>
              <w:spacing w:line="324" w:lineRule="auto"/>
              <w:ind w:left="0" w:leftChars="0" w:right="0" w:rightChars="0"/>
              <w:rPr>
                <w:rFonts w:ascii="Times New Roman" w:hAnsi="Times New Roman" w:eastAsiaTheme="minorEastAsia"/>
                <w:color w:val="auto"/>
              </w:rPr>
            </w:pPr>
            <w:r>
              <w:rPr>
                <w:rFonts w:ascii="Times New Roman" w:hAnsi="Times New Roman" w:eastAsiaTheme="minorEastAsia"/>
                <w:color w:val="auto"/>
              </w:rPr>
              <w:t>序号</w:t>
            </w:r>
          </w:p>
        </w:tc>
        <w:tc>
          <w:tcPr>
            <w:tcW w:w="5570" w:type="dxa"/>
            <w:tcBorders>
              <w:top w:val="single" w:color="auto" w:sz="4" w:space="0"/>
              <w:left w:val="single" w:color="auto" w:sz="4" w:space="0"/>
              <w:bottom w:val="single" w:color="auto" w:sz="4" w:space="0"/>
              <w:right w:val="single" w:color="auto" w:sz="4" w:space="0"/>
            </w:tcBorders>
            <w:shd w:val="clear" w:color="auto" w:fill="F3F3F3"/>
            <w:vAlign w:val="center"/>
          </w:tcPr>
          <w:p w14:paraId="2D92DBA1">
            <w:pPr>
              <w:pStyle w:val="47"/>
              <w:spacing w:line="324" w:lineRule="auto"/>
              <w:ind w:left="0" w:leftChars="0" w:right="0" w:rightChars="0"/>
              <w:rPr>
                <w:rFonts w:ascii="Times New Roman" w:hAnsi="Times New Roman" w:eastAsiaTheme="minorEastAsia"/>
                <w:color w:val="auto"/>
              </w:rPr>
            </w:pPr>
            <w:r>
              <w:rPr>
                <w:rFonts w:ascii="Times New Roman" w:hAnsi="Times New Roman" w:eastAsiaTheme="minorEastAsia"/>
                <w:color w:val="auto"/>
              </w:rPr>
              <w:t>审  查  内  容</w:t>
            </w:r>
          </w:p>
        </w:tc>
        <w:tc>
          <w:tcPr>
            <w:tcW w:w="1406" w:type="dxa"/>
            <w:tcBorders>
              <w:top w:val="single" w:color="auto" w:sz="4" w:space="0"/>
              <w:left w:val="single" w:color="auto" w:sz="4" w:space="0"/>
              <w:bottom w:val="single" w:color="auto" w:sz="4" w:space="0"/>
              <w:right w:val="single" w:color="auto" w:sz="4" w:space="0"/>
            </w:tcBorders>
            <w:shd w:val="clear" w:color="auto" w:fill="F3F3F3"/>
            <w:vAlign w:val="center"/>
          </w:tcPr>
          <w:p w14:paraId="2FB91322">
            <w:pPr>
              <w:pStyle w:val="47"/>
              <w:spacing w:line="324" w:lineRule="auto"/>
              <w:ind w:left="0" w:leftChars="0" w:right="0" w:rightChars="0" w:firstLine="0"/>
              <w:rPr>
                <w:rFonts w:ascii="Times New Roman" w:hAnsi="Times New Roman" w:eastAsiaTheme="minorEastAsia"/>
                <w:color w:val="auto"/>
              </w:rPr>
            </w:pPr>
            <w:r>
              <w:rPr>
                <w:rFonts w:ascii="Times New Roman" w:hAnsi="Times New Roman" w:eastAsiaTheme="minorEastAsia"/>
                <w:color w:val="auto"/>
              </w:rPr>
              <w:t>是否响应</w:t>
            </w:r>
          </w:p>
        </w:tc>
        <w:tc>
          <w:tcPr>
            <w:tcW w:w="2067" w:type="dxa"/>
            <w:tcBorders>
              <w:top w:val="single" w:color="auto" w:sz="4" w:space="0"/>
              <w:left w:val="single" w:color="auto" w:sz="4" w:space="0"/>
              <w:bottom w:val="single" w:color="auto" w:sz="4" w:space="0"/>
              <w:right w:val="single" w:color="auto" w:sz="4" w:space="0"/>
            </w:tcBorders>
            <w:shd w:val="clear" w:color="auto" w:fill="F3F3F3"/>
            <w:vAlign w:val="center"/>
          </w:tcPr>
          <w:p w14:paraId="073286F6">
            <w:pPr>
              <w:pStyle w:val="47"/>
              <w:spacing w:line="324" w:lineRule="auto"/>
              <w:ind w:left="0" w:leftChars="0" w:right="0" w:rightChars="0"/>
              <w:rPr>
                <w:rFonts w:ascii="Times New Roman" w:hAnsi="Times New Roman" w:eastAsiaTheme="minorEastAsia"/>
                <w:color w:val="auto"/>
              </w:rPr>
            </w:pPr>
            <w:r>
              <w:rPr>
                <w:rFonts w:ascii="Times New Roman" w:hAnsi="Times New Roman" w:eastAsiaTheme="minorEastAsia"/>
                <w:color w:val="auto"/>
              </w:rPr>
              <w:t>索引页码</w:t>
            </w:r>
          </w:p>
        </w:tc>
      </w:tr>
      <w:tr w14:paraId="1C74F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1FF72A62">
            <w:pPr>
              <w:tabs>
                <w:tab w:val="left" w:pos="972"/>
              </w:tabs>
              <w:spacing w:line="324" w:lineRule="auto"/>
              <w:jc w:val="center"/>
              <w:rPr>
                <w:rFonts w:ascii="Times New Roman" w:hAnsi="Times New Roman" w:cs="Times New Roman"/>
                <w:b/>
                <w:color w:val="auto"/>
                <w:szCs w:val="21"/>
              </w:rPr>
            </w:pPr>
            <w:r>
              <w:rPr>
                <w:rFonts w:ascii="Times New Roman" w:hAnsi="Times New Roman" w:cs="Times New Roman"/>
                <w:b/>
                <w:color w:val="auto"/>
                <w:szCs w:val="21"/>
              </w:rPr>
              <w:t>1</w:t>
            </w:r>
          </w:p>
        </w:tc>
        <w:tc>
          <w:tcPr>
            <w:tcW w:w="5570" w:type="dxa"/>
            <w:tcBorders>
              <w:top w:val="single" w:color="auto" w:sz="4" w:space="0"/>
              <w:left w:val="single" w:color="auto" w:sz="4" w:space="0"/>
              <w:bottom w:val="single" w:color="auto" w:sz="4" w:space="0"/>
              <w:right w:val="single" w:color="auto" w:sz="4" w:space="0"/>
            </w:tcBorders>
            <w:vAlign w:val="center"/>
          </w:tcPr>
          <w:p w14:paraId="0532CAD9">
            <w:pPr>
              <w:pStyle w:val="9"/>
              <w:spacing w:line="324" w:lineRule="auto"/>
              <w:jc w:val="center"/>
              <w:rPr>
                <w:rFonts w:ascii="Times New Roman" w:hAnsi="Times New Roman" w:cs="Times New Roman"/>
                <w:b/>
                <w:color w:val="auto"/>
              </w:rPr>
            </w:pPr>
            <w:r>
              <w:rPr>
                <w:rFonts w:ascii="Times New Roman" w:hAnsi="Times New Roman" w:cs="Times New Roman"/>
                <w:color w:val="auto"/>
                <w:sz w:val="21"/>
              </w:rPr>
              <w:t>投标文件有效性</w:t>
            </w:r>
          </w:p>
        </w:tc>
        <w:tc>
          <w:tcPr>
            <w:tcW w:w="1406" w:type="dxa"/>
            <w:tcBorders>
              <w:top w:val="single" w:color="auto" w:sz="4" w:space="0"/>
              <w:left w:val="single" w:color="auto" w:sz="4" w:space="0"/>
              <w:bottom w:val="single" w:color="auto" w:sz="4" w:space="0"/>
              <w:right w:val="single" w:color="auto" w:sz="4" w:space="0"/>
            </w:tcBorders>
            <w:vAlign w:val="center"/>
          </w:tcPr>
          <w:p w14:paraId="527B2C18">
            <w:pPr>
              <w:pStyle w:val="9"/>
              <w:spacing w:line="324" w:lineRule="auto"/>
              <w:jc w:val="center"/>
              <w:rPr>
                <w:rFonts w:ascii="Times New Roman" w:hAnsi="Times New Roman" w:cs="Times New Roman"/>
                <w:b/>
                <w:color w:val="auto"/>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69F714E3">
            <w:pPr>
              <w:pStyle w:val="9"/>
              <w:spacing w:line="324" w:lineRule="auto"/>
              <w:jc w:val="center"/>
              <w:rPr>
                <w:rFonts w:ascii="Times New Roman" w:hAnsi="Times New Roman" w:cs="Times New Roman"/>
                <w:color w:val="auto"/>
                <w:sz w:val="24"/>
                <w:szCs w:val="20"/>
              </w:rPr>
            </w:pPr>
          </w:p>
        </w:tc>
      </w:tr>
      <w:tr w14:paraId="0E139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319D763D">
            <w:pPr>
              <w:tabs>
                <w:tab w:val="left" w:pos="972"/>
              </w:tabs>
              <w:spacing w:line="324" w:lineRule="auto"/>
              <w:jc w:val="center"/>
              <w:rPr>
                <w:rFonts w:ascii="Times New Roman" w:hAnsi="Times New Roman" w:cs="Times New Roman"/>
                <w:b/>
                <w:color w:val="auto"/>
                <w:szCs w:val="21"/>
              </w:rPr>
            </w:pPr>
            <w:r>
              <w:rPr>
                <w:rFonts w:ascii="Times New Roman" w:hAnsi="Times New Roman" w:cs="Times New Roman"/>
                <w:b/>
                <w:color w:val="auto"/>
                <w:szCs w:val="21"/>
              </w:rPr>
              <w:t>2</w:t>
            </w:r>
          </w:p>
        </w:tc>
        <w:tc>
          <w:tcPr>
            <w:tcW w:w="5570" w:type="dxa"/>
            <w:tcBorders>
              <w:top w:val="single" w:color="auto" w:sz="4" w:space="0"/>
              <w:left w:val="single" w:color="auto" w:sz="4" w:space="0"/>
              <w:bottom w:val="single" w:color="auto" w:sz="4" w:space="0"/>
              <w:right w:val="single" w:color="auto" w:sz="4" w:space="0"/>
            </w:tcBorders>
            <w:vAlign w:val="center"/>
          </w:tcPr>
          <w:p w14:paraId="0778E24E">
            <w:pPr>
              <w:pStyle w:val="9"/>
              <w:spacing w:line="324" w:lineRule="auto"/>
              <w:jc w:val="center"/>
              <w:rPr>
                <w:rFonts w:ascii="Times New Roman" w:hAnsi="Times New Roman" w:cs="Times New Roman"/>
                <w:b/>
                <w:color w:val="auto"/>
              </w:rPr>
            </w:pPr>
            <w:r>
              <w:rPr>
                <w:rFonts w:ascii="Times New Roman" w:hAnsi="Times New Roman" w:cs="Times New Roman"/>
                <w:color w:val="auto"/>
                <w:sz w:val="21"/>
              </w:rPr>
              <w:t>响应承诺函</w:t>
            </w:r>
          </w:p>
        </w:tc>
        <w:tc>
          <w:tcPr>
            <w:tcW w:w="1406" w:type="dxa"/>
            <w:tcBorders>
              <w:top w:val="single" w:color="auto" w:sz="4" w:space="0"/>
              <w:left w:val="single" w:color="auto" w:sz="4" w:space="0"/>
              <w:bottom w:val="single" w:color="auto" w:sz="4" w:space="0"/>
              <w:right w:val="single" w:color="auto" w:sz="4" w:space="0"/>
            </w:tcBorders>
            <w:vAlign w:val="center"/>
          </w:tcPr>
          <w:p w14:paraId="77972527">
            <w:pPr>
              <w:pStyle w:val="9"/>
              <w:spacing w:line="324" w:lineRule="auto"/>
              <w:jc w:val="center"/>
              <w:rPr>
                <w:rFonts w:ascii="Times New Roman" w:hAnsi="Times New Roman" w:cs="Times New Roman"/>
                <w:b/>
                <w:color w:val="auto"/>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79DECFD1">
            <w:pPr>
              <w:pStyle w:val="9"/>
              <w:spacing w:line="324" w:lineRule="auto"/>
              <w:jc w:val="center"/>
              <w:rPr>
                <w:rFonts w:ascii="Times New Roman" w:hAnsi="Times New Roman" w:cs="Times New Roman"/>
                <w:color w:val="auto"/>
                <w:sz w:val="24"/>
                <w:szCs w:val="20"/>
              </w:rPr>
            </w:pPr>
          </w:p>
        </w:tc>
      </w:tr>
      <w:tr w14:paraId="3CABE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282E84A">
            <w:pPr>
              <w:tabs>
                <w:tab w:val="left" w:pos="972"/>
              </w:tabs>
              <w:spacing w:line="324" w:lineRule="auto"/>
              <w:jc w:val="center"/>
              <w:rPr>
                <w:rFonts w:ascii="Times New Roman" w:hAnsi="Times New Roman" w:cs="Times New Roman"/>
                <w:b/>
                <w:color w:val="auto"/>
                <w:szCs w:val="21"/>
              </w:rPr>
            </w:pPr>
            <w:r>
              <w:rPr>
                <w:rFonts w:ascii="Times New Roman" w:hAnsi="Times New Roman" w:cs="Times New Roman"/>
                <w:b/>
                <w:color w:val="auto"/>
                <w:szCs w:val="21"/>
              </w:rPr>
              <w:t>3</w:t>
            </w:r>
          </w:p>
        </w:tc>
        <w:tc>
          <w:tcPr>
            <w:tcW w:w="5570" w:type="dxa"/>
            <w:tcBorders>
              <w:top w:val="single" w:color="auto" w:sz="4" w:space="0"/>
              <w:left w:val="single" w:color="auto" w:sz="4" w:space="0"/>
              <w:bottom w:val="single" w:color="auto" w:sz="4" w:space="0"/>
              <w:right w:val="single" w:color="auto" w:sz="4" w:space="0"/>
            </w:tcBorders>
            <w:vAlign w:val="center"/>
          </w:tcPr>
          <w:p w14:paraId="08E4ABF8">
            <w:pPr>
              <w:pStyle w:val="9"/>
              <w:spacing w:line="324" w:lineRule="auto"/>
              <w:jc w:val="center"/>
              <w:rPr>
                <w:rFonts w:ascii="Times New Roman" w:hAnsi="Times New Roman" w:cs="Times New Roman"/>
                <w:b/>
                <w:color w:val="auto"/>
              </w:rPr>
            </w:pPr>
            <w:r>
              <w:rPr>
                <w:rFonts w:ascii="Times New Roman" w:hAnsi="Times New Roman" w:cs="Times New Roman"/>
                <w:color w:val="auto"/>
                <w:sz w:val="21"/>
              </w:rPr>
              <w:t>实质性响应条款（即标注★ 号条款）</w:t>
            </w:r>
          </w:p>
        </w:tc>
        <w:tc>
          <w:tcPr>
            <w:tcW w:w="1406" w:type="dxa"/>
            <w:tcBorders>
              <w:top w:val="single" w:color="auto" w:sz="4" w:space="0"/>
              <w:left w:val="single" w:color="auto" w:sz="4" w:space="0"/>
              <w:bottom w:val="single" w:color="auto" w:sz="4" w:space="0"/>
              <w:right w:val="single" w:color="auto" w:sz="4" w:space="0"/>
            </w:tcBorders>
            <w:vAlign w:val="center"/>
          </w:tcPr>
          <w:p w14:paraId="1DC87B4B">
            <w:pPr>
              <w:pStyle w:val="9"/>
              <w:spacing w:line="324" w:lineRule="auto"/>
              <w:jc w:val="center"/>
              <w:rPr>
                <w:rFonts w:ascii="Times New Roman" w:hAnsi="Times New Roman" w:cs="Times New Roman"/>
                <w:b/>
                <w:color w:val="auto"/>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0B14B358">
            <w:pPr>
              <w:pStyle w:val="9"/>
              <w:spacing w:line="324" w:lineRule="auto"/>
              <w:jc w:val="center"/>
              <w:rPr>
                <w:rFonts w:ascii="Times New Roman" w:hAnsi="Times New Roman" w:cs="Times New Roman"/>
                <w:color w:val="auto"/>
                <w:sz w:val="24"/>
                <w:szCs w:val="20"/>
              </w:rPr>
            </w:pPr>
          </w:p>
        </w:tc>
      </w:tr>
      <w:tr w14:paraId="19591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57036846">
            <w:pPr>
              <w:tabs>
                <w:tab w:val="left" w:pos="972"/>
              </w:tabs>
              <w:spacing w:line="324" w:lineRule="auto"/>
              <w:jc w:val="center"/>
              <w:rPr>
                <w:rFonts w:ascii="Times New Roman" w:hAnsi="Times New Roman" w:cs="Times New Roman"/>
                <w:b/>
                <w:color w:val="auto"/>
                <w:szCs w:val="21"/>
              </w:rPr>
            </w:pPr>
            <w:r>
              <w:rPr>
                <w:rFonts w:ascii="Times New Roman" w:hAnsi="Times New Roman" w:cs="Times New Roman"/>
                <w:b/>
                <w:color w:val="auto"/>
                <w:szCs w:val="21"/>
              </w:rPr>
              <w:t>4</w:t>
            </w:r>
          </w:p>
        </w:tc>
        <w:tc>
          <w:tcPr>
            <w:tcW w:w="5570" w:type="dxa"/>
            <w:tcBorders>
              <w:top w:val="single" w:color="auto" w:sz="4" w:space="0"/>
              <w:left w:val="single" w:color="auto" w:sz="4" w:space="0"/>
              <w:bottom w:val="single" w:color="auto" w:sz="4" w:space="0"/>
              <w:right w:val="single" w:color="auto" w:sz="4" w:space="0"/>
            </w:tcBorders>
            <w:vAlign w:val="center"/>
          </w:tcPr>
          <w:p w14:paraId="5E6F9498">
            <w:pPr>
              <w:pStyle w:val="9"/>
              <w:spacing w:line="324" w:lineRule="auto"/>
              <w:jc w:val="center"/>
              <w:rPr>
                <w:rFonts w:ascii="Times New Roman" w:hAnsi="Times New Roman" w:cs="Times New Roman"/>
                <w:color w:val="auto"/>
                <w:sz w:val="21"/>
              </w:rPr>
            </w:pPr>
            <w:r>
              <w:rPr>
                <w:rFonts w:ascii="Times New Roman" w:hAnsi="Times New Roman" w:cs="Times New Roman"/>
                <w:color w:val="auto"/>
                <w:sz w:val="21"/>
              </w:rPr>
              <w:t>报价要求</w:t>
            </w:r>
          </w:p>
        </w:tc>
        <w:tc>
          <w:tcPr>
            <w:tcW w:w="1406" w:type="dxa"/>
            <w:tcBorders>
              <w:top w:val="single" w:color="auto" w:sz="4" w:space="0"/>
              <w:left w:val="single" w:color="auto" w:sz="4" w:space="0"/>
              <w:bottom w:val="single" w:color="auto" w:sz="4" w:space="0"/>
              <w:right w:val="single" w:color="auto" w:sz="4" w:space="0"/>
            </w:tcBorders>
            <w:vAlign w:val="center"/>
          </w:tcPr>
          <w:p w14:paraId="56E3E3F3">
            <w:pPr>
              <w:pStyle w:val="9"/>
              <w:spacing w:line="324" w:lineRule="auto"/>
              <w:jc w:val="center"/>
              <w:rPr>
                <w:rFonts w:ascii="Times New Roman" w:hAnsi="Times New Roman" w:cs="Times New Roman"/>
                <w:b/>
                <w:color w:val="auto"/>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31CD5894">
            <w:pPr>
              <w:pStyle w:val="9"/>
              <w:spacing w:line="324" w:lineRule="auto"/>
              <w:jc w:val="center"/>
              <w:rPr>
                <w:rFonts w:ascii="Times New Roman" w:hAnsi="Times New Roman" w:cs="Times New Roman"/>
                <w:color w:val="auto"/>
                <w:sz w:val="24"/>
                <w:szCs w:val="20"/>
              </w:rPr>
            </w:pPr>
          </w:p>
        </w:tc>
      </w:tr>
      <w:tr w14:paraId="1637C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2D6F8595">
            <w:pPr>
              <w:tabs>
                <w:tab w:val="left" w:pos="972"/>
              </w:tabs>
              <w:spacing w:line="324" w:lineRule="auto"/>
              <w:jc w:val="center"/>
              <w:rPr>
                <w:rFonts w:ascii="Times New Roman" w:hAnsi="Times New Roman" w:cs="Times New Roman"/>
                <w:b/>
                <w:color w:val="auto"/>
                <w:szCs w:val="21"/>
              </w:rPr>
            </w:pPr>
            <w:bookmarkStart w:id="176" w:name="_Toc29137"/>
            <w:r>
              <w:rPr>
                <w:rFonts w:hint="eastAsia" w:ascii="Times New Roman" w:hAnsi="Times New Roman" w:cs="Times New Roman"/>
                <w:b/>
                <w:color w:val="auto"/>
                <w:szCs w:val="21"/>
              </w:rPr>
              <w:t>5</w:t>
            </w:r>
          </w:p>
        </w:tc>
        <w:tc>
          <w:tcPr>
            <w:tcW w:w="5570" w:type="dxa"/>
            <w:tcBorders>
              <w:top w:val="single" w:color="auto" w:sz="4" w:space="0"/>
              <w:left w:val="single" w:color="auto" w:sz="4" w:space="0"/>
              <w:bottom w:val="single" w:color="auto" w:sz="4" w:space="0"/>
              <w:right w:val="single" w:color="auto" w:sz="4" w:space="0"/>
            </w:tcBorders>
            <w:vAlign w:val="center"/>
          </w:tcPr>
          <w:p w14:paraId="0C91C830">
            <w:pPr>
              <w:pStyle w:val="9"/>
              <w:spacing w:line="324" w:lineRule="auto"/>
              <w:jc w:val="center"/>
              <w:rPr>
                <w:rFonts w:ascii="Times New Roman" w:hAnsi="Times New Roman" w:cs="Times New Roman"/>
                <w:color w:val="auto"/>
                <w:sz w:val="21"/>
              </w:rPr>
            </w:pPr>
            <w:r>
              <w:rPr>
                <w:rFonts w:ascii="Times New Roman" w:hAnsi="Times New Roman" w:cs="Times New Roman"/>
                <w:color w:val="auto"/>
                <w:sz w:val="21"/>
              </w:rPr>
              <w:t>其它</w:t>
            </w:r>
          </w:p>
        </w:tc>
        <w:tc>
          <w:tcPr>
            <w:tcW w:w="1406" w:type="dxa"/>
            <w:tcBorders>
              <w:top w:val="single" w:color="auto" w:sz="4" w:space="0"/>
              <w:left w:val="single" w:color="auto" w:sz="4" w:space="0"/>
              <w:bottom w:val="single" w:color="auto" w:sz="4" w:space="0"/>
              <w:right w:val="single" w:color="auto" w:sz="4" w:space="0"/>
            </w:tcBorders>
            <w:vAlign w:val="center"/>
          </w:tcPr>
          <w:p w14:paraId="74BAF22D">
            <w:pPr>
              <w:pStyle w:val="9"/>
              <w:spacing w:line="324" w:lineRule="auto"/>
              <w:jc w:val="center"/>
              <w:rPr>
                <w:rFonts w:ascii="Times New Roman" w:hAnsi="Times New Roman" w:cs="Times New Roman"/>
                <w:b/>
                <w:color w:val="auto"/>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72E4F617">
            <w:pPr>
              <w:pStyle w:val="9"/>
              <w:spacing w:line="324" w:lineRule="auto"/>
              <w:jc w:val="center"/>
              <w:rPr>
                <w:rFonts w:ascii="Times New Roman" w:hAnsi="Times New Roman" w:cs="Times New Roman"/>
                <w:color w:val="auto"/>
                <w:sz w:val="24"/>
                <w:szCs w:val="20"/>
              </w:rPr>
            </w:pPr>
          </w:p>
        </w:tc>
      </w:tr>
    </w:tbl>
    <w:p w14:paraId="13F65D71">
      <w:pPr>
        <w:spacing w:line="324" w:lineRule="auto"/>
        <w:rPr>
          <w:rFonts w:ascii="Times New Roman" w:hAnsi="Times New Roman" w:cs="Times New Roman"/>
          <w:b/>
          <w:bCs/>
          <w:color w:val="auto"/>
          <w:sz w:val="36"/>
          <w:szCs w:val="36"/>
        </w:rPr>
      </w:pPr>
      <w:r>
        <w:rPr>
          <w:rFonts w:ascii="Times New Roman" w:hAnsi="Times New Roman" w:cs="Times New Roman"/>
          <w:b/>
          <w:bCs/>
          <w:color w:val="auto"/>
          <w:sz w:val="36"/>
          <w:szCs w:val="36"/>
        </w:rPr>
        <w:br w:type="page"/>
      </w:r>
    </w:p>
    <w:p w14:paraId="700BFB0D">
      <w:pPr>
        <w:pStyle w:val="25"/>
        <w:spacing w:line="324" w:lineRule="auto"/>
        <w:rPr>
          <w:rFonts w:ascii="宋体" w:hAnsi="宋体" w:eastAsia="宋体" w:cs="宋体"/>
          <w:color w:val="auto"/>
          <w:sz w:val="21"/>
          <w:szCs w:val="21"/>
        </w:rPr>
      </w:pPr>
      <w:r>
        <w:rPr>
          <w:rFonts w:ascii="宋体" w:hAnsi="宋体" w:eastAsia="宋体" w:cs="宋体"/>
          <w:color w:val="auto"/>
          <w:sz w:val="21"/>
          <w:szCs w:val="21"/>
        </w:rPr>
        <w:t>（对于采购需求</w:t>
      </w:r>
      <w:r>
        <w:rPr>
          <w:rFonts w:ascii="宋体" w:hAnsi="宋体" w:eastAsia="宋体" w:cs="宋体"/>
          <w:color w:val="auto"/>
          <w:sz w:val="21"/>
          <w:szCs w:val="21"/>
          <w:lang w:eastAsia="zh-CN"/>
        </w:rPr>
        <w:t>需响应</w:t>
      </w:r>
      <w:r>
        <w:rPr>
          <w:rFonts w:ascii="宋体" w:hAnsi="宋体" w:eastAsia="宋体" w:cs="宋体"/>
          <w:color w:val="auto"/>
          <w:sz w:val="21"/>
          <w:szCs w:val="21"/>
        </w:rPr>
        <w:t>的条款，供应商可参照以下格式提供承诺）</w:t>
      </w:r>
    </w:p>
    <w:p w14:paraId="45E75820">
      <w:pPr>
        <w:pStyle w:val="25"/>
        <w:spacing w:line="324" w:lineRule="auto"/>
        <w:rPr>
          <w:rFonts w:ascii="宋体" w:hAnsi="宋体" w:eastAsia="宋体" w:cs="宋体"/>
          <w:color w:val="auto"/>
          <w:sz w:val="21"/>
          <w:szCs w:val="21"/>
        </w:rPr>
      </w:pPr>
    </w:p>
    <w:p w14:paraId="4ADA4169">
      <w:pPr>
        <w:pStyle w:val="25"/>
        <w:spacing w:line="324" w:lineRule="auto"/>
        <w:jc w:val="center"/>
        <w:outlineLvl w:val="3"/>
        <w:rPr>
          <w:rFonts w:ascii="宋体" w:hAnsi="宋体" w:eastAsia="宋体" w:cs="宋体"/>
          <w:b/>
          <w:color w:val="auto"/>
          <w:sz w:val="36"/>
          <w:szCs w:val="36"/>
        </w:rPr>
      </w:pPr>
      <w:r>
        <w:rPr>
          <w:rFonts w:ascii="宋体" w:hAnsi="宋体" w:eastAsia="宋体" w:cs="宋体"/>
          <w:b/>
          <w:color w:val="auto"/>
          <w:sz w:val="36"/>
          <w:szCs w:val="36"/>
        </w:rPr>
        <w:t>承诺函</w:t>
      </w:r>
    </w:p>
    <w:p w14:paraId="45551C10">
      <w:pPr>
        <w:pStyle w:val="25"/>
        <w:spacing w:line="324" w:lineRule="auto"/>
        <w:jc w:val="center"/>
        <w:outlineLvl w:val="3"/>
        <w:rPr>
          <w:rFonts w:ascii="宋体" w:hAnsi="宋体" w:eastAsia="宋体" w:cs="宋体"/>
          <w:b/>
          <w:color w:val="auto"/>
          <w:sz w:val="21"/>
          <w:szCs w:val="21"/>
        </w:rPr>
      </w:pPr>
    </w:p>
    <w:p w14:paraId="2E531B4B">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致：</w:t>
      </w:r>
      <w:r>
        <w:rPr>
          <w:rFonts w:ascii="宋体" w:hAnsi="宋体" w:eastAsia="宋体" w:cs="宋体"/>
          <w:color w:val="auto"/>
          <w:sz w:val="21"/>
          <w:szCs w:val="21"/>
          <w:lang w:eastAsia="zh-CN"/>
        </w:rPr>
        <w:t>佛山市消防救援支队</w:t>
      </w:r>
      <w:r>
        <w:rPr>
          <w:rFonts w:ascii="宋体" w:hAnsi="宋体" w:eastAsia="宋体" w:cs="宋体"/>
          <w:color w:val="auto"/>
          <w:sz w:val="21"/>
          <w:szCs w:val="21"/>
        </w:rPr>
        <w:br w:type="textWrapping"/>
      </w:r>
    </w:p>
    <w:p w14:paraId="5F86D35F">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对于</w:t>
      </w:r>
      <w:r>
        <w:rPr>
          <w:rFonts w:ascii="宋体" w:hAnsi="宋体" w:eastAsia="宋体" w:cs="宋体"/>
          <w:color w:val="auto"/>
          <w:sz w:val="21"/>
          <w:szCs w:val="21"/>
          <w:u w:val="single"/>
          <w:lang w:eastAsia="zh-CN"/>
        </w:rPr>
        <w:t>佛山市消防救援支队2024年全媒体中心驻点服务项目</w:t>
      </w:r>
      <w:r>
        <w:rPr>
          <w:rFonts w:ascii="宋体" w:hAnsi="宋体" w:eastAsia="宋体" w:cs="宋体"/>
          <w:color w:val="auto"/>
          <w:sz w:val="21"/>
          <w:szCs w:val="21"/>
        </w:rPr>
        <w:t>（项目编号：</w:t>
      </w:r>
      <w:r>
        <w:rPr>
          <w:rFonts w:ascii="宋体" w:hAnsi="宋体" w:eastAsia="宋体" w:cs="宋体"/>
          <w:color w:val="auto"/>
          <w:sz w:val="21"/>
          <w:szCs w:val="21"/>
          <w:u w:val="single"/>
          <w:lang w:eastAsia="zh-CN"/>
        </w:rPr>
        <w:t>2024XFCG-20</w:t>
      </w:r>
      <w:r>
        <w:rPr>
          <w:rFonts w:ascii="宋体" w:hAnsi="宋体" w:eastAsia="宋体" w:cs="宋体"/>
          <w:color w:val="auto"/>
          <w:sz w:val="21"/>
          <w:szCs w:val="21"/>
        </w:rPr>
        <w:t>），我方郑重承诺如下：</w:t>
      </w:r>
    </w:p>
    <w:p w14:paraId="11637472">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如中标/成交，我方承诺严格落实采购文件以下条款：(建议逐条复制采购文件相关条款原文)</w:t>
      </w:r>
    </w:p>
    <w:p w14:paraId="58C75375">
      <w:pPr>
        <w:pStyle w:val="25"/>
        <w:spacing w:line="324" w:lineRule="auto"/>
        <w:ind w:firstLine="480"/>
        <w:rPr>
          <w:rFonts w:hint="default" w:ascii="宋体" w:hAnsi="宋体" w:eastAsia="宋体" w:cs="宋体"/>
          <w:color w:val="auto"/>
          <w:sz w:val="21"/>
          <w:szCs w:val="21"/>
          <w:lang w:val="en-US" w:eastAsia="zh-CN"/>
        </w:rPr>
      </w:pPr>
      <w:r>
        <w:rPr>
          <w:rFonts w:ascii="宋体" w:hAnsi="宋体" w:eastAsia="宋体" w:cs="宋体"/>
          <w:color w:val="auto"/>
          <w:sz w:val="21"/>
          <w:szCs w:val="21"/>
        </w:rPr>
        <w:t>（一）星号条款</w:t>
      </w:r>
    </w:p>
    <w:p w14:paraId="61084790">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1.</w:t>
      </w:r>
    </w:p>
    <w:p w14:paraId="2A3837F2">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2.</w:t>
      </w:r>
    </w:p>
    <w:p w14:paraId="6EAC25C4">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3.</w:t>
      </w:r>
    </w:p>
    <w:p w14:paraId="1D45BCF8">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w:t>
      </w:r>
    </w:p>
    <w:p w14:paraId="30201288">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（二）三角号条款</w:t>
      </w:r>
    </w:p>
    <w:p w14:paraId="6EC37EEC">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1.</w:t>
      </w:r>
    </w:p>
    <w:p w14:paraId="435EFCD7">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2.</w:t>
      </w:r>
    </w:p>
    <w:p w14:paraId="2DF2A3DD">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3.</w:t>
      </w:r>
    </w:p>
    <w:p w14:paraId="0D0EA90D">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w:t>
      </w:r>
    </w:p>
    <w:p w14:paraId="221252C5">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（三）非星号、非三角号条款</w:t>
      </w:r>
    </w:p>
    <w:p w14:paraId="54A26124">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1.</w:t>
      </w:r>
    </w:p>
    <w:p w14:paraId="79927649">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2.</w:t>
      </w:r>
    </w:p>
    <w:p w14:paraId="1A67ECDD">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3.</w:t>
      </w:r>
    </w:p>
    <w:p w14:paraId="59CE1A44">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w:t>
      </w:r>
      <w:r>
        <w:rPr>
          <w:rFonts w:ascii="宋体" w:hAnsi="宋体" w:eastAsia="宋体" w:cs="宋体"/>
          <w:color w:val="auto"/>
          <w:sz w:val="21"/>
          <w:szCs w:val="21"/>
        </w:rPr>
        <w:br w:type="textWrapping"/>
      </w:r>
    </w:p>
    <w:p w14:paraId="3C610B3B">
      <w:pPr>
        <w:pStyle w:val="25"/>
        <w:spacing w:line="324" w:lineRule="auto"/>
        <w:ind w:firstLine="480"/>
        <w:rPr>
          <w:rFonts w:ascii="宋体" w:hAnsi="宋体" w:eastAsia="宋体" w:cs="宋体"/>
          <w:color w:val="auto"/>
          <w:sz w:val="21"/>
          <w:szCs w:val="21"/>
        </w:rPr>
      </w:pPr>
      <w:r>
        <w:rPr>
          <w:rFonts w:ascii="宋体" w:hAnsi="宋体" w:eastAsia="宋体" w:cs="宋体"/>
          <w:color w:val="auto"/>
          <w:sz w:val="21"/>
          <w:szCs w:val="21"/>
        </w:rPr>
        <w:t>特此承诺。</w:t>
      </w:r>
    </w:p>
    <w:p w14:paraId="78F8B25A">
      <w:pPr>
        <w:pStyle w:val="25"/>
        <w:spacing w:line="324" w:lineRule="auto"/>
        <w:ind w:firstLine="480"/>
        <w:rPr>
          <w:rFonts w:ascii="宋体" w:hAnsi="宋体" w:eastAsia="宋体" w:cs="宋体"/>
          <w:color w:val="auto"/>
          <w:sz w:val="21"/>
          <w:szCs w:val="21"/>
        </w:rPr>
      </w:pPr>
    </w:p>
    <w:p w14:paraId="21F30C86">
      <w:pPr>
        <w:spacing w:line="324" w:lineRule="auto"/>
        <w:ind w:firstLine="420" w:firstLineChars="200"/>
        <w:jc w:val="right"/>
        <w:rPr>
          <w:rFonts w:ascii="Times New Roman" w:hAnsi="Times New Roman" w:cs="Times New Roman"/>
          <w:color w:val="auto"/>
          <w:szCs w:val="21"/>
        </w:rPr>
      </w:pPr>
      <w:r>
        <w:rPr>
          <w:rFonts w:ascii="Times New Roman" w:hAnsi="Times New Roman" w:cs="Times New Roman"/>
          <w:color w:val="auto"/>
          <w:szCs w:val="21"/>
        </w:rPr>
        <w:t>供应商名称：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单位名称</w:t>
      </w:r>
      <w:r>
        <w:rPr>
          <w:rFonts w:ascii="Times New Roman" w:hAnsi="Times New Roman" w:cs="Times New Roman"/>
          <w:color w:val="auto"/>
          <w:szCs w:val="21"/>
          <w:u w:val="single"/>
        </w:rPr>
        <w:t xml:space="preserve">全称）                </w:t>
      </w:r>
      <w:r>
        <w:rPr>
          <w:rFonts w:ascii="Times New Roman" w:hAnsi="Times New Roman" w:cs="Times New Roman"/>
          <w:color w:val="auto"/>
          <w:szCs w:val="21"/>
        </w:rPr>
        <w:t>（</w:t>
      </w:r>
      <w:r>
        <w:rPr>
          <w:rFonts w:ascii="Times New Roman" w:hAnsi="Times New Roman" w:cs="Times New Roman"/>
          <w:color w:val="auto"/>
          <w:szCs w:val="21"/>
          <w:lang w:val="zh-CN"/>
        </w:rPr>
        <w:t>加盖供应商公章</w:t>
      </w:r>
      <w:r>
        <w:rPr>
          <w:rFonts w:ascii="Times New Roman" w:hAnsi="Times New Roman" w:cs="Times New Roman"/>
          <w:color w:val="auto"/>
          <w:szCs w:val="21"/>
        </w:rPr>
        <w:t>）</w:t>
      </w:r>
    </w:p>
    <w:p w14:paraId="3E56FAC8">
      <w:pPr>
        <w:spacing w:line="324" w:lineRule="auto"/>
        <w:jc w:val="right"/>
        <w:rPr>
          <w:rFonts w:ascii="Times New Roman" w:hAnsi="Times New Roman" w:cs="Times New Roman"/>
          <w:color w:val="auto"/>
          <w:szCs w:val="21"/>
          <w:u w:val="single"/>
        </w:rPr>
      </w:pPr>
      <w:r>
        <w:rPr>
          <w:rFonts w:ascii="Times New Roman" w:hAnsi="Times New Roman" w:cs="Times New Roman"/>
          <w:bCs/>
          <w:color w:val="auto"/>
          <w:szCs w:val="21"/>
        </w:rPr>
        <w:t>日期：</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年</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月</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日</w:t>
      </w:r>
    </w:p>
    <w:p w14:paraId="202D732E">
      <w:pPr>
        <w:spacing w:line="324" w:lineRule="auto"/>
        <w:jc w:val="center"/>
        <w:rPr>
          <w:rFonts w:ascii="Times New Roman" w:hAnsi="Times New Roman" w:cs="Times New Roman"/>
          <w:color w:val="auto"/>
          <w:szCs w:val="21"/>
        </w:rPr>
      </w:pPr>
    </w:p>
    <w:p w14:paraId="37A3306D">
      <w:pPr>
        <w:pageBreakBefore/>
        <w:numPr>
          <w:ilvl w:val="0"/>
          <w:numId w:val="8"/>
        </w:numPr>
        <w:spacing w:line="324" w:lineRule="auto"/>
        <w:ind w:left="0"/>
        <w:jc w:val="center"/>
        <w:outlineLvl w:val="1"/>
        <w:rPr>
          <w:rFonts w:ascii="Times New Roman" w:hAnsi="Times New Roman" w:cs="Times New Roman"/>
          <w:b/>
          <w:bCs/>
          <w:color w:val="auto"/>
          <w:sz w:val="36"/>
          <w:szCs w:val="36"/>
        </w:rPr>
      </w:pPr>
      <w:r>
        <w:rPr>
          <w:rFonts w:ascii="Times New Roman" w:hAnsi="Times New Roman" w:cs="Times New Roman"/>
          <w:b/>
          <w:bCs/>
          <w:color w:val="auto"/>
          <w:sz w:val="36"/>
          <w:szCs w:val="36"/>
        </w:rPr>
        <w:t>评审内容索引表</w:t>
      </w:r>
      <w:bookmarkEnd w:id="172"/>
      <w:bookmarkEnd w:id="173"/>
      <w:bookmarkEnd w:id="174"/>
      <w:bookmarkEnd w:id="175"/>
      <w:bookmarkEnd w:id="176"/>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14:paraId="2A874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vAlign w:val="center"/>
          </w:tcPr>
          <w:p w14:paraId="791A6A65">
            <w:pPr>
              <w:pStyle w:val="47"/>
              <w:spacing w:line="324" w:lineRule="auto"/>
              <w:ind w:left="0" w:leftChars="0" w:right="0" w:rightChars="0"/>
              <w:rPr>
                <w:rFonts w:ascii="Times New Roman" w:hAnsi="Times New Roman" w:eastAsiaTheme="minorEastAsia"/>
                <w:color w:val="auto"/>
              </w:rPr>
            </w:pPr>
            <w:r>
              <w:rPr>
                <w:rFonts w:ascii="Times New Roman" w:hAnsi="Times New Roman" w:eastAsiaTheme="minorEastAsia"/>
                <w:color w:val="auto"/>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410BD876">
            <w:pPr>
              <w:pStyle w:val="47"/>
              <w:spacing w:line="324" w:lineRule="auto"/>
              <w:ind w:left="0" w:leftChars="0" w:right="0" w:rightChars="0" w:firstLine="0"/>
              <w:rPr>
                <w:rFonts w:ascii="Times New Roman" w:hAnsi="Times New Roman" w:eastAsiaTheme="minorEastAsia"/>
                <w:color w:val="auto"/>
              </w:rPr>
            </w:pPr>
            <w:r>
              <w:rPr>
                <w:rFonts w:ascii="Times New Roman" w:hAnsi="Times New Roman" w:eastAsiaTheme="minorEastAsia"/>
                <w:color w:val="auto"/>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vAlign w:val="center"/>
          </w:tcPr>
          <w:p w14:paraId="531A640C">
            <w:pPr>
              <w:pStyle w:val="47"/>
              <w:spacing w:line="324" w:lineRule="auto"/>
              <w:ind w:left="0" w:leftChars="0" w:right="0" w:rightChars="0"/>
              <w:rPr>
                <w:rFonts w:ascii="Times New Roman" w:hAnsi="Times New Roman" w:eastAsiaTheme="minorEastAsia"/>
                <w:color w:val="auto"/>
              </w:rPr>
            </w:pPr>
            <w:r>
              <w:rPr>
                <w:rFonts w:ascii="Times New Roman" w:hAnsi="Times New Roman" w:eastAsiaTheme="minorEastAsia"/>
                <w:color w:val="auto"/>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vAlign w:val="center"/>
          </w:tcPr>
          <w:p w14:paraId="65F2A83B">
            <w:pPr>
              <w:spacing w:line="324" w:lineRule="auto"/>
              <w:jc w:val="center"/>
              <w:rPr>
                <w:rFonts w:ascii="Times New Roman" w:hAnsi="Times New Roman" w:cs="Times New Roman"/>
                <w:b/>
                <w:color w:val="auto"/>
              </w:rPr>
            </w:pPr>
            <w:r>
              <w:rPr>
                <w:rFonts w:ascii="Times New Roman" w:hAnsi="Times New Roman" w:cs="Times New Roman"/>
                <w:b/>
                <w:color w:val="auto"/>
              </w:rPr>
              <w:t>自评分</w:t>
            </w:r>
          </w:p>
          <w:p w14:paraId="4B87A805">
            <w:pPr>
              <w:spacing w:line="324" w:lineRule="auto"/>
              <w:jc w:val="center"/>
              <w:rPr>
                <w:rFonts w:ascii="Times New Roman" w:hAnsi="Times New Roman" w:cs="Times New Roman"/>
                <w:b/>
                <w:color w:val="auto"/>
              </w:rPr>
            </w:pPr>
            <w:r>
              <w:rPr>
                <w:rFonts w:ascii="Times New Roman" w:hAnsi="Times New Roman" w:cs="Times New Roman"/>
                <w:b/>
                <w:color w:val="auto"/>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vAlign w:val="center"/>
          </w:tcPr>
          <w:p w14:paraId="2807F217">
            <w:pPr>
              <w:pStyle w:val="47"/>
              <w:spacing w:line="324" w:lineRule="auto"/>
              <w:ind w:left="0" w:leftChars="0" w:right="0" w:rightChars="0"/>
              <w:rPr>
                <w:rFonts w:ascii="Times New Roman" w:hAnsi="Times New Roman" w:eastAsiaTheme="minorEastAsia"/>
                <w:color w:val="auto"/>
              </w:rPr>
            </w:pPr>
            <w:r>
              <w:rPr>
                <w:rFonts w:ascii="Times New Roman" w:hAnsi="Times New Roman" w:eastAsiaTheme="minorEastAsia"/>
                <w:color w:val="auto"/>
              </w:rPr>
              <w:t>资料所在</w:t>
            </w:r>
          </w:p>
          <w:p w14:paraId="324A9D35">
            <w:pPr>
              <w:pStyle w:val="47"/>
              <w:spacing w:line="324" w:lineRule="auto"/>
              <w:ind w:left="0" w:leftChars="0" w:right="0" w:rightChars="0"/>
              <w:rPr>
                <w:rFonts w:ascii="Times New Roman" w:hAnsi="Times New Roman" w:eastAsiaTheme="minorEastAsia"/>
                <w:color w:val="auto"/>
              </w:rPr>
            </w:pPr>
            <w:r>
              <w:rPr>
                <w:rFonts w:ascii="Times New Roman" w:hAnsi="Times New Roman" w:eastAsiaTheme="minorEastAsia"/>
                <w:color w:val="auto"/>
              </w:rPr>
              <w:t>页码范围</w:t>
            </w:r>
          </w:p>
          <w:p w14:paraId="7BF5A1FF">
            <w:pPr>
              <w:pStyle w:val="7"/>
              <w:spacing w:before="0" w:after="0" w:line="324" w:lineRule="auto"/>
              <w:ind w:firstLine="195"/>
              <w:rPr>
                <w:rFonts w:ascii="Times New Roman" w:hAnsi="Times New Roman" w:cs="Times New Roman" w:eastAsiaTheme="minorEastAsia"/>
                <w:color w:val="auto"/>
                <w:sz w:val="18"/>
                <w:szCs w:val="18"/>
              </w:rPr>
            </w:pPr>
            <w:r>
              <w:rPr>
                <w:rFonts w:ascii="Times New Roman" w:hAnsi="Times New Roman" w:cs="Times New Roman" w:eastAsiaTheme="minorEastAsia"/>
                <w:b/>
                <w:color w:val="auto"/>
                <w:sz w:val="18"/>
                <w:szCs w:val="18"/>
              </w:rPr>
              <w:t>（必填项）</w:t>
            </w:r>
          </w:p>
        </w:tc>
      </w:tr>
      <w:tr w14:paraId="003B3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vAlign w:val="center"/>
          </w:tcPr>
          <w:p w14:paraId="6EC1123A">
            <w:pPr>
              <w:spacing w:line="324" w:lineRule="auto"/>
              <w:jc w:val="center"/>
              <w:rPr>
                <w:rFonts w:ascii="Times New Roman" w:hAnsi="Times New Roman" w:cs="Times New Roman"/>
                <w:b/>
                <w:bCs/>
                <w:color w:val="auto"/>
              </w:rPr>
            </w:pPr>
            <w:r>
              <w:rPr>
                <w:rFonts w:ascii="Times New Roman" w:hAnsi="Times New Roman" w:cs="Times New Roman"/>
                <w:b/>
                <w:color w:val="auto"/>
              </w:rPr>
              <w:t>商务部分</w:t>
            </w:r>
          </w:p>
        </w:tc>
        <w:tc>
          <w:tcPr>
            <w:tcW w:w="464" w:type="dxa"/>
            <w:tcBorders>
              <w:top w:val="single" w:color="auto" w:sz="4" w:space="0"/>
              <w:left w:val="single" w:color="auto" w:sz="4" w:space="0"/>
              <w:bottom w:val="single" w:color="auto" w:sz="4" w:space="0"/>
              <w:right w:val="single" w:color="auto" w:sz="4" w:space="0"/>
            </w:tcBorders>
            <w:vAlign w:val="center"/>
          </w:tcPr>
          <w:p w14:paraId="56EB0288">
            <w:pPr>
              <w:spacing w:line="324" w:lineRule="auto"/>
              <w:jc w:val="center"/>
              <w:rPr>
                <w:rFonts w:ascii="Times New Roman" w:hAnsi="Times New Roman" w:cs="Times New Roman"/>
                <w:color w:val="auto"/>
              </w:rPr>
            </w:pPr>
            <w:r>
              <w:rPr>
                <w:rFonts w:ascii="Times New Roman" w:hAnsi="Times New Roman" w:cs="Times New Roman"/>
                <w:color w:val="auto"/>
              </w:rPr>
              <w:t>1</w:t>
            </w:r>
          </w:p>
        </w:tc>
        <w:tc>
          <w:tcPr>
            <w:tcW w:w="3401" w:type="dxa"/>
            <w:tcBorders>
              <w:top w:val="single" w:color="auto" w:sz="4" w:space="0"/>
              <w:left w:val="single" w:color="auto" w:sz="4" w:space="0"/>
              <w:bottom w:val="single" w:color="auto" w:sz="4" w:space="0"/>
              <w:right w:val="single" w:color="auto" w:sz="4" w:space="0"/>
            </w:tcBorders>
            <w:vAlign w:val="center"/>
          </w:tcPr>
          <w:p w14:paraId="2184A6B3">
            <w:pPr>
              <w:spacing w:line="324" w:lineRule="auto"/>
              <w:jc w:val="center"/>
              <w:rPr>
                <w:rFonts w:ascii="Times New Roman" w:hAnsi="Times New Roman" w:cs="Times New Roman"/>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20D066E3">
            <w:pPr>
              <w:spacing w:line="324" w:lineRule="auto"/>
              <w:jc w:val="center"/>
              <w:rPr>
                <w:rFonts w:ascii="Times New Roman" w:hAnsi="Times New Roman" w:cs="Times New Roman"/>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02F77226">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369C052B">
            <w:pPr>
              <w:spacing w:line="324" w:lineRule="auto"/>
              <w:jc w:val="center"/>
              <w:rPr>
                <w:rFonts w:ascii="Times New Roman" w:hAnsi="Times New Roman" w:cs="Times New Roman"/>
                <w:b/>
                <w:color w:val="auto"/>
              </w:rPr>
            </w:pPr>
          </w:p>
        </w:tc>
      </w:tr>
      <w:tr w14:paraId="5C8A6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7701E16">
            <w:pPr>
              <w:widowControl/>
              <w:spacing w:line="324" w:lineRule="auto"/>
              <w:jc w:val="center"/>
              <w:rPr>
                <w:rFonts w:ascii="Times New Roman" w:hAnsi="Times New Roman" w:cs="Times New Roman"/>
                <w:b/>
                <w:bCs/>
                <w:color w:val="auto"/>
              </w:rPr>
            </w:pPr>
          </w:p>
        </w:tc>
        <w:tc>
          <w:tcPr>
            <w:tcW w:w="464" w:type="dxa"/>
            <w:tcBorders>
              <w:top w:val="single" w:color="auto" w:sz="4" w:space="0"/>
              <w:left w:val="single" w:color="auto" w:sz="4" w:space="0"/>
              <w:bottom w:val="single" w:color="auto" w:sz="4" w:space="0"/>
              <w:right w:val="single" w:color="auto" w:sz="4" w:space="0"/>
            </w:tcBorders>
            <w:vAlign w:val="center"/>
          </w:tcPr>
          <w:p w14:paraId="56F5AA98">
            <w:pPr>
              <w:spacing w:line="324" w:lineRule="auto"/>
              <w:jc w:val="center"/>
              <w:rPr>
                <w:rFonts w:ascii="Times New Roman" w:hAnsi="Times New Roman" w:cs="Times New Roman"/>
                <w:color w:val="auto"/>
              </w:rPr>
            </w:pPr>
            <w:r>
              <w:rPr>
                <w:rFonts w:ascii="Times New Roman" w:hAnsi="Times New Roman" w:cs="Times New Roman"/>
                <w:color w:val="auto"/>
              </w:rPr>
              <w:t>2</w:t>
            </w:r>
          </w:p>
        </w:tc>
        <w:tc>
          <w:tcPr>
            <w:tcW w:w="3401" w:type="dxa"/>
            <w:tcBorders>
              <w:top w:val="single" w:color="auto" w:sz="4" w:space="0"/>
              <w:left w:val="single" w:color="auto" w:sz="4" w:space="0"/>
              <w:bottom w:val="single" w:color="auto" w:sz="4" w:space="0"/>
              <w:right w:val="single" w:color="auto" w:sz="4" w:space="0"/>
            </w:tcBorders>
            <w:vAlign w:val="center"/>
          </w:tcPr>
          <w:p w14:paraId="5D922B24">
            <w:pPr>
              <w:pStyle w:val="48"/>
              <w:spacing w:line="324" w:lineRule="auto"/>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40E6D21E">
            <w:pPr>
              <w:pStyle w:val="48"/>
              <w:spacing w:line="324" w:lineRule="auto"/>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6B95257A">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333C2B34">
            <w:pPr>
              <w:spacing w:line="324" w:lineRule="auto"/>
              <w:jc w:val="center"/>
              <w:rPr>
                <w:rFonts w:ascii="Times New Roman" w:hAnsi="Times New Roman" w:cs="Times New Roman"/>
                <w:b/>
                <w:color w:val="auto"/>
              </w:rPr>
            </w:pPr>
          </w:p>
        </w:tc>
      </w:tr>
      <w:tr w14:paraId="285B1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0F69E7EA">
            <w:pPr>
              <w:widowControl/>
              <w:spacing w:line="324" w:lineRule="auto"/>
              <w:jc w:val="center"/>
              <w:rPr>
                <w:rFonts w:ascii="Times New Roman" w:hAnsi="Times New Roman" w:cs="Times New Roman"/>
                <w:b/>
                <w:bCs/>
                <w:color w:val="auto"/>
              </w:rPr>
            </w:pPr>
          </w:p>
        </w:tc>
        <w:tc>
          <w:tcPr>
            <w:tcW w:w="464" w:type="dxa"/>
            <w:tcBorders>
              <w:top w:val="single" w:color="auto" w:sz="4" w:space="0"/>
              <w:left w:val="single" w:color="auto" w:sz="4" w:space="0"/>
              <w:bottom w:val="single" w:color="auto" w:sz="4" w:space="0"/>
              <w:right w:val="single" w:color="auto" w:sz="4" w:space="0"/>
            </w:tcBorders>
            <w:vAlign w:val="center"/>
          </w:tcPr>
          <w:p w14:paraId="72A98149">
            <w:pPr>
              <w:spacing w:line="324" w:lineRule="auto"/>
              <w:jc w:val="center"/>
              <w:rPr>
                <w:rFonts w:ascii="Times New Roman" w:hAnsi="Times New Roman" w:cs="Times New Roman"/>
                <w:color w:val="auto"/>
              </w:rPr>
            </w:pPr>
            <w:r>
              <w:rPr>
                <w:rFonts w:ascii="Times New Roman" w:hAnsi="Times New Roman" w:cs="Times New Roman"/>
                <w:color w:val="auto"/>
              </w:rPr>
              <w:t>3</w:t>
            </w:r>
          </w:p>
        </w:tc>
        <w:tc>
          <w:tcPr>
            <w:tcW w:w="3401" w:type="dxa"/>
            <w:tcBorders>
              <w:top w:val="single" w:color="auto" w:sz="4" w:space="0"/>
              <w:left w:val="single" w:color="auto" w:sz="4" w:space="0"/>
              <w:bottom w:val="single" w:color="auto" w:sz="4" w:space="0"/>
              <w:right w:val="single" w:color="auto" w:sz="4" w:space="0"/>
            </w:tcBorders>
            <w:vAlign w:val="center"/>
          </w:tcPr>
          <w:p w14:paraId="4BF7B9B9">
            <w:pPr>
              <w:pStyle w:val="48"/>
              <w:spacing w:line="324" w:lineRule="auto"/>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53235950">
            <w:pPr>
              <w:pStyle w:val="48"/>
              <w:spacing w:line="324" w:lineRule="auto"/>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0CFBE12B">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0B4F8688">
            <w:pPr>
              <w:spacing w:line="324" w:lineRule="auto"/>
              <w:jc w:val="center"/>
              <w:rPr>
                <w:rFonts w:ascii="Times New Roman" w:hAnsi="Times New Roman" w:cs="Times New Roman"/>
                <w:b/>
                <w:color w:val="auto"/>
              </w:rPr>
            </w:pPr>
          </w:p>
        </w:tc>
      </w:tr>
      <w:tr w14:paraId="123E6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4293C8E">
            <w:pPr>
              <w:widowControl/>
              <w:spacing w:line="324" w:lineRule="auto"/>
              <w:jc w:val="center"/>
              <w:rPr>
                <w:rFonts w:ascii="Times New Roman" w:hAnsi="Times New Roman" w:cs="Times New Roman"/>
                <w:b/>
                <w:bCs/>
                <w:color w:val="auto"/>
              </w:rPr>
            </w:pPr>
          </w:p>
        </w:tc>
        <w:tc>
          <w:tcPr>
            <w:tcW w:w="464" w:type="dxa"/>
            <w:tcBorders>
              <w:top w:val="single" w:color="auto" w:sz="4" w:space="0"/>
              <w:left w:val="single" w:color="auto" w:sz="4" w:space="0"/>
              <w:bottom w:val="single" w:color="auto" w:sz="4" w:space="0"/>
              <w:right w:val="single" w:color="auto" w:sz="4" w:space="0"/>
            </w:tcBorders>
            <w:vAlign w:val="center"/>
          </w:tcPr>
          <w:p w14:paraId="2918F026">
            <w:pPr>
              <w:spacing w:line="324" w:lineRule="auto"/>
              <w:jc w:val="center"/>
              <w:rPr>
                <w:rFonts w:ascii="Times New Roman" w:hAnsi="Times New Roman" w:cs="Times New Roman"/>
                <w:color w:val="auto"/>
              </w:rPr>
            </w:pPr>
            <w:r>
              <w:rPr>
                <w:rFonts w:ascii="Times New Roman" w:hAnsi="Times New Roman" w:cs="Times New Roman"/>
                <w:color w:val="auto"/>
              </w:rPr>
              <w:t>4</w:t>
            </w:r>
          </w:p>
        </w:tc>
        <w:tc>
          <w:tcPr>
            <w:tcW w:w="3401" w:type="dxa"/>
            <w:tcBorders>
              <w:top w:val="single" w:color="auto" w:sz="4" w:space="0"/>
              <w:left w:val="single" w:color="auto" w:sz="4" w:space="0"/>
              <w:bottom w:val="single" w:color="auto" w:sz="4" w:space="0"/>
              <w:right w:val="single" w:color="auto" w:sz="4" w:space="0"/>
            </w:tcBorders>
            <w:vAlign w:val="center"/>
          </w:tcPr>
          <w:p w14:paraId="458370EF">
            <w:pPr>
              <w:spacing w:line="324" w:lineRule="auto"/>
              <w:jc w:val="center"/>
              <w:rPr>
                <w:rFonts w:ascii="Times New Roman" w:hAnsi="Times New Roman" w:cs="Times New Roman"/>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52226ABE">
            <w:pPr>
              <w:spacing w:line="324" w:lineRule="auto"/>
              <w:jc w:val="center"/>
              <w:rPr>
                <w:rFonts w:ascii="Times New Roman" w:hAnsi="Times New Roman" w:cs="Times New Roman"/>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193B906A">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1BFB9A71">
            <w:pPr>
              <w:spacing w:line="324" w:lineRule="auto"/>
              <w:jc w:val="center"/>
              <w:rPr>
                <w:rFonts w:ascii="Times New Roman" w:hAnsi="Times New Roman" w:cs="Times New Roman"/>
                <w:b/>
                <w:color w:val="auto"/>
              </w:rPr>
            </w:pPr>
          </w:p>
        </w:tc>
      </w:tr>
      <w:tr w14:paraId="7DB64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07412F10">
            <w:pPr>
              <w:widowControl/>
              <w:spacing w:line="324" w:lineRule="auto"/>
              <w:jc w:val="center"/>
              <w:rPr>
                <w:rFonts w:ascii="Times New Roman" w:hAnsi="Times New Roman" w:cs="Times New Roman"/>
                <w:b/>
                <w:bCs/>
                <w:color w:val="auto"/>
              </w:rPr>
            </w:pPr>
          </w:p>
        </w:tc>
        <w:tc>
          <w:tcPr>
            <w:tcW w:w="464" w:type="dxa"/>
            <w:tcBorders>
              <w:top w:val="single" w:color="auto" w:sz="4" w:space="0"/>
              <w:left w:val="single" w:color="auto" w:sz="4" w:space="0"/>
              <w:bottom w:val="single" w:color="auto" w:sz="4" w:space="0"/>
              <w:right w:val="single" w:color="auto" w:sz="4" w:space="0"/>
            </w:tcBorders>
            <w:vAlign w:val="center"/>
          </w:tcPr>
          <w:p w14:paraId="4DEEB449">
            <w:pPr>
              <w:spacing w:line="324" w:lineRule="auto"/>
              <w:jc w:val="center"/>
              <w:rPr>
                <w:rFonts w:ascii="Times New Roman" w:hAnsi="Times New Roman" w:cs="Times New Roman"/>
                <w:color w:val="auto"/>
              </w:rPr>
            </w:pPr>
            <w:r>
              <w:rPr>
                <w:rFonts w:ascii="Times New Roman" w:hAnsi="Times New Roman" w:cs="Times New Roman"/>
                <w:color w:val="auto"/>
              </w:rPr>
              <w:t>5</w:t>
            </w:r>
          </w:p>
        </w:tc>
        <w:tc>
          <w:tcPr>
            <w:tcW w:w="3401" w:type="dxa"/>
            <w:tcBorders>
              <w:top w:val="single" w:color="auto" w:sz="4" w:space="0"/>
              <w:left w:val="single" w:color="auto" w:sz="4" w:space="0"/>
              <w:bottom w:val="single" w:color="auto" w:sz="4" w:space="0"/>
              <w:right w:val="single" w:color="auto" w:sz="4" w:space="0"/>
            </w:tcBorders>
            <w:vAlign w:val="center"/>
          </w:tcPr>
          <w:p w14:paraId="2145B167">
            <w:pPr>
              <w:spacing w:line="324" w:lineRule="auto"/>
              <w:jc w:val="center"/>
              <w:rPr>
                <w:rFonts w:ascii="Times New Roman" w:hAnsi="Times New Roman" w:cs="Times New Roman"/>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37BDEB52">
            <w:pPr>
              <w:pStyle w:val="49"/>
              <w:spacing w:line="324" w:lineRule="auto"/>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336918A6">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72BE0B30">
            <w:pPr>
              <w:spacing w:line="324" w:lineRule="auto"/>
              <w:jc w:val="center"/>
              <w:rPr>
                <w:rFonts w:ascii="Times New Roman" w:hAnsi="Times New Roman" w:cs="Times New Roman"/>
                <w:b/>
                <w:color w:val="auto"/>
              </w:rPr>
            </w:pPr>
          </w:p>
        </w:tc>
      </w:tr>
      <w:tr w14:paraId="0287D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999431F">
            <w:pPr>
              <w:widowControl/>
              <w:spacing w:line="324" w:lineRule="auto"/>
              <w:jc w:val="center"/>
              <w:rPr>
                <w:rFonts w:ascii="Times New Roman" w:hAnsi="Times New Roman" w:cs="Times New Roman"/>
                <w:b/>
                <w:bCs/>
                <w:color w:val="auto"/>
              </w:rPr>
            </w:pPr>
          </w:p>
        </w:tc>
        <w:tc>
          <w:tcPr>
            <w:tcW w:w="464" w:type="dxa"/>
            <w:tcBorders>
              <w:top w:val="single" w:color="auto" w:sz="4" w:space="0"/>
              <w:left w:val="single" w:color="auto" w:sz="4" w:space="0"/>
              <w:bottom w:val="single" w:color="auto" w:sz="4" w:space="0"/>
              <w:right w:val="single" w:color="auto" w:sz="4" w:space="0"/>
            </w:tcBorders>
            <w:vAlign w:val="center"/>
          </w:tcPr>
          <w:p w14:paraId="3E6742D6">
            <w:pPr>
              <w:spacing w:line="324" w:lineRule="auto"/>
              <w:jc w:val="center"/>
              <w:rPr>
                <w:rFonts w:ascii="Times New Roman" w:hAnsi="Times New Roman" w:cs="Times New Roman"/>
                <w:color w:val="auto"/>
              </w:rPr>
            </w:pPr>
            <w:r>
              <w:rPr>
                <w:rFonts w:ascii="Times New Roman" w:hAnsi="Times New Roman" w:cs="Times New Roman"/>
                <w:color w:val="auto"/>
              </w:rPr>
              <w:t>6</w:t>
            </w:r>
          </w:p>
        </w:tc>
        <w:tc>
          <w:tcPr>
            <w:tcW w:w="3401" w:type="dxa"/>
            <w:tcBorders>
              <w:top w:val="single" w:color="auto" w:sz="4" w:space="0"/>
              <w:left w:val="single" w:color="auto" w:sz="4" w:space="0"/>
              <w:bottom w:val="single" w:color="auto" w:sz="4" w:space="0"/>
              <w:right w:val="single" w:color="auto" w:sz="4" w:space="0"/>
            </w:tcBorders>
            <w:vAlign w:val="center"/>
          </w:tcPr>
          <w:p w14:paraId="5FCA93CC">
            <w:pPr>
              <w:spacing w:line="324" w:lineRule="auto"/>
              <w:jc w:val="center"/>
              <w:rPr>
                <w:rFonts w:ascii="Times New Roman" w:hAnsi="Times New Roman" w:cs="Times New Roman"/>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1D730DCD">
            <w:pPr>
              <w:pStyle w:val="49"/>
              <w:spacing w:line="324" w:lineRule="auto"/>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1AD15B79">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5FE6B185">
            <w:pPr>
              <w:spacing w:line="324" w:lineRule="auto"/>
              <w:jc w:val="center"/>
              <w:rPr>
                <w:rFonts w:ascii="Times New Roman" w:hAnsi="Times New Roman" w:cs="Times New Roman"/>
                <w:b/>
                <w:color w:val="auto"/>
              </w:rPr>
            </w:pPr>
          </w:p>
        </w:tc>
      </w:tr>
      <w:tr w14:paraId="5A1D3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180BF80B">
            <w:pPr>
              <w:widowControl/>
              <w:spacing w:line="324" w:lineRule="auto"/>
              <w:jc w:val="center"/>
              <w:rPr>
                <w:rFonts w:ascii="Times New Roman" w:hAnsi="Times New Roman" w:cs="Times New Roman"/>
                <w:b/>
                <w:bCs/>
                <w:color w:val="auto"/>
              </w:rPr>
            </w:pPr>
          </w:p>
        </w:tc>
        <w:tc>
          <w:tcPr>
            <w:tcW w:w="464" w:type="dxa"/>
            <w:tcBorders>
              <w:top w:val="single" w:color="auto" w:sz="4" w:space="0"/>
              <w:left w:val="single" w:color="auto" w:sz="4" w:space="0"/>
              <w:bottom w:val="single" w:color="auto" w:sz="4" w:space="0"/>
              <w:right w:val="single" w:color="auto" w:sz="4" w:space="0"/>
            </w:tcBorders>
            <w:vAlign w:val="center"/>
          </w:tcPr>
          <w:p w14:paraId="04245396">
            <w:pPr>
              <w:spacing w:line="324" w:lineRule="auto"/>
              <w:jc w:val="center"/>
              <w:rPr>
                <w:rFonts w:ascii="Times New Roman" w:hAnsi="Times New Roman" w:cs="Times New Roman"/>
                <w:color w:val="auto"/>
              </w:rPr>
            </w:pPr>
            <w:r>
              <w:rPr>
                <w:rFonts w:ascii="Times New Roman" w:hAnsi="Times New Roman" w:cs="Times New Roman"/>
                <w:color w:val="auto"/>
              </w:rPr>
              <w:t>7</w:t>
            </w:r>
          </w:p>
        </w:tc>
        <w:tc>
          <w:tcPr>
            <w:tcW w:w="3401" w:type="dxa"/>
            <w:tcBorders>
              <w:top w:val="single" w:color="auto" w:sz="4" w:space="0"/>
              <w:left w:val="single" w:color="auto" w:sz="4" w:space="0"/>
              <w:bottom w:val="single" w:color="auto" w:sz="4" w:space="0"/>
              <w:right w:val="single" w:color="auto" w:sz="4" w:space="0"/>
            </w:tcBorders>
            <w:vAlign w:val="center"/>
          </w:tcPr>
          <w:p w14:paraId="5DC65F74">
            <w:pPr>
              <w:spacing w:line="324" w:lineRule="auto"/>
              <w:jc w:val="center"/>
              <w:rPr>
                <w:rFonts w:ascii="Times New Roman" w:hAnsi="Times New Roman" w:cs="Times New Roman"/>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308FC3AC">
            <w:pPr>
              <w:pStyle w:val="49"/>
              <w:spacing w:line="324" w:lineRule="auto"/>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9AC3919">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73AF29B5">
            <w:pPr>
              <w:spacing w:line="324" w:lineRule="auto"/>
              <w:jc w:val="center"/>
              <w:rPr>
                <w:rFonts w:ascii="Times New Roman" w:hAnsi="Times New Roman" w:cs="Times New Roman"/>
                <w:b/>
                <w:color w:val="auto"/>
              </w:rPr>
            </w:pPr>
          </w:p>
        </w:tc>
      </w:tr>
      <w:tr w14:paraId="61EE9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vAlign w:val="center"/>
          </w:tcPr>
          <w:p w14:paraId="7A16A9D2">
            <w:pPr>
              <w:spacing w:line="324" w:lineRule="auto"/>
              <w:jc w:val="center"/>
              <w:rPr>
                <w:rFonts w:ascii="Times New Roman" w:hAnsi="Times New Roman" w:cs="Times New Roman"/>
                <w:b/>
                <w:color w:val="auto"/>
              </w:rPr>
            </w:pPr>
            <w:r>
              <w:rPr>
                <w:rFonts w:ascii="Times New Roman" w:hAnsi="Times New Roman" w:cs="Times New Roman"/>
                <w:b/>
                <w:color w:val="auto"/>
              </w:rPr>
              <w:t>技术部分</w:t>
            </w:r>
          </w:p>
        </w:tc>
        <w:tc>
          <w:tcPr>
            <w:tcW w:w="464" w:type="dxa"/>
            <w:tcBorders>
              <w:top w:val="single" w:color="auto" w:sz="4" w:space="0"/>
              <w:left w:val="single" w:color="auto" w:sz="4" w:space="0"/>
              <w:bottom w:val="single" w:color="auto" w:sz="4" w:space="0"/>
              <w:right w:val="single" w:color="auto" w:sz="4" w:space="0"/>
            </w:tcBorders>
            <w:vAlign w:val="center"/>
          </w:tcPr>
          <w:p w14:paraId="2F077A75">
            <w:pPr>
              <w:spacing w:line="324" w:lineRule="auto"/>
              <w:jc w:val="center"/>
              <w:rPr>
                <w:rFonts w:ascii="Times New Roman" w:hAnsi="Times New Roman" w:cs="Times New Roman"/>
                <w:color w:val="auto"/>
              </w:rPr>
            </w:pPr>
            <w:r>
              <w:rPr>
                <w:rFonts w:ascii="Times New Roman" w:hAnsi="Times New Roman" w:cs="Times New Roman"/>
                <w:color w:val="auto"/>
              </w:rPr>
              <w:t>1</w:t>
            </w:r>
          </w:p>
        </w:tc>
        <w:tc>
          <w:tcPr>
            <w:tcW w:w="3401" w:type="dxa"/>
            <w:tcBorders>
              <w:top w:val="single" w:color="auto" w:sz="4" w:space="0"/>
              <w:left w:val="single" w:color="auto" w:sz="4" w:space="0"/>
              <w:bottom w:val="single" w:color="auto" w:sz="4" w:space="0"/>
              <w:right w:val="single" w:color="auto" w:sz="4" w:space="0"/>
            </w:tcBorders>
            <w:vAlign w:val="center"/>
          </w:tcPr>
          <w:p w14:paraId="114412E6">
            <w:pPr>
              <w:spacing w:line="324" w:lineRule="auto"/>
              <w:jc w:val="center"/>
              <w:rPr>
                <w:rFonts w:ascii="Times New Roman" w:hAnsi="Times New Roman" w:cs="Times New Roman"/>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2DD90A0D">
            <w:pPr>
              <w:spacing w:line="324" w:lineRule="auto"/>
              <w:jc w:val="center"/>
              <w:rPr>
                <w:rFonts w:ascii="Times New Roman" w:hAnsi="Times New Roman" w:cs="Times New Roman"/>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6A4E5D4D">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1D0A3333">
            <w:pPr>
              <w:spacing w:line="324" w:lineRule="auto"/>
              <w:jc w:val="center"/>
              <w:rPr>
                <w:rFonts w:ascii="Times New Roman" w:hAnsi="Times New Roman" w:cs="Times New Roman"/>
                <w:b/>
                <w:color w:val="auto"/>
              </w:rPr>
            </w:pPr>
          </w:p>
        </w:tc>
      </w:tr>
      <w:tr w14:paraId="7BC21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98CE11F">
            <w:pPr>
              <w:widowControl/>
              <w:spacing w:line="324" w:lineRule="auto"/>
              <w:jc w:val="center"/>
              <w:rPr>
                <w:rFonts w:ascii="Times New Roman" w:hAnsi="Times New Roman" w:cs="Times New Roman"/>
                <w:color w:val="auto"/>
              </w:rPr>
            </w:pPr>
          </w:p>
        </w:tc>
        <w:tc>
          <w:tcPr>
            <w:tcW w:w="464" w:type="dxa"/>
            <w:tcBorders>
              <w:top w:val="single" w:color="auto" w:sz="4" w:space="0"/>
              <w:left w:val="single" w:color="auto" w:sz="4" w:space="0"/>
              <w:bottom w:val="single" w:color="auto" w:sz="4" w:space="0"/>
              <w:right w:val="single" w:color="auto" w:sz="4" w:space="0"/>
            </w:tcBorders>
            <w:vAlign w:val="center"/>
          </w:tcPr>
          <w:p w14:paraId="12321A20">
            <w:pPr>
              <w:spacing w:line="324" w:lineRule="auto"/>
              <w:jc w:val="center"/>
              <w:rPr>
                <w:rFonts w:ascii="Times New Roman" w:hAnsi="Times New Roman" w:cs="Times New Roman"/>
                <w:color w:val="auto"/>
              </w:rPr>
            </w:pPr>
            <w:r>
              <w:rPr>
                <w:rFonts w:ascii="Times New Roman" w:hAnsi="Times New Roman" w:cs="Times New Roman"/>
                <w:color w:val="auto"/>
              </w:rPr>
              <w:t>2</w:t>
            </w:r>
          </w:p>
        </w:tc>
        <w:tc>
          <w:tcPr>
            <w:tcW w:w="3401" w:type="dxa"/>
            <w:tcBorders>
              <w:top w:val="single" w:color="auto" w:sz="4" w:space="0"/>
              <w:left w:val="single" w:color="auto" w:sz="4" w:space="0"/>
              <w:bottom w:val="single" w:color="auto" w:sz="4" w:space="0"/>
              <w:right w:val="single" w:color="auto" w:sz="4" w:space="0"/>
            </w:tcBorders>
            <w:vAlign w:val="center"/>
          </w:tcPr>
          <w:p w14:paraId="5693913D">
            <w:pPr>
              <w:pStyle w:val="49"/>
              <w:spacing w:line="324" w:lineRule="auto"/>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0A2436F6">
            <w:pPr>
              <w:pStyle w:val="49"/>
              <w:spacing w:line="324" w:lineRule="auto"/>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7D791CB7">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06328D0E">
            <w:pPr>
              <w:spacing w:line="324" w:lineRule="auto"/>
              <w:jc w:val="center"/>
              <w:rPr>
                <w:rFonts w:ascii="Times New Roman" w:hAnsi="Times New Roman" w:cs="Times New Roman"/>
                <w:b/>
                <w:color w:val="auto"/>
              </w:rPr>
            </w:pPr>
          </w:p>
        </w:tc>
      </w:tr>
      <w:tr w14:paraId="6CED1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0DE4266C">
            <w:pPr>
              <w:widowControl/>
              <w:spacing w:line="324" w:lineRule="auto"/>
              <w:jc w:val="center"/>
              <w:rPr>
                <w:rFonts w:ascii="Times New Roman" w:hAnsi="Times New Roman" w:cs="Times New Roman"/>
                <w:color w:val="auto"/>
              </w:rPr>
            </w:pPr>
          </w:p>
        </w:tc>
        <w:tc>
          <w:tcPr>
            <w:tcW w:w="464" w:type="dxa"/>
            <w:tcBorders>
              <w:top w:val="single" w:color="auto" w:sz="4" w:space="0"/>
              <w:left w:val="single" w:color="auto" w:sz="4" w:space="0"/>
              <w:bottom w:val="single" w:color="auto" w:sz="4" w:space="0"/>
              <w:right w:val="single" w:color="auto" w:sz="4" w:space="0"/>
            </w:tcBorders>
            <w:vAlign w:val="center"/>
          </w:tcPr>
          <w:p w14:paraId="0F6467CC">
            <w:pPr>
              <w:spacing w:line="324" w:lineRule="auto"/>
              <w:jc w:val="center"/>
              <w:rPr>
                <w:rFonts w:ascii="Times New Roman" w:hAnsi="Times New Roman" w:cs="Times New Roman"/>
                <w:color w:val="auto"/>
              </w:rPr>
            </w:pPr>
            <w:r>
              <w:rPr>
                <w:rFonts w:ascii="Times New Roman" w:hAnsi="Times New Roman" w:cs="Times New Roman"/>
                <w:color w:val="auto"/>
              </w:rPr>
              <w:t>3</w:t>
            </w:r>
          </w:p>
        </w:tc>
        <w:tc>
          <w:tcPr>
            <w:tcW w:w="3401" w:type="dxa"/>
            <w:tcBorders>
              <w:top w:val="single" w:color="auto" w:sz="4" w:space="0"/>
              <w:left w:val="single" w:color="auto" w:sz="4" w:space="0"/>
              <w:bottom w:val="single" w:color="auto" w:sz="4" w:space="0"/>
              <w:right w:val="single" w:color="auto" w:sz="4" w:space="0"/>
            </w:tcBorders>
            <w:vAlign w:val="center"/>
          </w:tcPr>
          <w:p w14:paraId="06944637">
            <w:pPr>
              <w:pStyle w:val="48"/>
              <w:spacing w:line="324" w:lineRule="auto"/>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02F82242">
            <w:pPr>
              <w:pStyle w:val="48"/>
              <w:spacing w:line="324" w:lineRule="auto"/>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1256E06E">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5968137F">
            <w:pPr>
              <w:spacing w:line="324" w:lineRule="auto"/>
              <w:jc w:val="center"/>
              <w:rPr>
                <w:rFonts w:ascii="Times New Roman" w:hAnsi="Times New Roman" w:cs="Times New Roman"/>
                <w:b/>
                <w:color w:val="auto"/>
              </w:rPr>
            </w:pPr>
          </w:p>
        </w:tc>
      </w:tr>
      <w:tr w14:paraId="05C2C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2AC73743">
            <w:pPr>
              <w:widowControl/>
              <w:spacing w:line="324" w:lineRule="auto"/>
              <w:jc w:val="center"/>
              <w:rPr>
                <w:rFonts w:ascii="Times New Roman" w:hAnsi="Times New Roman" w:cs="Times New Roman"/>
                <w:color w:val="auto"/>
              </w:rPr>
            </w:pPr>
          </w:p>
        </w:tc>
        <w:tc>
          <w:tcPr>
            <w:tcW w:w="464" w:type="dxa"/>
            <w:tcBorders>
              <w:top w:val="single" w:color="auto" w:sz="4" w:space="0"/>
              <w:left w:val="single" w:color="auto" w:sz="4" w:space="0"/>
              <w:bottom w:val="single" w:color="auto" w:sz="4" w:space="0"/>
              <w:right w:val="single" w:color="auto" w:sz="4" w:space="0"/>
            </w:tcBorders>
            <w:vAlign w:val="center"/>
          </w:tcPr>
          <w:p w14:paraId="2D986692">
            <w:pPr>
              <w:spacing w:line="324" w:lineRule="auto"/>
              <w:jc w:val="center"/>
              <w:rPr>
                <w:rFonts w:ascii="Times New Roman" w:hAnsi="Times New Roman" w:cs="Times New Roman"/>
                <w:color w:val="auto"/>
              </w:rPr>
            </w:pPr>
            <w:r>
              <w:rPr>
                <w:rFonts w:ascii="Times New Roman" w:hAnsi="Times New Roman" w:cs="Times New Roman"/>
                <w:color w:val="auto"/>
              </w:rPr>
              <w:t>4</w:t>
            </w:r>
          </w:p>
        </w:tc>
        <w:tc>
          <w:tcPr>
            <w:tcW w:w="3401" w:type="dxa"/>
            <w:tcBorders>
              <w:top w:val="single" w:color="auto" w:sz="4" w:space="0"/>
              <w:left w:val="single" w:color="auto" w:sz="4" w:space="0"/>
              <w:bottom w:val="single" w:color="auto" w:sz="4" w:space="0"/>
              <w:right w:val="single" w:color="auto" w:sz="4" w:space="0"/>
            </w:tcBorders>
            <w:vAlign w:val="center"/>
          </w:tcPr>
          <w:p w14:paraId="78B33036">
            <w:pPr>
              <w:pStyle w:val="49"/>
              <w:spacing w:line="324" w:lineRule="auto"/>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78E58D73">
            <w:pPr>
              <w:pStyle w:val="49"/>
              <w:spacing w:line="324" w:lineRule="auto"/>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72523346">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25B34DA7">
            <w:pPr>
              <w:spacing w:line="324" w:lineRule="auto"/>
              <w:jc w:val="center"/>
              <w:rPr>
                <w:rFonts w:ascii="Times New Roman" w:hAnsi="Times New Roman" w:cs="Times New Roman"/>
                <w:b/>
                <w:color w:val="auto"/>
              </w:rPr>
            </w:pPr>
          </w:p>
        </w:tc>
      </w:tr>
      <w:tr w14:paraId="12379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119EE25F">
            <w:pPr>
              <w:widowControl/>
              <w:spacing w:line="324" w:lineRule="auto"/>
              <w:jc w:val="center"/>
              <w:rPr>
                <w:rFonts w:ascii="Times New Roman" w:hAnsi="Times New Roman" w:cs="Times New Roman"/>
                <w:color w:val="auto"/>
              </w:rPr>
            </w:pPr>
          </w:p>
        </w:tc>
        <w:tc>
          <w:tcPr>
            <w:tcW w:w="464" w:type="dxa"/>
            <w:tcBorders>
              <w:top w:val="single" w:color="auto" w:sz="4" w:space="0"/>
              <w:left w:val="single" w:color="auto" w:sz="4" w:space="0"/>
              <w:bottom w:val="single" w:color="auto" w:sz="4" w:space="0"/>
              <w:right w:val="single" w:color="auto" w:sz="4" w:space="0"/>
            </w:tcBorders>
            <w:vAlign w:val="center"/>
          </w:tcPr>
          <w:p w14:paraId="57AA3A72">
            <w:pPr>
              <w:spacing w:line="324" w:lineRule="auto"/>
              <w:jc w:val="center"/>
              <w:rPr>
                <w:rFonts w:ascii="Times New Roman" w:hAnsi="Times New Roman" w:cs="Times New Roman"/>
                <w:color w:val="auto"/>
              </w:rPr>
            </w:pPr>
            <w:r>
              <w:rPr>
                <w:rFonts w:ascii="Times New Roman" w:hAnsi="Times New Roman" w:cs="Times New Roman"/>
                <w:color w:val="auto"/>
              </w:rPr>
              <w:t>5</w:t>
            </w:r>
          </w:p>
        </w:tc>
        <w:tc>
          <w:tcPr>
            <w:tcW w:w="3401" w:type="dxa"/>
            <w:tcBorders>
              <w:top w:val="single" w:color="auto" w:sz="4" w:space="0"/>
              <w:left w:val="single" w:color="auto" w:sz="4" w:space="0"/>
              <w:bottom w:val="single" w:color="auto" w:sz="4" w:space="0"/>
              <w:right w:val="single" w:color="auto" w:sz="4" w:space="0"/>
            </w:tcBorders>
            <w:vAlign w:val="center"/>
          </w:tcPr>
          <w:p w14:paraId="23B66B68">
            <w:pPr>
              <w:pStyle w:val="49"/>
              <w:spacing w:line="324" w:lineRule="auto"/>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3D61A623">
            <w:pPr>
              <w:pStyle w:val="49"/>
              <w:spacing w:line="324" w:lineRule="auto"/>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3814BC2D">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3FD1FA8F">
            <w:pPr>
              <w:spacing w:line="324" w:lineRule="auto"/>
              <w:jc w:val="center"/>
              <w:rPr>
                <w:rFonts w:ascii="Times New Roman" w:hAnsi="Times New Roman" w:cs="Times New Roman"/>
                <w:b/>
                <w:color w:val="auto"/>
              </w:rPr>
            </w:pPr>
          </w:p>
        </w:tc>
      </w:tr>
      <w:tr w14:paraId="7C508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210A19CF">
            <w:pPr>
              <w:widowControl/>
              <w:spacing w:line="324" w:lineRule="auto"/>
              <w:jc w:val="center"/>
              <w:rPr>
                <w:rFonts w:ascii="Times New Roman" w:hAnsi="Times New Roman" w:cs="Times New Roman"/>
                <w:color w:val="auto"/>
              </w:rPr>
            </w:pPr>
          </w:p>
        </w:tc>
        <w:tc>
          <w:tcPr>
            <w:tcW w:w="464" w:type="dxa"/>
            <w:tcBorders>
              <w:top w:val="single" w:color="auto" w:sz="4" w:space="0"/>
              <w:left w:val="single" w:color="auto" w:sz="4" w:space="0"/>
              <w:bottom w:val="single" w:color="auto" w:sz="4" w:space="0"/>
              <w:right w:val="single" w:color="auto" w:sz="4" w:space="0"/>
            </w:tcBorders>
            <w:vAlign w:val="center"/>
          </w:tcPr>
          <w:p w14:paraId="3BBA6E1A">
            <w:pPr>
              <w:spacing w:line="324" w:lineRule="auto"/>
              <w:jc w:val="center"/>
              <w:rPr>
                <w:rFonts w:ascii="Times New Roman" w:hAnsi="Times New Roman" w:cs="Times New Roman"/>
                <w:color w:val="auto"/>
              </w:rPr>
            </w:pPr>
            <w:r>
              <w:rPr>
                <w:rFonts w:ascii="Times New Roman" w:hAnsi="Times New Roman" w:cs="Times New Roman"/>
                <w:color w:val="auto"/>
              </w:rPr>
              <w:t>6</w:t>
            </w:r>
          </w:p>
        </w:tc>
        <w:tc>
          <w:tcPr>
            <w:tcW w:w="3401" w:type="dxa"/>
            <w:tcBorders>
              <w:top w:val="single" w:color="auto" w:sz="4" w:space="0"/>
              <w:left w:val="single" w:color="auto" w:sz="4" w:space="0"/>
              <w:bottom w:val="single" w:color="auto" w:sz="4" w:space="0"/>
              <w:right w:val="single" w:color="auto" w:sz="4" w:space="0"/>
            </w:tcBorders>
            <w:vAlign w:val="center"/>
          </w:tcPr>
          <w:p w14:paraId="3681EDE6">
            <w:pPr>
              <w:pStyle w:val="49"/>
              <w:spacing w:line="324" w:lineRule="auto"/>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06792C86">
            <w:pPr>
              <w:pStyle w:val="49"/>
              <w:spacing w:line="324" w:lineRule="auto"/>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278675A7">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70124208">
            <w:pPr>
              <w:spacing w:line="324" w:lineRule="auto"/>
              <w:jc w:val="center"/>
              <w:rPr>
                <w:rFonts w:ascii="Times New Roman" w:hAnsi="Times New Roman" w:cs="Times New Roman"/>
                <w:b/>
                <w:color w:val="auto"/>
              </w:rPr>
            </w:pPr>
          </w:p>
        </w:tc>
      </w:tr>
      <w:tr w14:paraId="445AC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131AA2E5">
            <w:pPr>
              <w:widowControl/>
              <w:spacing w:line="324" w:lineRule="auto"/>
              <w:jc w:val="center"/>
              <w:rPr>
                <w:rFonts w:ascii="Times New Roman" w:hAnsi="Times New Roman" w:cs="Times New Roman"/>
                <w:color w:val="auto"/>
              </w:rPr>
            </w:pPr>
          </w:p>
        </w:tc>
        <w:tc>
          <w:tcPr>
            <w:tcW w:w="464" w:type="dxa"/>
            <w:tcBorders>
              <w:top w:val="single" w:color="auto" w:sz="4" w:space="0"/>
              <w:left w:val="single" w:color="auto" w:sz="4" w:space="0"/>
              <w:bottom w:val="single" w:color="auto" w:sz="4" w:space="0"/>
              <w:right w:val="single" w:color="auto" w:sz="4" w:space="0"/>
            </w:tcBorders>
            <w:vAlign w:val="center"/>
          </w:tcPr>
          <w:p w14:paraId="3714393A">
            <w:pPr>
              <w:spacing w:line="324" w:lineRule="auto"/>
              <w:jc w:val="center"/>
              <w:rPr>
                <w:rFonts w:ascii="Times New Roman" w:hAnsi="Times New Roman" w:cs="Times New Roman"/>
                <w:color w:val="auto"/>
              </w:rPr>
            </w:pPr>
            <w:r>
              <w:rPr>
                <w:rFonts w:ascii="Times New Roman" w:hAnsi="Times New Roman" w:cs="Times New Roman"/>
                <w:color w:val="auto"/>
              </w:rPr>
              <w:t>7</w:t>
            </w:r>
          </w:p>
        </w:tc>
        <w:tc>
          <w:tcPr>
            <w:tcW w:w="3401" w:type="dxa"/>
            <w:tcBorders>
              <w:top w:val="single" w:color="auto" w:sz="4" w:space="0"/>
              <w:left w:val="single" w:color="auto" w:sz="4" w:space="0"/>
              <w:bottom w:val="single" w:color="auto" w:sz="4" w:space="0"/>
              <w:right w:val="single" w:color="auto" w:sz="4" w:space="0"/>
            </w:tcBorders>
            <w:vAlign w:val="center"/>
          </w:tcPr>
          <w:p w14:paraId="39C67AF4">
            <w:pPr>
              <w:pStyle w:val="49"/>
              <w:spacing w:line="324" w:lineRule="auto"/>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1F40AE5F">
            <w:pPr>
              <w:pStyle w:val="49"/>
              <w:spacing w:line="324" w:lineRule="auto"/>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FE31542">
            <w:pPr>
              <w:spacing w:line="324" w:lineRule="auto"/>
              <w:jc w:val="center"/>
              <w:rPr>
                <w:rFonts w:ascii="Times New Roman" w:hAnsi="Times New Roman" w:cs="Times New Roman"/>
                <w:color w:val="auto"/>
              </w:rPr>
            </w:pPr>
          </w:p>
        </w:tc>
        <w:tc>
          <w:tcPr>
            <w:tcW w:w="1488" w:type="dxa"/>
            <w:tcBorders>
              <w:top w:val="single" w:color="auto" w:sz="4" w:space="0"/>
              <w:left w:val="single" w:color="auto" w:sz="4" w:space="0"/>
              <w:bottom w:val="single" w:color="auto" w:sz="4" w:space="0"/>
              <w:right w:val="single" w:color="auto" w:sz="4" w:space="0"/>
            </w:tcBorders>
            <w:vAlign w:val="center"/>
          </w:tcPr>
          <w:p w14:paraId="7605850C">
            <w:pPr>
              <w:spacing w:line="324" w:lineRule="auto"/>
              <w:jc w:val="center"/>
              <w:rPr>
                <w:rFonts w:ascii="Times New Roman" w:hAnsi="Times New Roman" w:cs="Times New Roman"/>
                <w:b/>
                <w:color w:val="auto"/>
              </w:rPr>
            </w:pPr>
          </w:p>
        </w:tc>
      </w:tr>
    </w:tbl>
    <w:p w14:paraId="46BE0EF7">
      <w:pPr>
        <w:spacing w:line="324" w:lineRule="auto"/>
        <w:rPr>
          <w:rFonts w:ascii="Times New Roman" w:hAnsi="Times New Roman" w:cs="Times New Roman"/>
          <w:color w:val="auto"/>
        </w:rPr>
        <w:sectPr>
          <w:pgSz w:w="11906" w:h="16838"/>
          <w:pgMar w:top="1134" w:right="1134" w:bottom="1134" w:left="1587" w:header="567" w:footer="737" w:gutter="0"/>
          <w:cols w:space="720" w:num="1"/>
          <w:docGrid w:linePitch="312" w:charSpace="0"/>
        </w:sectPr>
      </w:pPr>
    </w:p>
    <w:p w14:paraId="7BFC0B1A">
      <w:pPr>
        <w:pStyle w:val="2"/>
        <w:pageBreakBefore/>
        <w:spacing w:line="324" w:lineRule="auto"/>
        <w:rPr>
          <w:rFonts w:ascii="Times New Roman" w:hAnsi="Times New Roman" w:eastAsiaTheme="minorEastAsia"/>
          <w:color w:val="auto"/>
          <w:sz w:val="36"/>
          <w:szCs w:val="36"/>
        </w:rPr>
        <w:sectPr>
          <w:pgSz w:w="11906" w:h="16838"/>
          <w:pgMar w:top="1134" w:right="1134" w:bottom="1134" w:left="1587" w:header="567" w:footer="737" w:gutter="0"/>
          <w:cols w:space="720" w:num="1"/>
          <w:docGrid w:linePitch="312" w:charSpace="0"/>
        </w:sectPr>
      </w:pPr>
      <w:bookmarkStart w:id="177" w:name="_Toc14556"/>
      <w:bookmarkStart w:id="178" w:name="_Toc8179"/>
      <w:bookmarkStart w:id="179" w:name="_Toc18263"/>
      <w:bookmarkStart w:id="180" w:name="_Toc28710"/>
      <w:r>
        <w:rPr>
          <w:rFonts w:ascii="Times New Roman" w:hAnsi="Times New Roman" w:eastAsiaTheme="minorEastAsia"/>
          <w:color w:val="auto"/>
          <w:sz w:val="36"/>
          <w:szCs w:val="36"/>
        </w:rPr>
        <w:fldChar w:fldCharType="begin"/>
      </w:r>
      <w:r>
        <w:rPr>
          <w:rFonts w:ascii="Times New Roman" w:hAnsi="Times New Roman" w:eastAsiaTheme="minorEastAsia"/>
          <w:color w:val="auto"/>
          <w:sz w:val="36"/>
          <w:szCs w:val="36"/>
        </w:rPr>
        <w:instrText xml:space="preserve"> HYPERLINK  \l "_投标文件目录" </w:instrText>
      </w:r>
      <w:r>
        <w:rPr>
          <w:rFonts w:ascii="Times New Roman" w:hAnsi="Times New Roman" w:eastAsiaTheme="minorEastAsia"/>
          <w:color w:val="auto"/>
          <w:sz w:val="36"/>
          <w:szCs w:val="36"/>
        </w:rPr>
        <w:fldChar w:fldCharType="separate"/>
      </w:r>
      <w:bookmarkStart w:id="181" w:name="_Toc113157430"/>
      <w:bookmarkStart w:id="182" w:name="_Toc259803671"/>
      <w:bookmarkStart w:id="183" w:name="_Toc240108118"/>
      <w:bookmarkStart w:id="184" w:name="_Toc419106574"/>
      <w:r>
        <w:rPr>
          <w:rFonts w:ascii="Times New Roman" w:hAnsi="Times New Roman" w:eastAsiaTheme="minorEastAsia"/>
          <w:color w:val="auto"/>
          <w:sz w:val="36"/>
          <w:szCs w:val="36"/>
        </w:rPr>
        <w:t xml:space="preserve">第三章  </w:t>
      </w:r>
      <w:bookmarkStart w:id="185" w:name="_Hlt113156969"/>
      <w:r>
        <w:rPr>
          <w:rFonts w:ascii="Times New Roman" w:hAnsi="Times New Roman" w:eastAsiaTheme="minorEastAsia"/>
          <w:color w:val="auto"/>
          <w:sz w:val="36"/>
          <w:szCs w:val="36"/>
        </w:rPr>
        <w:t>商</w:t>
      </w:r>
      <w:bookmarkEnd w:id="185"/>
      <w:r>
        <w:rPr>
          <w:rFonts w:ascii="Times New Roman" w:hAnsi="Times New Roman" w:eastAsiaTheme="minorEastAsia"/>
          <w:color w:val="auto"/>
          <w:sz w:val="36"/>
          <w:szCs w:val="36"/>
        </w:rPr>
        <w:t>务部</w:t>
      </w:r>
      <w:bookmarkStart w:id="186" w:name="_Hlt112738997"/>
      <w:r>
        <w:rPr>
          <w:rFonts w:ascii="Times New Roman" w:hAnsi="Times New Roman" w:eastAsiaTheme="minorEastAsia"/>
          <w:color w:val="auto"/>
          <w:sz w:val="36"/>
          <w:szCs w:val="36"/>
        </w:rPr>
        <w:t>分</w:t>
      </w:r>
      <w:bookmarkEnd w:id="181"/>
      <w:bookmarkEnd w:id="182"/>
      <w:bookmarkEnd w:id="183"/>
      <w:bookmarkEnd w:id="184"/>
      <w:bookmarkEnd w:id="186"/>
      <w:r>
        <w:rPr>
          <w:rFonts w:ascii="Times New Roman" w:hAnsi="Times New Roman" w:eastAsiaTheme="minorEastAsia"/>
          <w:color w:val="auto"/>
          <w:sz w:val="36"/>
          <w:szCs w:val="36"/>
        </w:rPr>
        <w:fldChar w:fldCharType="end"/>
      </w:r>
      <w:bookmarkEnd w:id="177"/>
      <w:bookmarkEnd w:id="178"/>
      <w:bookmarkEnd w:id="179"/>
      <w:bookmarkEnd w:id="180"/>
    </w:p>
    <w:p w14:paraId="1BEB8CE4">
      <w:pPr>
        <w:pageBreakBefore/>
        <w:numPr>
          <w:ilvl w:val="0"/>
          <w:numId w:val="9"/>
        </w:numPr>
        <w:spacing w:line="324" w:lineRule="auto"/>
        <w:ind w:left="0"/>
        <w:jc w:val="center"/>
        <w:outlineLvl w:val="1"/>
        <w:rPr>
          <w:rFonts w:ascii="Times New Roman" w:hAnsi="Times New Roman" w:cs="Times New Roman"/>
          <w:b/>
          <w:bCs/>
          <w:color w:val="auto"/>
          <w:sz w:val="36"/>
          <w:szCs w:val="36"/>
        </w:rPr>
      </w:pPr>
      <w:bookmarkStart w:id="187" w:name="_企业综合概况与计划"/>
      <w:bookmarkEnd w:id="187"/>
      <w:bookmarkStart w:id="188" w:name="_商务条款响应表"/>
      <w:bookmarkEnd w:id="188"/>
      <w:bookmarkStart w:id="189" w:name="_企业综合概况"/>
      <w:bookmarkEnd w:id="189"/>
      <w:bookmarkStart w:id="190" w:name="_Toc20878"/>
      <w:bookmarkStart w:id="191" w:name="_Toc11846"/>
      <w:bookmarkStart w:id="192" w:name="_Toc13645"/>
      <w:bookmarkStart w:id="193" w:name="_Toc22477"/>
      <w:bookmarkStart w:id="194" w:name="_Toc136682920"/>
      <w:bookmarkStart w:id="195" w:name="_Toc119321155"/>
      <w:bookmarkStart w:id="196" w:name="_Toc108234926"/>
      <w:bookmarkStart w:id="197" w:name="_Toc136662944"/>
      <w:bookmarkStart w:id="198" w:name="_Toc159385079"/>
      <w:r>
        <w:rPr>
          <w:rFonts w:ascii="Times New Roman" w:hAnsi="Times New Roman" w:cs="Times New Roman"/>
          <w:b/>
          <w:bCs/>
          <w:color w:val="auto"/>
          <w:sz w:val="36"/>
          <w:szCs w:val="36"/>
        </w:rPr>
        <w:fldChar w:fldCharType="begin"/>
      </w:r>
      <w:r>
        <w:rPr>
          <w:rFonts w:ascii="Times New Roman" w:hAnsi="Times New Roman" w:cs="Times New Roman"/>
          <w:b/>
          <w:bCs/>
          <w:color w:val="auto"/>
          <w:sz w:val="36"/>
          <w:szCs w:val="36"/>
        </w:rPr>
        <w:instrText xml:space="preserve"> DOCVARIABLE  商务条款响应表开始  \* MERGEFORMAT </w:instrText>
      </w:r>
      <w:r>
        <w:rPr>
          <w:rFonts w:ascii="Times New Roman" w:hAnsi="Times New Roman" w:cs="Times New Roman"/>
          <w:b/>
          <w:bCs/>
          <w:color w:val="auto"/>
          <w:sz w:val="36"/>
          <w:szCs w:val="36"/>
        </w:rPr>
        <w:fldChar w:fldCharType="separate"/>
      </w:r>
      <w:r>
        <w:rPr>
          <w:rFonts w:ascii="Times New Roman" w:hAnsi="Times New Roman" w:cs="Times New Roman"/>
          <w:b/>
          <w:bCs/>
          <w:color w:val="auto"/>
          <w:sz w:val="36"/>
          <w:szCs w:val="36"/>
        </w:rPr>
        <w:fldChar w:fldCharType="end"/>
      </w:r>
      <w:bookmarkStart w:id="199" w:name="_Toc419106575"/>
      <w:r>
        <w:rPr>
          <w:rFonts w:ascii="Times New Roman" w:hAnsi="Times New Roman" w:cs="Times New Roman"/>
          <w:b/>
          <w:bCs/>
          <w:color w:val="auto"/>
          <w:sz w:val="36"/>
          <w:szCs w:val="36"/>
        </w:rPr>
        <w:t>商务条款响应表</w:t>
      </w:r>
      <w:bookmarkEnd w:id="190"/>
      <w:bookmarkEnd w:id="191"/>
      <w:bookmarkEnd w:id="192"/>
      <w:bookmarkEnd w:id="193"/>
      <w:bookmarkEnd w:id="199"/>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3B34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BC893E1">
            <w:pPr>
              <w:spacing w:line="324" w:lineRule="auto"/>
              <w:rPr>
                <w:rFonts w:ascii="Times New Roman" w:hAnsi="Times New Roman" w:cs="Times New Roman"/>
                <w:b/>
                <w:bCs/>
                <w:color w:val="auto"/>
              </w:rPr>
            </w:pPr>
            <w:r>
              <w:rPr>
                <w:rFonts w:ascii="Times New Roman" w:hAnsi="Times New Roman" w:cs="Times New Roman"/>
                <w:b/>
                <w:color w:val="auto"/>
              </w:rPr>
              <w:t>一、商务条款响应情况</w:t>
            </w:r>
          </w:p>
        </w:tc>
      </w:tr>
      <w:tr w14:paraId="38ED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vAlign w:val="center"/>
          </w:tcPr>
          <w:p w14:paraId="3EA0E1B2">
            <w:pPr>
              <w:spacing w:line="324" w:lineRule="auto"/>
              <w:rPr>
                <w:rFonts w:ascii="Times New Roman" w:hAnsi="Times New Roman" w:cs="Times New Roman"/>
                <w:b/>
                <w:bCs/>
                <w:color w:val="auto"/>
              </w:rPr>
            </w:pPr>
            <w:r>
              <w:rPr>
                <w:rFonts w:ascii="Times New Roman" w:hAnsi="Times New Roman" w:cs="Times New Roman"/>
                <w:b/>
                <w:bCs/>
                <w:color w:val="auto"/>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vAlign w:val="center"/>
          </w:tcPr>
          <w:p w14:paraId="6E0E9F04">
            <w:pPr>
              <w:spacing w:line="324" w:lineRule="auto"/>
              <w:jc w:val="center"/>
              <w:rPr>
                <w:rFonts w:ascii="Times New Roman" w:hAnsi="Times New Roman" w:cs="Times New Roman"/>
                <w:b/>
                <w:bCs/>
                <w:color w:val="auto"/>
              </w:rPr>
            </w:pPr>
            <w:r>
              <w:rPr>
                <w:rFonts w:ascii="Times New Roman" w:hAnsi="Times New Roman" w:cs="Times New Roman"/>
                <w:b/>
                <w:bCs/>
                <w:color w:val="auto"/>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vAlign w:val="center"/>
          </w:tcPr>
          <w:p w14:paraId="7B03043C">
            <w:pPr>
              <w:spacing w:line="324" w:lineRule="auto"/>
              <w:jc w:val="center"/>
              <w:rPr>
                <w:rFonts w:ascii="Times New Roman" w:hAnsi="Times New Roman" w:cs="Times New Roman"/>
                <w:b/>
                <w:bCs/>
                <w:color w:val="auto"/>
              </w:rPr>
            </w:pPr>
            <w:r>
              <w:rPr>
                <w:rFonts w:ascii="Times New Roman" w:hAnsi="Times New Roman" w:cs="Times New Roman"/>
                <w:b/>
                <w:bCs/>
                <w:color w:val="auto"/>
              </w:rPr>
              <w:t>是否响应</w:t>
            </w:r>
          </w:p>
        </w:tc>
      </w:tr>
      <w:tr w14:paraId="5962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98E5405">
            <w:pPr>
              <w:numPr>
                <w:ilvl w:val="0"/>
                <w:numId w:val="10"/>
              </w:numPr>
              <w:spacing w:line="324" w:lineRule="auto"/>
              <w:ind w:left="0"/>
              <w:jc w:val="center"/>
              <w:rPr>
                <w:rFonts w:ascii="Times New Roman" w:hAnsi="Times New Roman" w:cs="Times New Roman"/>
                <w:color w:val="auto"/>
              </w:rPr>
            </w:pPr>
          </w:p>
        </w:tc>
        <w:tc>
          <w:tcPr>
            <w:tcW w:w="6338" w:type="dxa"/>
            <w:tcBorders>
              <w:top w:val="single" w:color="auto" w:sz="4" w:space="0"/>
              <w:left w:val="single" w:color="auto" w:sz="4" w:space="0"/>
              <w:bottom w:val="single" w:color="auto" w:sz="4" w:space="0"/>
              <w:right w:val="single" w:color="auto" w:sz="4" w:space="0"/>
            </w:tcBorders>
            <w:vAlign w:val="center"/>
          </w:tcPr>
          <w:p w14:paraId="5EE59501">
            <w:pPr>
              <w:spacing w:line="324" w:lineRule="auto"/>
              <w:rPr>
                <w:rFonts w:ascii="Times New Roman" w:hAnsi="Times New Roman" w:cs="Times New Roman"/>
                <w:color w:val="auto"/>
              </w:rPr>
            </w:pPr>
            <w:r>
              <w:rPr>
                <w:rFonts w:ascii="Times New Roman" w:hAnsi="Times New Roman" w:cs="Times New Roman"/>
                <w:color w:val="auto"/>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vAlign w:val="center"/>
          </w:tcPr>
          <w:p w14:paraId="036EF535">
            <w:pPr>
              <w:spacing w:line="324" w:lineRule="auto"/>
              <w:jc w:val="center"/>
              <w:rPr>
                <w:rFonts w:ascii="Times New Roman" w:hAnsi="Times New Roman" w:cs="Times New Roman"/>
                <w:color w:val="auto"/>
              </w:rPr>
            </w:pPr>
          </w:p>
        </w:tc>
      </w:tr>
      <w:tr w14:paraId="1910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F95E921">
            <w:pPr>
              <w:numPr>
                <w:ilvl w:val="0"/>
                <w:numId w:val="10"/>
              </w:numPr>
              <w:spacing w:line="324" w:lineRule="auto"/>
              <w:ind w:left="0"/>
              <w:jc w:val="center"/>
              <w:rPr>
                <w:rFonts w:ascii="Times New Roman" w:hAnsi="Times New Roman" w:cs="Times New Roman"/>
                <w:color w:val="auto"/>
              </w:rPr>
            </w:pPr>
          </w:p>
        </w:tc>
        <w:tc>
          <w:tcPr>
            <w:tcW w:w="6338" w:type="dxa"/>
            <w:tcBorders>
              <w:top w:val="single" w:color="auto" w:sz="4" w:space="0"/>
              <w:left w:val="single" w:color="auto" w:sz="4" w:space="0"/>
              <w:bottom w:val="single" w:color="auto" w:sz="4" w:space="0"/>
              <w:right w:val="single" w:color="auto" w:sz="4" w:space="0"/>
            </w:tcBorders>
            <w:vAlign w:val="center"/>
          </w:tcPr>
          <w:p w14:paraId="598CFCD7">
            <w:pPr>
              <w:spacing w:line="324" w:lineRule="auto"/>
              <w:rPr>
                <w:rFonts w:ascii="Times New Roman" w:hAnsi="Times New Roman" w:cs="Times New Roman"/>
                <w:color w:val="auto"/>
              </w:rPr>
            </w:pPr>
            <w:r>
              <w:rPr>
                <w:rFonts w:ascii="Times New Roman" w:hAnsi="Times New Roman" w:cs="Times New Roman"/>
                <w:color w:val="auto"/>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vAlign w:val="center"/>
          </w:tcPr>
          <w:p w14:paraId="78D2B85A">
            <w:pPr>
              <w:spacing w:line="324" w:lineRule="auto"/>
              <w:jc w:val="center"/>
              <w:rPr>
                <w:rFonts w:ascii="Times New Roman" w:hAnsi="Times New Roman" w:cs="Times New Roman"/>
                <w:color w:val="auto"/>
              </w:rPr>
            </w:pPr>
          </w:p>
        </w:tc>
      </w:tr>
      <w:tr w14:paraId="52A1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F99D24D">
            <w:pPr>
              <w:numPr>
                <w:ilvl w:val="0"/>
                <w:numId w:val="10"/>
              </w:numPr>
              <w:spacing w:line="324" w:lineRule="auto"/>
              <w:ind w:left="0"/>
              <w:jc w:val="center"/>
              <w:rPr>
                <w:rFonts w:ascii="Times New Roman" w:hAnsi="Times New Roman" w:cs="Times New Roman"/>
                <w:color w:val="auto"/>
              </w:rPr>
            </w:pPr>
          </w:p>
        </w:tc>
        <w:tc>
          <w:tcPr>
            <w:tcW w:w="6338" w:type="dxa"/>
            <w:tcBorders>
              <w:top w:val="single" w:color="auto" w:sz="4" w:space="0"/>
              <w:left w:val="single" w:color="auto" w:sz="4" w:space="0"/>
              <w:bottom w:val="single" w:color="auto" w:sz="4" w:space="0"/>
              <w:right w:val="single" w:color="auto" w:sz="4" w:space="0"/>
            </w:tcBorders>
            <w:vAlign w:val="center"/>
          </w:tcPr>
          <w:p w14:paraId="48AF80A0">
            <w:pPr>
              <w:spacing w:line="324" w:lineRule="auto"/>
              <w:rPr>
                <w:rFonts w:ascii="Times New Roman" w:hAnsi="Times New Roman" w:cs="Times New Roman"/>
                <w:color w:val="auto"/>
              </w:rPr>
            </w:pPr>
            <w:r>
              <w:rPr>
                <w:rFonts w:ascii="Times New Roman" w:hAnsi="Times New Roman" w:cs="Times New Roman"/>
                <w:color w:val="auto"/>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vAlign w:val="center"/>
          </w:tcPr>
          <w:p w14:paraId="6D755E29">
            <w:pPr>
              <w:spacing w:line="324" w:lineRule="auto"/>
              <w:jc w:val="center"/>
              <w:rPr>
                <w:rFonts w:ascii="Times New Roman" w:hAnsi="Times New Roman" w:cs="Times New Roman"/>
                <w:color w:val="auto"/>
              </w:rPr>
            </w:pPr>
          </w:p>
        </w:tc>
      </w:tr>
      <w:tr w14:paraId="3B80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6E00127">
            <w:pPr>
              <w:numPr>
                <w:ilvl w:val="0"/>
                <w:numId w:val="10"/>
              </w:numPr>
              <w:spacing w:line="324" w:lineRule="auto"/>
              <w:ind w:left="0"/>
              <w:jc w:val="center"/>
              <w:rPr>
                <w:rFonts w:ascii="Times New Roman" w:hAnsi="Times New Roman" w:cs="Times New Roman"/>
                <w:color w:val="auto"/>
              </w:rPr>
            </w:pPr>
          </w:p>
        </w:tc>
        <w:tc>
          <w:tcPr>
            <w:tcW w:w="6338" w:type="dxa"/>
            <w:tcBorders>
              <w:top w:val="single" w:color="auto" w:sz="4" w:space="0"/>
              <w:left w:val="single" w:color="auto" w:sz="4" w:space="0"/>
              <w:bottom w:val="single" w:color="auto" w:sz="4" w:space="0"/>
              <w:right w:val="single" w:color="auto" w:sz="4" w:space="0"/>
            </w:tcBorders>
            <w:vAlign w:val="center"/>
          </w:tcPr>
          <w:p w14:paraId="4482F730">
            <w:pPr>
              <w:spacing w:line="324" w:lineRule="auto"/>
              <w:rPr>
                <w:rFonts w:ascii="Times New Roman" w:hAnsi="Times New Roman" w:cs="Times New Roman"/>
                <w:color w:val="auto"/>
              </w:rPr>
            </w:pPr>
            <w:r>
              <w:rPr>
                <w:rFonts w:ascii="Times New Roman" w:hAnsi="Times New Roman" w:cs="Times New Roman"/>
                <w:color w:val="auto"/>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vAlign w:val="center"/>
          </w:tcPr>
          <w:p w14:paraId="1A156F58">
            <w:pPr>
              <w:spacing w:line="324" w:lineRule="auto"/>
              <w:jc w:val="center"/>
              <w:rPr>
                <w:rFonts w:ascii="Times New Roman" w:hAnsi="Times New Roman" w:cs="Times New Roman"/>
                <w:color w:val="auto"/>
              </w:rPr>
            </w:pPr>
          </w:p>
        </w:tc>
      </w:tr>
      <w:tr w14:paraId="462D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A993DBF">
            <w:pPr>
              <w:numPr>
                <w:ilvl w:val="0"/>
                <w:numId w:val="10"/>
              </w:numPr>
              <w:spacing w:line="324" w:lineRule="auto"/>
              <w:ind w:left="0"/>
              <w:jc w:val="center"/>
              <w:rPr>
                <w:rFonts w:ascii="Times New Roman" w:hAnsi="Times New Roman" w:cs="Times New Roman"/>
                <w:color w:val="auto"/>
              </w:rPr>
            </w:pPr>
          </w:p>
        </w:tc>
        <w:tc>
          <w:tcPr>
            <w:tcW w:w="6338" w:type="dxa"/>
            <w:tcBorders>
              <w:top w:val="single" w:color="auto" w:sz="4" w:space="0"/>
              <w:left w:val="single" w:color="auto" w:sz="4" w:space="0"/>
              <w:bottom w:val="single" w:color="auto" w:sz="4" w:space="0"/>
              <w:right w:val="single" w:color="auto" w:sz="4" w:space="0"/>
            </w:tcBorders>
            <w:vAlign w:val="center"/>
          </w:tcPr>
          <w:p w14:paraId="162C7C02">
            <w:pPr>
              <w:spacing w:line="324" w:lineRule="auto"/>
              <w:jc w:val="left"/>
              <w:rPr>
                <w:rFonts w:ascii="Times New Roman" w:hAnsi="Times New Roman" w:cs="Times New Roman"/>
                <w:b/>
                <w:color w:val="auto"/>
              </w:rPr>
            </w:pPr>
            <w:r>
              <w:rPr>
                <w:rFonts w:ascii="Times New Roman" w:hAnsi="Times New Roman" w:cs="Times New Roman"/>
                <w:b/>
                <w:color w:val="auto"/>
              </w:rPr>
              <w:t>采购文件中的全部商务条款均能完全响应</w:t>
            </w:r>
          </w:p>
        </w:tc>
        <w:tc>
          <w:tcPr>
            <w:tcW w:w="1797" w:type="dxa"/>
            <w:tcBorders>
              <w:top w:val="single" w:color="auto" w:sz="4" w:space="0"/>
              <w:left w:val="single" w:color="auto" w:sz="4" w:space="0"/>
              <w:bottom w:val="single" w:color="auto" w:sz="4" w:space="0"/>
              <w:right w:val="single" w:color="auto" w:sz="4" w:space="0"/>
            </w:tcBorders>
            <w:vAlign w:val="center"/>
          </w:tcPr>
          <w:p w14:paraId="2F1177EC">
            <w:pPr>
              <w:spacing w:line="324" w:lineRule="auto"/>
              <w:jc w:val="center"/>
              <w:rPr>
                <w:rFonts w:ascii="Times New Roman" w:hAnsi="Times New Roman" w:cs="Times New Roman"/>
                <w:color w:val="auto"/>
              </w:rPr>
            </w:pPr>
          </w:p>
        </w:tc>
      </w:tr>
      <w:tr w14:paraId="3466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8565709">
            <w:pPr>
              <w:numPr>
                <w:ilvl w:val="0"/>
                <w:numId w:val="10"/>
              </w:numPr>
              <w:spacing w:line="324" w:lineRule="auto"/>
              <w:ind w:left="0"/>
              <w:jc w:val="center"/>
              <w:rPr>
                <w:rFonts w:ascii="Times New Roman" w:hAnsi="Times New Roman" w:cs="Times New Roman"/>
                <w:color w:val="auto"/>
              </w:rPr>
            </w:pPr>
          </w:p>
        </w:tc>
        <w:tc>
          <w:tcPr>
            <w:tcW w:w="6338" w:type="dxa"/>
            <w:tcBorders>
              <w:top w:val="single" w:color="auto" w:sz="4" w:space="0"/>
              <w:left w:val="single" w:color="auto" w:sz="4" w:space="0"/>
              <w:bottom w:val="single" w:color="auto" w:sz="4" w:space="0"/>
              <w:right w:val="single" w:color="auto" w:sz="4" w:space="0"/>
            </w:tcBorders>
            <w:vAlign w:val="center"/>
          </w:tcPr>
          <w:p w14:paraId="1065D2FF">
            <w:pPr>
              <w:spacing w:line="324" w:lineRule="auto"/>
              <w:jc w:val="left"/>
              <w:rPr>
                <w:rFonts w:ascii="Times New Roman" w:hAnsi="Times New Roman" w:cs="Times New Roman"/>
                <w:b/>
                <w:color w:val="auto"/>
              </w:rPr>
            </w:pPr>
            <w:r>
              <w:rPr>
                <w:rFonts w:ascii="Times New Roman" w:hAnsi="Times New Roman" w:cs="Times New Roman"/>
                <w:color w:val="auto"/>
              </w:rPr>
              <w:t>同意接受</w:t>
            </w:r>
            <w:r>
              <w:rPr>
                <w:rFonts w:hint="eastAsia" w:ascii="Times New Roman" w:hAnsi="Times New Roman" w:cs="Times New Roman"/>
                <w:color w:val="auto"/>
              </w:rPr>
              <w:t>采购人</w:t>
            </w:r>
            <w:r>
              <w:rPr>
                <w:rFonts w:ascii="Times New Roman" w:hAnsi="Times New Roman" w:cs="Times New Roman"/>
                <w:color w:val="auto"/>
              </w:rPr>
              <w:t>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vAlign w:val="center"/>
          </w:tcPr>
          <w:p w14:paraId="781A1F88">
            <w:pPr>
              <w:spacing w:line="324" w:lineRule="auto"/>
              <w:jc w:val="center"/>
              <w:rPr>
                <w:rFonts w:ascii="Times New Roman" w:hAnsi="Times New Roman" w:cs="Times New Roman"/>
                <w:color w:val="auto"/>
              </w:rPr>
            </w:pPr>
          </w:p>
        </w:tc>
      </w:tr>
      <w:tr w14:paraId="179B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11C39EE">
            <w:pPr>
              <w:numPr>
                <w:ilvl w:val="0"/>
                <w:numId w:val="10"/>
              </w:numPr>
              <w:spacing w:line="324" w:lineRule="auto"/>
              <w:ind w:left="0"/>
              <w:jc w:val="center"/>
              <w:rPr>
                <w:rFonts w:ascii="Times New Roman" w:hAnsi="Times New Roman" w:cs="Times New Roman"/>
                <w:color w:val="auto"/>
              </w:rPr>
            </w:pPr>
          </w:p>
        </w:tc>
        <w:tc>
          <w:tcPr>
            <w:tcW w:w="6338" w:type="dxa"/>
            <w:tcBorders>
              <w:top w:val="single" w:color="auto" w:sz="4" w:space="0"/>
              <w:left w:val="single" w:color="auto" w:sz="4" w:space="0"/>
              <w:bottom w:val="single" w:color="auto" w:sz="4" w:space="0"/>
              <w:right w:val="single" w:color="auto" w:sz="4" w:space="0"/>
            </w:tcBorders>
            <w:vAlign w:val="center"/>
          </w:tcPr>
          <w:p w14:paraId="10AA3761">
            <w:pPr>
              <w:spacing w:line="324" w:lineRule="auto"/>
              <w:jc w:val="left"/>
              <w:rPr>
                <w:rFonts w:ascii="Times New Roman" w:hAnsi="Times New Roman" w:cs="Times New Roman"/>
                <w:color w:val="auto"/>
              </w:rPr>
            </w:pPr>
            <w:r>
              <w:rPr>
                <w:rFonts w:ascii="Times New Roman" w:hAnsi="Times New Roman" w:cs="Times New Roman"/>
                <w:color w:val="auto"/>
              </w:rPr>
              <w:t>同意</w:t>
            </w:r>
            <w:r>
              <w:rPr>
                <w:rFonts w:hint="eastAsia" w:ascii="Times New Roman" w:hAnsi="Times New Roman" w:cs="Times New Roman"/>
                <w:color w:val="auto"/>
              </w:rPr>
              <w:t>采购人</w:t>
            </w:r>
            <w:r>
              <w:rPr>
                <w:rFonts w:ascii="Times New Roman" w:hAnsi="Times New Roman" w:cs="Times New Roman"/>
                <w:color w:val="auto"/>
              </w:rPr>
              <w:t>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vAlign w:val="center"/>
          </w:tcPr>
          <w:p w14:paraId="3A56FF3F">
            <w:pPr>
              <w:spacing w:line="324" w:lineRule="auto"/>
              <w:jc w:val="center"/>
              <w:rPr>
                <w:rFonts w:ascii="Times New Roman" w:hAnsi="Times New Roman" w:cs="Times New Roman"/>
                <w:color w:val="auto"/>
              </w:rPr>
            </w:pPr>
          </w:p>
        </w:tc>
      </w:tr>
      <w:tr w14:paraId="0FFB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3F869EA8">
            <w:pPr>
              <w:spacing w:line="324" w:lineRule="auto"/>
              <w:rPr>
                <w:rFonts w:ascii="Times New Roman" w:hAnsi="Times New Roman" w:cs="Times New Roman"/>
                <w:color w:val="auto"/>
              </w:rPr>
            </w:pPr>
            <w:r>
              <w:rPr>
                <w:rFonts w:ascii="Times New Roman" w:hAnsi="Times New Roman" w:cs="Times New Roman"/>
                <w:b/>
                <w:color w:val="auto"/>
              </w:rPr>
              <w:t>二、商务条款偏离情况说明（如有）：</w:t>
            </w:r>
          </w:p>
        </w:tc>
      </w:tr>
      <w:tr w14:paraId="07A1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2DB855C">
            <w:pPr>
              <w:numPr>
                <w:ilvl w:val="0"/>
                <w:numId w:val="10"/>
              </w:numPr>
              <w:spacing w:line="324" w:lineRule="auto"/>
              <w:ind w:left="0"/>
              <w:jc w:val="center"/>
              <w:rPr>
                <w:rFonts w:ascii="Times New Roman" w:hAnsi="Times New Roman" w:cs="Times New Roman"/>
                <w:color w:val="auto"/>
              </w:rPr>
            </w:pPr>
          </w:p>
        </w:tc>
        <w:tc>
          <w:tcPr>
            <w:tcW w:w="8135" w:type="dxa"/>
            <w:gridSpan w:val="2"/>
            <w:tcBorders>
              <w:top w:val="single" w:color="auto" w:sz="4" w:space="0"/>
              <w:left w:val="single" w:color="auto" w:sz="4" w:space="0"/>
              <w:bottom w:val="single" w:color="auto" w:sz="4" w:space="0"/>
              <w:right w:val="single" w:color="auto" w:sz="4" w:space="0"/>
            </w:tcBorders>
            <w:vAlign w:val="center"/>
          </w:tcPr>
          <w:p w14:paraId="2AFB9B51">
            <w:pPr>
              <w:spacing w:line="324" w:lineRule="auto"/>
              <w:rPr>
                <w:rFonts w:ascii="Times New Roman" w:hAnsi="Times New Roman" w:cs="Times New Roman"/>
                <w:color w:val="auto"/>
              </w:rPr>
            </w:pPr>
            <w:r>
              <w:rPr>
                <w:rFonts w:ascii="Times New Roman" w:hAnsi="Times New Roman" w:cs="Times New Roman"/>
                <w:color w:val="auto"/>
              </w:rPr>
              <w:t>不同意公开的商务部分内容（如有）：</w:t>
            </w:r>
          </w:p>
        </w:tc>
      </w:tr>
    </w:tbl>
    <w:p w14:paraId="710D28B0">
      <w:pPr>
        <w:spacing w:line="324" w:lineRule="auto"/>
        <w:rPr>
          <w:rFonts w:ascii="Times New Roman" w:hAnsi="Times New Roman" w:cs="Times New Roman"/>
          <w:b/>
          <w:color w:val="auto"/>
        </w:rPr>
      </w:pPr>
    </w:p>
    <w:p w14:paraId="15D29AC9">
      <w:pPr>
        <w:spacing w:line="324" w:lineRule="auto"/>
        <w:rPr>
          <w:rFonts w:ascii="Times New Roman" w:hAnsi="Times New Roman" w:cs="Times New Roman"/>
          <w:color w:val="auto"/>
        </w:rPr>
      </w:pPr>
    </w:p>
    <w:p w14:paraId="1A44E206">
      <w:pPr>
        <w:spacing w:line="324" w:lineRule="auto"/>
        <w:ind w:left="840" w:hanging="840" w:hangingChars="400"/>
        <w:rPr>
          <w:rFonts w:ascii="Times New Roman" w:hAnsi="Times New Roman" w:cs="Times New Roman"/>
          <w:color w:val="auto"/>
        </w:rPr>
      </w:pPr>
      <w:r>
        <w:rPr>
          <w:rFonts w:ascii="Times New Roman" w:hAnsi="Times New Roman" w:cs="Times New Roman"/>
          <w:color w:val="auto"/>
        </w:rPr>
        <w:t>填表要求：</w:t>
      </w:r>
    </w:p>
    <w:p w14:paraId="4100D30D">
      <w:pPr>
        <w:spacing w:line="324" w:lineRule="auto"/>
        <w:rPr>
          <w:rFonts w:ascii="Times New Roman" w:hAnsi="Times New Roman" w:cs="Times New Roman"/>
          <w:color w:val="auto"/>
        </w:rPr>
      </w:pPr>
      <w:r>
        <w:rPr>
          <w:rFonts w:ascii="Times New Roman" w:hAnsi="Times New Roman" w:cs="Times New Roman"/>
          <w:color w:val="auto"/>
        </w:rPr>
        <w:t>1、响应栏内空白及打“√”表示完全响应；打“×”视为偏离，请在“商务条款偏离情况说明”栏中扼要说明偏离情况。</w:t>
      </w:r>
    </w:p>
    <w:p w14:paraId="7E8E9EB4">
      <w:pPr>
        <w:spacing w:line="324" w:lineRule="auto"/>
        <w:rPr>
          <w:rFonts w:ascii="Times New Roman" w:hAnsi="Times New Roman" w:cs="Times New Roman"/>
          <w:color w:val="auto"/>
        </w:rPr>
      </w:pPr>
      <w:r>
        <w:rPr>
          <w:rFonts w:ascii="Times New Roman" w:hAnsi="Times New Roman" w:cs="Times New Roman"/>
          <w:color w:val="auto"/>
        </w:rPr>
        <w:t>2、若上述商务条款内容与“采购项目商务要求”列述不一致时，均以“采购项目商务要求”详细内容为准。</w:t>
      </w:r>
    </w:p>
    <w:p w14:paraId="37B65F22">
      <w:pPr>
        <w:spacing w:line="324" w:lineRule="auto"/>
        <w:rPr>
          <w:rFonts w:ascii="Times New Roman" w:hAnsi="Times New Roman" w:cs="Times New Roman"/>
          <w:color w:val="auto"/>
        </w:rPr>
      </w:pPr>
      <w:r>
        <w:rPr>
          <w:rFonts w:ascii="Times New Roman" w:hAnsi="Times New Roman" w:cs="Times New Roman"/>
          <w:color w:val="auto"/>
        </w:rPr>
        <w:t>3、本表内容不得擅自删改。</w:t>
      </w:r>
    </w:p>
    <w:p w14:paraId="53ACDA3E">
      <w:pPr>
        <w:spacing w:line="324" w:lineRule="auto"/>
        <w:rPr>
          <w:rFonts w:ascii="Times New Roman" w:hAnsi="Times New Roman" w:cs="Times New Roman"/>
          <w:color w:val="auto"/>
        </w:rPr>
      </w:pPr>
    </w:p>
    <w:p w14:paraId="550FF515">
      <w:pPr>
        <w:spacing w:line="324" w:lineRule="auto"/>
        <w:ind w:firstLine="420" w:firstLineChars="200"/>
        <w:jc w:val="right"/>
        <w:rPr>
          <w:rFonts w:ascii="Times New Roman" w:hAnsi="Times New Roman" w:cs="Times New Roman"/>
          <w:color w:val="auto"/>
          <w:szCs w:val="21"/>
        </w:rPr>
      </w:pPr>
      <w:r>
        <w:rPr>
          <w:rFonts w:ascii="Times New Roman" w:hAnsi="Times New Roman" w:cs="Times New Roman"/>
          <w:color w:val="auto"/>
          <w:szCs w:val="21"/>
        </w:rPr>
        <w:t>供应商名称：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单位名称</w:t>
      </w:r>
      <w:r>
        <w:rPr>
          <w:rFonts w:ascii="Times New Roman" w:hAnsi="Times New Roman" w:cs="Times New Roman"/>
          <w:color w:val="auto"/>
          <w:szCs w:val="21"/>
          <w:u w:val="single"/>
        </w:rPr>
        <w:t xml:space="preserve">全称）                </w:t>
      </w:r>
      <w:r>
        <w:rPr>
          <w:rFonts w:ascii="Times New Roman" w:hAnsi="Times New Roman" w:cs="Times New Roman"/>
          <w:color w:val="auto"/>
          <w:szCs w:val="21"/>
        </w:rPr>
        <w:t>（</w:t>
      </w:r>
      <w:r>
        <w:rPr>
          <w:rFonts w:ascii="Times New Roman" w:hAnsi="Times New Roman" w:cs="Times New Roman"/>
          <w:color w:val="auto"/>
          <w:szCs w:val="21"/>
          <w:lang w:val="zh-CN"/>
        </w:rPr>
        <w:t>加盖供应商公章</w:t>
      </w:r>
      <w:r>
        <w:rPr>
          <w:rFonts w:ascii="Times New Roman" w:hAnsi="Times New Roman" w:cs="Times New Roman"/>
          <w:color w:val="auto"/>
          <w:szCs w:val="21"/>
        </w:rPr>
        <w:t>）</w:t>
      </w:r>
    </w:p>
    <w:p w14:paraId="45C3626B">
      <w:pPr>
        <w:spacing w:line="324" w:lineRule="auto"/>
        <w:jc w:val="right"/>
        <w:rPr>
          <w:rFonts w:ascii="Times New Roman" w:hAnsi="Times New Roman" w:cs="Times New Roman"/>
          <w:color w:val="auto"/>
          <w:szCs w:val="21"/>
          <w:u w:val="single"/>
        </w:rPr>
      </w:pPr>
      <w:r>
        <w:rPr>
          <w:rFonts w:ascii="Times New Roman" w:hAnsi="Times New Roman" w:cs="Times New Roman"/>
          <w:bCs/>
          <w:color w:val="auto"/>
          <w:szCs w:val="21"/>
        </w:rPr>
        <w:t>日期：</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年</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月</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日</w:t>
      </w:r>
    </w:p>
    <w:p w14:paraId="70AC7120">
      <w:pPr>
        <w:spacing w:line="324" w:lineRule="auto"/>
        <w:jc w:val="center"/>
        <w:rPr>
          <w:rFonts w:ascii="Times New Roman" w:hAnsi="Times New Roman" w:cs="Times New Roman"/>
          <w:color w:val="auto"/>
          <w:szCs w:val="21"/>
        </w:rPr>
      </w:pPr>
    </w:p>
    <w:p w14:paraId="0F27245A">
      <w:pPr>
        <w:spacing w:line="324" w:lineRule="auto"/>
        <w:jc w:val="center"/>
        <w:outlineLvl w:val="1"/>
        <w:rPr>
          <w:rFonts w:ascii="Times New Roman" w:hAnsi="Times New Roman" w:cs="Times New Roman"/>
          <w:color w:val="auto"/>
          <w:sz w:val="36"/>
          <w:szCs w:val="36"/>
        </w:rPr>
      </w:pPr>
      <w:r>
        <w:rPr>
          <w:rFonts w:ascii="Times New Roman" w:hAnsi="Times New Roman" w:cs="Times New Roman"/>
          <w:b/>
          <w:color w:val="auto"/>
          <w:sz w:val="36"/>
          <w:szCs w:val="36"/>
        </w:rPr>
        <w:br w:type="page"/>
      </w:r>
      <w:bookmarkStart w:id="200" w:name="_企业综合概况与实施方案"/>
      <w:bookmarkEnd w:id="200"/>
      <w:bookmarkStart w:id="201" w:name="_Toc26351"/>
      <w:bookmarkStart w:id="202" w:name="_Toc419106576"/>
      <w:bookmarkStart w:id="203" w:name="_Toc13946"/>
      <w:bookmarkStart w:id="204" w:name="_Toc13404"/>
      <w:bookmarkStart w:id="205" w:name="_Toc18968"/>
      <w:r>
        <w:rPr>
          <w:rFonts w:ascii="Times New Roman" w:hAnsi="Times New Roman" w:cs="Times New Roman"/>
          <w:b/>
          <w:color w:val="auto"/>
          <w:sz w:val="36"/>
          <w:szCs w:val="36"/>
        </w:rPr>
        <w:t>3.2</w:t>
      </w:r>
      <w:r>
        <w:rPr>
          <w:rFonts w:ascii="Times New Roman" w:hAnsi="Times New Roman" w:cs="Times New Roman"/>
          <w:b/>
          <w:bCs/>
          <w:color w:val="auto"/>
          <w:sz w:val="36"/>
          <w:szCs w:val="36"/>
        </w:rPr>
        <w:t>综合概况</w:t>
      </w:r>
      <w:bookmarkEnd w:id="194"/>
      <w:bookmarkEnd w:id="195"/>
      <w:bookmarkEnd w:id="196"/>
      <w:bookmarkEnd w:id="197"/>
      <w:bookmarkEnd w:id="198"/>
      <w:r>
        <w:rPr>
          <w:rFonts w:ascii="Times New Roman" w:hAnsi="Times New Roman" w:cs="Times New Roman"/>
          <w:b/>
          <w:bCs/>
          <w:color w:val="auto"/>
          <w:sz w:val="36"/>
          <w:szCs w:val="36"/>
        </w:rPr>
        <w:t>与实施方案</w:t>
      </w:r>
      <w:bookmarkEnd w:id="201"/>
      <w:bookmarkEnd w:id="202"/>
      <w:bookmarkEnd w:id="203"/>
      <w:bookmarkEnd w:id="204"/>
      <w:bookmarkEnd w:id="205"/>
    </w:p>
    <w:p w14:paraId="033F9844">
      <w:pPr>
        <w:pStyle w:val="50"/>
        <w:spacing w:line="324" w:lineRule="auto"/>
        <w:rPr>
          <w:rFonts w:ascii="Times New Roman" w:hAnsi="Times New Roman" w:eastAsiaTheme="minorEastAsia"/>
          <w:color w:val="auto"/>
          <w:sz w:val="32"/>
          <w:szCs w:val="32"/>
        </w:rPr>
      </w:pPr>
    </w:p>
    <w:p w14:paraId="1680014B">
      <w:pPr>
        <w:numPr>
          <w:ilvl w:val="0"/>
          <w:numId w:val="11"/>
        </w:numPr>
        <w:tabs>
          <w:tab w:val="left" w:pos="220"/>
        </w:tabs>
        <w:spacing w:line="324" w:lineRule="auto"/>
        <w:rPr>
          <w:rFonts w:ascii="Times New Roman" w:hAnsi="Times New Roman" w:cs="Times New Roman"/>
          <w:b/>
          <w:color w:val="auto"/>
          <w:sz w:val="28"/>
          <w:szCs w:val="28"/>
        </w:rPr>
      </w:pPr>
      <w:r>
        <w:rPr>
          <w:rFonts w:ascii="Times New Roman" w:hAnsi="Times New Roman" w:cs="Times New Roman"/>
          <w:b/>
          <w:color w:val="auto"/>
          <w:sz w:val="28"/>
          <w:szCs w:val="28"/>
        </w:rPr>
        <w:t>基本概况</w:t>
      </w:r>
    </w:p>
    <w:p w14:paraId="47545A7E">
      <w:pPr>
        <w:numPr>
          <w:ilvl w:val="1"/>
          <w:numId w:val="11"/>
        </w:numPr>
        <w:spacing w:line="324" w:lineRule="auto"/>
        <w:ind w:left="0"/>
        <w:rPr>
          <w:rFonts w:ascii="Times New Roman" w:hAnsi="Times New Roman" w:cs="Times New Roman"/>
          <w:b/>
          <w:color w:val="auto"/>
        </w:rPr>
      </w:pPr>
      <w:r>
        <w:rPr>
          <w:rFonts w:ascii="Times New Roman" w:hAnsi="Times New Roman" w:cs="Times New Roman"/>
          <w:b/>
          <w:color w:val="auto"/>
        </w:rPr>
        <w:t>文字描述主要内容</w:t>
      </w:r>
    </w:p>
    <w:p w14:paraId="3DC07363">
      <w:pPr>
        <w:numPr>
          <w:ilvl w:val="0"/>
          <w:numId w:val="12"/>
        </w:numPr>
        <w:spacing w:line="324" w:lineRule="auto"/>
        <w:ind w:left="0"/>
        <w:rPr>
          <w:rFonts w:ascii="Times New Roman" w:hAnsi="Times New Roman" w:cs="Times New Roman"/>
          <w:color w:val="auto"/>
        </w:rPr>
      </w:pPr>
      <w:r>
        <w:rPr>
          <w:rFonts w:ascii="Times New Roman" w:hAnsi="Times New Roman" w:cs="Times New Roman"/>
          <w:color w:val="auto"/>
        </w:rPr>
        <w:t>单位性质；发展历程；经营规模及服务理念。</w:t>
      </w:r>
    </w:p>
    <w:p w14:paraId="1797C009">
      <w:pPr>
        <w:numPr>
          <w:ilvl w:val="0"/>
          <w:numId w:val="12"/>
        </w:numPr>
        <w:spacing w:line="324" w:lineRule="auto"/>
        <w:ind w:left="0"/>
        <w:rPr>
          <w:rFonts w:ascii="Times New Roman" w:hAnsi="Times New Roman" w:cs="Times New Roman"/>
          <w:color w:val="auto"/>
        </w:rPr>
      </w:pPr>
      <w:r>
        <w:rPr>
          <w:rFonts w:ascii="Times New Roman" w:hAnsi="Times New Roman" w:cs="Times New Roman"/>
          <w:color w:val="auto"/>
        </w:rPr>
        <w:t>主营产品专业服务优势和特点。</w:t>
      </w:r>
    </w:p>
    <w:p w14:paraId="4BA7122A">
      <w:pPr>
        <w:numPr>
          <w:ilvl w:val="0"/>
          <w:numId w:val="12"/>
        </w:numPr>
        <w:spacing w:line="324" w:lineRule="auto"/>
        <w:ind w:left="0"/>
        <w:rPr>
          <w:rFonts w:ascii="Times New Roman" w:hAnsi="Times New Roman" w:cs="Times New Roman"/>
          <w:color w:val="auto"/>
        </w:rPr>
      </w:pPr>
      <w:r>
        <w:rPr>
          <w:rFonts w:ascii="Times New Roman" w:hAnsi="Times New Roman" w:cs="Times New Roman"/>
          <w:color w:val="auto"/>
        </w:rPr>
        <w:t>专业能力和服务力量配置等。</w:t>
      </w:r>
    </w:p>
    <w:p w14:paraId="1B88BE95">
      <w:pPr>
        <w:pStyle w:val="51"/>
        <w:spacing w:line="324" w:lineRule="auto"/>
        <w:rPr>
          <w:rFonts w:ascii="Times New Roman" w:hAnsi="Times New Roman" w:cs="Times New Roman" w:eastAsiaTheme="minorEastAsia"/>
          <w:color w:val="auto"/>
        </w:rPr>
      </w:pPr>
    </w:p>
    <w:p w14:paraId="2B39A514">
      <w:pPr>
        <w:pStyle w:val="52"/>
        <w:spacing w:line="324" w:lineRule="auto"/>
        <w:rPr>
          <w:rFonts w:ascii="Times New Roman" w:eastAsiaTheme="minorEastAsia"/>
          <w:color w:val="auto"/>
        </w:rPr>
        <w:sectPr>
          <w:pgSz w:w="11906" w:h="16838"/>
          <w:pgMar w:top="1134" w:right="1134" w:bottom="1134" w:left="1587" w:header="567" w:footer="737" w:gutter="0"/>
          <w:cols w:space="720" w:num="1"/>
          <w:docGrid w:linePitch="312" w:charSpace="0"/>
        </w:sectPr>
      </w:pPr>
    </w:p>
    <w:p w14:paraId="7D28EF22">
      <w:pPr>
        <w:numPr>
          <w:ilvl w:val="0"/>
          <w:numId w:val="11"/>
        </w:numPr>
        <w:tabs>
          <w:tab w:val="left" w:pos="540"/>
        </w:tabs>
        <w:spacing w:line="324" w:lineRule="auto"/>
        <w:rPr>
          <w:rFonts w:ascii="Times New Roman" w:hAnsi="Times New Roman" w:cs="Times New Roman"/>
          <w:b/>
          <w:color w:val="auto"/>
          <w:sz w:val="28"/>
          <w:szCs w:val="28"/>
        </w:rPr>
      </w:pPr>
      <w:r>
        <w:rPr>
          <w:rFonts w:hint="eastAsia" w:ascii="Times New Roman" w:hAnsi="Times New Roman" w:cs="Times New Roman"/>
          <w:b/>
          <w:color w:val="auto"/>
          <w:sz w:val="28"/>
          <w:szCs w:val="28"/>
        </w:rPr>
        <w:t>同类项目</w:t>
      </w:r>
      <w:r>
        <w:rPr>
          <w:rFonts w:ascii="Times New Roman" w:hAnsi="Times New Roman" w:cs="Times New Roman"/>
          <w:b/>
          <w:color w:val="auto"/>
          <w:sz w:val="28"/>
          <w:szCs w:val="28"/>
        </w:rPr>
        <w:t>业绩</w:t>
      </w:r>
    </w:p>
    <w:tbl>
      <w:tblPr>
        <w:tblStyle w:val="21"/>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953"/>
        <w:gridCol w:w="2713"/>
        <w:gridCol w:w="2155"/>
        <w:gridCol w:w="1408"/>
        <w:gridCol w:w="1386"/>
      </w:tblGrid>
      <w:tr w14:paraId="169D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blHeader/>
          <w:jc w:val="center"/>
        </w:trPr>
        <w:tc>
          <w:tcPr>
            <w:tcW w:w="583" w:type="dxa"/>
            <w:shd w:val="clear" w:color="auto" w:fill="F3F3F3"/>
            <w:vAlign w:val="center"/>
          </w:tcPr>
          <w:p w14:paraId="75CF46FC">
            <w:pPr>
              <w:spacing w:line="324" w:lineRule="auto"/>
              <w:jc w:val="center"/>
              <w:rPr>
                <w:rFonts w:ascii="Times New Roman" w:hAnsi="Times New Roman" w:cs="Times New Roman"/>
                <w:b/>
                <w:bCs/>
                <w:color w:val="auto"/>
              </w:rPr>
            </w:pPr>
            <w:r>
              <w:rPr>
                <w:rFonts w:ascii="Times New Roman" w:hAnsi="Times New Roman" w:cs="Times New Roman"/>
                <w:b/>
                <w:bCs/>
                <w:color w:val="auto"/>
              </w:rPr>
              <w:t>序号</w:t>
            </w:r>
          </w:p>
        </w:tc>
        <w:tc>
          <w:tcPr>
            <w:tcW w:w="1953" w:type="dxa"/>
            <w:shd w:val="clear" w:color="auto" w:fill="F3F3F3"/>
            <w:vAlign w:val="center"/>
          </w:tcPr>
          <w:p w14:paraId="1B2FF5CE">
            <w:pPr>
              <w:spacing w:line="324" w:lineRule="auto"/>
              <w:jc w:val="center"/>
              <w:rPr>
                <w:rFonts w:ascii="Times New Roman" w:hAnsi="Times New Roman" w:cs="Times New Roman"/>
                <w:b/>
                <w:bCs/>
                <w:color w:val="auto"/>
              </w:rPr>
            </w:pPr>
            <w:r>
              <w:rPr>
                <w:rFonts w:ascii="Times New Roman" w:hAnsi="Times New Roman" w:cs="Times New Roman"/>
                <w:b/>
                <w:bCs/>
                <w:color w:val="auto"/>
              </w:rPr>
              <w:t>客户单位名称</w:t>
            </w:r>
          </w:p>
        </w:tc>
        <w:tc>
          <w:tcPr>
            <w:tcW w:w="2713" w:type="dxa"/>
            <w:shd w:val="clear" w:color="auto" w:fill="F3F3F3"/>
            <w:vAlign w:val="center"/>
          </w:tcPr>
          <w:p w14:paraId="57DDB3FD">
            <w:pPr>
              <w:spacing w:line="324" w:lineRule="auto"/>
              <w:jc w:val="center"/>
              <w:rPr>
                <w:rFonts w:ascii="Times New Roman" w:hAnsi="Times New Roman" w:cs="Times New Roman"/>
                <w:b/>
                <w:bCs/>
                <w:color w:val="auto"/>
              </w:rPr>
            </w:pPr>
            <w:r>
              <w:rPr>
                <w:rFonts w:ascii="Times New Roman" w:hAnsi="Times New Roman" w:cs="Times New Roman"/>
                <w:b/>
                <w:bCs/>
                <w:color w:val="auto"/>
              </w:rPr>
              <w:t>项目名称</w:t>
            </w:r>
          </w:p>
        </w:tc>
        <w:tc>
          <w:tcPr>
            <w:tcW w:w="2155" w:type="dxa"/>
            <w:shd w:val="clear" w:color="auto" w:fill="F3F3F3"/>
            <w:vAlign w:val="center"/>
          </w:tcPr>
          <w:p w14:paraId="2E8D642D">
            <w:pPr>
              <w:spacing w:line="324" w:lineRule="auto"/>
              <w:jc w:val="center"/>
              <w:rPr>
                <w:rFonts w:ascii="Times New Roman" w:hAnsi="Times New Roman" w:cs="Times New Roman"/>
                <w:b/>
                <w:bCs/>
                <w:color w:val="auto"/>
              </w:rPr>
            </w:pPr>
            <w:r>
              <w:rPr>
                <w:rFonts w:ascii="Times New Roman" w:hAnsi="Times New Roman" w:cs="Times New Roman"/>
                <w:b/>
                <w:bCs/>
                <w:color w:val="auto"/>
              </w:rPr>
              <w:t>合同金额（万元）</w:t>
            </w:r>
          </w:p>
        </w:tc>
        <w:tc>
          <w:tcPr>
            <w:tcW w:w="1408" w:type="dxa"/>
            <w:shd w:val="clear" w:color="auto" w:fill="F3F3F3"/>
            <w:vAlign w:val="center"/>
          </w:tcPr>
          <w:p w14:paraId="3A0E75E8">
            <w:pPr>
              <w:spacing w:line="324" w:lineRule="auto"/>
              <w:jc w:val="center"/>
              <w:rPr>
                <w:rFonts w:ascii="Times New Roman" w:hAnsi="Times New Roman" w:cs="Times New Roman"/>
                <w:b/>
                <w:bCs/>
                <w:color w:val="auto"/>
              </w:rPr>
            </w:pPr>
            <w:r>
              <w:rPr>
                <w:rFonts w:ascii="Times New Roman" w:hAnsi="Times New Roman" w:cs="Times New Roman"/>
                <w:b/>
                <w:bCs/>
                <w:color w:val="auto"/>
              </w:rPr>
              <w:t>签订时间</w:t>
            </w:r>
          </w:p>
        </w:tc>
        <w:tc>
          <w:tcPr>
            <w:tcW w:w="1386" w:type="dxa"/>
            <w:shd w:val="clear" w:color="auto" w:fill="F3F3F3"/>
            <w:vAlign w:val="center"/>
          </w:tcPr>
          <w:p w14:paraId="2413DFF4">
            <w:pPr>
              <w:spacing w:line="324" w:lineRule="auto"/>
              <w:jc w:val="center"/>
              <w:rPr>
                <w:rFonts w:ascii="Times New Roman" w:hAnsi="Times New Roman" w:cs="Times New Roman"/>
                <w:b/>
                <w:bCs/>
                <w:color w:val="auto"/>
              </w:rPr>
            </w:pPr>
            <w:r>
              <w:rPr>
                <w:rFonts w:ascii="Times New Roman" w:hAnsi="Times New Roman" w:cs="Times New Roman"/>
                <w:b/>
                <w:bCs/>
                <w:color w:val="auto"/>
              </w:rPr>
              <w:t>联系人及电话</w:t>
            </w:r>
          </w:p>
        </w:tc>
      </w:tr>
      <w:tr w14:paraId="715A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vAlign w:val="center"/>
          </w:tcPr>
          <w:p w14:paraId="1CB387C1">
            <w:pPr>
              <w:numPr>
                <w:ilvl w:val="0"/>
                <w:numId w:val="13"/>
              </w:numPr>
              <w:tabs>
                <w:tab w:val="left" w:pos="180"/>
              </w:tabs>
              <w:spacing w:line="324" w:lineRule="auto"/>
              <w:jc w:val="center"/>
              <w:rPr>
                <w:rFonts w:ascii="Times New Roman" w:hAnsi="Times New Roman" w:cs="Times New Roman"/>
                <w:color w:val="auto"/>
              </w:rPr>
            </w:pPr>
          </w:p>
        </w:tc>
        <w:tc>
          <w:tcPr>
            <w:tcW w:w="1953" w:type="dxa"/>
            <w:vAlign w:val="center"/>
          </w:tcPr>
          <w:p w14:paraId="20DA92B1">
            <w:pPr>
              <w:spacing w:line="324" w:lineRule="auto"/>
              <w:jc w:val="center"/>
              <w:rPr>
                <w:rFonts w:ascii="Times New Roman" w:hAnsi="Times New Roman" w:cs="Times New Roman"/>
                <w:color w:val="auto"/>
              </w:rPr>
            </w:pPr>
          </w:p>
        </w:tc>
        <w:tc>
          <w:tcPr>
            <w:tcW w:w="2713" w:type="dxa"/>
            <w:vAlign w:val="center"/>
          </w:tcPr>
          <w:p w14:paraId="4D376A10">
            <w:pPr>
              <w:spacing w:line="324" w:lineRule="auto"/>
              <w:jc w:val="center"/>
              <w:rPr>
                <w:rFonts w:ascii="Times New Roman" w:hAnsi="Times New Roman" w:cs="Times New Roman"/>
                <w:color w:val="auto"/>
              </w:rPr>
            </w:pPr>
          </w:p>
        </w:tc>
        <w:tc>
          <w:tcPr>
            <w:tcW w:w="2155" w:type="dxa"/>
            <w:vAlign w:val="center"/>
          </w:tcPr>
          <w:p w14:paraId="0186E6AB">
            <w:pPr>
              <w:spacing w:line="324" w:lineRule="auto"/>
              <w:jc w:val="center"/>
              <w:rPr>
                <w:rFonts w:ascii="Times New Roman" w:hAnsi="Times New Roman" w:cs="Times New Roman"/>
                <w:color w:val="auto"/>
              </w:rPr>
            </w:pPr>
          </w:p>
        </w:tc>
        <w:tc>
          <w:tcPr>
            <w:tcW w:w="1408" w:type="dxa"/>
            <w:vAlign w:val="center"/>
          </w:tcPr>
          <w:p w14:paraId="49157173">
            <w:pPr>
              <w:spacing w:line="324" w:lineRule="auto"/>
              <w:jc w:val="center"/>
              <w:rPr>
                <w:rFonts w:ascii="Times New Roman" w:hAnsi="Times New Roman" w:cs="Times New Roman"/>
                <w:color w:val="auto"/>
              </w:rPr>
            </w:pPr>
          </w:p>
        </w:tc>
        <w:tc>
          <w:tcPr>
            <w:tcW w:w="1386" w:type="dxa"/>
            <w:vAlign w:val="center"/>
          </w:tcPr>
          <w:p w14:paraId="29145299">
            <w:pPr>
              <w:spacing w:line="324" w:lineRule="auto"/>
              <w:jc w:val="center"/>
              <w:rPr>
                <w:rFonts w:ascii="Times New Roman" w:hAnsi="Times New Roman" w:cs="Times New Roman"/>
                <w:color w:val="auto"/>
              </w:rPr>
            </w:pPr>
          </w:p>
        </w:tc>
      </w:tr>
      <w:tr w14:paraId="150C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vAlign w:val="center"/>
          </w:tcPr>
          <w:p w14:paraId="149836CD">
            <w:pPr>
              <w:numPr>
                <w:ilvl w:val="0"/>
                <w:numId w:val="13"/>
              </w:numPr>
              <w:tabs>
                <w:tab w:val="left" w:pos="180"/>
              </w:tabs>
              <w:spacing w:line="324" w:lineRule="auto"/>
              <w:jc w:val="center"/>
              <w:rPr>
                <w:rFonts w:ascii="Times New Roman" w:hAnsi="Times New Roman" w:cs="Times New Roman"/>
                <w:color w:val="auto"/>
              </w:rPr>
            </w:pPr>
          </w:p>
        </w:tc>
        <w:tc>
          <w:tcPr>
            <w:tcW w:w="1953" w:type="dxa"/>
            <w:vAlign w:val="center"/>
          </w:tcPr>
          <w:p w14:paraId="54F306A4">
            <w:pPr>
              <w:spacing w:line="324" w:lineRule="auto"/>
              <w:jc w:val="center"/>
              <w:rPr>
                <w:rFonts w:ascii="Times New Roman" w:hAnsi="Times New Roman" w:cs="Times New Roman"/>
                <w:color w:val="auto"/>
              </w:rPr>
            </w:pPr>
          </w:p>
        </w:tc>
        <w:tc>
          <w:tcPr>
            <w:tcW w:w="2713" w:type="dxa"/>
            <w:vAlign w:val="center"/>
          </w:tcPr>
          <w:p w14:paraId="0E6FAD5D">
            <w:pPr>
              <w:spacing w:line="324" w:lineRule="auto"/>
              <w:jc w:val="center"/>
              <w:rPr>
                <w:rFonts w:ascii="Times New Roman" w:hAnsi="Times New Roman" w:cs="Times New Roman"/>
                <w:color w:val="auto"/>
              </w:rPr>
            </w:pPr>
          </w:p>
        </w:tc>
        <w:tc>
          <w:tcPr>
            <w:tcW w:w="2155" w:type="dxa"/>
            <w:vAlign w:val="center"/>
          </w:tcPr>
          <w:p w14:paraId="4ED1E151">
            <w:pPr>
              <w:spacing w:line="324" w:lineRule="auto"/>
              <w:jc w:val="center"/>
              <w:rPr>
                <w:rFonts w:ascii="Times New Roman" w:hAnsi="Times New Roman" w:cs="Times New Roman"/>
                <w:color w:val="auto"/>
              </w:rPr>
            </w:pPr>
          </w:p>
        </w:tc>
        <w:tc>
          <w:tcPr>
            <w:tcW w:w="1408" w:type="dxa"/>
            <w:vAlign w:val="center"/>
          </w:tcPr>
          <w:p w14:paraId="340A1D3F">
            <w:pPr>
              <w:pStyle w:val="47"/>
              <w:spacing w:line="324" w:lineRule="auto"/>
              <w:ind w:left="0" w:leftChars="0" w:right="0" w:rightChars="0"/>
              <w:rPr>
                <w:rFonts w:ascii="Times New Roman" w:hAnsi="Times New Roman" w:eastAsiaTheme="minorEastAsia"/>
                <w:color w:val="auto"/>
              </w:rPr>
            </w:pPr>
          </w:p>
        </w:tc>
        <w:tc>
          <w:tcPr>
            <w:tcW w:w="1386" w:type="dxa"/>
            <w:vAlign w:val="center"/>
          </w:tcPr>
          <w:p w14:paraId="65D59807">
            <w:pPr>
              <w:spacing w:line="324" w:lineRule="auto"/>
              <w:jc w:val="center"/>
              <w:rPr>
                <w:rFonts w:ascii="Times New Roman" w:hAnsi="Times New Roman" w:cs="Times New Roman"/>
                <w:color w:val="auto"/>
              </w:rPr>
            </w:pPr>
          </w:p>
        </w:tc>
      </w:tr>
    </w:tbl>
    <w:p w14:paraId="0D2BA35A">
      <w:pPr>
        <w:spacing w:line="324" w:lineRule="auto"/>
        <w:rPr>
          <w:rFonts w:ascii="Times New Roman" w:hAnsi="Times New Roman" w:cs="Times New Roman"/>
          <w:b/>
          <w:bCs/>
          <w:color w:val="auto"/>
        </w:rPr>
      </w:pPr>
      <w:r>
        <w:rPr>
          <w:rFonts w:ascii="Times New Roman" w:hAnsi="Times New Roman" w:cs="Times New Roman"/>
          <w:b/>
          <w:bCs/>
          <w:color w:val="auto"/>
          <w:u w:val="double"/>
        </w:rPr>
        <w:t>本表附件</w:t>
      </w:r>
      <w:r>
        <w:rPr>
          <w:rFonts w:ascii="Times New Roman" w:hAnsi="Times New Roman" w:cs="Times New Roman"/>
          <w:b/>
          <w:bCs/>
          <w:color w:val="auto"/>
        </w:rPr>
        <w:t>：提供评分标准中要求的证明资料。</w:t>
      </w:r>
    </w:p>
    <w:p w14:paraId="6B562AA5">
      <w:pPr>
        <w:spacing w:line="324" w:lineRule="auto"/>
        <w:rPr>
          <w:rFonts w:ascii="Times New Roman" w:hAnsi="Times New Roman" w:cs="Times New Roman"/>
          <w:color w:val="auto"/>
          <w:sz w:val="48"/>
          <w:szCs w:val="48"/>
        </w:rPr>
      </w:pPr>
    </w:p>
    <w:p w14:paraId="4577E026">
      <w:pPr>
        <w:numPr>
          <w:ilvl w:val="0"/>
          <w:numId w:val="11"/>
        </w:numPr>
        <w:tabs>
          <w:tab w:val="left" w:pos="540"/>
        </w:tabs>
        <w:spacing w:line="324" w:lineRule="auto"/>
        <w:rPr>
          <w:rFonts w:ascii="Times New Roman" w:hAnsi="Times New Roman" w:cs="Times New Roman"/>
          <w:b/>
          <w:color w:val="auto"/>
          <w:sz w:val="28"/>
          <w:szCs w:val="28"/>
        </w:rPr>
      </w:pPr>
      <w:r>
        <w:rPr>
          <w:rFonts w:hint="eastAsia" w:ascii="Times New Roman" w:hAnsi="Times New Roman" w:cs="Times New Roman"/>
          <w:b/>
          <w:color w:val="auto"/>
          <w:sz w:val="28"/>
          <w:szCs w:val="28"/>
        </w:rPr>
        <w:t>同类项目客户满意度</w:t>
      </w:r>
    </w:p>
    <w:p w14:paraId="7AC3B6BE">
      <w:pPr>
        <w:pStyle w:val="6"/>
        <w:spacing w:line="324" w:lineRule="auto"/>
        <w:rPr>
          <w:rFonts w:ascii="Times New Roman" w:hAnsi="Times New Roman" w:cs="Times New Roman"/>
          <w:b/>
          <w:bCs/>
          <w:color w:val="auto"/>
        </w:rPr>
      </w:pPr>
      <w:r>
        <w:rPr>
          <w:rFonts w:ascii="Times New Roman" w:hAnsi="Times New Roman" w:cs="Times New Roman"/>
          <w:b/>
          <w:bCs/>
          <w:color w:val="auto"/>
          <w:u w:val="double"/>
        </w:rPr>
        <w:t>本表附件</w:t>
      </w:r>
      <w:r>
        <w:rPr>
          <w:rFonts w:ascii="Times New Roman" w:hAnsi="Times New Roman" w:cs="Times New Roman"/>
          <w:b/>
          <w:bCs/>
          <w:color w:val="auto"/>
        </w:rPr>
        <w:t>：提供评分标准中要求的证明资料。</w:t>
      </w:r>
    </w:p>
    <w:p w14:paraId="0BB08FC1">
      <w:pPr>
        <w:pStyle w:val="6"/>
        <w:spacing w:line="324" w:lineRule="auto"/>
        <w:rPr>
          <w:rFonts w:ascii="Times New Roman" w:hAnsi="Times New Roman" w:cs="Times New Roman"/>
          <w:b/>
          <w:bCs/>
          <w:color w:val="auto"/>
        </w:rPr>
      </w:pPr>
    </w:p>
    <w:p w14:paraId="6E42D0EA">
      <w:pPr>
        <w:pStyle w:val="6"/>
        <w:spacing w:line="324" w:lineRule="auto"/>
        <w:rPr>
          <w:rFonts w:ascii="Times New Roman" w:hAnsi="Times New Roman" w:cs="Times New Roman"/>
          <w:b/>
          <w:bCs/>
          <w:color w:val="auto"/>
        </w:rPr>
      </w:pPr>
    </w:p>
    <w:p w14:paraId="5C4F7007">
      <w:pPr>
        <w:numPr>
          <w:ilvl w:val="0"/>
          <w:numId w:val="11"/>
        </w:numPr>
        <w:tabs>
          <w:tab w:val="left" w:pos="540"/>
        </w:tabs>
        <w:spacing w:line="324" w:lineRule="auto"/>
        <w:rPr>
          <w:rFonts w:ascii="Times New Roman" w:hAnsi="Times New Roman" w:cs="Times New Roman"/>
          <w:b/>
          <w:color w:val="auto"/>
          <w:sz w:val="28"/>
          <w:szCs w:val="28"/>
        </w:rPr>
      </w:pPr>
      <w:r>
        <w:rPr>
          <w:rFonts w:hint="eastAsia" w:ascii="Times New Roman" w:hAnsi="Times New Roman" w:cs="Times New Roman"/>
          <w:b/>
          <w:color w:val="auto"/>
          <w:sz w:val="28"/>
          <w:szCs w:val="28"/>
        </w:rPr>
        <w:t>获奖情况</w:t>
      </w:r>
    </w:p>
    <w:p w14:paraId="01A15BBF">
      <w:pPr>
        <w:pStyle w:val="6"/>
        <w:spacing w:line="324" w:lineRule="auto"/>
        <w:rPr>
          <w:rFonts w:ascii="Times New Roman" w:hAnsi="Times New Roman" w:cs="Times New Roman"/>
          <w:b/>
          <w:bCs/>
          <w:color w:val="auto"/>
        </w:rPr>
      </w:pPr>
      <w:r>
        <w:rPr>
          <w:rFonts w:ascii="Times New Roman" w:hAnsi="Times New Roman" w:cs="Times New Roman"/>
          <w:b/>
          <w:bCs/>
          <w:color w:val="auto"/>
          <w:u w:val="double"/>
        </w:rPr>
        <w:t>本表附件</w:t>
      </w:r>
      <w:r>
        <w:rPr>
          <w:rFonts w:ascii="Times New Roman" w:hAnsi="Times New Roman" w:cs="Times New Roman"/>
          <w:b/>
          <w:bCs/>
          <w:color w:val="auto"/>
        </w:rPr>
        <w:t>：提供评分标准中要求的证明资料。</w:t>
      </w:r>
    </w:p>
    <w:p w14:paraId="613AF425">
      <w:pPr>
        <w:pStyle w:val="6"/>
        <w:spacing w:line="324" w:lineRule="auto"/>
        <w:rPr>
          <w:rFonts w:ascii="Times New Roman" w:hAnsi="Times New Roman" w:cs="Times New Roman"/>
          <w:b/>
          <w:bCs/>
          <w:color w:val="auto"/>
        </w:rPr>
      </w:pPr>
    </w:p>
    <w:p w14:paraId="770E4783">
      <w:pPr>
        <w:numPr>
          <w:ilvl w:val="0"/>
          <w:numId w:val="11"/>
        </w:numPr>
        <w:tabs>
          <w:tab w:val="left" w:pos="540"/>
        </w:tabs>
        <w:spacing w:line="324" w:lineRule="auto"/>
        <w:rPr>
          <w:rFonts w:ascii="Times New Roman" w:hAnsi="Times New Roman" w:cs="Times New Roman"/>
          <w:b/>
          <w:color w:val="auto"/>
          <w:sz w:val="28"/>
          <w:szCs w:val="28"/>
        </w:rPr>
      </w:pPr>
      <w:r>
        <w:rPr>
          <w:rFonts w:hint="eastAsia" w:ascii="Times New Roman" w:hAnsi="Times New Roman" w:cs="Times New Roman"/>
          <w:b/>
          <w:color w:val="auto"/>
          <w:sz w:val="28"/>
          <w:szCs w:val="28"/>
        </w:rPr>
        <w:t>紧急响应时间</w:t>
      </w:r>
    </w:p>
    <w:p w14:paraId="453E50BE">
      <w:pPr>
        <w:pStyle w:val="6"/>
        <w:spacing w:line="324" w:lineRule="auto"/>
        <w:rPr>
          <w:rFonts w:ascii="Times New Roman" w:hAnsi="Times New Roman" w:cs="Times New Roman"/>
          <w:b/>
          <w:bCs/>
          <w:color w:val="auto"/>
        </w:rPr>
      </w:pPr>
      <w:r>
        <w:rPr>
          <w:rFonts w:ascii="Times New Roman" w:hAnsi="Times New Roman" w:cs="Times New Roman"/>
          <w:b/>
          <w:bCs/>
          <w:color w:val="auto"/>
          <w:u w:val="double"/>
        </w:rPr>
        <w:t>本表附件</w:t>
      </w:r>
      <w:r>
        <w:rPr>
          <w:rFonts w:ascii="Times New Roman" w:hAnsi="Times New Roman" w:cs="Times New Roman"/>
          <w:b/>
          <w:bCs/>
          <w:color w:val="auto"/>
        </w:rPr>
        <w:t>：提供评分标准中要求的证明资料。</w:t>
      </w:r>
    </w:p>
    <w:p w14:paraId="5565A643">
      <w:pPr>
        <w:pStyle w:val="6"/>
        <w:spacing w:line="324" w:lineRule="auto"/>
        <w:rPr>
          <w:rFonts w:ascii="Times New Roman" w:hAnsi="Times New Roman" w:cs="Times New Roman"/>
          <w:b/>
          <w:bCs/>
          <w:color w:val="auto"/>
        </w:rPr>
      </w:pPr>
    </w:p>
    <w:p w14:paraId="4E6EEC96">
      <w:pPr>
        <w:numPr>
          <w:ilvl w:val="0"/>
          <w:numId w:val="11"/>
        </w:numPr>
        <w:tabs>
          <w:tab w:val="left" w:pos="540"/>
        </w:tabs>
        <w:spacing w:line="324" w:lineRule="auto"/>
        <w:rPr>
          <w:rFonts w:ascii="Times New Roman" w:hAnsi="Times New Roman" w:cs="Times New Roman"/>
          <w:b/>
          <w:color w:val="auto"/>
          <w:sz w:val="28"/>
          <w:szCs w:val="28"/>
        </w:rPr>
      </w:pPr>
      <w:r>
        <w:rPr>
          <w:rFonts w:ascii="Times New Roman" w:hAnsi="Times New Roman" w:cs="Times New Roman"/>
          <w:b/>
          <w:color w:val="auto"/>
          <w:sz w:val="28"/>
          <w:szCs w:val="28"/>
        </w:rPr>
        <w:t>其它材料</w:t>
      </w:r>
    </w:p>
    <w:p w14:paraId="2E02D03B">
      <w:pPr>
        <w:tabs>
          <w:tab w:val="left" w:pos="540"/>
        </w:tabs>
        <w:spacing w:line="324" w:lineRule="auto"/>
        <w:rPr>
          <w:rFonts w:ascii="Times New Roman" w:hAnsi="Times New Roman" w:cs="Times New Roman"/>
          <w:color w:val="auto"/>
        </w:rPr>
        <w:sectPr>
          <w:pgSz w:w="11906" w:h="16838"/>
          <w:pgMar w:top="1134" w:right="1134" w:bottom="1134" w:left="1587" w:header="567" w:footer="737" w:gutter="0"/>
          <w:cols w:space="720" w:num="1"/>
          <w:docGrid w:linePitch="312" w:charSpace="0"/>
        </w:sectPr>
      </w:pPr>
      <w:r>
        <w:rPr>
          <w:rFonts w:ascii="Times New Roman" w:hAnsi="Times New Roman" w:cs="Times New Roman"/>
          <w:color w:val="auto"/>
        </w:rPr>
        <w:t>（供应商根据自身实际情况进行提供，内容包括但不限于：需要向磋商小组如实告知的重要事项、重要补充承诺等)</w:t>
      </w:r>
      <w:bookmarkStart w:id="206" w:name="_投标报价汇总表"/>
      <w:bookmarkEnd w:id="206"/>
    </w:p>
    <w:p w14:paraId="1FDEAE26">
      <w:pPr>
        <w:spacing w:line="324" w:lineRule="auto"/>
        <w:jc w:val="center"/>
        <w:outlineLvl w:val="0"/>
        <w:rPr>
          <w:rFonts w:ascii="Times New Roman" w:hAnsi="Times New Roman" w:cs="Times New Roman"/>
          <w:b/>
          <w:color w:val="auto"/>
          <w:sz w:val="36"/>
          <w:szCs w:val="36"/>
        </w:rPr>
        <w:sectPr>
          <w:headerReference r:id="rId5" w:type="default"/>
          <w:pgSz w:w="11906" w:h="16838"/>
          <w:pgMar w:top="1134" w:right="1134" w:bottom="1134" w:left="1587" w:header="567" w:footer="737" w:gutter="0"/>
          <w:cols w:space="720" w:num="1"/>
          <w:docGrid w:linePitch="312" w:charSpace="0"/>
        </w:sectPr>
      </w:pPr>
      <w:bookmarkStart w:id="207" w:name="_投标报价汇总表_1"/>
      <w:bookmarkEnd w:id="207"/>
      <w:bookmarkStart w:id="208" w:name="_Toc18982"/>
      <w:bookmarkStart w:id="209" w:name="_Toc8467"/>
      <w:r>
        <w:rPr>
          <w:rFonts w:ascii="Times New Roman" w:hAnsi="Times New Roman" w:cs="Times New Roman"/>
          <w:b/>
          <w:bCs/>
          <w:color w:val="auto"/>
          <w:sz w:val="36"/>
          <w:szCs w:val="36"/>
        </w:rPr>
        <w:fldChar w:fldCharType="begin"/>
      </w:r>
      <w:r>
        <w:rPr>
          <w:rFonts w:ascii="Times New Roman" w:hAnsi="Times New Roman" w:cs="Times New Roman"/>
          <w:b/>
          <w:bCs/>
          <w:color w:val="auto"/>
          <w:sz w:val="36"/>
          <w:szCs w:val="36"/>
        </w:rPr>
        <w:instrText xml:space="preserve"> HYPERLINK  \l "_投标文件目录" </w:instrText>
      </w:r>
      <w:r>
        <w:rPr>
          <w:rFonts w:ascii="Times New Roman" w:hAnsi="Times New Roman" w:cs="Times New Roman"/>
          <w:b/>
          <w:bCs/>
          <w:color w:val="auto"/>
          <w:sz w:val="36"/>
          <w:szCs w:val="36"/>
        </w:rPr>
        <w:fldChar w:fldCharType="separate"/>
      </w:r>
      <w:r>
        <w:rPr>
          <w:rFonts w:ascii="Times New Roman" w:hAnsi="Times New Roman" w:cs="Times New Roman"/>
          <w:b/>
          <w:bCs/>
          <w:color w:val="auto"/>
          <w:sz w:val="36"/>
          <w:szCs w:val="36"/>
        </w:rPr>
        <w:t>第四章  技术部分</w:t>
      </w:r>
      <w:r>
        <w:rPr>
          <w:rFonts w:ascii="Times New Roman" w:hAnsi="Times New Roman" w:cs="Times New Roman"/>
          <w:b/>
          <w:bCs/>
          <w:color w:val="auto"/>
          <w:sz w:val="36"/>
          <w:szCs w:val="36"/>
        </w:rPr>
        <w:fldChar w:fldCharType="end"/>
      </w:r>
      <w:bookmarkEnd w:id="208"/>
      <w:bookmarkEnd w:id="209"/>
    </w:p>
    <w:bookmarkEnd w:id="56"/>
    <w:bookmarkEnd w:id="57"/>
    <w:bookmarkEnd w:id="58"/>
    <w:bookmarkEnd w:id="59"/>
    <w:bookmarkEnd w:id="60"/>
    <w:p w14:paraId="1D65C3F3">
      <w:pPr>
        <w:pageBreakBefore/>
        <w:numPr>
          <w:ilvl w:val="0"/>
          <w:numId w:val="14"/>
        </w:numPr>
        <w:spacing w:line="324" w:lineRule="auto"/>
        <w:ind w:left="0"/>
        <w:jc w:val="center"/>
        <w:outlineLvl w:val="1"/>
        <w:rPr>
          <w:rFonts w:ascii="Times New Roman" w:hAnsi="Times New Roman" w:cs="Times New Roman"/>
          <w:b/>
          <w:bCs/>
          <w:color w:val="auto"/>
          <w:sz w:val="36"/>
          <w:szCs w:val="36"/>
        </w:rPr>
      </w:pPr>
      <w:bookmarkStart w:id="210" w:name="_方案设计与组织实施"/>
      <w:bookmarkEnd w:id="210"/>
      <w:bookmarkStart w:id="211" w:name="_组织实施方案"/>
      <w:bookmarkEnd w:id="211"/>
      <w:bookmarkStart w:id="212" w:name="_Toc108234924"/>
      <w:bookmarkStart w:id="213" w:name="_Toc136662948"/>
      <w:bookmarkStart w:id="214" w:name="_Toc23802"/>
      <w:bookmarkStart w:id="215" w:name="_Toc136682924"/>
      <w:bookmarkStart w:id="216" w:name="_Toc119321159"/>
      <w:bookmarkStart w:id="217" w:name="_Toc4253"/>
      <w:bookmarkStart w:id="218" w:name="_Toc24333"/>
      <w:bookmarkStart w:id="219" w:name="_Toc37670367"/>
      <w:bookmarkStart w:id="220" w:name="_Toc49329271"/>
      <w:bookmarkStart w:id="221" w:name="_Toc325031962"/>
      <w:bookmarkStart w:id="222" w:name="_Toc373767222"/>
      <w:bookmarkStart w:id="223" w:name="_Toc10384"/>
      <w:bookmarkStart w:id="224" w:name="_Toc310519907"/>
      <w:bookmarkStart w:id="225" w:name="_Toc37670374"/>
      <w:bookmarkStart w:id="226" w:name="_Toc419106585"/>
      <w:bookmarkStart w:id="227" w:name="_Toc49329275"/>
      <w:r>
        <w:rPr>
          <w:rFonts w:ascii="Times New Roman" w:hAnsi="Times New Roman" w:cs="Times New Roman"/>
          <w:b/>
          <w:bCs/>
          <w:color w:val="auto"/>
          <w:sz w:val="36"/>
          <w:szCs w:val="36"/>
        </w:rPr>
        <w:fldChar w:fldCharType="begin"/>
      </w:r>
      <w:r>
        <w:rPr>
          <w:rFonts w:ascii="Times New Roman" w:hAnsi="Times New Roman" w:cs="Times New Roman"/>
          <w:b/>
          <w:bCs/>
          <w:color w:val="auto"/>
          <w:sz w:val="36"/>
          <w:szCs w:val="36"/>
        </w:rPr>
        <w:instrText xml:space="preserve"> DOCVARIABLE  设备技术响应表开始  \* MERGEFORMAT </w:instrText>
      </w:r>
      <w:r>
        <w:rPr>
          <w:rFonts w:ascii="Times New Roman" w:hAnsi="Times New Roman" w:cs="Times New Roman"/>
          <w:b/>
          <w:bCs/>
          <w:color w:val="auto"/>
          <w:sz w:val="36"/>
          <w:szCs w:val="36"/>
        </w:rPr>
        <w:fldChar w:fldCharType="separate"/>
      </w:r>
      <w:r>
        <w:rPr>
          <w:rFonts w:ascii="Times New Roman" w:hAnsi="Times New Roman" w:cs="Times New Roman"/>
          <w:b/>
          <w:bCs/>
          <w:color w:val="auto"/>
          <w:sz w:val="36"/>
          <w:szCs w:val="36"/>
        </w:rPr>
        <w:fldChar w:fldCharType="end"/>
      </w:r>
      <w:bookmarkStart w:id="228" w:name="_Toc159385085"/>
      <w:bookmarkStart w:id="229" w:name="_Toc419106581"/>
      <w:r>
        <w:rPr>
          <w:rFonts w:ascii="Times New Roman" w:hAnsi="Times New Roman" w:cs="Times New Roman"/>
          <w:b/>
          <w:bCs/>
          <w:color w:val="auto"/>
          <w:sz w:val="36"/>
          <w:szCs w:val="36"/>
        </w:rPr>
        <w:t>技术条款响应表</w:t>
      </w:r>
      <w:bookmarkEnd w:id="212"/>
      <w:bookmarkEnd w:id="213"/>
      <w:bookmarkEnd w:id="214"/>
      <w:bookmarkEnd w:id="215"/>
      <w:bookmarkEnd w:id="216"/>
      <w:bookmarkEnd w:id="217"/>
      <w:bookmarkEnd w:id="218"/>
      <w:bookmarkEnd w:id="228"/>
      <w:bookmarkEnd w:id="229"/>
    </w:p>
    <w:bookmarkEnd w:id="219"/>
    <w:bookmarkEnd w:id="220"/>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4C01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5BD3243A">
            <w:pPr>
              <w:spacing w:line="324" w:lineRule="auto"/>
              <w:rPr>
                <w:rFonts w:ascii="Times New Roman" w:hAnsi="Times New Roman" w:cs="Times New Roman"/>
                <w:b/>
                <w:bCs/>
                <w:color w:val="auto"/>
              </w:rPr>
            </w:pPr>
            <w:r>
              <w:rPr>
                <w:rFonts w:ascii="Times New Roman" w:hAnsi="Times New Roman" w:cs="Times New Roman"/>
                <w:b/>
                <w:color w:val="auto"/>
              </w:rPr>
              <w:t>一、技术参数响应情况</w:t>
            </w:r>
          </w:p>
        </w:tc>
      </w:tr>
      <w:tr w14:paraId="73B5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vAlign w:val="center"/>
          </w:tcPr>
          <w:p w14:paraId="06BADD88">
            <w:pPr>
              <w:spacing w:line="324" w:lineRule="auto"/>
              <w:rPr>
                <w:rFonts w:ascii="Times New Roman" w:hAnsi="Times New Roman" w:cs="Times New Roman"/>
                <w:b/>
                <w:bCs/>
                <w:color w:val="auto"/>
              </w:rPr>
            </w:pPr>
            <w:r>
              <w:rPr>
                <w:rFonts w:ascii="Times New Roman" w:hAnsi="Times New Roman" w:cs="Times New Roman"/>
                <w:b/>
                <w:bCs/>
                <w:color w:val="auto"/>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vAlign w:val="center"/>
          </w:tcPr>
          <w:p w14:paraId="47680986">
            <w:pPr>
              <w:spacing w:line="324" w:lineRule="auto"/>
              <w:jc w:val="center"/>
              <w:rPr>
                <w:rFonts w:ascii="Times New Roman" w:hAnsi="Times New Roman" w:cs="Times New Roman"/>
                <w:b/>
                <w:bCs/>
                <w:color w:val="auto"/>
              </w:rPr>
            </w:pPr>
            <w:r>
              <w:rPr>
                <w:rFonts w:ascii="Times New Roman" w:hAnsi="Times New Roman" w:cs="Times New Roman"/>
                <w:b/>
                <w:bCs/>
                <w:color w:val="auto"/>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vAlign w:val="center"/>
          </w:tcPr>
          <w:p w14:paraId="30340ED5">
            <w:pPr>
              <w:spacing w:line="324" w:lineRule="auto"/>
              <w:jc w:val="center"/>
              <w:rPr>
                <w:rFonts w:ascii="Times New Roman" w:hAnsi="Times New Roman" w:cs="Times New Roman"/>
                <w:b/>
                <w:bCs/>
                <w:color w:val="auto"/>
              </w:rPr>
            </w:pPr>
            <w:r>
              <w:rPr>
                <w:rFonts w:ascii="Times New Roman" w:hAnsi="Times New Roman" w:cs="Times New Roman"/>
                <w:b/>
                <w:bCs/>
                <w:color w:val="auto"/>
              </w:rPr>
              <w:t>是否响应</w:t>
            </w:r>
          </w:p>
        </w:tc>
      </w:tr>
      <w:tr w14:paraId="4399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5C37882">
            <w:pPr>
              <w:numPr>
                <w:ilvl w:val="0"/>
                <w:numId w:val="15"/>
              </w:numPr>
              <w:spacing w:line="324" w:lineRule="auto"/>
              <w:ind w:left="0"/>
              <w:jc w:val="center"/>
              <w:rPr>
                <w:rFonts w:ascii="Times New Roman" w:hAnsi="Times New Roman" w:cs="Times New Roman"/>
                <w:color w:val="auto"/>
              </w:rPr>
            </w:pPr>
          </w:p>
        </w:tc>
        <w:tc>
          <w:tcPr>
            <w:tcW w:w="6338" w:type="dxa"/>
            <w:tcBorders>
              <w:top w:val="single" w:color="auto" w:sz="4" w:space="0"/>
              <w:left w:val="single" w:color="auto" w:sz="4" w:space="0"/>
              <w:bottom w:val="single" w:color="auto" w:sz="4" w:space="0"/>
              <w:right w:val="single" w:color="auto" w:sz="4" w:space="0"/>
            </w:tcBorders>
            <w:vAlign w:val="center"/>
          </w:tcPr>
          <w:p w14:paraId="311D5239">
            <w:pPr>
              <w:spacing w:line="324" w:lineRule="auto"/>
              <w:jc w:val="left"/>
              <w:rPr>
                <w:rFonts w:ascii="Times New Roman" w:hAnsi="Times New Roman" w:cs="Times New Roman"/>
                <w:color w:val="auto"/>
              </w:rPr>
            </w:pPr>
            <w:r>
              <w:rPr>
                <w:rFonts w:ascii="Times New Roman" w:hAnsi="Times New Roman" w:cs="Times New Roman"/>
                <w:color w:val="auto"/>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vAlign w:val="center"/>
          </w:tcPr>
          <w:p w14:paraId="1111FB32">
            <w:pPr>
              <w:spacing w:line="324" w:lineRule="auto"/>
              <w:jc w:val="center"/>
              <w:rPr>
                <w:rFonts w:ascii="Times New Roman" w:hAnsi="Times New Roman" w:cs="Times New Roman"/>
                <w:color w:val="auto"/>
              </w:rPr>
            </w:pPr>
          </w:p>
        </w:tc>
      </w:tr>
      <w:tr w14:paraId="7744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E6C2A2F">
            <w:pPr>
              <w:numPr>
                <w:ilvl w:val="0"/>
                <w:numId w:val="15"/>
              </w:numPr>
              <w:spacing w:line="324" w:lineRule="auto"/>
              <w:ind w:left="0"/>
              <w:jc w:val="center"/>
              <w:rPr>
                <w:rFonts w:ascii="Times New Roman" w:hAnsi="Times New Roman" w:cs="Times New Roman"/>
                <w:color w:val="auto"/>
              </w:rPr>
            </w:pPr>
          </w:p>
        </w:tc>
        <w:tc>
          <w:tcPr>
            <w:tcW w:w="6338" w:type="dxa"/>
            <w:tcBorders>
              <w:top w:val="single" w:color="auto" w:sz="4" w:space="0"/>
              <w:left w:val="single" w:color="auto" w:sz="4" w:space="0"/>
              <w:bottom w:val="single" w:color="auto" w:sz="4" w:space="0"/>
              <w:right w:val="single" w:color="auto" w:sz="4" w:space="0"/>
            </w:tcBorders>
            <w:vAlign w:val="center"/>
          </w:tcPr>
          <w:p w14:paraId="02957BFF">
            <w:pPr>
              <w:spacing w:line="324" w:lineRule="auto"/>
              <w:jc w:val="left"/>
              <w:rPr>
                <w:rFonts w:ascii="Times New Roman" w:hAnsi="Times New Roman" w:cs="Times New Roman"/>
                <w:b/>
                <w:color w:val="auto"/>
              </w:rPr>
            </w:pPr>
            <w:r>
              <w:rPr>
                <w:rFonts w:ascii="Times New Roman" w:hAnsi="Times New Roman" w:cs="Times New Roman"/>
                <w:b/>
                <w:color w:val="auto"/>
              </w:rPr>
              <w:t>采购文件中的全部技术条款均能完全响应。</w:t>
            </w:r>
          </w:p>
        </w:tc>
        <w:tc>
          <w:tcPr>
            <w:tcW w:w="1797" w:type="dxa"/>
            <w:tcBorders>
              <w:top w:val="single" w:color="auto" w:sz="4" w:space="0"/>
              <w:left w:val="single" w:color="auto" w:sz="4" w:space="0"/>
              <w:bottom w:val="single" w:color="auto" w:sz="4" w:space="0"/>
              <w:right w:val="single" w:color="auto" w:sz="4" w:space="0"/>
            </w:tcBorders>
            <w:vAlign w:val="center"/>
          </w:tcPr>
          <w:p w14:paraId="5F6703F6">
            <w:pPr>
              <w:spacing w:line="324" w:lineRule="auto"/>
              <w:jc w:val="center"/>
              <w:rPr>
                <w:rFonts w:ascii="Times New Roman" w:hAnsi="Times New Roman" w:cs="Times New Roman"/>
                <w:color w:val="auto"/>
              </w:rPr>
            </w:pPr>
          </w:p>
        </w:tc>
      </w:tr>
      <w:tr w14:paraId="3556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CD73305">
            <w:pPr>
              <w:numPr>
                <w:ilvl w:val="0"/>
                <w:numId w:val="15"/>
              </w:numPr>
              <w:spacing w:line="324" w:lineRule="auto"/>
              <w:ind w:left="0"/>
              <w:jc w:val="center"/>
              <w:rPr>
                <w:rFonts w:ascii="Times New Roman" w:hAnsi="Times New Roman" w:cs="Times New Roman"/>
                <w:color w:val="auto"/>
              </w:rPr>
            </w:pPr>
          </w:p>
        </w:tc>
        <w:tc>
          <w:tcPr>
            <w:tcW w:w="6338" w:type="dxa"/>
            <w:tcBorders>
              <w:top w:val="single" w:color="auto" w:sz="4" w:space="0"/>
              <w:left w:val="single" w:color="auto" w:sz="4" w:space="0"/>
              <w:bottom w:val="single" w:color="auto" w:sz="4" w:space="0"/>
              <w:right w:val="single" w:color="auto" w:sz="4" w:space="0"/>
            </w:tcBorders>
            <w:vAlign w:val="center"/>
          </w:tcPr>
          <w:p w14:paraId="4560FA11">
            <w:pPr>
              <w:spacing w:line="324" w:lineRule="auto"/>
              <w:jc w:val="left"/>
              <w:rPr>
                <w:rFonts w:ascii="Times New Roman" w:hAnsi="Times New Roman" w:cs="Times New Roman"/>
                <w:b/>
                <w:color w:val="auto"/>
              </w:rPr>
            </w:pPr>
            <w:r>
              <w:rPr>
                <w:rFonts w:hint="eastAsia" w:ascii="Times New Roman" w:hAnsi="Times New Roman" w:cs="Times New Roman"/>
                <w:b/>
                <w:color w:val="auto"/>
              </w:rPr>
              <w:t>采购人</w:t>
            </w:r>
            <w:r>
              <w:rPr>
                <w:rFonts w:ascii="Times New Roman" w:hAnsi="Times New Roman" w:cs="Times New Roman"/>
                <w:b/>
                <w:color w:val="auto"/>
              </w:rPr>
              <w:t>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vAlign w:val="center"/>
          </w:tcPr>
          <w:p w14:paraId="286535B0">
            <w:pPr>
              <w:spacing w:line="324" w:lineRule="auto"/>
              <w:jc w:val="center"/>
              <w:rPr>
                <w:rFonts w:ascii="Times New Roman" w:hAnsi="Times New Roman" w:cs="Times New Roman"/>
                <w:color w:val="auto"/>
              </w:rPr>
            </w:pPr>
          </w:p>
        </w:tc>
      </w:tr>
      <w:tr w14:paraId="5C0D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B218EF1">
            <w:pPr>
              <w:numPr>
                <w:ilvl w:val="0"/>
                <w:numId w:val="15"/>
              </w:numPr>
              <w:spacing w:line="324" w:lineRule="auto"/>
              <w:ind w:left="0"/>
              <w:jc w:val="center"/>
              <w:rPr>
                <w:rFonts w:ascii="Times New Roman" w:hAnsi="Times New Roman" w:cs="Times New Roman"/>
                <w:color w:val="auto"/>
              </w:rPr>
            </w:pPr>
          </w:p>
        </w:tc>
        <w:tc>
          <w:tcPr>
            <w:tcW w:w="6338" w:type="dxa"/>
            <w:tcBorders>
              <w:top w:val="single" w:color="auto" w:sz="4" w:space="0"/>
              <w:left w:val="single" w:color="auto" w:sz="4" w:space="0"/>
              <w:bottom w:val="single" w:color="auto" w:sz="4" w:space="0"/>
              <w:right w:val="single" w:color="auto" w:sz="4" w:space="0"/>
            </w:tcBorders>
            <w:vAlign w:val="center"/>
          </w:tcPr>
          <w:p w14:paraId="0431D3D6">
            <w:pPr>
              <w:spacing w:line="324" w:lineRule="auto"/>
              <w:jc w:val="left"/>
              <w:rPr>
                <w:rFonts w:ascii="Times New Roman" w:hAnsi="Times New Roman" w:cs="Times New Roman"/>
                <w:b/>
                <w:color w:val="auto"/>
              </w:rPr>
            </w:pPr>
            <w:r>
              <w:rPr>
                <w:rFonts w:ascii="Times New Roman" w:hAnsi="Times New Roman" w:cs="Times New Roman"/>
                <w:color w:val="auto"/>
              </w:rPr>
              <w:t>同意</w:t>
            </w:r>
            <w:r>
              <w:rPr>
                <w:rFonts w:hint="eastAsia" w:ascii="Times New Roman" w:hAnsi="Times New Roman" w:cs="Times New Roman"/>
                <w:color w:val="auto"/>
              </w:rPr>
              <w:t>采购人</w:t>
            </w:r>
            <w:r>
              <w:rPr>
                <w:rFonts w:ascii="Times New Roman" w:hAnsi="Times New Roman" w:cs="Times New Roman"/>
                <w:color w:val="auto"/>
              </w:rPr>
              <w:t>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vAlign w:val="center"/>
          </w:tcPr>
          <w:p w14:paraId="331AB97D">
            <w:pPr>
              <w:spacing w:line="324" w:lineRule="auto"/>
              <w:jc w:val="center"/>
              <w:rPr>
                <w:rFonts w:ascii="Times New Roman" w:hAnsi="Times New Roman" w:cs="Times New Roman"/>
                <w:color w:val="auto"/>
              </w:rPr>
            </w:pPr>
          </w:p>
        </w:tc>
      </w:tr>
      <w:tr w14:paraId="535F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669CA417">
            <w:pPr>
              <w:spacing w:line="324" w:lineRule="auto"/>
              <w:rPr>
                <w:rFonts w:ascii="Times New Roman" w:hAnsi="Times New Roman" w:cs="Times New Roman"/>
                <w:color w:val="auto"/>
              </w:rPr>
            </w:pPr>
            <w:r>
              <w:rPr>
                <w:rFonts w:ascii="Times New Roman" w:hAnsi="Times New Roman" w:cs="Times New Roman"/>
                <w:b/>
                <w:color w:val="auto"/>
              </w:rPr>
              <w:t>二、技术参数偏离情况说明（如有）：</w:t>
            </w:r>
          </w:p>
        </w:tc>
      </w:tr>
      <w:tr w14:paraId="6081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D323D07">
            <w:pPr>
              <w:numPr>
                <w:ilvl w:val="0"/>
                <w:numId w:val="15"/>
              </w:numPr>
              <w:spacing w:line="324" w:lineRule="auto"/>
              <w:ind w:left="0"/>
              <w:jc w:val="center"/>
              <w:rPr>
                <w:rFonts w:ascii="Times New Roman" w:hAnsi="Times New Roman" w:cs="Times New Roman"/>
                <w:color w:val="auto"/>
              </w:rPr>
            </w:pPr>
          </w:p>
        </w:tc>
        <w:tc>
          <w:tcPr>
            <w:tcW w:w="8135" w:type="dxa"/>
            <w:gridSpan w:val="2"/>
            <w:tcBorders>
              <w:top w:val="single" w:color="auto" w:sz="4" w:space="0"/>
              <w:left w:val="single" w:color="auto" w:sz="4" w:space="0"/>
              <w:bottom w:val="single" w:color="auto" w:sz="4" w:space="0"/>
              <w:right w:val="single" w:color="auto" w:sz="4" w:space="0"/>
            </w:tcBorders>
            <w:vAlign w:val="center"/>
          </w:tcPr>
          <w:p w14:paraId="56AE226C">
            <w:pPr>
              <w:spacing w:line="324" w:lineRule="auto"/>
              <w:rPr>
                <w:rFonts w:ascii="Times New Roman" w:hAnsi="Times New Roman" w:cs="Times New Roman"/>
                <w:color w:val="auto"/>
              </w:rPr>
            </w:pPr>
            <w:r>
              <w:rPr>
                <w:rFonts w:ascii="Times New Roman" w:hAnsi="Times New Roman" w:cs="Times New Roman"/>
                <w:color w:val="auto"/>
              </w:rPr>
              <w:t>不同意公开的技术部分内容（如有）：</w:t>
            </w:r>
          </w:p>
        </w:tc>
      </w:tr>
    </w:tbl>
    <w:p w14:paraId="12A789AC">
      <w:pPr>
        <w:spacing w:line="324" w:lineRule="auto"/>
        <w:ind w:left="630" w:hanging="630" w:hangingChars="300"/>
        <w:rPr>
          <w:rFonts w:ascii="Times New Roman" w:hAnsi="Times New Roman" w:cs="Times New Roman"/>
          <w:color w:val="auto"/>
        </w:rPr>
      </w:pPr>
    </w:p>
    <w:p w14:paraId="7E1BC449">
      <w:pPr>
        <w:spacing w:line="324" w:lineRule="auto"/>
        <w:ind w:left="840" w:hanging="840" w:hangingChars="400"/>
        <w:rPr>
          <w:rFonts w:ascii="Times New Roman" w:hAnsi="Times New Roman" w:cs="Times New Roman"/>
          <w:color w:val="auto"/>
        </w:rPr>
      </w:pPr>
      <w:r>
        <w:rPr>
          <w:rFonts w:ascii="Times New Roman" w:hAnsi="Times New Roman" w:cs="Times New Roman"/>
          <w:color w:val="auto"/>
        </w:rPr>
        <w:t>填表说明：</w:t>
      </w:r>
    </w:p>
    <w:p w14:paraId="0C7D46E6">
      <w:pPr>
        <w:spacing w:line="324" w:lineRule="auto"/>
        <w:ind w:left="420" w:hanging="420" w:hangingChars="200"/>
        <w:rPr>
          <w:rFonts w:ascii="Times New Roman" w:hAnsi="Times New Roman" w:cs="Times New Roman"/>
          <w:color w:val="auto"/>
        </w:rPr>
      </w:pPr>
      <w:r>
        <w:rPr>
          <w:rFonts w:ascii="Times New Roman" w:hAnsi="Times New Roman" w:cs="Times New Roman"/>
          <w:color w:val="auto"/>
        </w:rPr>
        <w:t>1、响应栏内空白或打“√”表示完全响应；对打“×”视为偏离，若技术参数存在偏离，请在“技术参数偏离情况说明栏”扼要描述。</w:t>
      </w:r>
    </w:p>
    <w:p w14:paraId="73D10FFA">
      <w:pPr>
        <w:spacing w:line="324" w:lineRule="auto"/>
        <w:ind w:left="420" w:hanging="420" w:hangingChars="200"/>
        <w:rPr>
          <w:rFonts w:ascii="Times New Roman" w:hAnsi="Times New Roman" w:cs="Times New Roman"/>
          <w:color w:val="auto"/>
        </w:rPr>
      </w:pPr>
      <w:r>
        <w:rPr>
          <w:rFonts w:ascii="Times New Roman" w:hAnsi="Times New Roman" w:cs="Times New Roman"/>
          <w:color w:val="auto"/>
        </w:rPr>
        <w:t>2、若上述技术条款内容与“采购项目技术要求”列述不一致时，均以“采购项目技术要求”详细内容为准。</w:t>
      </w:r>
    </w:p>
    <w:p w14:paraId="17433C83">
      <w:pPr>
        <w:spacing w:line="324" w:lineRule="auto"/>
        <w:ind w:left="420" w:hanging="420" w:hangingChars="200"/>
        <w:rPr>
          <w:rFonts w:ascii="Times New Roman" w:hAnsi="Times New Roman" w:cs="Times New Roman"/>
          <w:color w:val="auto"/>
        </w:rPr>
      </w:pPr>
      <w:r>
        <w:rPr>
          <w:rFonts w:ascii="Times New Roman" w:hAnsi="Times New Roman" w:cs="Times New Roman"/>
          <w:color w:val="auto"/>
        </w:rPr>
        <w:t>3、本表内容不得擅自删改。</w:t>
      </w:r>
    </w:p>
    <w:p w14:paraId="130B66A4">
      <w:pPr>
        <w:spacing w:line="324" w:lineRule="auto"/>
        <w:ind w:firstLine="420"/>
        <w:rPr>
          <w:rFonts w:ascii="Times New Roman" w:hAnsi="Times New Roman" w:cs="Times New Roman"/>
          <w:color w:val="auto"/>
        </w:rPr>
      </w:pPr>
    </w:p>
    <w:p w14:paraId="0CFA9E43">
      <w:pPr>
        <w:spacing w:line="324" w:lineRule="auto"/>
        <w:ind w:firstLine="420" w:firstLineChars="200"/>
        <w:jc w:val="right"/>
        <w:rPr>
          <w:rFonts w:ascii="Times New Roman" w:hAnsi="Times New Roman" w:cs="Times New Roman"/>
          <w:color w:val="auto"/>
          <w:szCs w:val="21"/>
        </w:rPr>
      </w:pPr>
      <w:r>
        <w:rPr>
          <w:rFonts w:ascii="Times New Roman" w:hAnsi="Times New Roman" w:cs="Times New Roman"/>
          <w:color w:val="auto"/>
          <w:szCs w:val="21"/>
        </w:rPr>
        <w:t>供应商名称：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单位名称</w:t>
      </w:r>
      <w:r>
        <w:rPr>
          <w:rFonts w:ascii="Times New Roman" w:hAnsi="Times New Roman" w:cs="Times New Roman"/>
          <w:color w:val="auto"/>
          <w:szCs w:val="21"/>
          <w:u w:val="single"/>
        </w:rPr>
        <w:t xml:space="preserve">全称）                </w:t>
      </w:r>
      <w:r>
        <w:rPr>
          <w:rFonts w:ascii="Times New Roman" w:hAnsi="Times New Roman" w:cs="Times New Roman"/>
          <w:color w:val="auto"/>
          <w:szCs w:val="21"/>
        </w:rPr>
        <w:t>（</w:t>
      </w:r>
      <w:r>
        <w:rPr>
          <w:rFonts w:ascii="Times New Roman" w:hAnsi="Times New Roman" w:cs="Times New Roman"/>
          <w:color w:val="auto"/>
          <w:szCs w:val="21"/>
          <w:lang w:val="zh-CN"/>
        </w:rPr>
        <w:t>加盖供应商公章</w:t>
      </w:r>
      <w:r>
        <w:rPr>
          <w:rFonts w:ascii="Times New Roman" w:hAnsi="Times New Roman" w:cs="Times New Roman"/>
          <w:color w:val="auto"/>
          <w:szCs w:val="21"/>
        </w:rPr>
        <w:t>）</w:t>
      </w:r>
    </w:p>
    <w:p w14:paraId="646CADED">
      <w:pPr>
        <w:spacing w:line="324" w:lineRule="auto"/>
        <w:jc w:val="right"/>
        <w:rPr>
          <w:rFonts w:ascii="Times New Roman" w:hAnsi="Times New Roman" w:cs="Times New Roman"/>
          <w:color w:val="auto"/>
          <w:szCs w:val="21"/>
          <w:u w:val="single"/>
        </w:rPr>
      </w:pPr>
      <w:r>
        <w:rPr>
          <w:rFonts w:ascii="Times New Roman" w:hAnsi="Times New Roman" w:cs="Times New Roman"/>
          <w:bCs/>
          <w:color w:val="auto"/>
          <w:szCs w:val="21"/>
        </w:rPr>
        <w:t>日期：</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年</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月</w:t>
      </w:r>
      <w:r>
        <w:rPr>
          <w:rFonts w:ascii="Times New Roman" w:hAnsi="Times New Roman" w:cs="Times New Roman"/>
          <w:bCs/>
          <w:color w:val="auto"/>
          <w:szCs w:val="21"/>
          <w:u w:val="single"/>
        </w:rPr>
        <w:t xml:space="preserve">    </w:t>
      </w:r>
      <w:r>
        <w:rPr>
          <w:rFonts w:ascii="Times New Roman" w:hAnsi="Times New Roman" w:cs="Times New Roman"/>
          <w:bCs/>
          <w:color w:val="auto"/>
          <w:szCs w:val="21"/>
        </w:rPr>
        <w:t>日</w:t>
      </w:r>
    </w:p>
    <w:p w14:paraId="29C9C22C">
      <w:pPr>
        <w:spacing w:line="324" w:lineRule="auto"/>
        <w:rPr>
          <w:rFonts w:ascii="Times New Roman" w:hAnsi="Times New Roman" w:cs="Times New Roman"/>
          <w:color w:val="auto"/>
        </w:rPr>
      </w:pPr>
    </w:p>
    <w:p w14:paraId="24651529">
      <w:pPr>
        <w:spacing w:line="324" w:lineRule="auto"/>
        <w:rPr>
          <w:rFonts w:ascii="Times New Roman" w:hAnsi="Times New Roman" w:cs="Times New Roman"/>
          <w:b/>
          <w:color w:val="auto"/>
        </w:rPr>
        <w:sectPr>
          <w:headerReference r:id="rId7" w:type="first"/>
          <w:headerReference r:id="rId6" w:type="default"/>
          <w:pgSz w:w="11906" w:h="16838"/>
          <w:pgMar w:top="1134" w:right="1134" w:bottom="1134" w:left="1588" w:header="567" w:footer="737" w:gutter="0"/>
          <w:cols w:space="720" w:num="1"/>
          <w:docGrid w:linePitch="312" w:charSpace="0"/>
        </w:sectPr>
      </w:pPr>
    </w:p>
    <w:p w14:paraId="4EBEA519">
      <w:pPr>
        <w:pageBreakBefore/>
        <w:numPr>
          <w:ilvl w:val="0"/>
          <w:numId w:val="16"/>
        </w:numPr>
        <w:spacing w:line="324" w:lineRule="auto"/>
        <w:ind w:left="0"/>
        <w:jc w:val="center"/>
        <w:outlineLvl w:val="1"/>
        <w:rPr>
          <w:rFonts w:ascii="Times New Roman" w:hAnsi="Times New Roman" w:cs="Times New Roman"/>
          <w:b/>
          <w:bCs/>
          <w:color w:val="auto"/>
          <w:sz w:val="36"/>
          <w:szCs w:val="36"/>
        </w:rPr>
      </w:pPr>
      <w:bookmarkStart w:id="230" w:name="_Toc419106582"/>
      <w:bookmarkStart w:id="231" w:name="_Toc22957"/>
      <w:bookmarkStart w:id="232" w:name="_Toc7892"/>
      <w:bookmarkStart w:id="233" w:name="_Toc9103"/>
      <w:r>
        <w:rPr>
          <w:rFonts w:ascii="Times New Roman" w:hAnsi="Times New Roman" w:cs="Times New Roman"/>
          <w:b/>
          <w:bCs/>
          <w:color w:val="auto"/>
          <w:sz w:val="36"/>
          <w:szCs w:val="36"/>
        </w:rPr>
        <w:t>技术方案总体内容</w:t>
      </w:r>
      <w:bookmarkEnd w:id="230"/>
      <w:bookmarkEnd w:id="231"/>
      <w:bookmarkEnd w:id="232"/>
      <w:bookmarkEnd w:id="233"/>
    </w:p>
    <w:p w14:paraId="6F762CD2">
      <w:pPr>
        <w:tabs>
          <w:tab w:val="left" w:pos="1322"/>
        </w:tabs>
        <w:spacing w:line="324" w:lineRule="auto"/>
        <w:ind w:firstLine="420" w:firstLineChars="200"/>
        <w:rPr>
          <w:rFonts w:ascii="Times New Roman" w:hAnsi="Times New Roman" w:cs="Times New Roman"/>
          <w:bCs/>
          <w:color w:val="auto"/>
          <w:szCs w:val="21"/>
        </w:rPr>
      </w:pPr>
      <w:r>
        <w:rPr>
          <w:rFonts w:ascii="Times New Roman" w:hAnsi="Times New Roman" w:cs="Times New Roman"/>
          <w:bCs/>
          <w:color w:val="auto"/>
          <w:szCs w:val="21"/>
        </w:rPr>
        <w:t>技术方案必须科学合理、真实可行，能充分体现出自身技术和专业优势。技术方案必须对应评审方法中评审子项的顺序逐一进行描述，格式自拟，不限于以下内容要点：</w:t>
      </w:r>
    </w:p>
    <w:p w14:paraId="33939423">
      <w:pPr>
        <w:numPr>
          <w:ilvl w:val="255"/>
          <w:numId w:val="0"/>
        </w:numPr>
        <w:tabs>
          <w:tab w:val="left" w:pos="1322"/>
        </w:tabs>
        <w:spacing w:line="324" w:lineRule="auto"/>
        <w:rPr>
          <w:rFonts w:hint="eastAsia" w:ascii="宋体" w:hAnsi="宋体" w:cs="宋体"/>
          <w:color w:val="auto"/>
          <w:szCs w:val="21"/>
        </w:rPr>
      </w:pPr>
      <w:r>
        <w:rPr>
          <w:rFonts w:hint="eastAsia" w:ascii="宋体" w:hAnsi="宋体" w:cs="宋体"/>
          <w:color w:val="auto"/>
          <w:szCs w:val="21"/>
        </w:rPr>
        <w:t>1、</w:t>
      </w:r>
      <w:r>
        <w:rPr>
          <w:rFonts w:hint="eastAsia" w:asciiTheme="minorEastAsia" w:hAnsiTheme="minorEastAsia" w:cstheme="minorEastAsia"/>
          <w:color w:val="auto"/>
          <w:szCs w:val="21"/>
        </w:rPr>
        <w:t>总体运营服务方案</w:t>
      </w:r>
      <w:r>
        <w:rPr>
          <w:rFonts w:hint="eastAsia" w:ascii="宋体" w:hAnsi="宋体" w:cs="宋体"/>
          <w:color w:val="auto"/>
          <w:szCs w:val="21"/>
        </w:rPr>
        <w:t>；</w:t>
      </w:r>
    </w:p>
    <w:p w14:paraId="1F11781B">
      <w:pPr>
        <w:numPr>
          <w:ilvl w:val="255"/>
          <w:numId w:val="0"/>
        </w:numPr>
        <w:tabs>
          <w:tab w:val="left" w:pos="1322"/>
        </w:tabs>
        <w:spacing w:line="324" w:lineRule="auto"/>
        <w:rPr>
          <w:rFonts w:hint="eastAsia" w:ascii="宋体" w:hAnsi="宋体" w:cs="宋体"/>
          <w:color w:val="auto"/>
          <w:szCs w:val="21"/>
        </w:rPr>
      </w:pPr>
      <w:r>
        <w:rPr>
          <w:rFonts w:hint="eastAsia" w:ascii="宋体" w:hAnsi="宋体" w:cs="宋体"/>
          <w:color w:val="auto"/>
          <w:szCs w:val="21"/>
        </w:rPr>
        <w:t>2、</w:t>
      </w:r>
      <w:r>
        <w:rPr>
          <w:rFonts w:hint="eastAsia" w:asciiTheme="minorEastAsia" w:hAnsiTheme="minorEastAsia" w:cstheme="minorEastAsia"/>
          <w:color w:val="auto"/>
          <w:szCs w:val="21"/>
        </w:rPr>
        <w:t>服务质量保障措施</w:t>
      </w:r>
      <w:r>
        <w:rPr>
          <w:rFonts w:hint="eastAsia" w:ascii="宋体" w:hAnsi="宋体" w:cs="宋体"/>
          <w:color w:val="auto"/>
          <w:szCs w:val="21"/>
        </w:rPr>
        <w:t>；</w:t>
      </w:r>
    </w:p>
    <w:p w14:paraId="797876B1">
      <w:pPr>
        <w:numPr>
          <w:ilvl w:val="255"/>
          <w:numId w:val="0"/>
        </w:numPr>
        <w:tabs>
          <w:tab w:val="left" w:pos="1322"/>
        </w:tabs>
        <w:spacing w:line="324" w:lineRule="auto"/>
        <w:rPr>
          <w:rFonts w:hint="eastAsia" w:ascii="宋体" w:hAnsi="宋体" w:cs="宋体"/>
          <w:color w:val="auto"/>
          <w:szCs w:val="21"/>
        </w:rPr>
      </w:pPr>
      <w:r>
        <w:rPr>
          <w:rFonts w:hint="eastAsia" w:ascii="宋体" w:hAnsi="宋体" w:cs="宋体"/>
          <w:color w:val="auto"/>
          <w:szCs w:val="21"/>
        </w:rPr>
        <w:t>3、</w:t>
      </w:r>
      <w:r>
        <w:rPr>
          <w:rFonts w:hint="eastAsia" w:asciiTheme="minorEastAsia" w:hAnsiTheme="minorEastAsia" w:cstheme="minorEastAsia"/>
          <w:color w:val="auto"/>
          <w:szCs w:val="21"/>
        </w:rPr>
        <w:t>团队管理规章制度</w:t>
      </w:r>
      <w:r>
        <w:rPr>
          <w:rFonts w:hint="eastAsia" w:ascii="宋体" w:hAnsi="宋体" w:cs="宋体"/>
          <w:color w:val="auto"/>
          <w:szCs w:val="21"/>
        </w:rPr>
        <w:t>；</w:t>
      </w:r>
    </w:p>
    <w:p w14:paraId="3AF178FD">
      <w:pPr>
        <w:numPr>
          <w:ilvl w:val="255"/>
          <w:numId w:val="0"/>
        </w:numPr>
        <w:tabs>
          <w:tab w:val="left" w:pos="1322"/>
        </w:tabs>
        <w:spacing w:line="324" w:lineRule="auto"/>
        <w:rPr>
          <w:rFonts w:hint="eastAsia" w:ascii="宋体" w:hAnsi="宋体" w:cs="宋体"/>
          <w:color w:val="auto"/>
          <w:szCs w:val="21"/>
        </w:rPr>
      </w:pPr>
      <w:r>
        <w:rPr>
          <w:rFonts w:hint="eastAsia" w:ascii="宋体" w:hAnsi="宋体" w:cs="宋体"/>
          <w:color w:val="auto"/>
          <w:szCs w:val="21"/>
        </w:rPr>
        <w:t>4、合理化建议；</w:t>
      </w:r>
    </w:p>
    <w:p w14:paraId="7489DAFD">
      <w:pPr>
        <w:pStyle w:val="9"/>
        <w:spacing w:line="324"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w:t>
      </w:r>
    </w:p>
    <w:p w14:paraId="2F3094E4">
      <w:pPr>
        <w:pStyle w:val="9"/>
        <w:spacing w:line="324" w:lineRule="auto"/>
        <w:rPr>
          <w:rFonts w:ascii="Times New Roman" w:hAnsi="Times New Roman" w:cs="Times New Roman"/>
          <w:color w:val="auto"/>
          <w:sz w:val="24"/>
          <w:szCs w:val="24"/>
        </w:rPr>
        <w:sectPr>
          <w:pgSz w:w="11906" w:h="16838"/>
          <w:pgMar w:top="1134" w:right="1134" w:bottom="1134" w:left="1588" w:header="567" w:footer="737" w:gutter="0"/>
          <w:cols w:space="720" w:num="1"/>
          <w:docGrid w:linePitch="312" w:charSpace="0"/>
        </w:sectPr>
      </w:pPr>
    </w:p>
    <w:p w14:paraId="098970F1">
      <w:pPr>
        <w:spacing w:line="324" w:lineRule="auto"/>
        <w:jc w:val="center"/>
        <w:outlineLvl w:val="0"/>
        <w:rPr>
          <w:rFonts w:ascii="Times New Roman" w:hAnsi="Times New Roman" w:cs="Times New Roman"/>
          <w:b/>
          <w:color w:val="auto"/>
          <w:sz w:val="36"/>
          <w:szCs w:val="36"/>
        </w:rPr>
        <w:sectPr>
          <w:headerReference r:id="rId8" w:type="default"/>
          <w:pgSz w:w="11906" w:h="16838"/>
          <w:pgMar w:top="1134" w:right="1134" w:bottom="1134" w:left="1587" w:header="567" w:footer="737" w:gutter="0"/>
          <w:cols w:space="720" w:num="1"/>
          <w:docGrid w:linePitch="312" w:charSpace="0"/>
        </w:sectPr>
      </w:pPr>
      <w:bookmarkStart w:id="234" w:name="_Toc21415"/>
      <w:bookmarkStart w:id="235" w:name="_Toc17802"/>
      <w:bookmarkStart w:id="236" w:name="_Toc10979"/>
      <w:bookmarkStart w:id="237" w:name="_Toc29497"/>
      <w:bookmarkStart w:id="238" w:name="_Toc11945"/>
      <w:r>
        <w:rPr>
          <w:rFonts w:ascii="Times New Roman" w:hAnsi="Times New Roman" w:cs="Times New Roman"/>
          <w:b/>
          <w:bCs/>
          <w:color w:val="auto"/>
          <w:sz w:val="36"/>
          <w:szCs w:val="36"/>
        </w:rPr>
        <w:fldChar w:fldCharType="begin"/>
      </w:r>
      <w:r>
        <w:rPr>
          <w:rFonts w:ascii="Times New Roman" w:hAnsi="Times New Roman" w:cs="Times New Roman"/>
          <w:b/>
          <w:bCs/>
          <w:color w:val="auto"/>
          <w:sz w:val="36"/>
          <w:szCs w:val="36"/>
        </w:rPr>
        <w:instrText xml:space="preserve"> HYPERLINK  \l "_投标文件目录" </w:instrText>
      </w:r>
      <w:r>
        <w:rPr>
          <w:rFonts w:ascii="Times New Roman" w:hAnsi="Times New Roman" w:cs="Times New Roman"/>
          <w:b/>
          <w:bCs/>
          <w:color w:val="auto"/>
          <w:sz w:val="36"/>
          <w:szCs w:val="36"/>
        </w:rPr>
        <w:fldChar w:fldCharType="separate"/>
      </w:r>
      <w:r>
        <w:rPr>
          <w:rFonts w:ascii="Times New Roman" w:hAnsi="Times New Roman" w:cs="Times New Roman"/>
          <w:b/>
          <w:bCs/>
          <w:color w:val="auto"/>
          <w:sz w:val="36"/>
          <w:szCs w:val="36"/>
        </w:rPr>
        <w:t>第五章  价格部分</w:t>
      </w:r>
      <w:r>
        <w:rPr>
          <w:rFonts w:ascii="Times New Roman" w:hAnsi="Times New Roman" w:cs="Times New Roman"/>
          <w:b/>
          <w:bCs/>
          <w:color w:val="auto"/>
          <w:sz w:val="36"/>
          <w:szCs w:val="36"/>
        </w:rPr>
        <w:fldChar w:fldCharType="end"/>
      </w:r>
      <w:bookmarkEnd w:id="234"/>
      <w:bookmarkEnd w:id="235"/>
    </w:p>
    <w:p w14:paraId="70C450B0">
      <w:pPr>
        <w:pageBreakBefore/>
        <w:spacing w:line="324" w:lineRule="auto"/>
        <w:jc w:val="center"/>
        <w:outlineLvl w:val="1"/>
        <w:rPr>
          <w:rFonts w:ascii="Times New Roman" w:hAnsi="Times New Roman" w:cs="Times New Roman"/>
          <w:b/>
          <w:bCs/>
          <w:color w:val="auto"/>
          <w:sz w:val="36"/>
          <w:szCs w:val="36"/>
        </w:rPr>
      </w:pPr>
      <w:bookmarkStart w:id="239" w:name="_Toc26059"/>
      <w:bookmarkStart w:id="240" w:name="_Toc29896"/>
      <w:r>
        <w:rPr>
          <w:rFonts w:ascii="Times New Roman" w:hAnsi="Times New Roman" w:cs="Times New Roman"/>
          <w:b/>
          <w:bCs/>
          <w:color w:val="auto"/>
          <w:sz w:val="36"/>
          <w:szCs w:val="36"/>
        </w:rPr>
        <w:t>5.1</w:t>
      </w:r>
      <w:r>
        <w:rPr>
          <w:rFonts w:ascii="Times New Roman" w:hAnsi="Times New Roman" w:cs="Times New Roman"/>
          <w:b/>
          <w:bCs/>
          <w:color w:val="auto"/>
          <w:sz w:val="36"/>
          <w:szCs w:val="36"/>
        </w:rPr>
        <w:fldChar w:fldCharType="begin"/>
      </w:r>
      <w:r>
        <w:rPr>
          <w:rFonts w:ascii="Times New Roman" w:hAnsi="Times New Roman" w:cs="Times New Roman"/>
          <w:b/>
          <w:bCs/>
          <w:color w:val="auto"/>
          <w:sz w:val="36"/>
          <w:szCs w:val="36"/>
        </w:rPr>
        <w:instrText xml:space="preserve"> DOCVARIABLE  报价一览表开始  \* MERGEFORMAT </w:instrText>
      </w:r>
      <w:r>
        <w:rPr>
          <w:rFonts w:ascii="Times New Roman" w:hAnsi="Times New Roman" w:cs="Times New Roman"/>
          <w:b/>
          <w:bCs/>
          <w:color w:val="auto"/>
          <w:sz w:val="36"/>
          <w:szCs w:val="36"/>
        </w:rPr>
        <w:fldChar w:fldCharType="separate"/>
      </w:r>
      <w:r>
        <w:rPr>
          <w:rFonts w:ascii="Times New Roman" w:hAnsi="Times New Roman" w:cs="Times New Roman"/>
          <w:b/>
          <w:bCs/>
          <w:color w:val="auto"/>
          <w:sz w:val="36"/>
          <w:szCs w:val="36"/>
        </w:rPr>
        <w:fldChar w:fldCharType="end"/>
      </w:r>
      <w:bookmarkStart w:id="241" w:name="_Toc419106577"/>
      <w:bookmarkStart w:id="242" w:name="_Toc159385082"/>
      <w:r>
        <w:rPr>
          <w:rFonts w:ascii="Times New Roman" w:hAnsi="Times New Roman" w:cs="Times New Roman"/>
          <w:b/>
          <w:bCs/>
          <w:color w:val="auto"/>
          <w:sz w:val="36"/>
          <w:szCs w:val="36"/>
        </w:rPr>
        <w:t>报价汇总表</w:t>
      </w:r>
      <w:bookmarkEnd w:id="236"/>
      <w:bookmarkEnd w:id="237"/>
      <w:bookmarkEnd w:id="239"/>
      <w:bookmarkEnd w:id="240"/>
      <w:bookmarkEnd w:id="241"/>
      <w:bookmarkEnd w:id="242"/>
    </w:p>
    <w:p w14:paraId="760BF98E">
      <w:pPr>
        <w:spacing w:line="324" w:lineRule="auto"/>
        <w:jc w:val="left"/>
        <w:rPr>
          <w:rFonts w:ascii="Times New Roman" w:hAnsi="Times New Roman" w:cs="Times New Roman"/>
          <w:bCs/>
          <w:color w:val="auto"/>
        </w:rPr>
      </w:pPr>
    </w:p>
    <w:p w14:paraId="51EA6E8E">
      <w:pPr>
        <w:tabs>
          <w:tab w:val="left" w:pos="5940"/>
        </w:tabs>
        <w:spacing w:line="324" w:lineRule="auto"/>
        <w:jc w:val="left"/>
        <w:rPr>
          <w:rFonts w:ascii="Times New Roman" w:hAnsi="Times New Roman" w:cs="Times New Roman"/>
          <w:bCs/>
          <w:color w:val="auto"/>
        </w:rPr>
      </w:pPr>
      <w:r>
        <w:rPr>
          <w:rFonts w:ascii="Times New Roman" w:hAnsi="Times New Roman" w:cs="Times New Roman"/>
          <w:bCs/>
          <w:color w:val="auto"/>
        </w:rPr>
        <w:t>项目名称：</w:t>
      </w:r>
      <w:r>
        <w:rPr>
          <w:rFonts w:hint="eastAsia" w:ascii="Times New Roman" w:hAnsi="Times New Roman" w:cs="Times New Roman"/>
          <w:bCs/>
          <w:color w:val="auto"/>
        </w:rPr>
        <w:t>佛山市消防救援支队2024年全媒体中心驻点服务项目</w:t>
      </w:r>
    </w:p>
    <w:p w14:paraId="180BE852">
      <w:pPr>
        <w:tabs>
          <w:tab w:val="left" w:pos="5940"/>
        </w:tabs>
        <w:spacing w:line="324" w:lineRule="auto"/>
        <w:jc w:val="left"/>
        <w:rPr>
          <w:rFonts w:ascii="Times New Roman" w:hAnsi="Times New Roman" w:cs="Times New Roman"/>
          <w:bCs/>
          <w:color w:val="auto"/>
        </w:rPr>
      </w:pPr>
      <w:r>
        <w:rPr>
          <w:rFonts w:ascii="Times New Roman" w:hAnsi="Times New Roman" w:cs="Times New Roman"/>
          <w:bCs/>
          <w:color w:val="auto"/>
        </w:rPr>
        <w:t>项目编号：</w:t>
      </w:r>
      <w:r>
        <w:rPr>
          <w:rFonts w:ascii="Times New Roman" w:hAnsi="Times New Roman" w:cs="Times New Roman"/>
          <w:color w:val="auto"/>
        </w:rPr>
        <w:fldChar w:fldCharType="begin"/>
      </w:r>
      <w:r>
        <w:rPr>
          <w:rFonts w:ascii="Times New Roman" w:hAnsi="Times New Roman" w:cs="Times New Roman"/>
          <w:color w:val="auto"/>
        </w:rPr>
        <w:instrText xml:space="preserve"> DOCVARIABLE  采购编号  \* MERGEFORMAT </w:instrText>
      </w:r>
      <w:r>
        <w:rPr>
          <w:rFonts w:ascii="Times New Roman" w:hAnsi="Times New Roman" w:cs="Times New Roman"/>
          <w:color w:val="auto"/>
        </w:rPr>
        <w:fldChar w:fldCharType="separate"/>
      </w:r>
      <w:r>
        <w:rPr>
          <w:rFonts w:ascii="Times New Roman" w:hAnsi="Times New Roman" w:cs="Times New Roman"/>
          <w:color w:val="auto"/>
        </w:rPr>
        <w:fldChar w:fldCharType="end"/>
      </w:r>
      <w:r>
        <w:rPr>
          <w:rFonts w:hint="eastAsia" w:ascii="Times New Roman" w:hAnsi="Times New Roman" w:cs="Times New Roman"/>
          <w:bCs/>
          <w:color w:val="auto"/>
        </w:rPr>
        <w:t>2024XFCG-20</w:t>
      </w:r>
    </w:p>
    <w:tbl>
      <w:tblPr>
        <w:tblStyle w:val="21"/>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4240AB69">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vAlign w:val="center"/>
          </w:tcPr>
          <w:p w14:paraId="73F596F3">
            <w:pPr>
              <w:pStyle w:val="35"/>
              <w:adjustRightInd/>
              <w:spacing w:before="0" w:after="0" w:line="324" w:lineRule="auto"/>
              <w:rPr>
                <w:rFonts w:ascii="Times New Roman" w:hAnsi="Times New Roman" w:eastAsiaTheme="minorEastAsia"/>
                <w:color w:val="auto"/>
                <w:szCs w:val="24"/>
              </w:rPr>
            </w:pPr>
            <w:r>
              <w:rPr>
                <w:rFonts w:ascii="Times New Roman" w:hAnsi="Times New Roman" w:eastAsiaTheme="minorEastAsia"/>
                <w:snapToGrid/>
                <w:color w:val="auto"/>
                <w:spacing w:val="0"/>
                <w:kern w:val="2"/>
                <w:szCs w:val="24"/>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vAlign w:val="center"/>
          </w:tcPr>
          <w:p w14:paraId="15716840">
            <w:pPr>
              <w:pStyle w:val="35"/>
              <w:adjustRightInd/>
              <w:spacing w:before="0" w:after="0" w:line="324" w:lineRule="auto"/>
              <w:rPr>
                <w:rFonts w:ascii="Times New Roman" w:hAnsi="Times New Roman" w:eastAsiaTheme="minorEastAsia"/>
                <w:color w:val="auto"/>
                <w:szCs w:val="24"/>
              </w:rPr>
            </w:pPr>
            <w:r>
              <w:rPr>
                <w:rFonts w:ascii="Times New Roman" w:hAnsi="Times New Roman" w:eastAsiaTheme="minorEastAsia"/>
                <w:snapToGrid/>
                <w:color w:val="auto"/>
                <w:spacing w:val="0"/>
                <w:kern w:val="2"/>
                <w:szCs w:val="24"/>
              </w:rPr>
              <w:t>合计</w:t>
            </w:r>
          </w:p>
        </w:tc>
      </w:tr>
      <w:tr w14:paraId="04F04993">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vAlign w:val="center"/>
          </w:tcPr>
          <w:p w14:paraId="7C895AEC">
            <w:pPr>
              <w:pStyle w:val="35"/>
              <w:adjustRightInd/>
              <w:spacing w:before="0" w:after="0" w:line="324" w:lineRule="auto"/>
              <w:rPr>
                <w:rFonts w:ascii="Times New Roman" w:hAnsi="Times New Roman" w:eastAsiaTheme="minorEastAsia"/>
                <w:snapToGrid/>
                <w:color w:val="auto"/>
                <w:spacing w:val="0"/>
                <w:kern w:val="2"/>
                <w:szCs w:val="24"/>
              </w:rPr>
            </w:pPr>
            <w:r>
              <w:rPr>
                <w:rFonts w:ascii="Times New Roman" w:hAnsi="Times New Roman" w:eastAsiaTheme="minorEastAsia"/>
                <w:snapToGrid/>
                <w:color w:val="auto"/>
                <w:spacing w:val="0"/>
                <w:kern w:val="2"/>
                <w:szCs w:val="24"/>
              </w:rPr>
              <w:t>报价合计</w:t>
            </w:r>
          </w:p>
        </w:tc>
        <w:tc>
          <w:tcPr>
            <w:tcW w:w="6995" w:type="dxa"/>
            <w:tcBorders>
              <w:top w:val="single" w:color="auto" w:sz="4" w:space="0"/>
              <w:left w:val="single" w:color="auto" w:sz="4" w:space="0"/>
              <w:bottom w:val="single" w:color="auto" w:sz="4" w:space="0"/>
              <w:right w:val="single" w:color="auto" w:sz="4" w:space="0"/>
            </w:tcBorders>
            <w:vAlign w:val="center"/>
          </w:tcPr>
          <w:p w14:paraId="0117F905">
            <w:pPr>
              <w:pStyle w:val="35"/>
              <w:adjustRightInd/>
              <w:spacing w:before="0" w:after="0" w:line="324" w:lineRule="auto"/>
              <w:jc w:val="both"/>
              <w:rPr>
                <w:rFonts w:ascii="Times New Roman" w:hAnsi="Times New Roman" w:eastAsiaTheme="minorEastAsia"/>
                <w:color w:val="auto"/>
                <w:szCs w:val="24"/>
              </w:rPr>
            </w:pPr>
            <w:r>
              <w:rPr>
                <w:rFonts w:ascii="Times New Roman" w:hAnsi="Times New Roman" w:eastAsiaTheme="minorEastAsia"/>
                <w:color w:val="auto"/>
                <w:szCs w:val="24"/>
              </w:rPr>
              <w:t>小写：</w:t>
            </w:r>
            <w:r>
              <w:rPr>
                <w:rFonts w:ascii="Times New Roman" w:hAnsi="Times New Roman" w:eastAsiaTheme="minorEastAsia"/>
                <w:color w:val="auto"/>
                <w:szCs w:val="24"/>
                <w:u w:val="single"/>
              </w:rPr>
              <w:t xml:space="preserve">      </w:t>
            </w:r>
            <w:r>
              <w:rPr>
                <w:rFonts w:hint="eastAsia" w:ascii="Times New Roman" w:hAnsi="Times New Roman" w:eastAsiaTheme="minorEastAsia"/>
                <w:color w:val="auto"/>
                <w:szCs w:val="24"/>
              </w:rPr>
              <w:t>元</w:t>
            </w:r>
          </w:p>
          <w:p w14:paraId="07F87B6C">
            <w:pPr>
              <w:pStyle w:val="35"/>
              <w:adjustRightInd/>
              <w:spacing w:before="0" w:after="0" w:line="324" w:lineRule="auto"/>
              <w:jc w:val="both"/>
              <w:rPr>
                <w:rFonts w:ascii="Times New Roman" w:hAnsi="Times New Roman" w:eastAsiaTheme="minorEastAsia"/>
                <w:snapToGrid/>
                <w:color w:val="auto"/>
                <w:spacing w:val="0"/>
                <w:kern w:val="2"/>
                <w:szCs w:val="24"/>
              </w:rPr>
            </w:pPr>
            <w:r>
              <w:rPr>
                <w:rFonts w:ascii="Times New Roman" w:hAnsi="Times New Roman" w:eastAsiaTheme="minorEastAsia"/>
                <w:color w:val="auto"/>
                <w:szCs w:val="24"/>
              </w:rPr>
              <w:t>大写：</w:t>
            </w:r>
            <w:r>
              <w:rPr>
                <w:rFonts w:hint="eastAsia" w:ascii="Times New Roman" w:hAnsi="Times New Roman" w:eastAsiaTheme="minorEastAsia"/>
                <w:color w:val="auto"/>
                <w:szCs w:val="24"/>
              </w:rPr>
              <w:t>人民币</w:t>
            </w:r>
            <w:r>
              <w:rPr>
                <w:rFonts w:ascii="Times New Roman" w:hAnsi="Times New Roman" w:eastAsiaTheme="minorEastAsia"/>
                <w:color w:val="auto"/>
                <w:szCs w:val="24"/>
                <w:u w:val="single"/>
              </w:rPr>
              <w:t xml:space="preserve">         </w:t>
            </w:r>
          </w:p>
        </w:tc>
      </w:tr>
    </w:tbl>
    <w:p w14:paraId="0DACBDC9">
      <w:pPr>
        <w:spacing w:line="324" w:lineRule="auto"/>
        <w:jc w:val="left"/>
        <w:rPr>
          <w:rFonts w:ascii="Times New Roman" w:hAnsi="Times New Roman" w:cs="Times New Roman"/>
          <w:color w:val="auto"/>
        </w:rPr>
      </w:pPr>
      <w:r>
        <w:rPr>
          <w:rFonts w:hint="eastAsia" w:ascii="Times New Roman" w:hAnsi="Times New Roman" w:cs="Times New Roman"/>
          <w:color w:val="auto"/>
        </w:rPr>
        <w:t>注：</w:t>
      </w:r>
    </w:p>
    <w:p w14:paraId="609CF94A">
      <w:pPr>
        <w:spacing w:line="324" w:lineRule="auto"/>
        <w:jc w:val="left"/>
        <w:rPr>
          <w:rFonts w:ascii="Times New Roman" w:hAnsi="Times New Roman" w:cs="Times New Roman"/>
          <w:color w:val="auto"/>
        </w:rPr>
      </w:pPr>
      <w:r>
        <w:rPr>
          <w:rFonts w:hint="eastAsia" w:ascii="Times New Roman" w:hAnsi="Times New Roman" w:cs="Times New Roman"/>
          <w:color w:val="auto"/>
        </w:rPr>
        <w:t>1、</w:t>
      </w:r>
      <w:r>
        <w:rPr>
          <w:rFonts w:hint="eastAsia" w:ascii="宋体" w:hAnsi="宋体" w:cs="宋体"/>
          <w:color w:val="auto"/>
        </w:rPr>
        <w:t>总价应为各分项报价之和，响应文件差异修正准则参见响应文件说明</w:t>
      </w:r>
      <w:r>
        <w:rPr>
          <w:rFonts w:hint="eastAsia" w:ascii="Times New Roman" w:hAnsi="Times New Roman" w:cs="Times New Roman"/>
          <w:color w:val="auto"/>
        </w:rPr>
        <w:t>。</w:t>
      </w:r>
    </w:p>
    <w:p w14:paraId="1AC5E099">
      <w:pPr>
        <w:spacing w:line="324" w:lineRule="auto"/>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报价表述限于选用中文大写或阿拉伯数字小写，均已核定准确无误。</w:t>
      </w:r>
    </w:p>
    <w:p w14:paraId="1B84A9C2">
      <w:pPr>
        <w:spacing w:line="324" w:lineRule="auto"/>
        <w:rPr>
          <w:rFonts w:ascii="Times New Roman" w:hAnsi="Times New Roman" w:cs="Times New Roman"/>
          <w:b/>
          <w:color w:val="auto"/>
        </w:rPr>
      </w:pPr>
    </w:p>
    <w:p w14:paraId="2B464BDD">
      <w:pPr>
        <w:spacing w:line="324" w:lineRule="auto"/>
        <w:rPr>
          <w:rFonts w:ascii="Times New Roman" w:hAnsi="Times New Roman" w:cs="Times New Roman"/>
          <w:b/>
          <w:color w:val="auto"/>
        </w:rPr>
      </w:pPr>
    </w:p>
    <w:p w14:paraId="58D5D114">
      <w:pPr>
        <w:spacing w:line="324" w:lineRule="auto"/>
        <w:ind w:firstLine="420" w:firstLineChars="200"/>
        <w:jc w:val="right"/>
        <w:rPr>
          <w:rFonts w:ascii="Times New Roman" w:hAnsi="Times New Roman" w:cs="Times New Roman"/>
          <w:color w:val="auto"/>
          <w:szCs w:val="21"/>
        </w:rPr>
      </w:pPr>
      <w:r>
        <w:rPr>
          <w:rFonts w:ascii="Times New Roman" w:hAnsi="Times New Roman" w:cs="Times New Roman"/>
          <w:color w:val="auto"/>
          <w:szCs w:val="21"/>
        </w:rPr>
        <w:t>供应商名称：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单位名称</w:t>
      </w:r>
      <w:r>
        <w:rPr>
          <w:rFonts w:ascii="Times New Roman" w:hAnsi="Times New Roman" w:cs="Times New Roman"/>
          <w:color w:val="auto"/>
          <w:szCs w:val="21"/>
          <w:u w:val="single"/>
        </w:rPr>
        <w:t xml:space="preserve">全称）                </w:t>
      </w:r>
      <w:r>
        <w:rPr>
          <w:rFonts w:ascii="Times New Roman" w:hAnsi="Times New Roman" w:cs="Times New Roman"/>
          <w:color w:val="auto"/>
          <w:szCs w:val="21"/>
        </w:rPr>
        <w:t>（</w:t>
      </w:r>
      <w:r>
        <w:rPr>
          <w:rFonts w:ascii="Times New Roman" w:hAnsi="Times New Roman" w:cs="Times New Roman"/>
          <w:color w:val="auto"/>
          <w:szCs w:val="21"/>
          <w:lang w:val="zh-CN"/>
        </w:rPr>
        <w:t>加盖供应商公章</w:t>
      </w:r>
      <w:r>
        <w:rPr>
          <w:rFonts w:ascii="Times New Roman" w:hAnsi="Times New Roman" w:cs="Times New Roman"/>
          <w:color w:val="auto"/>
          <w:szCs w:val="21"/>
        </w:rPr>
        <w:t>）</w:t>
      </w:r>
    </w:p>
    <w:p w14:paraId="77882DDC">
      <w:pPr>
        <w:spacing w:line="324" w:lineRule="auto"/>
        <w:jc w:val="right"/>
        <w:rPr>
          <w:rFonts w:ascii="Times New Roman" w:hAnsi="Times New Roman" w:cs="Times New Roman"/>
          <w:color w:val="auto"/>
        </w:rPr>
      </w:pPr>
      <w:r>
        <w:rPr>
          <w:rFonts w:ascii="Times New Roman" w:hAnsi="Times New Roman" w:cs="Times New Roman"/>
          <w:color w:val="auto"/>
        </w:rPr>
        <w:t>授权代表：</w:t>
      </w:r>
      <w:r>
        <w:rPr>
          <w:rFonts w:ascii="Times New Roman" w:hAnsi="Times New Roman" w:cs="Times New Roman"/>
          <w:color w:val="auto"/>
          <w:u w:val="single"/>
        </w:rPr>
        <w:t xml:space="preserve">                              </w:t>
      </w:r>
      <w:r>
        <w:rPr>
          <w:rFonts w:ascii="Times New Roman" w:hAnsi="Times New Roman" w:cs="Times New Roman"/>
          <w:color w:val="auto"/>
        </w:rPr>
        <w:t>（亲笔签名）</w:t>
      </w:r>
    </w:p>
    <w:p w14:paraId="4C7609DE">
      <w:pPr>
        <w:spacing w:line="324" w:lineRule="auto"/>
        <w:jc w:val="right"/>
        <w:rPr>
          <w:rFonts w:ascii="Times New Roman" w:hAnsi="Times New Roman" w:cs="Times New Roman"/>
          <w:color w:val="auto"/>
          <w:szCs w:val="21"/>
          <w:u w:val="single"/>
        </w:rPr>
      </w:pPr>
      <w:r>
        <w:rPr>
          <w:rFonts w:ascii="Times New Roman" w:hAnsi="Times New Roman" w:cs="Times New Roman"/>
          <w:color w:val="auto"/>
          <w:szCs w:val="21"/>
        </w:rPr>
        <w:t>日期：</w:t>
      </w:r>
      <w:r>
        <w:rPr>
          <w:rFonts w:ascii="Times New Roman" w:hAnsi="Times New Roman" w:cs="Times New Roman"/>
          <w:color w:val="auto"/>
          <w:szCs w:val="21"/>
          <w:u w:val="single"/>
        </w:rPr>
        <w:t xml:space="preserve">    </w:t>
      </w:r>
      <w:r>
        <w:rPr>
          <w:rFonts w:ascii="Times New Roman" w:hAnsi="Times New Roman" w:cs="Times New Roman"/>
          <w:color w:val="auto"/>
          <w:szCs w:val="21"/>
        </w:rPr>
        <w:t>年</w:t>
      </w:r>
      <w:r>
        <w:rPr>
          <w:rFonts w:ascii="Times New Roman" w:hAnsi="Times New Roman" w:cs="Times New Roman"/>
          <w:color w:val="auto"/>
          <w:szCs w:val="21"/>
          <w:u w:val="single"/>
        </w:rPr>
        <w:t xml:space="preserve">    </w:t>
      </w:r>
      <w:r>
        <w:rPr>
          <w:rFonts w:ascii="Times New Roman" w:hAnsi="Times New Roman" w:cs="Times New Roman"/>
          <w:color w:val="auto"/>
          <w:szCs w:val="21"/>
        </w:rPr>
        <w:t>月</w:t>
      </w:r>
      <w:r>
        <w:rPr>
          <w:rFonts w:ascii="Times New Roman" w:hAnsi="Times New Roman" w:cs="Times New Roman"/>
          <w:color w:val="auto"/>
          <w:szCs w:val="21"/>
          <w:u w:val="single"/>
        </w:rPr>
        <w:t xml:space="preserve">    </w:t>
      </w:r>
      <w:r>
        <w:rPr>
          <w:rFonts w:ascii="Times New Roman" w:hAnsi="Times New Roman" w:cs="Times New Roman"/>
          <w:color w:val="auto"/>
          <w:szCs w:val="21"/>
        </w:rPr>
        <w:t>日</w:t>
      </w:r>
    </w:p>
    <w:p w14:paraId="519E55A1">
      <w:pPr>
        <w:pStyle w:val="20"/>
        <w:spacing w:before="0" w:after="0" w:line="324" w:lineRule="auto"/>
        <w:ind w:left="0" w:leftChars="0" w:firstLine="0" w:firstLineChars="0"/>
        <w:rPr>
          <w:rFonts w:eastAsiaTheme="minorEastAsia"/>
          <w:b/>
          <w:color w:val="auto"/>
        </w:rPr>
      </w:pPr>
    </w:p>
    <w:p w14:paraId="6AFBB147">
      <w:pPr>
        <w:pStyle w:val="20"/>
        <w:spacing w:before="0" w:after="0" w:line="324" w:lineRule="auto"/>
        <w:ind w:left="0" w:leftChars="0" w:firstLine="0" w:firstLineChars="0"/>
        <w:rPr>
          <w:rFonts w:eastAsiaTheme="minorEastAsia"/>
          <w:b/>
          <w:color w:val="auto"/>
        </w:rPr>
        <w:sectPr>
          <w:headerReference r:id="rId9" w:type="default"/>
          <w:pgSz w:w="11906" w:h="16838"/>
          <w:pgMar w:top="1134" w:right="1134" w:bottom="1134" w:left="1588" w:header="567" w:footer="737" w:gutter="0"/>
          <w:cols w:space="720" w:num="1"/>
          <w:docGrid w:linePitch="312" w:charSpace="0"/>
        </w:sectPr>
      </w:pPr>
    </w:p>
    <w:p w14:paraId="7AA5C188">
      <w:pPr>
        <w:pStyle w:val="2"/>
        <w:pageBreakBefore/>
        <w:spacing w:line="324" w:lineRule="auto"/>
        <w:rPr>
          <w:rFonts w:ascii="Times New Roman" w:hAnsi="Times New Roman" w:eastAsiaTheme="minorEastAsia"/>
          <w:color w:val="auto"/>
          <w:sz w:val="36"/>
          <w:szCs w:val="36"/>
          <w:shd w:val="clear" w:color="auto" w:fill="CCFFFF"/>
        </w:rPr>
        <w:sectPr>
          <w:pgSz w:w="11906" w:h="16838"/>
          <w:pgMar w:top="1134" w:right="1134" w:bottom="1134" w:left="1588" w:header="567" w:footer="737" w:gutter="0"/>
          <w:cols w:space="720" w:num="1"/>
          <w:docGrid w:linePitch="312" w:charSpace="0"/>
        </w:sectPr>
      </w:pPr>
      <w:bookmarkStart w:id="243" w:name="_Toc419106583"/>
      <w:bookmarkStart w:id="244" w:name="_Toc30104"/>
      <w:bookmarkStart w:id="245" w:name="_Toc259803673"/>
      <w:bookmarkStart w:id="246" w:name="_Toc1321"/>
      <w:r>
        <w:rPr>
          <w:rFonts w:ascii="Times New Roman" w:hAnsi="Times New Roman" w:eastAsiaTheme="minorEastAsia"/>
          <w:color w:val="auto"/>
          <w:sz w:val="36"/>
          <w:szCs w:val="36"/>
        </w:rPr>
        <w:t>第六章 其他文件</w:t>
      </w:r>
      <w:bookmarkEnd w:id="238"/>
      <w:bookmarkEnd w:id="243"/>
      <w:bookmarkEnd w:id="244"/>
      <w:bookmarkEnd w:id="245"/>
      <w:bookmarkEnd w:id="246"/>
    </w:p>
    <w:p w14:paraId="414995FE">
      <w:pPr>
        <w:pageBreakBefore/>
        <w:spacing w:line="324" w:lineRule="auto"/>
        <w:jc w:val="center"/>
        <w:outlineLvl w:val="1"/>
        <w:rPr>
          <w:rFonts w:ascii="Times New Roman" w:hAnsi="Times New Roman" w:cs="Times New Roman"/>
          <w:b/>
          <w:color w:val="auto"/>
          <w:sz w:val="36"/>
        </w:rPr>
      </w:pPr>
      <w:bookmarkStart w:id="247" w:name="_Toc18123"/>
      <w:bookmarkStart w:id="248" w:name="_Toc11055"/>
      <w:bookmarkStart w:id="249" w:name="_Toc28248"/>
      <w:bookmarkStart w:id="250" w:name="_Toc419106584"/>
      <w:r>
        <w:rPr>
          <w:rFonts w:ascii="Times New Roman" w:hAnsi="Times New Roman" w:cs="Times New Roman"/>
          <w:b/>
          <w:color w:val="auto"/>
          <w:sz w:val="36"/>
        </w:rPr>
        <w:t>其它文件资料</w:t>
      </w:r>
      <w:bookmarkEnd w:id="247"/>
      <w:bookmarkEnd w:id="248"/>
      <w:bookmarkEnd w:id="249"/>
      <w:bookmarkEnd w:id="250"/>
    </w:p>
    <w:p w14:paraId="0A5F2E29">
      <w:pPr>
        <w:spacing w:line="324" w:lineRule="auto"/>
        <w:rPr>
          <w:rFonts w:ascii="Times New Roman" w:hAnsi="Times New Roman" w:cs="Times New Roman"/>
          <w:color w:val="auto"/>
          <w:sz w:val="28"/>
          <w:szCs w:val="28"/>
        </w:rPr>
      </w:pPr>
    </w:p>
    <w:p w14:paraId="3BDF2092">
      <w:pPr>
        <w:numPr>
          <w:ilvl w:val="255"/>
          <w:numId w:val="0"/>
        </w:numPr>
        <w:spacing w:line="324" w:lineRule="auto"/>
        <w:ind w:left="-510" w:firstLine="562" w:firstLineChars="200"/>
        <w:rPr>
          <w:rFonts w:ascii="Times New Roman" w:hAnsi="Times New Roman" w:cs="Times New Roman"/>
          <w:color w:val="auto"/>
          <w:sz w:val="28"/>
          <w:szCs w:val="28"/>
        </w:rPr>
      </w:pPr>
      <w:r>
        <w:rPr>
          <w:rFonts w:hint="eastAsia" w:ascii="Times New Roman" w:hAnsi="Times New Roman" w:cs="Times New Roman"/>
          <w:b/>
          <w:color w:val="auto"/>
          <w:sz w:val="28"/>
          <w:szCs w:val="28"/>
        </w:rPr>
        <w:t>一、</w:t>
      </w:r>
      <w:r>
        <w:rPr>
          <w:rFonts w:ascii="Times New Roman" w:hAnsi="Times New Roman" w:cs="Times New Roman"/>
          <w:b/>
          <w:color w:val="auto"/>
          <w:sz w:val="28"/>
          <w:szCs w:val="28"/>
        </w:rPr>
        <w:t>供应商认为有必要提供的其它材料。</w:t>
      </w:r>
    </w:p>
    <w:p w14:paraId="52A12B09">
      <w:pPr>
        <w:spacing w:line="324" w:lineRule="auto"/>
        <w:rPr>
          <w:rFonts w:ascii="Times New Roman" w:hAnsi="Times New Roman" w:cs="Times New Roman"/>
          <w:b/>
          <w:color w:val="auto"/>
          <w:sz w:val="24"/>
        </w:rPr>
      </w:pPr>
      <w:r>
        <w:rPr>
          <w:rFonts w:hint="eastAsia" w:ascii="Times New Roman" w:hAnsi="Times New Roman" w:cs="Times New Roman"/>
          <w:b/>
          <w:color w:val="auto"/>
          <w:sz w:val="24"/>
        </w:rPr>
        <w:t>（</w:t>
      </w:r>
      <w:r>
        <w:rPr>
          <w:rFonts w:ascii="Times New Roman" w:hAnsi="Times New Roman" w:cs="Times New Roman"/>
          <w:color w:val="auto"/>
          <w:sz w:val="24"/>
        </w:rPr>
        <w:t>供应商根据自身实际情况进行提供</w:t>
      </w:r>
      <w:r>
        <w:rPr>
          <w:rFonts w:hint="eastAsia" w:ascii="Times New Roman" w:hAnsi="Times New Roman" w:cs="Times New Roman"/>
          <w:color w:val="auto"/>
          <w:sz w:val="24"/>
        </w:rPr>
        <w:t>。</w:t>
      </w:r>
      <w:r>
        <w:rPr>
          <w:rFonts w:hint="eastAsia" w:ascii="Times New Roman" w:hAnsi="Times New Roman" w:cs="Times New Roman"/>
          <w:b/>
          <w:color w:val="auto"/>
          <w:sz w:val="24"/>
        </w:rPr>
        <w:t>）</w:t>
      </w:r>
    </w:p>
    <w:p w14:paraId="4F7F9367">
      <w:pPr>
        <w:pStyle w:val="9"/>
        <w:spacing w:line="324" w:lineRule="auto"/>
        <w:rPr>
          <w:rFonts w:ascii="Times New Roman" w:hAnsi="Times New Roman" w:cs="Times New Roman"/>
          <w:b/>
          <w:color w:val="auto"/>
          <w:szCs w:val="28"/>
        </w:rPr>
      </w:pPr>
    </w:p>
    <w:p w14:paraId="29F8D055">
      <w:pPr>
        <w:pStyle w:val="9"/>
        <w:spacing w:line="324" w:lineRule="auto"/>
        <w:rPr>
          <w:rFonts w:ascii="Times New Roman" w:hAnsi="Times New Roman" w:cs="Times New Roman"/>
          <w:b/>
          <w:color w:val="auto"/>
          <w:szCs w:val="28"/>
        </w:rPr>
      </w:pPr>
    </w:p>
    <w:p w14:paraId="7A27EC0F">
      <w:pPr>
        <w:pStyle w:val="9"/>
        <w:spacing w:line="324" w:lineRule="auto"/>
        <w:rPr>
          <w:rFonts w:ascii="Times New Roman" w:hAnsi="Times New Roman" w:cs="Times New Roman"/>
          <w:b/>
          <w:color w:val="auto"/>
          <w:szCs w:val="28"/>
        </w:rPr>
      </w:pPr>
    </w:p>
    <w:p w14:paraId="0BE1DE13">
      <w:pPr>
        <w:pStyle w:val="9"/>
        <w:spacing w:line="324" w:lineRule="auto"/>
        <w:rPr>
          <w:rFonts w:ascii="Times New Roman" w:hAnsi="Times New Roman" w:cs="Times New Roman"/>
          <w:b/>
          <w:color w:val="auto"/>
          <w:szCs w:val="28"/>
        </w:rPr>
      </w:pPr>
    </w:p>
    <w:p w14:paraId="744D8EFF">
      <w:pPr>
        <w:spacing w:line="324" w:lineRule="auto"/>
        <w:rPr>
          <w:rFonts w:ascii="Times New Roman" w:hAnsi="Times New Roman" w:cs="Times New Roman"/>
          <w:b/>
          <w:color w:val="auto"/>
          <w:sz w:val="28"/>
          <w:szCs w:val="28"/>
        </w:rPr>
      </w:pPr>
      <w:r>
        <w:rPr>
          <w:rFonts w:ascii="Times New Roman" w:hAnsi="Times New Roman" w:cs="Times New Roman"/>
          <w:b/>
          <w:color w:val="auto"/>
          <w:sz w:val="28"/>
          <w:szCs w:val="28"/>
        </w:rPr>
        <w:t>二、唱标信封</w:t>
      </w:r>
    </w:p>
    <w:p w14:paraId="45602D02">
      <w:pPr>
        <w:spacing w:line="324"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fldChar w:fldCharType="begin"/>
      </w:r>
      <w:r>
        <w:rPr>
          <w:rFonts w:ascii="Times New Roman" w:hAnsi="Times New Roman" w:cs="Times New Roman"/>
          <w:b/>
          <w:bCs/>
          <w:color w:val="auto"/>
          <w:sz w:val="28"/>
          <w:szCs w:val="28"/>
        </w:rPr>
        <w:instrText xml:space="preserve"> DOCVARIABLE  报价一览表开始  \* MERGEFORMAT </w:instrText>
      </w:r>
      <w:r>
        <w:rPr>
          <w:rFonts w:ascii="Times New Roman" w:hAnsi="Times New Roman" w:cs="Times New Roman"/>
          <w:b/>
          <w:bCs/>
          <w:color w:val="auto"/>
          <w:sz w:val="28"/>
          <w:szCs w:val="28"/>
        </w:rPr>
        <w:fldChar w:fldCharType="separate"/>
      </w:r>
      <w:r>
        <w:rPr>
          <w:rFonts w:ascii="Times New Roman" w:hAnsi="Times New Roman" w:cs="Times New Roman"/>
          <w:b/>
          <w:bCs/>
          <w:color w:val="auto"/>
          <w:sz w:val="28"/>
          <w:szCs w:val="28"/>
        </w:rPr>
        <w:fldChar w:fldCharType="end"/>
      </w:r>
      <w:r>
        <w:rPr>
          <w:rFonts w:ascii="Times New Roman" w:hAnsi="Times New Roman" w:cs="Times New Roman"/>
          <w:b/>
          <w:bCs/>
          <w:color w:val="auto"/>
          <w:sz w:val="28"/>
          <w:szCs w:val="28"/>
        </w:rPr>
        <w:t>报价汇总表</w:t>
      </w:r>
    </w:p>
    <w:p w14:paraId="651E4E09">
      <w:pPr>
        <w:spacing w:line="324" w:lineRule="auto"/>
        <w:jc w:val="left"/>
        <w:rPr>
          <w:rFonts w:ascii="Times New Roman" w:hAnsi="Times New Roman" w:cs="Times New Roman"/>
          <w:bCs/>
          <w:color w:val="auto"/>
          <w:sz w:val="28"/>
          <w:szCs w:val="28"/>
        </w:rPr>
      </w:pPr>
    </w:p>
    <w:p w14:paraId="4965CFC6">
      <w:pPr>
        <w:tabs>
          <w:tab w:val="left" w:pos="5940"/>
        </w:tabs>
        <w:spacing w:line="324" w:lineRule="auto"/>
        <w:jc w:val="left"/>
        <w:rPr>
          <w:rFonts w:ascii="Times New Roman" w:hAnsi="Times New Roman" w:cs="Times New Roman"/>
          <w:bCs/>
          <w:color w:val="auto"/>
        </w:rPr>
      </w:pPr>
      <w:r>
        <w:rPr>
          <w:rFonts w:ascii="Times New Roman" w:hAnsi="Times New Roman" w:cs="Times New Roman"/>
          <w:bCs/>
          <w:color w:val="auto"/>
        </w:rPr>
        <w:t xml:space="preserve">项目名称： </w:t>
      </w:r>
      <w:r>
        <w:rPr>
          <w:rFonts w:hint="eastAsia" w:ascii="Times New Roman" w:hAnsi="Times New Roman" w:cs="Times New Roman"/>
          <w:bCs/>
          <w:color w:val="auto"/>
        </w:rPr>
        <w:t>佛山市消防救援支队2024年全媒体中心驻点服务项目</w:t>
      </w:r>
      <w:r>
        <w:rPr>
          <w:rFonts w:ascii="Times New Roman" w:hAnsi="Times New Roman" w:cs="Times New Roman"/>
          <w:color w:val="auto"/>
        </w:rPr>
        <w:fldChar w:fldCharType="begin"/>
      </w:r>
      <w:r>
        <w:rPr>
          <w:rFonts w:ascii="Times New Roman" w:hAnsi="Times New Roman" w:cs="Times New Roman"/>
          <w:color w:val="auto"/>
        </w:rPr>
        <w:instrText xml:space="preserve"> DOCVARIABLE  项目名称  \* MERGEFORMAT </w:instrText>
      </w:r>
      <w:r>
        <w:rPr>
          <w:rFonts w:ascii="Times New Roman" w:hAnsi="Times New Roman" w:cs="Times New Roman"/>
          <w:color w:val="auto"/>
        </w:rPr>
        <w:fldChar w:fldCharType="separate"/>
      </w:r>
      <w:r>
        <w:rPr>
          <w:rFonts w:ascii="Times New Roman" w:hAnsi="Times New Roman" w:cs="Times New Roman"/>
          <w:color w:val="auto"/>
        </w:rPr>
        <w:fldChar w:fldCharType="end"/>
      </w:r>
    </w:p>
    <w:p w14:paraId="3C4209AF">
      <w:pPr>
        <w:tabs>
          <w:tab w:val="left" w:pos="5940"/>
        </w:tabs>
        <w:spacing w:line="324" w:lineRule="auto"/>
        <w:jc w:val="left"/>
        <w:rPr>
          <w:rFonts w:ascii="Times New Roman" w:hAnsi="Times New Roman" w:cs="Times New Roman"/>
          <w:bCs/>
          <w:color w:val="auto"/>
        </w:rPr>
      </w:pPr>
      <w:r>
        <w:rPr>
          <w:rFonts w:ascii="Times New Roman" w:hAnsi="Times New Roman" w:cs="Times New Roman"/>
          <w:bCs/>
          <w:color w:val="auto"/>
        </w:rPr>
        <w:t>项目编号：</w:t>
      </w:r>
      <w:r>
        <w:rPr>
          <w:rFonts w:ascii="Times New Roman" w:hAnsi="Times New Roman" w:cs="Times New Roman"/>
          <w:color w:val="auto"/>
        </w:rPr>
        <w:fldChar w:fldCharType="begin"/>
      </w:r>
      <w:r>
        <w:rPr>
          <w:rFonts w:ascii="Times New Roman" w:hAnsi="Times New Roman" w:cs="Times New Roman"/>
          <w:color w:val="auto"/>
        </w:rPr>
        <w:instrText xml:space="preserve"> DOCVARIABLE  采购编号  \* MERGEFORMAT </w:instrText>
      </w:r>
      <w:r>
        <w:rPr>
          <w:rFonts w:ascii="Times New Roman" w:hAnsi="Times New Roman" w:cs="Times New Roman"/>
          <w:color w:val="auto"/>
        </w:rPr>
        <w:fldChar w:fldCharType="separate"/>
      </w:r>
      <w:r>
        <w:rPr>
          <w:rFonts w:ascii="Times New Roman" w:hAnsi="Times New Roman" w:cs="Times New Roman"/>
          <w:color w:val="auto"/>
        </w:rPr>
        <w:fldChar w:fldCharType="end"/>
      </w:r>
      <w:r>
        <w:rPr>
          <w:rFonts w:ascii="Times New Roman" w:hAnsi="Times New Roman" w:cs="Times New Roman"/>
          <w:bCs/>
          <w:color w:val="auto"/>
        </w:rPr>
        <w:t xml:space="preserve"> </w:t>
      </w:r>
      <w:r>
        <w:rPr>
          <w:rFonts w:hint="eastAsia" w:ascii="Times New Roman" w:hAnsi="Times New Roman" w:cs="Times New Roman"/>
          <w:bCs/>
          <w:color w:val="auto"/>
        </w:rPr>
        <w:t>2024XFCG-20</w:t>
      </w:r>
    </w:p>
    <w:tbl>
      <w:tblPr>
        <w:tblStyle w:val="21"/>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4B1AA515">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vAlign w:val="center"/>
          </w:tcPr>
          <w:p w14:paraId="38C8CF75">
            <w:pPr>
              <w:pStyle w:val="35"/>
              <w:spacing w:before="0" w:after="0" w:line="324" w:lineRule="auto"/>
              <w:rPr>
                <w:rFonts w:ascii="Times New Roman" w:hAnsi="Times New Roman" w:eastAsiaTheme="minorEastAsia"/>
                <w:color w:val="auto"/>
                <w:szCs w:val="24"/>
              </w:rPr>
            </w:pPr>
            <w:r>
              <w:rPr>
                <w:rFonts w:ascii="Times New Roman" w:hAnsi="Times New Roman" w:eastAsiaTheme="minorEastAsia"/>
                <w:snapToGrid/>
                <w:color w:val="auto"/>
                <w:spacing w:val="0"/>
                <w:kern w:val="2"/>
                <w:szCs w:val="24"/>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vAlign w:val="center"/>
          </w:tcPr>
          <w:p w14:paraId="4CD22EC3">
            <w:pPr>
              <w:pStyle w:val="35"/>
              <w:spacing w:before="0" w:after="0" w:line="324" w:lineRule="auto"/>
              <w:rPr>
                <w:rFonts w:ascii="Times New Roman" w:hAnsi="Times New Roman" w:eastAsiaTheme="minorEastAsia"/>
                <w:color w:val="auto"/>
                <w:szCs w:val="24"/>
              </w:rPr>
            </w:pPr>
            <w:r>
              <w:rPr>
                <w:rFonts w:ascii="Times New Roman" w:hAnsi="Times New Roman" w:eastAsiaTheme="minorEastAsia"/>
                <w:snapToGrid/>
                <w:color w:val="auto"/>
                <w:spacing w:val="0"/>
                <w:kern w:val="2"/>
                <w:szCs w:val="24"/>
              </w:rPr>
              <w:t>合计</w:t>
            </w:r>
          </w:p>
        </w:tc>
      </w:tr>
      <w:tr w14:paraId="5146D77E">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vAlign w:val="center"/>
          </w:tcPr>
          <w:p w14:paraId="792FB7A1">
            <w:pPr>
              <w:pStyle w:val="35"/>
              <w:spacing w:before="0" w:after="0" w:line="324" w:lineRule="auto"/>
              <w:rPr>
                <w:rFonts w:ascii="Times New Roman" w:hAnsi="Times New Roman" w:eastAsiaTheme="minorEastAsia"/>
                <w:snapToGrid/>
                <w:color w:val="auto"/>
                <w:spacing w:val="0"/>
                <w:kern w:val="2"/>
                <w:szCs w:val="24"/>
              </w:rPr>
            </w:pPr>
            <w:r>
              <w:rPr>
                <w:rFonts w:ascii="Times New Roman" w:hAnsi="Times New Roman" w:eastAsiaTheme="minorEastAsia"/>
                <w:snapToGrid/>
                <w:color w:val="auto"/>
                <w:spacing w:val="0"/>
                <w:kern w:val="2"/>
                <w:szCs w:val="24"/>
              </w:rPr>
              <w:t>报价合计</w:t>
            </w:r>
          </w:p>
        </w:tc>
        <w:tc>
          <w:tcPr>
            <w:tcW w:w="6995" w:type="dxa"/>
            <w:tcBorders>
              <w:top w:val="single" w:color="auto" w:sz="4" w:space="0"/>
              <w:left w:val="single" w:color="auto" w:sz="4" w:space="0"/>
              <w:bottom w:val="single" w:color="auto" w:sz="4" w:space="0"/>
              <w:right w:val="single" w:color="auto" w:sz="4" w:space="0"/>
            </w:tcBorders>
            <w:vAlign w:val="center"/>
          </w:tcPr>
          <w:p w14:paraId="3031A6DA">
            <w:pPr>
              <w:pStyle w:val="35"/>
              <w:spacing w:before="0" w:after="0" w:line="324" w:lineRule="auto"/>
              <w:jc w:val="both"/>
              <w:rPr>
                <w:rFonts w:ascii="Times New Roman" w:hAnsi="Times New Roman" w:eastAsiaTheme="minorEastAsia"/>
                <w:color w:val="auto"/>
                <w:szCs w:val="24"/>
              </w:rPr>
            </w:pPr>
            <w:r>
              <w:rPr>
                <w:rFonts w:ascii="Times New Roman" w:hAnsi="Times New Roman" w:eastAsiaTheme="minorEastAsia"/>
                <w:color w:val="auto"/>
                <w:szCs w:val="24"/>
              </w:rPr>
              <w:t>小写：</w:t>
            </w:r>
            <w:r>
              <w:rPr>
                <w:rFonts w:ascii="Times New Roman" w:hAnsi="Times New Roman" w:eastAsiaTheme="minorEastAsia"/>
                <w:color w:val="auto"/>
                <w:szCs w:val="24"/>
                <w:u w:val="single"/>
              </w:rPr>
              <w:t xml:space="preserve">      </w:t>
            </w:r>
            <w:r>
              <w:rPr>
                <w:rFonts w:hint="eastAsia" w:ascii="Times New Roman" w:hAnsi="Times New Roman" w:eastAsiaTheme="minorEastAsia"/>
                <w:color w:val="auto"/>
                <w:szCs w:val="24"/>
              </w:rPr>
              <w:t>元</w:t>
            </w:r>
          </w:p>
          <w:p w14:paraId="482B3CC3">
            <w:pPr>
              <w:pStyle w:val="35"/>
              <w:spacing w:before="0" w:after="0" w:line="324" w:lineRule="auto"/>
              <w:jc w:val="both"/>
              <w:rPr>
                <w:rFonts w:ascii="Times New Roman" w:hAnsi="Times New Roman" w:eastAsiaTheme="minorEastAsia"/>
                <w:snapToGrid/>
                <w:color w:val="auto"/>
                <w:spacing w:val="0"/>
                <w:kern w:val="2"/>
                <w:szCs w:val="24"/>
              </w:rPr>
            </w:pPr>
            <w:r>
              <w:rPr>
                <w:rFonts w:ascii="Times New Roman" w:hAnsi="Times New Roman" w:eastAsiaTheme="minorEastAsia"/>
                <w:color w:val="auto"/>
                <w:szCs w:val="24"/>
              </w:rPr>
              <w:t>大写：</w:t>
            </w:r>
            <w:r>
              <w:rPr>
                <w:rFonts w:hint="eastAsia" w:ascii="Times New Roman" w:hAnsi="Times New Roman" w:eastAsiaTheme="minorEastAsia"/>
                <w:color w:val="auto"/>
                <w:szCs w:val="24"/>
              </w:rPr>
              <w:t>人民币</w:t>
            </w:r>
            <w:r>
              <w:rPr>
                <w:rFonts w:ascii="Times New Roman" w:hAnsi="Times New Roman" w:eastAsiaTheme="minorEastAsia"/>
                <w:color w:val="auto"/>
                <w:szCs w:val="24"/>
                <w:u w:val="single"/>
              </w:rPr>
              <w:t xml:space="preserve">         </w:t>
            </w:r>
          </w:p>
        </w:tc>
      </w:tr>
    </w:tbl>
    <w:p w14:paraId="6E22A8A2">
      <w:pPr>
        <w:spacing w:line="324" w:lineRule="auto"/>
        <w:jc w:val="left"/>
        <w:rPr>
          <w:rFonts w:ascii="Times New Roman" w:hAnsi="Times New Roman" w:cs="Times New Roman"/>
          <w:color w:val="auto"/>
        </w:rPr>
      </w:pPr>
      <w:r>
        <w:rPr>
          <w:rFonts w:hint="eastAsia" w:ascii="Times New Roman" w:hAnsi="Times New Roman" w:cs="Times New Roman"/>
          <w:color w:val="auto"/>
        </w:rPr>
        <w:t>注：</w:t>
      </w:r>
    </w:p>
    <w:p w14:paraId="65534368">
      <w:pPr>
        <w:spacing w:line="324" w:lineRule="auto"/>
        <w:jc w:val="left"/>
        <w:rPr>
          <w:rFonts w:ascii="Times New Roman" w:hAnsi="Times New Roman" w:cs="Times New Roman"/>
          <w:color w:val="auto"/>
        </w:rPr>
      </w:pPr>
      <w:r>
        <w:rPr>
          <w:rFonts w:hint="eastAsia" w:ascii="Times New Roman" w:hAnsi="Times New Roman" w:cs="Times New Roman"/>
          <w:color w:val="auto"/>
        </w:rPr>
        <w:t>1、</w:t>
      </w:r>
      <w:r>
        <w:rPr>
          <w:rFonts w:hint="eastAsia" w:ascii="宋体" w:hAnsi="宋体" w:cs="宋体"/>
          <w:color w:val="auto"/>
        </w:rPr>
        <w:t>总价应为各分项报价之和，响应文件差异修正准则参见响应文件说明</w:t>
      </w:r>
      <w:r>
        <w:rPr>
          <w:rFonts w:hint="eastAsia" w:ascii="Times New Roman" w:hAnsi="Times New Roman" w:cs="Times New Roman"/>
          <w:color w:val="auto"/>
        </w:rPr>
        <w:t>。</w:t>
      </w:r>
    </w:p>
    <w:p w14:paraId="72F02643">
      <w:pPr>
        <w:spacing w:line="324" w:lineRule="auto"/>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报价表述限于选用中文大写或阿拉伯数字小写，均已核定准确无误。</w:t>
      </w:r>
    </w:p>
    <w:p w14:paraId="304225CC">
      <w:pPr>
        <w:spacing w:line="324" w:lineRule="auto"/>
        <w:rPr>
          <w:rFonts w:ascii="Times New Roman" w:hAnsi="Times New Roman" w:cs="Times New Roman"/>
          <w:b/>
          <w:color w:val="auto"/>
        </w:rPr>
      </w:pPr>
    </w:p>
    <w:p w14:paraId="45157992">
      <w:pPr>
        <w:spacing w:line="324" w:lineRule="auto"/>
        <w:rPr>
          <w:rFonts w:ascii="Times New Roman" w:hAnsi="Times New Roman" w:cs="Times New Roman"/>
          <w:b/>
          <w:color w:val="auto"/>
        </w:rPr>
      </w:pPr>
    </w:p>
    <w:p w14:paraId="32C3D033">
      <w:pPr>
        <w:spacing w:line="324" w:lineRule="auto"/>
        <w:ind w:firstLine="420" w:firstLineChars="200"/>
        <w:jc w:val="right"/>
        <w:rPr>
          <w:rFonts w:ascii="Times New Roman" w:hAnsi="Times New Roman" w:cs="Times New Roman"/>
          <w:color w:val="auto"/>
          <w:szCs w:val="21"/>
        </w:rPr>
      </w:pPr>
      <w:r>
        <w:rPr>
          <w:rFonts w:ascii="Times New Roman" w:hAnsi="Times New Roman" w:cs="Times New Roman"/>
          <w:color w:val="auto"/>
          <w:szCs w:val="21"/>
        </w:rPr>
        <w:t>供应商名称：</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单位名称</w:t>
      </w:r>
      <w:r>
        <w:rPr>
          <w:rFonts w:ascii="Times New Roman" w:hAnsi="Times New Roman" w:cs="Times New Roman"/>
          <w:color w:val="auto"/>
          <w:szCs w:val="21"/>
          <w:u w:val="single"/>
        </w:rPr>
        <w:t xml:space="preserve">全称）                </w:t>
      </w:r>
      <w:r>
        <w:rPr>
          <w:rFonts w:ascii="Times New Roman" w:hAnsi="Times New Roman" w:cs="Times New Roman"/>
          <w:color w:val="auto"/>
          <w:szCs w:val="21"/>
        </w:rPr>
        <w:t>（</w:t>
      </w:r>
      <w:r>
        <w:rPr>
          <w:rFonts w:ascii="Times New Roman" w:hAnsi="Times New Roman" w:cs="Times New Roman"/>
          <w:color w:val="auto"/>
          <w:szCs w:val="21"/>
          <w:lang w:val="zh-CN"/>
        </w:rPr>
        <w:t>加盖供应商公章</w:t>
      </w:r>
      <w:r>
        <w:rPr>
          <w:rFonts w:ascii="Times New Roman" w:hAnsi="Times New Roman" w:cs="Times New Roman"/>
          <w:color w:val="auto"/>
          <w:szCs w:val="21"/>
        </w:rPr>
        <w:t>）</w:t>
      </w:r>
    </w:p>
    <w:p w14:paraId="60821639">
      <w:pPr>
        <w:spacing w:line="324" w:lineRule="auto"/>
        <w:jc w:val="right"/>
        <w:rPr>
          <w:rFonts w:ascii="Times New Roman" w:hAnsi="Times New Roman" w:cs="Times New Roman"/>
          <w:color w:val="auto"/>
        </w:rPr>
      </w:pPr>
      <w:r>
        <w:rPr>
          <w:rFonts w:ascii="Times New Roman" w:hAnsi="Times New Roman" w:cs="Times New Roman"/>
          <w:color w:val="auto"/>
        </w:rPr>
        <w:t>授权代表：</w:t>
      </w:r>
      <w:r>
        <w:rPr>
          <w:rFonts w:ascii="Times New Roman" w:hAnsi="Times New Roman" w:cs="Times New Roman"/>
          <w:color w:val="auto"/>
          <w:u w:val="single"/>
        </w:rPr>
        <w:t xml:space="preserve">                              </w:t>
      </w:r>
      <w:r>
        <w:rPr>
          <w:rFonts w:ascii="Times New Roman" w:hAnsi="Times New Roman" w:cs="Times New Roman"/>
          <w:color w:val="auto"/>
        </w:rPr>
        <w:t>（亲笔签名）</w:t>
      </w:r>
    </w:p>
    <w:p w14:paraId="27261E75">
      <w:pPr>
        <w:spacing w:line="324" w:lineRule="auto"/>
        <w:jc w:val="right"/>
        <w:rPr>
          <w:rFonts w:ascii="Times New Roman" w:hAnsi="Times New Roman" w:cs="Times New Roman"/>
          <w:color w:val="auto"/>
          <w:szCs w:val="21"/>
          <w:u w:val="single"/>
        </w:rPr>
      </w:pPr>
      <w:r>
        <w:rPr>
          <w:rFonts w:ascii="Times New Roman" w:hAnsi="Times New Roman" w:cs="Times New Roman"/>
          <w:color w:val="auto"/>
          <w:szCs w:val="21"/>
        </w:rPr>
        <w:t>日期：</w:t>
      </w:r>
      <w:r>
        <w:rPr>
          <w:rFonts w:ascii="Times New Roman" w:hAnsi="Times New Roman" w:cs="Times New Roman"/>
          <w:color w:val="auto"/>
          <w:szCs w:val="21"/>
          <w:u w:val="single"/>
        </w:rPr>
        <w:t xml:space="preserve">    </w:t>
      </w:r>
      <w:r>
        <w:rPr>
          <w:rFonts w:ascii="Times New Roman" w:hAnsi="Times New Roman" w:cs="Times New Roman"/>
          <w:color w:val="auto"/>
          <w:szCs w:val="21"/>
        </w:rPr>
        <w:t>年</w:t>
      </w:r>
      <w:r>
        <w:rPr>
          <w:rFonts w:ascii="Times New Roman" w:hAnsi="Times New Roman" w:cs="Times New Roman"/>
          <w:color w:val="auto"/>
          <w:szCs w:val="21"/>
          <w:u w:val="single"/>
        </w:rPr>
        <w:t xml:space="preserve">    </w:t>
      </w:r>
      <w:r>
        <w:rPr>
          <w:rFonts w:ascii="Times New Roman" w:hAnsi="Times New Roman" w:cs="Times New Roman"/>
          <w:color w:val="auto"/>
          <w:szCs w:val="21"/>
        </w:rPr>
        <w:t>月</w:t>
      </w:r>
      <w:r>
        <w:rPr>
          <w:rFonts w:ascii="Times New Roman" w:hAnsi="Times New Roman" w:cs="Times New Roman"/>
          <w:color w:val="auto"/>
          <w:szCs w:val="21"/>
          <w:u w:val="single"/>
        </w:rPr>
        <w:t xml:space="preserve">    </w:t>
      </w:r>
      <w:r>
        <w:rPr>
          <w:rFonts w:ascii="Times New Roman" w:hAnsi="Times New Roman" w:cs="Times New Roman"/>
          <w:color w:val="auto"/>
          <w:szCs w:val="21"/>
        </w:rPr>
        <w:t>日</w:t>
      </w:r>
    </w:p>
    <w:p w14:paraId="49729A48">
      <w:pPr>
        <w:spacing w:line="324" w:lineRule="auto"/>
        <w:jc w:val="left"/>
        <w:rPr>
          <w:rFonts w:ascii="Times New Roman" w:hAnsi="Times New Roman" w:cs="Times New Roman"/>
          <w:b/>
          <w:color w:val="auto"/>
        </w:rPr>
      </w:pPr>
    </w:p>
    <w:p w14:paraId="5CB0820B">
      <w:pPr>
        <w:pStyle w:val="20"/>
        <w:spacing w:before="0" w:after="0" w:line="324" w:lineRule="auto"/>
        <w:ind w:left="0" w:leftChars="0" w:firstLine="0" w:firstLineChars="0"/>
        <w:rPr>
          <w:rFonts w:eastAsiaTheme="minorEastAsia"/>
          <w:b/>
          <w:color w:val="auto"/>
        </w:rPr>
        <w:sectPr>
          <w:headerReference r:id="rId10" w:type="default"/>
          <w:pgSz w:w="11906" w:h="16838"/>
          <w:pgMar w:top="1134" w:right="1134" w:bottom="1134" w:left="1588" w:header="567" w:footer="737" w:gutter="0"/>
          <w:cols w:space="720" w:num="1"/>
          <w:docGrid w:linePitch="312" w:charSpace="0"/>
        </w:sectPr>
      </w:pPr>
    </w:p>
    <w:bookmarkEnd w:id="221"/>
    <w:bookmarkEnd w:id="222"/>
    <w:bookmarkEnd w:id="223"/>
    <w:bookmarkEnd w:id="224"/>
    <w:bookmarkEnd w:id="225"/>
    <w:bookmarkEnd w:id="226"/>
    <w:bookmarkEnd w:id="227"/>
    <w:p w14:paraId="4B55566C">
      <w:pPr>
        <w:pageBreakBefore/>
        <w:spacing w:line="324" w:lineRule="auto"/>
        <w:jc w:val="center"/>
        <w:rPr>
          <w:rFonts w:ascii="Times New Roman" w:hAnsi="Times New Roman" w:cs="Times New Roman"/>
          <w:bCs/>
          <w:color w:val="auto"/>
          <w:sz w:val="36"/>
        </w:rPr>
      </w:pPr>
      <w:bookmarkStart w:id="251" w:name="_Toc38337722"/>
      <w:bookmarkStart w:id="252" w:name="_Toc49329276"/>
      <w:bookmarkStart w:id="253" w:name="_Toc22927"/>
      <w:bookmarkStart w:id="254" w:name="_Toc373767224"/>
      <w:bookmarkStart w:id="255" w:name="_Toc18239"/>
      <w:bookmarkStart w:id="256" w:name="_Toc24787"/>
      <w:bookmarkStart w:id="257" w:name="_Toc310519909"/>
      <w:bookmarkStart w:id="258" w:name="_Toc325031964"/>
      <w:bookmarkStart w:id="259" w:name="_Toc419106587"/>
      <w:r>
        <w:rPr>
          <w:rFonts w:ascii="Times New Roman" w:hAnsi="Times New Roman" w:cs="Times New Roman"/>
          <w:bCs/>
          <w:color w:val="auto"/>
          <w:sz w:val="36"/>
        </w:rPr>
        <w:t>文件包装袋</w:t>
      </w:r>
      <w:bookmarkEnd w:id="251"/>
      <w:bookmarkEnd w:id="252"/>
      <w:r>
        <w:rPr>
          <w:rFonts w:ascii="Times New Roman" w:hAnsi="Times New Roman" w:cs="Times New Roman"/>
          <w:bCs/>
          <w:color w:val="auto"/>
          <w:sz w:val="36"/>
        </w:rPr>
        <w:t>封面标贴格式</w:t>
      </w:r>
      <w:bookmarkEnd w:id="253"/>
      <w:bookmarkEnd w:id="254"/>
      <w:bookmarkEnd w:id="255"/>
      <w:bookmarkEnd w:id="256"/>
      <w:bookmarkEnd w:id="257"/>
      <w:bookmarkEnd w:id="258"/>
      <w:bookmarkEnd w:id="259"/>
    </w:p>
    <w:tbl>
      <w:tblPr>
        <w:tblStyle w:val="21"/>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14:paraId="53FADAB5">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CellMar>
            <w:top w:w="0" w:type="dxa"/>
            <w:left w:w="108" w:type="dxa"/>
            <w:bottom w:w="0" w:type="dxa"/>
            <w:right w:w="108" w:type="dxa"/>
          </w:tblCellMar>
        </w:tblPrEx>
        <w:trPr>
          <w:trHeight w:val="5855" w:hRule="atLeast"/>
          <w:jc w:val="center"/>
        </w:trPr>
        <w:tc>
          <w:tcPr>
            <w:tcW w:w="9149" w:type="dxa"/>
            <w:shd w:val="clear" w:color="auto" w:fill="99CCFF"/>
          </w:tcPr>
          <w:p w14:paraId="36ED1CE9">
            <w:pPr>
              <w:snapToGrid w:val="0"/>
              <w:spacing w:line="324" w:lineRule="auto"/>
              <w:jc w:val="center"/>
              <w:rPr>
                <w:rFonts w:ascii="Times New Roman" w:hAnsi="Times New Roman" w:cs="Times New Roman"/>
                <w:b/>
                <w:color w:val="auto"/>
                <w:sz w:val="30"/>
              </w:rPr>
            </w:pPr>
          </w:p>
          <w:p w14:paraId="32BEEDDF">
            <w:pPr>
              <w:pStyle w:val="9"/>
              <w:spacing w:line="324" w:lineRule="auto"/>
              <w:jc w:val="center"/>
              <w:rPr>
                <w:rFonts w:ascii="Times New Roman" w:hAnsi="Times New Roman" w:cs="Times New Roman"/>
                <w:b/>
                <w:bCs/>
                <w:color w:val="auto"/>
                <w:sz w:val="48"/>
              </w:rPr>
            </w:pPr>
            <w:r>
              <w:rPr>
                <w:rFonts w:ascii="Times New Roman" w:hAnsi="Times New Roman" w:cs="Times New Roman"/>
                <w:b/>
                <w:bCs/>
                <w:color w:val="auto"/>
                <w:sz w:val="48"/>
              </w:rPr>
              <w:t>采购项目响应文件</w:t>
            </w:r>
          </w:p>
          <w:p w14:paraId="39F2AE15">
            <w:pPr>
              <w:spacing w:line="324" w:lineRule="auto"/>
              <w:jc w:val="center"/>
              <w:rPr>
                <w:rFonts w:ascii="Times New Roman" w:hAnsi="Times New Roman" w:cs="Times New Roman"/>
                <w:b/>
                <w:bCs/>
                <w:color w:val="auto"/>
                <w:sz w:val="24"/>
              </w:rPr>
            </w:pPr>
            <w:r>
              <w:rPr>
                <w:rFonts w:ascii="Times New Roman" w:hAnsi="Times New Roman" w:cs="Times New Roman"/>
                <w:b/>
                <w:bCs/>
                <w:color w:val="auto"/>
                <w:sz w:val="24"/>
              </w:rPr>
              <w:t>密封内容：</w:t>
            </w:r>
            <w:r>
              <w:rPr>
                <w:rFonts w:ascii="Times New Roman" w:hAnsi="Times New Roman" w:cs="Times New Roman"/>
                <w:color w:val="auto"/>
                <w:sz w:val="24"/>
              </w:rPr>
              <w:t>□</w:t>
            </w:r>
            <w:r>
              <w:rPr>
                <w:rFonts w:ascii="Times New Roman" w:hAnsi="Times New Roman" w:cs="Times New Roman"/>
                <w:b/>
                <w:bCs/>
                <w:color w:val="auto"/>
                <w:sz w:val="24"/>
              </w:rPr>
              <w:t xml:space="preserve">报价信封 / </w:t>
            </w:r>
            <w:r>
              <w:rPr>
                <w:rFonts w:ascii="Times New Roman" w:hAnsi="Times New Roman" w:cs="Times New Roman"/>
                <w:color w:val="auto"/>
                <w:sz w:val="24"/>
              </w:rPr>
              <w:t>□</w:t>
            </w:r>
            <w:r>
              <w:rPr>
                <w:rFonts w:ascii="Times New Roman" w:hAnsi="Times New Roman" w:cs="Times New Roman"/>
                <w:b/>
                <w:bCs/>
                <w:color w:val="auto"/>
                <w:sz w:val="24"/>
              </w:rPr>
              <w:t>正、副本响应文件</w:t>
            </w:r>
          </w:p>
          <w:p w14:paraId="321490FB">
            <w:pPr>
              <w:spacing w:line="324" w:lineRule="auto"/>
              <w:jc w:val="center"/>
              <w:rPr>
                <w:rFonts w:ascii="Times New Roman" w:hAnsi="Times New Roman" w:cs="Times New Roman"/>
                <w:b/>
                <w:color w:val="auto"/>
                <w:sz w:val="11"/>
                <w:szCs w:val="11"/>
              </w:rPr>
            </w:pPr>
          </w:p>
          <w:p w14:paraId="0FEA68DD">
            <w:pPr>
              <w:spacing w:line="324" w:lineRule="auto"/>
              <w:ind w:firstLine="964" w:firstLineChars="400"/>
              <w:rPr>
                <w:rFonts w:ascii="Times New Roman" w:hAnsi="Times New Roman" w:cs="Times New Roman"/>
                <w:b/>
                <w:bCs/>
                <w:color w:val="auto"/>
                <w:sz w:val="24"/>
                <w:u w:val="single"/>
              </w:rPr>
            </w:pPr>
            <w:r>
              <w:rPr>
                <w:rFonts w:ascii="Times New Roman" w:hAnsi="Times New Roman" w:cs="Times New Roman"/>
                <w:b/>
                <w:bCs/>
                <w:color w:val="auto"/>
                <w:sz w:val="24"/>
              </w:rPr>
              <w:t>供应商名称：</w:t>
            </w:r>
            <w:r>
              <w:rPr>
                <w:rFonts w:ascii="Times New Roman" w:hAnsi="Times New Roman" w:cs="Times New Roman"/>
                <w:color w:val="auto"/>
                <w:sz w:val="24"/>
                <w:u w:val="dotted"/>
              </w:rPr>
              <w:t xml:space="preserve">                                                  </w:t>
            </w:r>
          </w:p>
          <w:p w14:paraId="6175B034">
            <w:pPr>
              <w:spacing w:line="324" w:lineRule="auto"/>
              <w:ind w:firstLine="960" w:firstLineChars="400"/>
              <w:rPr>
                <w:rFonts w:ascii="Times New Roman" w:hAnsi="Times New Roman" w:cs="Times New Roman"/>
                <w:color w:val="auto"/>
                <w:sz w:val="24"/>
                <w:u w:val="single"/>
              </w:rPr>
            </w:pPr>
            <w:r>
              <w:rPr>
                <w:rFonts w:ascii="Times New Roman" w:hAnsi="Times New Roman" w:cs="Times New Roman"/>
                <w:color w:val="auto"/>
                <w:sz w:val="24"/>
              </w:rPr>
              <w:t>项目编号：</w:t>
            </w:r>
            <w:r>
              <w:rPr>
                <w:rFonts w:hint="eastAsia" w:ascii="Times New Roman" w:hAnsi="Times New Roman" w:cs="Times New Roman"/>
                <w:b/>
                <w:color w:val="auto"/>
                <w:u w:val="dotted"/>
              </w:rPr>
              <w:t>2024XFCG-20</w:t>
            </w:r>
            <w:r>
              <w:rPr>
                <w:rFonts w:ascii="Times New Roman" w:hAnsi="Times New Roman" w:cs="Times New Roman"/>
                <w:color w:val="auto"/>
                <w:u w:val="dotted"/>
              </w:rPr>
              <w:t xml:space="preserve">       </w:t>
            </w:r>
            <w:r>
              <w:rPr>
                <w:rFonts w:ascii="Times New Roman" w:hAnsi="Times New Roman" w:cs="Times New Roman"/>
                <w:color w:val="auto"/>
                <w:sz w:val="24"/>
                <w:u w:val="dotted"/>
              </w:rPr>
              <w:t xml:space="preserve">                </w:t>
            </w:r>
          </w:p>
          <w:p w14:paraId="6B1AED77">
            <w:pPr>
              <w:spacing w:line="324" w:lineRule="auto"/>
              <w:ind w:firstLine="960" w:firstLineChars="400"/>
              <w:rPr>
                <w:rFonts w:ascii="Times New Roman" w:hAnsi="Times New Roman" w:cs="Times New Roman"/>
                <w:b/>
                <w:bCs/>
                <w:color w:val="auto"/>
              </w:rPr>
            </w:pPr>
            <w:r>
              <w:rPr>
                <w:rFonts w:ascii="Times New Roman" w:hAnsi="Times New Roman" w:cs="Times New Roman"/>
                <w:color w:val="auto"/>
                <w:sz w:val="24"/>
              </w:rPr>
              <w:t>项目名称：</w:t>
            </w:r>
            <w:r>
              <w:rPr>
                <w:rFonts w:hint="eastAsia" w:ascii="Times New Roman" w:hAnsi="Times New Roman" w:cs="Times New Roman"/>
                <w:b/>
                <w:color w:val="auto"/>
                <w:u w:val="dotted"/>
              </w:rPr>
              <w:t>佛山市消防救援支队2024年全媒体中心驻点服务项目</w:t>
            </w:r>
          </w:p>
          <w:tbl>
            <w:tblPr>
              <w:tblStyle w:val="21"/>
              <w:tblW w:w="0" w:type="auto"/>
              <w:jc w:val="center"/>
              <w:tblLayout w:type="fixed"/>
              <w:tblCellMar>
                <w:top w:w="0" w:type="dxa"/>
                <w:left w:w="108" w:type="dxa"/>
                <w:bottom w:w="0" w:type="dxa"/>
                <w:right w:w="108" w:type="dxa"/>
              </w:tblCellMar>
            </w:tblPr>
            <w:tblGrid>
              <w:gridCol w:w="1260"/>
              <w:gridCol w:w="7246"/>
            </w:tblGrid>
            <w:tr w14:paraId="4D1AFB4B">
              <w:tblPrEx>
                <w:tblCellMar>
                  <w:top w:w="0" w:type="dxa"/>
                  <w:left w:w="108" w:type="dxa"/>
                  <w:bottom w:w="0" w:type="dxa"/>
                  <w:right w:w="108" w:type="dxa"/>
                </w:tblCellMar>
              </w:tblPrEx>
              <w:trPr>
                <w:trHeight w:val="480" w:hRule="atLeast"/>
                <w:jc w:val="center"/>
              </w:trPr>
              <w:tc>
                <w:tcPr>
                  <w:tcW w:w="8506" w:type="dxa"/>
                  <w:gridSpan w:val="2"/>
                  <w:vAlign w:val="center"/>
                </w:tcPr>
                <w:p w14:paraId="572B1CC5">
                  <w:pPr>
                    <w:spacing w:line="324" w:lineRule="auto"/>
                    <w:rPr>
                      <w:rFonts w:ascii="Times New Roman" w:hAnsi="Times New Roman" w:cs="Times New Roman"/>
                      <w:b/>
                      <w:bCs/>
                      <w:color w:val="auto"/>
                    </w:rPr>
                  </w:pPr>
                  <w:r>
                    <w:rPr>
                      <w:rFonts w:ascii="Times New Roman" w:hAnsi="Times New Roman" w:cs="Times New Roman"/>
                      <w:b/>
                      <w:bCs/>
                      <w:color w:val="auto"/>
                    </w:rPr>
                    <w:t xml:space="preserve">在2024年  </w:t>
                  </w:r>
                  <w:r>
                    <w:rPr>
                      <w:rFonts w:ascii="Times New Roman" w:hAnsi="Times New Roman" w:cs="Times New Roman"/>
                      <w:b/>
                      <w:bCs/>
                      <w:color w:val="auto"/>
                      <w:szCs w:val="21"/>
                    </w:rPr>
                    <w:t xml:space="preserve">月  </w:t>
                  </w:r>
                  <w:r>
                    <w:rPr>
                      <w:rFonts w:ascii="Times New Roman" w:hAnsi="Times New Roman" w:cs="Times New Roman"/>
                      <w:b/>
                      <w:bCs/>
                      <w:color w:val="auto"/>
                    </w:rPr>
                    <w:t>日   午   ：   时之间准时当面递交且不得启封。</w:t>
                  </w:r>
                </w:p>
              </w:tc>
            </w:tr>
            <w:tr w14:paraId="0035C4F7">
              <w:tblPrEx>
                <w:tblCellMar>
                  <w:top w:w="0" w:type="dxa"/>
                  <w:left w:w="108" w:type="dxa"/>
                  <w:bottom w:w="0" w:type="dxa"/>
                  <w:right w:w="108" w:type="dxa"/>
                </w:tblCellMar>
              </w:tblPrEx>
              <w:trPr>
                <w:trHeight w:val="615" w:hRule="atLeast"/>
                <w:jc w:val="center"/>
              </w:trPr>
              <w:tc>
                <w:tcPr>
                  <w:tcW w:w="1260" w:type="dxa"/>
                  <w:vAlign w:val="center"/>
                </w:tcPr>
                <w:p w14:paraId="046BBCBF">
                  <w:pPr>
                    <w:spacing w:line="324" w:lineRule="auto"/>
                    <w:rPr>
                      <w:rFonts w:ascii="Times New Roman" w:hAnsi="Times New Roman" w:cs="Times New Roman"/>
                      <w:b/>
                      <w:bCs/>
                      <w:color w:val="auto"/>
                    </w:rPr>
                  </w:pPr>
                  <w:r>
                    <w:rPr>
                      <w:rFonts w:ascii="Times New Roman" w:hAnsi="Times New Roman" w:cs="Times New Roman"/>
                      <w:b/>
                      <w:bCs/>
                      <w:color w:val="auto"/>
                    </w:rPr>
                    <w:t>递交地点：</w:t>
                  </w:r>
                </w:p>
              </w:tc>
              <w:tc>
                <w:tcPr>
                  <w:tcW w:w="7246" w:type="dxa"/>
                  <w:vAlign w:val="center"/>
                </w:tcPr>
                <w:p w14:paraId="06CCC436">
                  <w:pPr>
                    <w:spacing w:line="324" w:lineRule="auto"/>
                    <w:rPr>
                      <w:rFonts w:ascii="Times New Roman" w:hAnsi="Times New Roman" w:cs="Times New Roman"/>
                      <w:b/>
                      <w:bCs/>
                      <w:color w:val="auto"/>
                    </w:rPr>
                  </w:pPr>
                  <w:r>
                    <w:rPr>
                      <w:rFonts w:ascii="Times New Roman" w:hAnsi="Times New Roman" w:cs="Times New Roman"/>
                      <w:b/>
                      <w:bCs/>
                      <w:color w:val="auto"/>
                    </w:rPr>
                    <w:t>佛山市禅城区季华五路10号金融广场大厦17层A区（广东远东招标代理有限公司开标室）。</w:t>
                  </w:r>
                </w:p>
              </w:tc>
            </w:tr>
            <w:tr w14:paraId="4862F0B3">
              <w:tblPrEx>
                <w:tblCellMar>
                  <w:top w:w="0" w:type="dxa"/>
                  <w:left w:w="108" w:type="dxa"/>
                  <w:bottom w:w="0" w:type="dxa"/>
                  <w:right w:w="108" w:type="dxa"/>
                </w:tblCellMar>
              </w:tblPrEx>
              <w:trPr>
                <w:trHeight w:val="465" w:hRule="atLeast"/>
                <w:jc w:val="center"/>
              </w:trPr>
              <w:tc>
                <w:tcPr>
                  <w:tcW w:w="1260" w:type="dxa"/>
                  <w:vAlign w:val="center"/>
                </w:tcPr>
                <w:p w14:paraId="2115BE75">
                  <w:pPr>
                    <w:spacing w:line="324" w:lineRule="auto"/>
                    <w:jc w:val="center"/>
                    <w:rPr>
                      <w:rFonts w:ascii="Times New Roman" w:hAnsi="Times New Roman" w:cs="Times New Roman"/>
                      <w:b/>
                      <w:bCs/>
                      <w:color w:val="auto"/>
                    </w:rPr>
                  </w:pPr>
                  <w:r>
                    <w:rPr>
                      <w:rFonts w:ascii="Times New Roman" w:hAnsi="Times New Roman" w:cs="Times New Roman"/>
                      <w:b/>
                      <w:bCs/>
                      <w:color w:val="auto"/>
                    </w:rPr>
                    <w:t>电    话：</w:t>
                  </w:r>
                </w:p>
              </w:tc>
              <w:tc>
                <w:tcPr>
                  <w:tcW w:w="7246" w:type="dxa"/>
                  <w:vAlign w:val="center"/>
                </w:tcPr>
                <w:p w14:paraId="613DFBA6">
                  <w:pPr>
                    <w:spacing w:line="324" w:lineRule="auto"/>
                    <w:rPr>
                      <w:rFonts w:ascii="Times New Roman" w:hAnsi="Times New Roman" w:cs="Times New Roman"/>
                      <w:b/>
                      <w:bCs/>
                      <w:color w:val="auto"/>
                    </w:rPr>
                  </w:pPr>
                  <w:r>
                    <w:rPr>
                      <w:rFonts w:ascii="Times New Roman" w:hAnsi="Times New Roman" w:cs="Times New Roman"/>
                      <w:b/>
                      <w:bCs/>
                      <w:color w:val="auto"/>
                    </w:rPr>
                    <w:t>0757-83332528。</w:t>
                  </w:r>
                </w:p>
              </w:tc>
            </w:tr>
            <w:tr w14:paraId="19B147AC">
              <w:tblPrEx>
                <w:tblCellMar>
                  <w:top w:w="0" w:type="dxa"/>
                  <w:left w:w="108" w:type="dxa"/>
                  <w:bottom w:w="0" w:type="dxa"/>
                  <w:right w:w="108" w:type="dxa"/>
                </w:tblCellMar>
              </w:tblPrEx>
              <w:trPr>
                <w:trHeight w:val="285" w:hRule="atLeast"/>
                <w:jc w:val="center"/>
              </w:trPr>
              <w:tc>
                <w:tcPr>
                  <w:tcW w:w="1260" w:type="dxa"/>
                  <w:vAlign w:val="center"/>
                </w:tcPr>
                <w:p w14:paraId="551F1935">
                  <w:pPr>
                    <w:spacing w:line="324" w:lineRule="auto"/>
                    <w:jc w:val="center"/>
                    <w:rPr>
                      <w:rFonts w:ascii="Times New Roman" w:hAnsi="Times New Roman" w:cs="Times New Roman"/>
                      <w:b/>
                      <w:bCs/>
                      <w:color w:val="auto"/>
                    </w:rPr>
                  </w:pPr>
                  <w:r>
                    <w:rPr>
                      <w:rFonts w:ascii="Times New Roman" w:hAnsi="Times New Roman" w:cs="Times New Roman"/>
                      <w:b/>
                      <w:color w:val="auto"/>
                    </w:rPr>
                    <w:t>声    明：</w:t>
                  </w:r>
                </w:p>
              </w:tc>
              <w:tc>
                <w:tcPr>
                  <w:tcW w:w="7246" w:type="dxa"/>
                  <w:vAlign w:val="center"/>
                </w:tcPr>
                <w:p w14:paraId="087DCA10">
                  <w:pPr>
                    <w:spacing w:line="324" w:lineRule="auto"/>
                    <w:rPr>
                      <w:rFonts w:ascii="Times New Roman" w:hAnsi="Times New Roman" w:cs="Times New Roman"/>
                      <w:b/>
                      <w:bCs/>
                      <w:color w:val="auto"/>
                    </w:rPr>
                  </w:pPr>
                  <w:r>
                    <w:rPr>
                      <w:rFonts w:ascii="Times New Roman" w:hAnsi="Times New Roman" w:cs="Times New Roman"/>
                      <w:b/>
                      <w:color w:val="auto"/>
                    </w:rPr>
                    <w:t>同意由递交响应文件登记顺序的前两名供应商，将作为集中推选的代表，现场对所有响应文件进行密封性检查。</w:t>
                  </w:r>
                </w:p>
              </w:tc>
            </w:tr>
          </w:tbl>
          <w:p w14:paraId="7CF8FAD2">
            <w:pPr>
              <w:spacing w:line="324" w:lineRule="auto"/>
              <w:rPr>
                <w:rFonts w:ascii="Times New Roman" w:hAnsi="Times New Roman" w:cs="Times New Roman"/>
                <w:color w:val="auto"/>
              </w:rPr>
            </w:pPr>
          </w:p>
        </w:tc>
      </w:tr>
    </w:tbl>
    <w:p w14:paraId="79E759EA">
      <w:pPr>
        <w:spacing w:line="324" w:lineRule="auto"/>
        <w:ind w:firstLine="480" w:firstLineChars="200"/>
        <w:rPr>
          <w:rFonts w:ascii="Times New Roman" w:hAnsi="Times New Roman" w:cs="Times New Roman"/>
          <w:color w:val="auto"/>
          <w:sz w:val="24"/>
        </w:rPr>
      </w:pPr>
    </w:p>
    <w:p w14:paraId="213D21EC">
      <w:pPr>
        <w:spacing w:line="324" w:lineRule="auto"/>
        <w:ind w:firstLine="480" w:firstLineChars="100"/>
        <w:rPr>
          <w:rFonts w:ascii="Times New Roman" w:hAnsi="Times New Roman" w:cs="Times New Roman"/>
          <w:color w:val="auto"/>
          <w:sz w:val="48"/>
          <w:szCs w:val="48"/>
        </w:rPr>
      </w:pPr>
      <w:r>
        <w:rPr>
          <w:rFonts w:ascii="Times New Roman" w:hAnsi="Times New Roman" w:cs="Times New Roman"/>
          <w:color w:val="auto"/>
          <w:sz w:val="48"/>
          <w:szCs w:val="48"/>
        </w:rPr>
        <w:t>注意事项</w:t>
      </w:r>
    </w:p>
    <w:p w14:paraId="6C13D13D">
      <w:pPr>
        <w:spacing w:line="324" w:lineRule="auto"/>
        <w:ind w:firstLine="480" w:firstLineChars="200"/>
        <w:rPr>
          <w:rFonts w:ascii="Times New Roman" w:hAnsi="Times New Roman" w:cs="Times New Roman"/>
          <w:bCs/>
          <w:color w:val="auto"/>
          <w:sz w:val="24"/>
        </w:rPr>
      </w:pPr>
      <w:r>
        <w:rPr>
          <w:rFonts w:ascii="Times New Roman" w:hAnsi="Times New Roman" w:cs="Times New Roman"/>
          <w:bCs/>
          <w:color w:val="auto"/>
          <w:sz w:val="24"/>
        </w:rPr>
        <w:t>一、报价信封另单独封装，并按下列顺序装订：</w:t>
      </w:r>
    </w:p>
    <w:p w14:paraId="2A130BAC">
      <w:pPr>
        <w:tabs>
          <w:tab w:val="left" w:pos="900"/>
        </w:tabs>
        <w:spacing w:line="324" w:lineRule="auto"/>
        <w:outlineLvl w:val="1"/>
        <w:rPr>
          <w:rFonts w:ascii="Times New Roman" w:hAnsi="Times New Roman" w:cs="Times New Roman"/>
          <w:color w:val="auto"/>
        </w:rPr>
      </w:pPr>
      <w:bookmarkStart w:id="260" w:name="_Toc10860"/>
      <w:r>
        <w:rPr>
          <w:rFonts w:ascii="Times New Roman" w:hAnsi="Times New Roman" w:cs="Times New Roman"/>
          <w:color w:val="auto"/>
        </w:rPr>
        <w:t>1、《报价汇总表》 原件（须加盖公章）；</w:t>
      </w:r>
      <w:bookmarkEnd w:id="260"/>
    </w:p>
    <w:p w14:paraId="080F546D">
      <w:pPr>
        <w:tabs>
          <w:tab w:val="left" w:pos="900"/>
        </w:tabs>
        <w:spacing w:line="324" w:lineRule="auto"/>
        <w:rPr>
          <w:rFonts w:ascii="Times New Roman" w:hAnsi="Times New Roman" w:cs="Times New Roman"/>
          <w:color w:val="auto"/>
        </w:rPr>
      </w:pPr>
      <w:r>
        <w:rPr>
          <w:rFonts w:ascii="Times New Roman" w:hAnsi="Times New Roman" w:cs="Times New Roman"/>
          <w:color w:val="auto"/>
        </w:rPr>
        <w:t>2、电子文件（须包含资格性文件、评审内容索引、技术部分、商务部分、价格部分、其他文件等；具体格式要求详见“</w:t>
      </w:r>
      <w:r>
        <w:rPr>
          <w:rFonts w:hint="eastAsia" w:ascii="Times New Roman" w:hAnsi="Times New Roman" w:cs="Times New Roman"/>
          <w:color w:val="auto"/>
        </w:rPr>
        <w:t>成交供应商</w:t>
      </w:r>
      <w:r>
        <w:rPr>
          <w:rFonts w:ascii="Times New Roman" w:hAnsi="Times New Roman" w:cs="Times New Roman"/>
          <w:color w:val="auto"/>
        </w:rPr>
        <w:t>须知”）。</w:t>
      </w:r>
    </w:p>
    <w:p w14:paraId="20B1B617">
      <w:pPr>
        <w:spacing w:line="324" w:lineRule="auto"/>
        <w:ind w:firstLine="480" w:firstLineChars="200"/>
        <w:rPr>
          <w:rFonts w:ascii="Times New Roman" w:hAnsi="Times New Roman" w:cs="Times New Roman"/>
          <w:color w:val="auto"/>
          <w:sz w:val="24"/>
        </w:rPr>
      </w:pPr>
    </w:p>
    <w:p w14:paraId="3AD3398A">
      <w:pPr>
        <w:spacing w:line="324" w:lineRule="auto"/>
        <w:ind w:firstLine="480" w:firstLineChars="200"/>
        <w:rPr>
          <w:rFonts w:ascii="Times New Roman" w:hAnsi="Times New Roman" w:cs="Times New Roman"/>
          <w:color w:val="auto"/>
          <w:sz w:val="24"/>
        </w:rPr>
      </w:pPr>
    </w:p>
    <w:p w14:paraId="30876812">
      <w:pPr>
        <w:spacing w:line="324" w:lineRule="auto"/>
        <w:ind w:firstLine="480" w:firstLineChars="200"/>
        <w:rPr>
          <w:rFonts w:ascii="Times New Roman" w:hAnsi="Times New Roman" w:cs="Times New Roman"/>
          <w:bCs/>
          <w:color w:val="auto"/>
          <w:sz w:val="24"/>
        </w:rPr>
      </w:pPr>
      <w:r>
        <w:rPr>
          <w:rFonts w:ascii="Times New Roman" w:hAnsi="Times New Roman" w:cs="Times New Roman"/>
          <w:bCs/>
          <w:color w:val="auto"/>
          <w:sz w:val="24"/>
        </w:rPr>
        <w:t>二、重要提示：</w:t>
      </w:r>
    </w:p>
    <w:p w14:paraId="2DF4BCA2">
      <w:pPr>
        <w:tabs>
          <w:tab w:val="left" w:pos="900"/>
        </w:tabs>
        <w:spacing w:line="324" w:lineRule="auto"/>
        <w:rPr>
          <w:rFonts w:ascii="Times New Roman" w:hAnsi="Times New Roman" w:cs="Times New Roman"/>
          <w:color w:val="auto"/>
        </w:rPr>
      </w:pPr>
      <w:r>
        <w:rPr>
          <w:rFonts w:ascii="Times New Roman" w:hAnsi="Times New Roman" w:cs="Times New Roman"/>
          <w:color w:val="auto"/>
        </w:rPr>
        <w:t>1.唱标信封与正、副本必须分开单独封装并标贴此封面，密封口处须加盖公章或授权代表签名。</w:t>
      </w:r>
    </w:p>
    <w:p w14:paraId="7C09D179">
      <w:pPr>
        <w:tabs>
          <w:tab w:val="left" w:pos="900"/>
        </w:tabs>
        <w:spacing w:line="324" w:lineRule="auto"/>
        <w:rPr>
          <w:rFonts w:ascii="Times New Roman" w:hAnsi="Times New Roman" w:cs="Times New Roman"/>
          <w:color w:val="auto"/>
          <w:lang w:eastAsia="zh-Hans"/>
        </w:rPr>
      </w:pPr>
      <w:r>
        <w:rPr>
          <w:rFonts w:ascii="Times New Roman" w:hAnsi="Times New Roman" w:cs="Times New Roman"/>
          <w:color w:val="auto"/>
        </w:rPr>
        <w:t>2.递交文件登记顺序的前二名供应商，将作为集中推选的代表现场对所有响应文件进行密封性检查。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23ED">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9A35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F9A35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5D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80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B12F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23840">
    <w:pPr>
      <w:pBdr>
        <w:bottom w:val="single" w:color="auto" w:sz="4" w:space="1"/>
      </w:pBdr>
    </w:pPr>
    <w:r>
      <w:rPr>
        <w:rFonts w:hint="eastAsia" w:ascii="宋体" w:hAnsi="宋体"/>
      </w:rPr>
      <w:t>项目名称：                                                     采购编号：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E7B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A67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703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A3F61"/>
    <w:multiLevelType w:val="singleLevel"/>
    <w:tmpl w:val="BA2A3F61"/>
    <w:lvl w:ilvl="0" w:tentative="0">
      <w:start w:val="5"/>
      <w:numFmt w:val="decimal"/>
      <w:suff w:val="nothing"/>
      <w:lvlText w:val="%1、"/>
      <w:lvlJc w:val="left"/>
    </w:lvl>
  </w:abstractNum>
  <w:abstractNum w:abstractNumId="1">
    <w:nsid w:val="0000000A"/>
    <w:multiLevelType w:val="multilevel"/>
    <w:tmpl w:val="0000000A"/>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multilevel"/>
    <w:tmpl w:val="0000000B"/>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multilevel"/>
    <w:tmpl w:val="0000000D"/>
    <w:lvl w:ilvl="0" w:tentative="0">
      <w:start w:val="1"/>
      <w:numFmt w:val="bullet"/>
      <w:lvlText w:val=""/>
      <w:lvlJc w:val="left"/>
      <w:pPr>
        <w:tabs>
          <w:tab w:val="left" w:pos="930"/>
        </w:tabs>
        <w:ind w:left="930" w:hanging="51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00000010"/>
    <w:multiLevelType w:val="multilevel"/>
    <w:tmpl w:val="00000010"/>
    <w:lvl w:ilvl="0" w:tentative="0">
      <w:start w:val="3"/>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12"/>
    <w:multiLevelType w:val="multilevel"/>
    <w:tmpl w:val="00000012"/>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3"/>
    <w:multiLevelType w:val="multilevel"/>
    <w:tmpl w:val="00000013"/>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5"/>
    <w:multiLevelType w:val="multilevel"/>
    <w:tmpl w:val="0000001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6"/>
    <w:multiLevelType w:val="multilevel"/>
    <w:tmpl w:val="00000016"/>
    <w:lvl w:ilvl="0" w:tentative="0">
      <w:start w:val="1"/>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multilevel"/>
    <w:tmpl w:val="00000017"/>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9"/>
    <w:multiLevelType w:val="multilevel"/>
    <w:tmpl w:val="00000019"/>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A"/>
    <w:multiLevelType w:val="multilevel"/>
    <w:tmpl w:val="0000001A"/>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B"/>
    <w:multiLevelType w:val="multilevel"/>
    <w:tmpl w:val="0000001B"/>
    <w:lvl w:ilvl="0" w:tentative="0">
      <w:start w:val="1"/>
      <w:numFmt w:val="bullet"/>
      <w:lvlText w:val=""/>
      <w:lvlJc w:val="left"/>
      <w:pPr>
        <w:tabs>
          <w:tab w:val="left" w:pos="695"/>
        </w:tabs>
        <w:ind w:left="695" w:hanging="420"/>
      </w:pPr>
      <w:rPr>
        <w:rFonts w:hint="default" w:ascii="Wingdings" w:hAnsi="Wingdings"/>
        <w:color w:val="auto"/>
        <w:sz w:val="28"/>
        <w:szCs w:val="28"/>
      </w:rPr>
    </w:lvl>
    <w:lvl w:ilvl="1" w:tentative="0">
      <w:start w:val="1"/>
      <w:numFmt w:val="decimal"/>
      <w:lvlText w:val="%2)"/>
      <w:lvlJc w:val="left"/>
      <w:pPr>
        <w:tabs>
          <w:tab w:val="left" w:pos="1115"/>
        </w:tabs>
        <w:ind w:left="1115" w:hanging="420"/>
      </w:pPr>
      <w:rPr>
        <w:rFonts w:hint="default"/>
      </w:rPr>
    </w:lvl>
    <w:lvl w:ilvl="2" w:tentative="0">
      <w:start w:val="1"/>
      <w:numFmt w:val="bullet"/>
      <w:lvlText w:val=""/>
      <w:lvlJc w:val="left"/>
      <w:pPr>
        <w:tabs>
          <w:tab w:val="left" w:pos="1535"/>
        </w:tabs>
        <w:ind w:left="1535" w:hanging="420"/>
      </w:pPr>
      <w:rPr>
        <w:rFonts w:hint="default" w:ascii="Wingdings" w:hAnsi="Wingdings"/>
      </w:rPr>
    </w:lvl>
    <w:lvl w:ilvl="3" w:tentative="0">
      <w:start w:val="1"/>
      <w:numFmt w:val="bullet"/>
      <w:lvlText w:val=""/>
      <w:lvlJc w:val="left"/>
      <w:pPr>
        <w:tabs>
          <w:tab w:val="left" w:pos="1955"/>
        </w:tabs>
        <w:ind w:left="1955" w:hanging="420"/>
      </w:pPr>
      <w:rPr>
        <w:rFonts w:hint="default" w:ascii="Wingdings" w:hAnsi="Wingdings"/>
      </w:rPr>
    </w:lvl>
    <w:lvl w:ilvl="4" w:tentative="0">
      <w:start w:val="1"/>
      <w:numFmt w:val="bullet"/>
      <w:lvlText w:val=""/>
      <w:lvlJc w:val="left"/>
      <w:pPr>
        <w:tabs>
          <w:tab w:val="left" w:pos="2375"/>
        </w:tabs>
        <w:ind w:left="2375" w:hanging="420"/>
      </w:pPr>
      <w:rPr>
        <w:rFonts w:hint="default" w:ascii="Wingdings" w:hAnsi="Wingdings"/>
      </w:rPr>
    </w:lvl>
    <w:lvl w:ilvl="5" w:tentative="0">
      <w:start w:val="1"/>
      <w:numFmt w:val="bullet"/>
      <w:lvlText w:val=""/>
      <w:lvlJc w:val="left"/>
      <w:pPr>
        <w:tabs>
          <w:tab w:val="left" w:pos="2795"/>
        </w:tabs>
        <w:ind w:left="2795" w:hanging="420"/>
      </w:pPr>
      <w:rPr>
        <w:rFonts w:hint="default" w:ascii="Wingdings" w:hAnsi="Wingdings"/>
      </w:rPr>
    </w:lvl>
    <w:lvl w:ilvl="6" w:tentative="0">
      <w:start w:val="1"/>
      <w:numFmt w:val="bullet"/>
      <w:lvlText w:val=""/>
      <w:lvlJc w:val="left"/>
      <w:pPr>
        <w:tabs>
          <w:tab w:val="left" w:pos="3215"/>
        </w:tabs>
        <w:ind w:left="3215" w:hanging="420"/>
      </w:pPr>
      <w:rPr>
        <w:rFonts w:hint="default" w:ascii="Wingdings" w:hAnsi="Wingdings"/>
      </w:rPr>
    </w:lvl>
    <w:lvl w:ilvl="7" w:tentative="0">
      <w:start w:val="1"/>
      <w:numFmt w:val="bullet"/>
      <w:lvlText w:val=""/>
      <w:lvlJc w:val="left"/>
      <w:pPr>
        <w:tabs>
          <w:tab w:val="left" w:pos="3635"/>
        </w:tabs>
        <w:ind w:left="3635" w:hanging="420"/>
      </w:pPr>
      <w:rPr>
        <w:rFonts w:hint="default" w:ascii="Wingdings" w:hAnsi="Wingdings"/>
      </w:rPr>
    </w:lvl>
    <w:lvl w:ilvl="8" w:tentative="0">
      <w:start w:val="1"/>
      <w:numFmt w:val="bullet"/>
      <w:lvlText w:val=""/>
      <w:lvlJc w:val="left"/>
      <w:pPr>
        <w:tabs>
          <w:tab w:val="left" w:pos="4055"/>
        </w:tabs>
        <w:ind w:left="4055" w:hanging="420"/>
      </w:pPr>
      <w:rPr>
        <w:rFonts w:hint="default" w:ascii="Wingdings" w:hAnsi="Wingdings"/>
      </w:rPr>
    </w:lvl>
  </w:abstractNum>
  <w:abstractNum w:abstractNumId="13">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6D52DFB"/>
    <w:multiLevelType w:val="singleLevel"/>
    <w:tmpl w:val="66D52DFB"/>
    <w:lvl w:ilvl="0" w:tentative="0">
      <w:start w:val="1"/>
      <w:numFmt w:val="decimal"/>
      <w:suff w:val="nothing"/>
      <w:lvlText w:val="%1、"/>
      <w:lvlJc w:val="left"/>
    </w:lvl>
  </w:abstractNum>
  <w:num w:numId="1">
    <w:abstractNumId w:val="0"/>
  </w:num>
  <w:num w:numId="2">
    <w:abstractNumId w:val="12"/>
  </w:num>
  <w:num w:numId="3">
    <w:abstractNumId w:val="11"/>
  </w:num>
  <w:num w:numId="4">
    <w:abstractNumId w:val="7"/>
  </w:num>
  <w:num w:numId="5">
    <w:abstractNumId w:val="8"/>
  </w:num>
  <w:num w:numId="6">
    <w:abstractNumId w:val="4"/>
  </w:num>
  <w:num w:numId="7">
    <w:abstractNumId w:val="15"/>
  </w:num>
  <w:num w:numId="8">
    <w:abstractNumId w:val="13"/>
  </w:num>
  <w:num w:numId="9">
    <w:abstractNumId w:val="10"/>
  </w:num>
  <w:num w:numId="10">
    <w:abstractNumId w:val="6"/>
  </w:num>
  <w:num w:numId="11">
    <w:abstractNumId w:val="2"/>
  </w:num>
  <w:num w:numId="12">
    <w:abstractNumId w:val="3"/>
  </w:num>
  <w:num w:numId="13">
    <w:abstractNumId w:val="9"/>
  </w:num>
  <w:num w:numId="14">
    <w:abstractNumId w:val="1"/>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ZGU4ZTA2ZGIwZjQ3ZDc0ZWZlNGRkMmViYTk4Y2MifQ=="/>
  </w:docVars>
  <w:rsids>
    <w:rsidRoot w:val="53B52B8D"/>
    <w:rsid w:val="000D64FA"/>
    <w:rsid w:val="000F5AF4"/>
    <w:rsid w:val="0025687A"/>
    <w:rsid w:val="003A2FF4"/>
    <w:rsid w:val="00450BCD"/>
    <w:rsid w:val="005076A9"/>
    <w:rsid w:val="00727B73"/>
    <w:rsid w:val="00745A68"/>
    <w:rsid w:val="007B0E97"/>
    <w:rsid w:val="007D4F6C"/>
    <w:rsid w:val="009B013E"/>
    <w:rsid w:val="009B718F"/>
    <w:rsid w:val="009D7CD8"/>
    <w:rsid w:val="00AC2428"/>
    <w:rsid w:val="00B147F5"/>
    <w:rsid w:val="00B14A27"/>
    <w:rsid w:val="00B16E99"/>
    <w:rsid w:val="00BB3B38"/>
    <w:rsid w:val="00BD0949"/>
    <w:rsid w:val="00CF58A7"/>
    <w:rsid w:val="00DD6ADD"/>
    <w:rsid w:val="00DE6337"/>
    <w:rsid w:val="00EB7B19"/>
    <w:rsid w:val="00F42B70"/>
    <w:rsid w:val="01164C6F"/>
    <w:rsid w:val="01287101"/>
    <w:rsid w:val="01456F52"/>
    <w:rsid w:val="01E579C2"/>
    <w:rsid w:val="02DD6033"/>
    <w:rsid w:val="02FE031F"/>
    <w:rsid w:val="030C3A54"/>
    <w:rsid w:val="03640C37"/>
    <w:rsid w:val="03673FA9"/>
    <w:rsid w:val="03712C1D"/>
    <w:rsid w:val="038D224B"/>
    <w:rsid w:val="048A5205"/>
    <w:rsid w:val="05717438"/>
    <w:rsid w:val="05814DD8"/>
    <w:rsid w:val="06290392"/>
    <w:rsid w:val="06760529"/>
    <w:rsid w:val="06BD1984"/>
    <w:rsid w:val="07725360"/>
    <w:rsid w:val="07797A4C"/>
    <w:rsid w:val="07A8437E"/>
    <w:rsid w:val="08607B89"/>
    <w:rsid w:val="0865674A"/>
    <w:rsid w:val="087A387F"/>
    <w:rsid w:val="08E21B49"/>
    <w:rsid w:val="090E4181"/>
    <w:rsid w:val="092B4FD8"/>
    <w:rsid w:val="093223D0"/>
    <w:rsid w:val="0937642F"/>
    <w:rsid w:val="094500B6"/>
    <w:rsid w:val="09B11BD0"/>
    <w:rsid w:val="0B202517"/>
    <w:rsid w:val="0B892782"/>
    <w:rsid w:val="0B9A495D"/>
    <w:rsid w:val="0BEC14C3"/>
    <w:rsid w:val="0D6A2CEF"/>
    <w:rsid w:val="0E7048BA"/>
    <w:rsid w:val="0E747096"/>
    <w:rsid w:val="0ED426DE"/>
    <w:rsid w:val="0EDA6F1D"/>
    <w:rsid w:val="0FD833CB"/>
    <w:rsid w:val="10341227"/>
    <w:rsid w:val="104A6951"/>
    <w:rsid w:val="105D02BD"/>
    <w:rsid w:val="10B353ED"/>
    <w:rsid w:val="10E41613"/>
    <w:rsid w:val="11B27A23"/>
    <w:rsid w:val="11FA6155"/>
    <w:rsid w:val="135A32B1"/>
    <w:rsid w:val="137A788A"/>
    <w:rsid w:val="139D323C"/>
    <w:rsid w:val="13E73EF9"/>
    <w:rsid w:val="14576AF9"/>
    <w:rsid w:val="14927E49"/>
    <w:rsid w:val="1582093B"/>
    <w:rsid w:val="162966D3"/>
    <w:rsid w:val="16315EBE"/>
    <w:rsid w:val="16627D11"/>
    <w:rsid w:val="16D345D7"/>
    <w:rsid w:val="177F50ED"/>
    <w:rsid w:val="17F77304"/>
    <w:rsid w:val="184513B2"/>
    <w:rsid w:val="184D6DCC"/>
    <w:rsid w:val="189D1927"/>
    <w:rsid w:val="195B7AEE"/>
    <w:rsid w:val="19805192"/>
    <w:rsid w:val="19D82181"/>
    <w:rsid w:val="19FA2401"/>
    <w:rsid w:val="1A59403F"/>
    <w:rsid w:val="1AC55FAA"/>
    <w:rsid w:val="1ACC0944"/>
    <w:rsid w:val="1AEF5419"/>
    <w:rsid w:val="1B4A733A"/>
    <w:rsid w:val="1B670350"/>
    <w:rsid w:val="1BA60602"/>
    <w:rsid w:val="1BC434B3"/>
    <w:rsid w:val="1BF00B53"/>
    <w:rsid w:val="1C1A51C0"/>
    <w:rsid w:val="1C56667E"/>
    <w:rsid w:val="1C7A5388"/>
    <w:rsid w:val="1CE8451F"/>
    <w:rsid w:val="1D0D62DF"/>
    <w:rsid w:val="1D734062"/>
    <w:rsid w:val="1D81039B"/>
    <w:rsid w:val="1DA557E7"/>
    <w:rsid w:val="1DE01BCA"/>
    <w:rsid w:val="1DE726E6"/>
    <w:rsid w:val="1DEC46DC"/>
    <w:rsid w:val="1E0C6498"/>
    <w:rsid w:val="1E4C6754"/>
    <w:rsid w:val="1E534822"/>
    <w:rsid w:val="1FF60902"/>
    <w:rsid w:val="202A6150"/>
    <w:rsid w:val="205D5D4B"/>
    <w:rsid w:val="208133D1"/>
    <w:rsid w:val="20A82EE1"/>
    <w:rsid w:val="219417D7"/>
    <w:rsid w:val="21A8172A"/>
    <w:rsid w:val="21CF3709"/>
    <w:rsid w:val="22655D1C"/>
    <w:rsid w:val="22756916"/>
    <w:rsid w:val="229A609C"/>
    <w:rsid w:val="235F050E"/>
    <w:rsid w:val="23A40CFC"/>
    <w:rsid w:val="23AF02D3"/>
    <w:rsid w:val="23B0363D"/>
    <w:rsid w:val="23BB718F"/>
    <w:rsid w:val="248155AF"/>
    <w:rsid w:val="248926CC"/>
    <w:rsid w:val="24C56E96"/>
    <w:rsid w:val="24D9595E"/>
    <w:rsid w:val="24DE1416"/>
    <w:rsid w:val="25E310F1"/>
    <w:rsid w:val="264C1327"/>
    <w:rsid w:val="26594A5E"/>
    <w:rsid w:val="267C1339"/>
    <w:rsid w:val="269B42D8"/>
    <w:rsid w:val="26B9344C"/>
    <w:rsid w:val="26C64D67"/>
    <w:rsid w:val="26E37BD5"/>
    <w:rsid w:val="27302AF9"/>
    <w:rsid w:val="27594AE0"/>
    <w:rsid w:val="27713610"/>
    <w:rsid w:val="281D1523"/>
    <w:rsid w:val="283132A5"/>
    <w:rsid w:val="28F752E4"/>
    <w:rsid w:val="28F94FC5"/>
    <w:rsid w:val="295B3AA4"/>
    <w:rsid w:val="298338DB"/>
    <w:rsid w:val="2995312F"/>
    <w:rsid w:val="29CD4916"/>
    <w:rsid w:val="29FE1482"/>
    <w:rsid w:val="2A053176"/>
    <w:rsid w:val="2A48159F"/>
    <w:rsid w:val="2AA3400B"/>
    <w:rsid w:val="2AB12D68"/>
    <w:rsid w:val="2AD04692"/>
    <w:rsid w:val="2BF15B26"/>
    <w:rsid w:val="2D0774CE"/>
    <w:rsid w:val="2D64113C"/>
    <w:rsid w:val="2D700F57"/>
    <w:rsid w:val="2E1037AC"/>
    <w:rsid w:val="2E5F7614"/>
    <w:rsid w:val="2EF553F5"/>
    <w:rsid w:val="2F4D4F3E"/>
    <w:rsid w:val="2F772127"/>
    <w:rsid w:val="2FAD0BBB"/>
    <w:rsid w:val="2FC647D1"/>
    <w:rsid w:val="30851BFE"/>
    <w:rsid w:val="313030E2"/>
    <w:rsid w:val="313A6116"/>
    <w:rsid w:val="314B3AFF"/>
    <w:rsid w:val="322A618B"/>
    <w:rsid w:val="32555174"/>
    <w:rsid w:val="32786EF6"/>
    <w:rsid w:val="32A44717"/>
    <w:rsid w:val="32F347CF"/>
    <w:rsid w:val="32FF0E87"/>
    <w:rsid w:val="334E26D2"/>
    <w:rsid w:val="348151C9"/>
    <w:rsid w:val="3523626A"/>
    <w:rsid w:val="366D365F"/>
    <w:rsid w:val="3735048E"/>
    <w:rsid w:val="37914FF6"/>
    <w:rsid w:val="37A42790"/>
    <w:rsid w:val="37A56469"/>
    <w:rsid w:val="38150003"/>
    <w:rsid w:val="38223E1B"/>
    <w:rsid w:val="38B14685"/>
    <w:rsid w:val="38B20E6C"/>
    <w:rsid w:val="38DB3B74"/>
    <w:rsid w:val="3933116D"/>
    <w:rsid w:val="399C5C12"/>
    <w:rsid w:val="39E0610D"/>
    <w:rsid w:val="39E56093"/>
    <w:rsid w:val="3AE534FD"/>
    <w:rsid w:val="3AF963A7"/>
    <w:rsid w:val="3B4E4C98"/>
    <w:rsid w:val="3B9431ED"/>
    <w:rsid w:val="3B9A2EF8"/>
    <w:rsid w:val="3BB12A92"/>
    <w:rsid w:val="3BB371F1"/>
    <w:rsid w:val="3BDE1F6B"/>
    <w:rsid w:val="3C145DA1"/>
    <w:rsid w:val="3C380386"/>
    <w:rsid w:val="3C844A43"/>
    <w:rsid w:val="3C8962B5"/>
    <w:rsid w:val="3CF0648C"/>
    <w:rsid w:val="3D0E2985"/>
    <w:rsid w:val="3D155716"/>
    <w:rsid w:val="3D4718C8"/>
    <w:rsid w:val="3DA037A5"/>
    <w:rsid w:val="3DA442BB"/>
    <w:rsid w:val="3DB95E3A"/>
    <w:rsid w:val="3DEC27A1"/>
    <w:rsid w:val="3F246899"/>
    <w:rsid w:val="3F2A73B9"/>
    <w:rsid w:val="3F4357C6"/>
    <w:rsid w:val="3F4E4BBE"/>
    <w:rsid w:val="3F5376E9"/>
    <w:rsid w:val="3F543C83"/>
    <w:rsid w:val="3F6F6F54"/>
    <w:rsid w:val="3FCD64CB"/>
    <w:rsid w:val="3FF78B73"/>
    <w:rsid w:val="3FFF7DD0"/>
    <w:rsid w:val="40093884"/>
    <w:rsid w:val="40230FFB"/>
    <w:rsid w:val="40356162"/>
    <w:rsid w:val="405E3601"/>
    <w:rsid w:val="40D55E4F"/>
    <w:rsid w:val="40EA1530"/>
    <w:rsid w:val="40F30ECD"/>
    <w:rsid w:val="41104C09"/>
    <w:rsid w:val="412C0C8E"/>
    <w:rsid w:val="41666B4A"/>
    <w:rsid w:val="426B5597"/>
    <w:rsid w:val="42A27F69"/>
    <w:rsid w:val="42C65021"/>
    <w:rsid w:val="42D107FA"/>
    <w:rsid w:val="42D8115C"/>
    <w:rsid w:val="42E63A08"/>
    <w:rsid w:val="434979F3"/>
    <w:rsid w:val="434C6A97"/>
    <w:rsid w:val="43633C60"/>
    <w:rsid w:val="43E323C7"/>
    <w:rsid w:val="443D492F"/>
    <w:rsid w:val="445E7455"/>
    <w:rsid w:val="44D84527"/>
    <w:rsid w:val="45055262"/>
    <w:rsid w:val="45216639"/>
    <w:rsid w:val="45E6619E"/>
    <w:rsid w:val="45F67B77"/>
    <w:rsid w:val="460A1F4F"/>
    <w:rsid w:val="466C70B0"/>
    <w:rsid w:val="46D10A76"/>
    <w:rsid w:val="46D52711"/>
    <w:rsid w:val="47185ED5"/>
    <w:rsid w:val="472933AD"/>
    <w:rsid w:val="47752E85"/>
    <w:rsid w:val="48721204"/>
    <w:rsid w:val="487466ED"/>
    <w:rsid w:val="488B012C"/>
    <w:rsid w:val="49550E48"/>
    <w:rsid w:val="4A4C3ABB"/>
    <w:rsid w:val="4AB77AAC"/>
    <w:rsid w:val="4B3F661F"/>
    <w:rsid w:val="4B9B6F36"/>
    <w:rsid w:val="4D7106A5"/>
    <w:rsid w:val="4D937D80"/>
    <w:rsid w:val="4DBF3025"/>
    <w:rsid w:val="4DE804C5"/>
    <w:rsid w:val="4E4D0DDF"/>
    <w:rsid w:val="4EC43E0B"/>
    <w:rsid w:val="4F314687"/>
    <w:rsid w:val="4F7F25E0"/>
    <w:rsid w:val="4F8534D4"/>
    <w:rsid w:val="4FBD17B5"/>
    <w:rsid w:val="500C3C97"/>
    <w:rsid w:val="50DE2581"/>
    <w:rsid w:val="50E25A58"/>
    <w:rsid w:val="51167616"/>
    <w:rsid w:val="51212285"/>
    <w:rsid w:val="517F7502"/>
    <w:rsid w:val="51C730BB"/>
    <w:rsid w:val="527B23E0"/>
    <w:rsid w:val="52992C77"/>
    <w:rsid w:val="52F7005F"/>
    <w:rsid w:val="52F9777F"/>
    <w:rsid w:val="530A0261"/>
    <w:rsid w:val="5341518C"/>
    <w:rsid w:val="5389509E"/>
    <w:rsid w:val="53A05E55"/>
    <w:rsid w:val="53B52B8D"/>
    <w:rsid w:val="53ED2917"/>
    <w:rsid w:val="546C42F7"/>
    <w:rsid w:val="55313209"/>
    <w:rsid w:val="554F18E1"/>
    <w:rsid w:val="55762362"/>
    <w:rsid w:val="55991D76"/>
    <w:rsid w:val="55C63470"/>
    <w:rsid w:val="563D4F6C"/>
    <w:rsid w:val="56A5578E"/>
    <w:rsid w:val="57407733"/>
    <w:rsid w:val="574865E8"/>
    <w:rsid w:val="57CB3347"/>
    <w:rsid w:val="57E44562"/>
    <w:rsid w:val="57F10F8F"/>
    <w:rsid w:val="58156E12"/>
    <w:rsid w:val="58224D61"/>
    <w:rsid w:val="586E28CA"/>
    <w:rsid w:val="58E660B8"/>
    <w:rsid w:val="58ED2DF8"/>
    <w:rsid w:val="59505C28"/>
    <w:rsid w:val="595C3D18"/>
    <w:rsid w:val="59760241"/>
    <w:rsid w:val="59CC128C"/>
    <w:rsid w:val="59D765FF"/>
    <w:rsid w:val="5A6E1145"/>
    <w:rsid w:val="5A8F0AE0"/>
    <w:rsid w:val="5AC36D8D"/>
    <w:rsid w:val="5AE22E06"/>
    <w:rsid w:val="5AEE750A"/>
    <w:rsid w:val="5B4B673D"/>
    <w:rsid w:val="5BC859E8"/>
    <w:rsid w:val="5BFF190E"/>
    <w:rsid w:val="5C007076"/>
    <w:rsid w:val="5C3435DF"/>
    <w:rsid w:val="5C750170"/>
    <w:rsid w:val="5C954234"/>
    <w:rsid w:val="5D4F18B9"/>
    <w:rsid w:val="5D9F6BA2"/>
    <w:rsid w:val="5DA20107"/>
    <w:rsid w:val="5DD415C7"/>
    <w:rsid w:val="5E1935AF"/>
    <w:rsid w:val="5E1C702F"/>
    <w:rsid w:val="5E272F4F"/>
    <w:rsid w:val="5E4A24C9"/>
    <w:rsid w:val="5E7A69B4"/>
    <w:rsid w:val="5ED109C2"/>
    <w:rsid w:val="5F071EFA"/>
    <w:rsid w:val="5F2C2169"/>
    <w:rsid w:val="5F2C387A"/>
    <w:rsid w:val="5FC27515"/>
    <w:rsid w:val="5FFB3C03"/>
    <w:rsid w:val="602A37D7"/>
    <w:rsid w:val="608A0701"/>
    <w:rsid w:val="608F1995"/>
    <w:rsid w:val="60997552"/>
    <w:rsid w:val="61A025AC"/>
    <w:rsid w:val="61F443D2"/>
    <w:rsid w:val="62174E1A"/>
    <w:rsid w:val="629168EA"/>
    <w:rsid w:val="62B965EC"/>
    <w:rsid w:val="62F151FD"/>
    <w:rsid w:val="63222D38"/>
    <w:rsid w:val="63BC430D"/>
    <w:rsid w:val="641461CF"/>
    <w:rsid w:val="652B74FB"/>
    <w:rsid w:val="657B0C15"/>
    <w:rsid w:val="65D21DE8"/>
    <w:rsid w:val="66066779"/>
    <w:rsid w:val="661C7228"/>
    <w:rsid w:val="67810225"/>
    <w:rsid w:val="67D26069"/>
    <w:rsid w:val="67E260DB"/>
    <w:rsid w:val="67FE100B"/>
    <w:rsid w:val="68873690"/>
    <w:rsid w:val="6898707B"/>
    <w:rsid w:val="6934005B"/>
    <w:rsid w:val="693C22F5"/>
    <w:rsid w:val="69AE677E"/>
    <w:rsid w:val="69D7ED34"/>
    <w:rsid w:val="69E92EC5"/>
    <w:rsid w:val="6A1818A2"/>
    <w:rsid w:val="6A466ED2"/>
    <w:rsid w:val="6B1F5212"/>
    <w:rsid w:val="6B257891"/>
    <w:rsid w:val="6B3A562D"/>
    <w:rsid w:val="6BBB1BC1"/>
    <w:rsid w:val="6C4D2098"/>
    <w:rsid w:val="6D727B58"/>
    <w:rsid w:val="6D88746D"/>
    <w:rsid w:val="6D956071"/>
    <w:rsid w:val="6DD71F9A"/>
    <w:rsid w:val="6EAB7C30"/>
    <w:rsid w:val="6EB83BFB"/>
    <w:rsid w:val="6F5F7596"/>
    <w:rsid w:val="6F7E40AF"/>
    <w:rsid w:val="6F7E4E45"/>
    <w:rsid w:val="70221706"/>
    <w:rsid w:val="703314EB"/>
    <w:rsid w:val="705C369A"/>
    <w:rsid w:val="71465B9E"/>
    <w:rsid w:val="71DE1576"/>
    <w:rsid w:val="720F713E"/>
    <w:rsid w:val="724C6340"/>
    <w:rsid w:val="7299158E"/>
    <w:rsid w:val="72D306DE"/>
    <w:rsid w:val="736A2CCC"/>
    <w:rsid w:val="74AF414E"/>
    <w:rsid w:val="74B04C56"/>
    <w:rsid w:val="74E27569"/>
    <w:rsid w:val="74F30699"/>
    <w:rsid w:val="751D1E9F"/>
    <w:rsid w:val="763C4BB9"/>
    <w:rsid w:val="76C526F3"/>
    <w:rsid w:val="77775BCE"/>
    <w:rsid w:val="77F34477"/>
    <w:rsid w:val="77F79321"/>
    <w:rsid w:val="785D2852"/>
    <w:rsid w:val="78E926CC"/>
    <w:rsid w:val="793E5018"/>
    <w:rsid w:val="79632093"/>
    <w:rsid w:val="79697DCC"/>
    <w:rsid w:val="799522C2"/>
    <w:rsid w:val="79B44DA4"/>
    <w:rsid w:val="79FC7438"/>
    <w:rsid w:val="79FE50D3"/>
    <w:rsid w:val="7A0751CE"/>
    <w:rsid w:val="7A190395"/>
    <w:rsid w:val="7A8F3D3F"/>
    <w:rsid w:val="7AE213CC"/>
    <w:rsid w:val="7AE96FDF"/>
    <w:rsid w:val="7B401FC9"/>
    <w:rsid w:val="7C3522B8"/>
    <w:rsid w:val="7C541407"/>
    <w:rsid w:val="7C5807CC"/>
    <w:rsid w:val="7C692EF8"/>
    <w:rsid w:val="7CE8458D"/>
    <w:rsid w:val="7D44743E"/>
    <w:rsid w:val="7D5E6A79"/>
    <w:rsid w:val="7D5F5C08"/>
    <w:rsid w:val="7D66349E"/>
    <w:rsid w:val="7D9D2EC1"/>
    <w:rsid w:val="7E0C3B30"/>
    <w:rsid w:val="7E1919D1"/>
    <w:rsid w:val="7E5C0A47"/>
    <w:rsid w:val="7E920800"/>
    <w:rsid w:val="7EF722B8"/>
    <w:rsid w:val="7F9A43CC"/>
    <w:rsid w:val="7FAFDEA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2"/>
    <w:basedOn w:val="1"/>
    <w:next w:val="1"/>
    <w:qFormat/>
    <w:uiPriority w:val="0"/>
    <w:pPr>
      <w:autoSpaceDE w:val="0"/>
      <w:autoSpaceDN w:val="0"/>
      <w:adjustRightInd w:val="0"/>
      <w:spacing w:line="360" w:lineRule="auto"/>
      <w:jc w:val="center"/>
      <w:outlineLvl w:val="1"/>
    </w:pPr>
    <w:rPr>
      <w:rFonts w:ascii="宋体" w:hAnsi="宋体" w:eastAsia="宋体" w:cs="Times New Roman"/>
      <w:b/>
      <w:color w:val="000000"/>
      <w:kern w:val="0"/>
      <w:sz w:val="30"/>
      <w:szCs w:val="20"/>
    </w:rPr>
  </w:style>
  <w:style w:type="paragraph" w:styleId="4">
    <w:name w:val="heading 3"/>
    <w:basedOn w:val="1"/>
    <w:next w:val="1"/>
    <w:qFormat/>
    <w:uiPriority w:val="0"/>
    <w:pPr>
      <w:autoSpaceDE w:val="0"/>
      <w:autoSpaceDN w:val="0"/>
      <w:adjustRightInd w:val="0"/>
      <w:spacing w:after="156" w:afterLines="50" w:line="360" w:lineRule="auto"/>
      <w:ind w:left="-4"/>
      <w:jc w:val="center"/>
      <w:outlineLvl w:val="2"/>
    </w:pPr>
    <w:rPr>
      <w:rFonts w:ascii="宋体" w:hAnsi="宋体" w:eastAsia="宋体" w:cs="Times New Roman"/>
      <w:b/>
      <w:color w:val="000000"/>
      <w:kern w:val="0"/>
      <w:szCs w:val="20"/>
    </w:rPr>
  </w:style>
  <w:style w:type="paragraph" w:styleId="5">
    <w:name w:val="heading 4"/>
    <w:basedOn w:val="4"/>
    <w:next w:val="1"/>
    <w:unhideWhenUsed/>
    <w:qFormat/>
    <w:uiPriority w:val="9"/>
    <w:pPr>
      <w:outlineLvl w:val="3"/>
    </w:pPr>
    <w:rPr>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Calibri" w:hAnsi="Calibri"/>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annotation text"/>
    <w:basedOn w:val="1"/>
    <w:link w:val="69"/>
    <w:qFormat/>
    <w:uiPriority w:val="0"/>
    <w:pPr>
      <w:jc w:val="left"/>
    </w:pPr>
  </w:style>
  <w:style w:type="paragraph" w:styleId="9">
    <w:name w:val="Body Text"/>
    <w:basedOn w:val="1"/>
    <w:next w:val="10"/>
    <w:qFormat/>
    <w:uiPriority w:val="0"/>
    <w:rPr>
      <w:rFonts w:ascii="宋体" w:hAnsi="宋体"/>
      <w:kern w:val="0"/>
      <w:sz w:val="28"/>
      <w:szCs w:val="21"/>
    </w:r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spacing w:before="120" w:after="120"/>
      <w:ind w:left="420" w:leftChars="200"/>
      <w:jc w:val="left"/>
    </w:pPr>
    <w:rPr>
      <w:rFonts w:ascii="宋体" w:hAnsi="宋体" w:eastAsia="宋体" w:cs="Times New Roman"/>
      <w:bCs/>
      <w:color w:val="000000"/>
      <w:sz w:val="24"/>
      <w:szCs w:val="21"/>
    </w:rPr>
  </w:style>
  <w:style w:type="paragraph" w:styleId="12">
    <w:name w:val="endnote text"/>
    <w:basedOn w:val="1"/>
    <w:qFormat/>
    <w:uiPriority w:val="0"/>
    <w:pPr>
      <w:snapToGrid w:val="0"/>
      <w:jc w:val="left"/>
    </w:pPr>
    <w:rPr>
      <w:rFonts w:ascii="宋体" w:hAnsi="宋体"/>
      <w:kern w:val="0"/>
      <w:sz w:val="28"/>
    </w:rPr>
  </w:style>
  <w:style w:type="paragraph" w:styleId="1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toc 1"/>
    <w:basedOn w:val="1"/>
    <w:next w:val="1"/>
    <w:qFormat/>
    <w:uiPriority w:val="0"/>
  </w:style>
  <w:style w:type="paragraph" w:styleId="16">
    <w:name w:val="Body Text Indent 3"/>
    <w:basedOn w:val="1"/>
    <w:qFormat/>
    <w:uiPriority w:val="0"/>
    <w:pPr>
      <w:spacing w:line="360" w:lineRule="auto"/>
      <w:ind w:firstLine="420" w:firstLineChars="200"/>
    </w:pPr>
    <w:rPr>
      <w:szCs w:val="20"/>
    </w:rPr>
  </w:style>
  <w:style w:type="paragraph" w:styleId="17">
    <w:name w:val="toc 2"/>
    <w:basedOn w:val="1"/>
    <w:next w:val="1"/>
    <w:qFormat/>
    <w:uiPriority w:val="0"/>
    <w:pPr>
      <w:ind w:left="420" w:leftChars="200"/>
    </w:pPr>
    <w:rPr>
      <w:rFonts w:ascii="Calibri" w:hAnsi="Calibri" w:eastAsia="宋体" w:cs="Times New Roman"/>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annotation subject"/>
    <w:basedOn w:val="8"/>
    <w:next w:val="8"/>
    <w:link w:val="70"/>
    <w:qFormat/>
    <w:uiPriority w:val="0"/>
    <w:rPr>
      <w:b/>
      <w:bCs/>
    </w:rPr>
  </w:style>
  <w:style w:type="paragraph" w:styleId="20">
    <w:name w:val="Body Text First Indent 2"/>
    <w:basedOn w:val="11"/>
    <w:qFormat/>
    <w:uiPriority w:val="0"/>
    <w:pPr>
      <w:ind w:firstLine="420" w:firstLineChars="200"/>
    </w:pPr>
    <w:rPr>
      <w:rFonts w:ascii="Times New Roman" w:hAnsi="Times New Roman"/>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basedOn w:val="23"/>
    <w:qFormat/>
    <w:uiPriority w:val="0"/>
    <w:rPr>
      <w:sz w:val="21"/>
      <w:szCs w:val="21"/>
    </w:rPr>
  </w:style>
  <w:style w:type="paragraph" w:customStyle="1" w:styleId="25">
    <w:name w:val="null3"/>
    <w:hidden/>
    <w:qFormat/>
    <w:uiPriority w:val="0"/>
    <w:rPr>
      <w:rFonts w:hint="eastAsia" w:asciiTheme="minorHAnsi" w:hAnsiTheme="minorHAnsi" w:eastAsiaTheme="minorEastAsia" w:cstheme="minorBidi"/>
      <w:lang w:val="en-US" w:eastAsia="zh-Hans" w:bidi="ar-SA"/>
    </w:rPr>
  </w:style>
  <w:style w:type="paragraph" w:customStyle="1" w:styleId="26">
    <w:name w:val="正文_0"/>
    <w:qFormat/>
    <w:uiPriority w:val="0"/>
    <w:rPr>
      <w:rFonts w:ascii="Times New Roman" w:hAnsi="Times New Roman" w:eastAsia="宋体" w:cs="Times New Roman"/>
      <w:sz w:val="21"/>
      <w:lang w:val="en-US" w:eastAsia="zh-CN" w:bidi="ar-SA"/>
    </w:rPr>
  </w:style>
  <w:style w:type="paragraph" w:customStyle="1" w:styleId="27">
    <w:name w:val="表格文字"/>
    <w:basedOn w:val="1"/>
    <w:next w:val="9"/>
    <w:qFormat/>
    <w:uiPriority w:val="0"/>
    <w:pPr>
      <w:jc w:val="left"/>
    </w:pPr>
    <w:rPr>
      <w:bCs/>
      <w:spacing w:val="10"/>
      <w:kern w:val="0"/>
      <w:sz w:val="24"/>
      <w:szCs w:val="20"/>
    </w:rPr>
  </w:style>
  <w:style w:type="paragraph" w:customStyle="1" w:styleId="28">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_5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4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2">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0_0_3_0"/>
    <w:qFormat/>
    <w:uiPriority w:val="99"/>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34">
    <w:name w:val="正文_0_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36">
    <w:name w:val="正文文本 31"/>
    <w:basedOn w:val="1"/>
    <w:qFormat/>
    <w:uiPriority w:val="0"/>
    <w:rPr>
      <w:rFonts w:ascii="Calibri" w:hAnsi="Calibri" w:eastAsia="宋体" w:cs="Times New Roman"/>
      <w:color w:val="FF0000"/>
      <w:szCs w:val="21"/>
    </w:rPr>
  </w:style>
  <w:style w:type="paragraph" w:customStyle="1" w:styleId="37">
    <w:name w:val="正文正"/>
    <w:basedOn w:val="1"/>
    <w:qFormat/>
    <w:uiPriority w:val="99"/>
    <w:pPr>
      <w:spacing w:line="560" w:lineRule="exact"/>
      <w:ind w:firstLine="561"/>
    </w:pPr>
    <w:rPr>
      <w:rFonts w:eastAsia="仿宋_GB2312"/>
      <w:sz w:val="28"/>
    </w:rPr>
  </w:style>
  <w:style w:type="paragraph" w:customStyle="1" w:styleId="38">
    <w:name w:val="正文_5_0"/>
    <w:next w:val="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缩进_4_0"/>
    <w:basedOn w:val="40"/>
    <w:qFormat/>
    <w:uiPriority w:val="0"/>
    <w:pPr>
      <w:widowControl/>
      <w:ind w:firstLine="420" w:firstLineChars="200"/>
      <w:jc w:val="left"/>
    </w:pPr>
    <w:rPr>
      <w:kern w:val="0"/>
      <w:sz w:val="20"/>
      <w:szCs w:val="20"/>
    </w:rPr>
  </w:style>
  <w:style w:type="paragraph" w:customStyle="1" w:styleId="40">
    <w:name w:val="正文_5_1"/>
    <w:next w:val="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纯文本_0"/>
    <w:basedOn w:val="43"/>
    <w:qFormat/>
    <w:uiPriority w:val="0"/>
    <w:rPr>
      <w:rFonts w:ascii="宋体" w:hAnsi="Courier New"/>
      <w:szCs w:val="21"/>
    </w:rPr>
  </w:style>
  <w:style w:type="paragraph" w:customStyle="1" w:styleId="43">
    <w:name w:val="正文_3_1"/>
    <w:next w:val="4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正文缩进_2"/>
    <w:basedOn w:val="45"/>
    <w:qFormat/>
    <w:uiPriority w:val="0"/>
    <w:pPr>
      <w:ind w:firstLine="420" w:firstLineChars="200"/>
    </w:pPr>
    <w:rPr>
      <w:rFonts w:ascii="Calibri" w:hAnsi="Calibri"/>
      <w:szCs w:val="22"/>
    </w:rPr>
  </w:style>
  <w:style w:type="paragraph" w:customStyle="1" w:styleId="45">
    <w:name w:val="正文_3_2"/>
    <w:next w:val="4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文本块1"/>
    <w:basedOn w:val="1"/>
    <w:qFormat/>
    <w:uiPriority w:val="0"/>
    <w:pPr>
      <w:ind w:left="1440" w:leftChars="700" w:right="1440" w:rightChars="700"/>
    </w:pPr>
    <w:rPr>
      <w:rFonts w:ascii="Times New Roman" w:hAnsi="Times New Roman" w:eastAsia="宋体" w:cs="Times New Roman"/>
    </w:rPr>
  </w:style>
  <w:style w:type="paragraph" w:customStyle="1" w:styleId="47">
    <w:name w:val="题注4"/>
    <w:basedOn w:val="1"/>
    <w:next w:val="7"/>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48">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9">
    <w:name w:val="正文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0">
    <w:name w:val="题注5"/>
    <w:basedOn w:val="1"/>
    <w:next w:val="7"/>
    <w:qFormat/>
    <w:uiPriority w:val="0"/>
    <w:pPr>
      <w:jc w:val="center"/>
    </w:pPr>
    <w:rPr>
      <w:rFonts w:ascii="Calibri" w:hAnsi="Calibri" w:eastAsia="宋体" w:cs="Times New Roman"/>
      <w:b/>
      <w:color w:val="000000"/>
      <w:sz w:val="24"/>
      <w:szCs w:val="21"/>
    </w:rPr>
  </w:style>
  <w:style w:type="paragraph" w:customStyle="1" w:styleId="51">
    <w:name w:val="正文缩进1"/>
    <w:basedOn w:val="1"/>
    <w:next w:val="52"/>
    <w:qFormat/>
    <w:uiPriority w:val="0"/>
    <w:pPr>
      <w:ind w:firstLine="420" w:firstLineChars="200"/>
    </w:pPr>
    <w:rPr>
      <w:rFonts w:eastAsia="宋体"/>
      <w:szCs w:val="21"/>
    </w:rPr>
  </w:style>
  <w:style w:type="paragraph" w:customStyle="1" w:styleId="5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3">
    <w:name w:val="正文_27"/>
    <w:next w:val="54"/>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4">
    <w:name w:val="尾注文本_0"/>
    <w:basedOn w:val="55"/>
    <w:qFormat/>
    <w:uiPriority w:val="0"/>
    <w:pPr>
      <w:snapToGrid w:val="0"/>
      <w:jc w:val="left"/>
    </w:pPr>
    <w:rPr>
      <w:rFonts w:ascii="宋体" w:hAnsi="宋体"/>
      <w:kern w:val="0"/>
      <w:sz w:val="28"/>
    </w:rPr>
  </w:style>
  <w:style w:type="paragraph" w:customStyle="1" w:styleId="55">
    <w:name w:val="正文_0_1_1"/>
    <w:next w:val="56"/>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6">
    <w:name w:val="正文缩进_0_0"/>
    <w:basedOn w:val="55"/>
    <w:qFormat/>
    <w:uiPriority w:val="0"/>
    <w:pPr>
      <w:widowControl/>
      <w:ind w:firstLine="420" w:firstLineChars="200"/>
      <w:jc w:val="left"/>
    </w:pPr>
    <w:rPr>
      <w:kern w:val="0"/>
      <w:sz w:val="20"/>
      <w:szCs w:val="20"/>
    </w:rPr>
  </w:style>
  <w:style w:type="paragraph" w:customStyle="1" w:styleId="57">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2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customStyle="1" w:styleId="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1">
    <w:name w:val="Body Text First Indent 21"/>
    <w:basedOn w:val="62"/>
    <w:qFormat/>
    <w:uiPriority w:val="0"/>
    <w:pPr>
      <w:ind w:firstLine="420" w:firstLineChars="200"/>
    </w:pPr>
  </w:style>
  <w:style w:type="paragraph" w:customStyle="1" w:styleId="62">
    <w:name w:val="Body Text Indent1"/>
    <w:basedOn w:val="1"/>
    <w:qFormat/>
    <w:uiPriority w:val="0"/>
    <w:pPr>
      <w:spacing w:after="120"/>
      <w:ind w:left="420" w:leftChars="200"/>
    </w:pPr>
    <w:rPr>
      <w:rFonts w:ascii="Times New Roman" w:hAnsi="Times New Roman" w:eastAsia="宋体" w:cs="Times New Roman"/>
      <w:szCs w:val="22"/>
    </w:rPr>
  </w:style>
  <w:style w:type="paragraph" w:customStyle="1" w:styleId="63">
    <w:name w:val="正文_4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列表段落1"/>
    <w:basedOn w:val="1"/>
    <w:qFormat/>
    <w:uiPriority w:val="11"/>
  </w:style>
  <w:style w:type="paragraph" w:customStyle="1" w:styleId="65">
    <w:name w:val="正文2"/>
    <w:qFormat/>
    <w:uiPriority w:val="0"/>
    <w:rPr>
      <w:rFonts w:ascii="Calibri" w:hAnsi="Calibri" w:eastAsia="Times New Roman" w:cs="Times New Roman"/>
      <w:sz w:val="24"/>
      <w:szCs w:val="24"/>
      <w:lang w:val="en-US" w:eastAsia="zh-CN" w:bidi="ar-SA"/>
    </w:rPr>
  </w:style>
  <w:style w:type="paragraph" w:customStyle="1" w:styleId="66">
    <w:name w:val="正文-招标书"/>
    <w:basedOn w:val="1"/>
    <w:qFormat/>
    <w:uiPriority w:val="0"/>
    <w:pPr>
      <w:widowControl/>
      <w:spacing w:line="480" w:lineRule="exact"/>
      <w:jc w:val="left"/>
    </w:pPr>
    <w:rPr>
      <w:rFonts w:ascii="宋体" w:hAnsi="宋体" w:eastAsia="宋体" w:cs="宋体"/>
      <w:sz w:val="24"/>
    </w:rPr>
  </w:style>
  <w:style w:type="paragraph" w:customStyle="1" w:styleId="67">
    <w:name w:val="Table Paragraph"/>
    <w:basedOn w:val="1"/>
    <w:unhideWhenUsed/>
    <w:qFormat/>
    <w:uiPriority w:val="1"/>
    <w:rPr>
      <w:sz w:val="24"/>
    </w:rPr>
  </w:style>
  <w:style w:type="paragraph" w:customStyle="1" w:styleId="6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9">
    <w:name w:val="批注文字 字符"/>
    <w:basedOn w:val="23"/>
    <w:link w:val="8"/>
    <w:qFormat/>
    <w:uiPriority w:val="0"/>
    <w:rPr>
      <w:rFonts w:asciiTheme="minorHAnsi" w:hAnsiTheme="minorHAnsi" w:eastAsiaTheme="minorEastAsia" w:cstheme="minorBidi"/>
      <w:kern w:val="2"/>
      <w:sz w:val="21"/>
      <w:szCs w:val="24"/>
    </w:rPr>
  </w:style>
  <w:style w:type="character" w:customStyle="1" w:styleId="70">
    <w:name w:val="批注主题 字符"/>
    <w:basedOn w:val="69"/>
    <w:link w:val="19"/>
    <w:qFormat/>
    <w:uiPriority w:val="0"/>
    <w:rPr>
      <w:rFonts w:asciiTheme="minorHAnsi" w:hAnsiTheme="minorHAnsi" w:eastAsiaTheme="minorEastAsia" w:cstheme="minorBidi"/>
      <w:b/>
      <w:bCs/>
      <w:kern w:val="2"/>
      <w:sz w:val="21"/>
      <w:szCs w:val="24"/>
    </w:rPr>
  </w:style>
  <w:style w:type="paragraph" w:customStyle="1" w:styleId="71">
    <w:name w:val="_Style 3"/>
    <w:next w:val="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53956</Words>
  <Characters>55998</Characters>
  <Lines>436</Lines>
  <Paragraphs>122</Paragraphs>
  <TotalTime>306</TotalTime>
  <ScaleCrop>false</ScaleCrop>
  <LinksUpToDate>false</LinksUpToDate>
  <CharactersWithSpaces>57477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2022-04-09T19:57:00Z</dcterms:created>
  <dc:creator>五块钱</dc:creator>
  <cp:lastModifiedBy>招标代理</cp:lastModifiedBy>
  <cp:lastPrinted>2024-07-04T02:38:00Z</cp:lastPrinted>
  <dcterms:modified xsi:type="dcterms:W3CDTF">2024-10-15T02:54:08Z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E47C7A674E8C020E1E80EB66F54B1CDA</vt:lpwstr>
  </property>
</Properties>
</file>