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440001-2023-40903</w:t>
      </w:r>
    </w:p>
    <w:p>
      <w:pPr>
        <w:jc w:val="center"/>
      </w:pPr>
      <w:r>
        <w:rPr>
          <w:b/>
          <w:sz w:val="24"/>
        </w:rPr>
        <w:t>采购项目编号：</w:t>
      </w:r>
      <w:r>
        <w:rPr>
          <w:b/>
          <w:sz w:val="24"/>
        </w:rPr>
        <w:t>GDYD230943</w:t>
      </w:r>
    </w:p>
    <w:p>
      <w:pPr>
        <w:jc w:val="center"/>
      </w:pPr>
      <w:r>
        <w:rPr>
          <w:b/>
          <w:sz w:val="24"/>
        </w:rPr>
        <w:t>项目名称：</w:t>
      </w:r>
      <w:r>
        <w:rPr>
          <w:b/>
          <w:sz w:val="24"/>
        </w:rPr>
        <w:t>广东省北江监狱2023-2024年度日常维修服务项目(二次)</w:t>
      </w:r>
    </w:p>
    <w:p>
      <w:pPr>
        <w:jc w:val="center"/>
      </w:pPr>
      <w:r>
        <w:rPr>
          <w:b/>
          <w:sz w:val="24"/>
        </w:rPr>
        <w:t>采购人：</w:t>
      </w:r>
      <w:r>
        <w:rPr>
          <w:b/>
          <w:sz w:val="24"/>
        </w:rPr>
        <w:t>广东省北江监狱</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 磋商邀请</w:t>
      </w:r>
    </w:p>
    <w:p>
      <w:pPr>
        <w:ind w:firstLine="480"/>
      </w:pPr>
      <w:r>
        <w:rPr/>
        <w:t>广东远东招标代理有限公司</w:t>
      </w:r>
      <w:r>
        <w:rPr/>
        <w:t>受</w:t>
      </w:r>
      <w:r>
        <w:rPr/>
        <w:t>广东省北江监狱</w:t>
      </w:r>
      <w:r>
        <w:rPr/>
        <w:t>的委托，采用</w:t>
      </w:r>
      <w:r>
        <w:rPr/>
        <w:t>竞争性磋商</w:t>
      </w:r>
      <w:r>
        <w:rPr/>
        <w:t>方式组织采购</w:t>
      </w:r>
      <w:r>
        <w:rPr/>
        <w:t>广东省北江监狱2023-2024年度日常维修服务项目(二次)</w:t>
      </w:r>
      <w:r>
        <w:rPr/>
        <w:t>。欢迎符合资格条件的供应商参加。</w:t>
      </w:r>
    </w:p>
    <w:p>
      <w:r>
        <w:rPr>
          <w:b/>
          <w:sz w:val="28"/>
        </w:rPr>
        <w:t>一.项目概述</w:t>
      </w:r>
    </w:p>
    <w:p>
      <w:r>
        <w:rPr>
          <w:b/>
          <w:sz w:val="24"/>
        </w:rPr>
        <w:t>1.名称与编号</w:t>
      </w:r>
    </w:p>
    <w:p>
      <w:pPr>
        <w:ind w:firstLine="480"/>
      </w:pPr>
      <w:r>
        <w:rPr/>
        <w:t>采购项目名称：</w:t>
      </w:r>
      <w:r>
        <w:rPr/>
        <w:t>广东省北江监狱2023-2024年度日常维修服务项目(二次)</w:t>
      </w:r>
    </w:p>
    <w:p>
      <w:pPr>
        <w:ind w:firstLine="480"/>
      </w:pPr>
      <w:r>
        <w:rPr/>
        <w:t>采购计划编号：</w:t>
      </w:r>
      <w:r>
        <w:rPr/>
        <w:t>440001-2023-40903</w:t>
      </w:r>
    </w:p>
    <w:p>
      <w:pPr>
        <w:ind w:firstLine="480"/>
      </w:pPr>
      <w:r>
        <w:rPr/>
        <w:t>采购项目编号：</w:t>
      </w:r>
      <w:r>
        <w:rPr/>
        <w:t>GDYD230943</w:t>
      </w:r>
    </w:p>
    <w:p>
      <w:pPr>
        <w:ind w:firstLine="480"/>
      </w:pPr>
      <w:r>
        <w:rPr/>
        <w:t>采购方式：</w:t>
      </w:r>
      <w:r>
        <w:rPr/>
        <w:t>竞争性磋商</w:t>
      </w:r>
    </w:p>
    <w:p>
      <w:pPr>
        <w:ind w:firstLine="480"/>
      </w:pPr>
      <w:r>
        <w:rPr/>
        <w:t>预算金额：</w:t>
      </w:r>
      <w:r>
        <w:rPr/>
        <w:t>1,800,000.00</w:t>
      </w:r>
      <w:r>
        <w:rPr/>
        <w:t>元</w:t>
      </w:r>
    </w:p>
    <w:p>
      <w:r>
        <w:rPr>
          <w:b/>
          <w:sz w:val="24"/>
        </w:rPr>
        <w:t>2.项目内容及需求情况（采购项目技术规格、参数及要求）</w:t>
      </w:r>
    </w:p>
    <w:p>
      <w:pPr>
        <w:ind w:firstLine="480"/>
      </w:pPr>
    </w:p>
    <w:p/>
    <w:p>
      <w:r>
        <w:rPr/>
        <w:t>采购包1(广东省北江监狱2023-2024年度日常维修服务项目):</w:t>
      </w:r>
    </w:p>
    <w:p>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其他维修和保养服务</w:t>
            </w:r>
          </w:p>
        </w:tc>
        <w:tc>
          <w:tcPr>
            <w:tcW w:type="dxa" w:w="2052"/>
          </w:tcPr>
          <w:p>
            <w:r>
              <w:rPr/>
              <w:t>日常维修服务</w:t>
            </w:r>
          </w:p>
        </w:tc>
        <w:tc>
          <w:tcPr>
            <w:tcW w:type="dxa" w:w="977"/>
          </w:tcPr>
          <w:p>
            <w:r>
              <w:rPr/>
              <w:t>1.00(项)</w:t>
            </w:r>
          </w:p>
        </w:tc>
        <w:tc>
          <w:tcPr>
            <w:tcW w:type="dxa" w:w="977"/>
          </w:tcPr>
          <w:p>
            <w:r>
              <w:rPr/>
              <w:t>详见第二章</w:t>
            </w:r>
          </w:p>
        </w:tc>
        <w:tc>
          <w:tcPr>
            <w:tcW w:type="dxa" w:w="977"/>
          </w:tcPr>
          <w:p>
            <w:r>
              <w:rPr/>
              <w:t>1,800,000.00</w:t>
            </w:r>
          </w:p>
        </w:tc>
        <w:tc>
          <w:tcPr>
            <w:tcW w:type="dxa" w:w="977"/>
          </w:tcPr>
          <w:p>
            <w:r>
              <w:rPr/>
              <w:t>否</w:t>
            </w:r>
          </w:p>
        </w:tc>
      </w:tr>
    </w:tbl>
    <w:p/>
    <w:p>
      <w:r>
        <w:rPr/>
        <w:t>本采购包不接受联合体响应</w:t>
      </w:r>
    </w:p>
    <w:p/>
    <w:p>
      <w:r>
        <w:rPr/>
        <w:t>合同履行期限：服务期12个月或实际支付金额累计达到采购预算额度，若合同期满未达到采购预算金额，则按实结算。</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副本复印件。分支机构响应的，须提供总公司和分公司营业执照副本复印件，总公司出具给分支机构的授权书；</w:t>
      </w:r>
    </w:p>
    <w:p/>
    <w:p>
      <w:r>
        <w:rPr/>
        <w:t>2）有依法缴纳税收和社会保障资金的良好记录：提供响应截止日前6个月内任意1个月依法缴纳税收和社会保障资金的相关材料。 如依法免税或不需要缴纳社会保障资金的，提供相应证明材料；</w:t>
      </w:r>
    </w:p>
    <w:p/>
    <w:p>
      <w:r>
        <w:rPr/>
        <w:t>3）具有良好的商业信誉和健全的财务会计制度：供应商必须具有良好的商业信誉和健全的财务会计制度（供应商必须提供2022年度财务状况报告或2023年任意1个月的财务报表或基本开户行出具的资信证明）；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采购包1（广东省北江监狱2023-2024年度日常维修服务项目）：</w:t>
      </w:r>
      <w:r>
        <w:rPr/>
        <w:t>参与的供应商（联合体）服务全部由符合政策要求的中小企业承接（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根据《关于印发中小企业划型标准规定的通知》（工信部联企业[2011]300号）,,本项所属行业为：其他未列明行业。</w:t>
      </w:r>
    </w:p>
    <w:p/>
    <w:p>
      <w:r>
        <w:rPr>
          <w:b/>
          <w:sz w:val="24"/>
        </w:rPr>
        <w:t>3.本项目特定的资格要求：</w:t>
      </w:r>
    </w:p>
    <w:p>
      <w:pPr>
        <w:ind w:firstLine="480"/>
      </w:pPr>
    </w:p>
    <w:p/>
    <w:p>
      <w:r>
        <w:rPr/>
        <w:t>采购包1（广东省北江监狱2023-2024年度日常维修服务项目）：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广东远东招标代理有限公司（http://www.gdydzb.com/）</w:t>
      </w:r>
    </w:p>
    <w:p>
      <w:r>
        <w:rPr>
          <w:b/>
          <w:sz w:val="28"/>
        </w:rPr>
        <w:t>六.本项目联系方式：</w:t>
      </w:r>
    </w:p>
    <w:p>
      <w:r>
        <w:rPr>
          <w:b/>
          <w:sz w:val="24"/>
        </w:rPr>
        <w:t>1.采购人信息</w:t>
      </w:r>
    </w:p>
    <w:p>
      <w:pPr>
        <w:ind w:firstLine="480"/>
      </w:pPr>
      <w:r>
        <w:rPr/>
        <w:t>名称：</w:t>
      </w:r>
      <w:r>
        <w:rPr/>
        <w:t>广东省北江监狱</w:t>
      </w:r>
    </w:p>
    <w:p>
      <w:pPr>
        <w:ind w:firstLine="480"/>
      </w:pPr>
      <w:r>
        <w:rPr/>
        <w:t>地址：</w:t>
      </w:r>
      <w:r>
        <w:rPr/>
        <w:t>广东省韶关市浈江区十里亭北江监狱</w:t>
      </w:r>
    </w:p>
    <w:p>
      <w:pPr>
        <w:ind w:firstLine="480"/>
      </w:pPr>
      <w:r>
        <w:rPr/>
        <w:t>联系方式：</w:t>
      </w:r>
      <w:r>
        <w:rPr/>
        <w:t>0751-8836871</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广东省广州市越秀区越秀北路222号608-612室，韶关市武江区西联镇小阳山沐芙路扬成名门综合楼三楼(韶关分公司)</w:t>
      </w:r>
    </w:p>
    <w:p>
      <w:pPr>
        <w:ind w:firstLine="480"/>
      </w:pPr>
      <w:r>
        <w:rPr/>
        <w:t>联系方式：</w:t>
      </w:r>
      <w:r>
        <w:rPr/>
        <w:t>0751-8115118</w:t>
      </w:r>
    </w:p>
    <w:p>
      <w:r>
        <w:rPr>
          <w:b/>
          <w:sz w:val="24"/>
        </w:rPr>
        <w:t>3.项目联系方式</w:t>
      </w:r>
    </w:p>
    <w:p>
      <w:pPr>
        <w:ind w:firstLine="480"/>
      </w:pPr>
      <w:r>
        <w:rPr/>
        <w:t>项目联系人：</w:t>
      </w:r>
      <w:r>
        <w:rPr/>
        <w:t>黄小姐</w:t>
      </w:r>
    </w:p>
    <w:p>
      <w:pPr>
        <w:ind w:firstLine="480"/>
      </w:pPr>
      <w:r>
        <w:rPr/>
        <w:t>电话：</w:t>
      </w:r>
      <w:r>
        <w:rPr/>
        <w:t>0751-8115118</w:t>
      </w:r>
    </w:p>
    <w:p>
      <w:r>
        <w:rPr>
          <w:b/>
          <w:sz w:val="24"/>
        </w:rPr>
        <w:t>4.技术支持联系方式</w:t>
      </w:r>
    </w:p>
    <w:p>
      <w:pPr>
        <w:ind w:firstLine="480"/>
      </w:pPr>
      <w:r>
        <w:rPr/>
        <w:t>云平台联系方式：020-88696588</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left"/>
      </w:pPr>
    </w:p>
    <w:p>
      <w:pPr>
        <w:ind w:firstLine="422"/>
        <w:jc w:val="left"/>
      </w:pPr>
      <w:r>
        <w:rPr>
          <w:b/>
          <w:sz w:val="21"/>
        </w:rPr>
        <w:t>（一）项目概况</w:t>
      </w:r>
    </w:p>
    <w:p>
      <w:pPr>
        <w:ind w:firstLine="420"/>
        <w:jc w:val="left"/>
      </w:pPr>
      <w:r>
        <w:rPr>
          <w:sz w:val="21"/>
        </w:rPr>
        <w:t>日常维修是指保障采购人设施设备正常运行而实施的房屋设施、市政设施、办公设施、生活设施的维修维护和各类紧急抢修（紧急抢修可包含水电设备等）。不包含通讯设备、水电设备、特种设备、燃气设备、消防设备、厨具设备、办公自动化设备、电子设备、直饮水机、空调设备、空气能热水器、涉密设备、教育设备和生产设备的维修、维护。费用不计工具费、措施费、规费和管理费等，由工时费、材料费、机械和车辆台班费组成，单项维修费用原则上不超过</w:t>
      </w:r>
      <w:r>
        <w:rPr>
          <w:sz w:val="21"/>
        </w:rPr>
        <w:t>2万元。</w:t>
      </w:r>
    </w:p>
    <w:p>
      <w:pPr>
        <w:jc w:val="both"/>
      </w:pPr>
      <w:r>
        <w:rPr>
          <w:b/>
          <w:sz w:val="21"/>
        </w:rPr>
        <w:t>（二）项目内容</w:t>
      </w:r>
    </w:p>
    <w:tbl>
      <w:tblPr>
        <w:tblW w:w="0" w:type="auto"/>
        <w:tblBorders>
          <w:top w:val="none" w:color="000000" w:sz="4"/>
          <w:left w:val="none" w:color="000000" w:sz="4"/>
          <w:bottom w:val="none" w:color="000000" w:sz="4"/>
          <w:right w:val="none" w:color="000000" w:sz="4"/>
          <w:insideH w:val="none"/>
          <w:insideV w:val="none"/>
        </w:tblBorders>
      </w:tblPr>
      <w:tblGrid>
        <w:gridCol w:w="4870"/>
        <w:gridCol w:w="1090"/>
        <w:gridCol w:w="2330"/>
      </w:tblGrid>
      <w:tr>
        <w:tc>
          <w:tcPr>
            <w:tcW w:type="dxa" w:w="4870"/>
            <w:tcBorders>
              <w:top w:val="single" w:color="000000" w:sz="4"/>
              <w:left w:val="single" w:color="000000" w:sz="4"/>
              <w:bottom w:val="single" w:color="000000" w:sz="4"/>
              <w:right w:val="single" w:color="000000" w:sz="4"/>
            </w:tcBorders>
            <w:vAlign w:val="top"/>
          </w:tcPr>
          <w:p>
            <w:pPr>
              <w:jc w:val="center"/>
            </w:pPr>
            <w:r>
              <w:rPr>
                <w:b/>
                <w:sz w:val="21"/>
              </w:rPr>
              <w:t>采购内容</w:t>
            </w:r>
          </w:p>
        </w:tc>
        <w:tc>
          <w:tcPr>
            <w:tcW w:type="dxa" w:w="1090"/>
            <w:tcBorders>
              <w:top w:val="single" w:color="000000" w:sz="4"/>
              <w:left w:val="single" w:color="000000" w:sz="4"/>
              <w:bottom w:val="single" w:color="000000" w:sz="4"/>
              <w:right w:val="single" w:color="000000" w:sz="4"/>
            </w:tcBorders>
            <w:vAlign w:val="top"/>
          </w:tcPr>
          <w:p>
            <w:pPr>
              <w:jc w:val="center"/>
            </w:pPr>
            <w:r>
              <w:rPr>
                <w:b/>
                <w:sz w:val="21"/>
              </w:rPr>
              <w:t>数量</w:t>
            </w:r>
          </w:p>
          <w:p>
            <w:pPr>
              <w:jc w:val="center"/>
            </w:pPr>
            <w:r>
              <w:rPr>
                <w:b/>
                <w:sz w:val="21"/>
              </w:rPr>
              <w:t>（单位）</w:t>
            </w:r>
          </w:p>
        </w:tc>
        <w:tc>
          <w:tcPr>
            <w:tcW w:type="dxa" w:w="2330"/>
            <w:tcBorders>
              <w:top w:val="single" w:color="000000" w:sz="4"/>
              <w:left w:val="single" w:color="000000" w:sz="4"/>
              <w:bottom w:val="single" w:color="000000" w:sz="4"/>
              <w:right w:val="single" w:color="000000" w:sz="4"/>
            </w:tcBorders>
            <w:vAlign w:val="top"/>
          </w:tcPr>
          <w:p>
            <w:pPr>
              <w:jc w:val="center"/>
            </w:pPr>
            <w:r>
              <w:rPr>
                <w:b/>
                <w:sz w:val="21"/>
              </w:rPr>
              <w:t>采购预算（最高限价）</w:t>
            </w:r>
          </w:p>
        </w:tc>
      </w:tr>
      <w:tr>
        <w:tc>
          <w:tcPr>
            <w:tcW w:type="dxa" w:w="4870"/>
            <w:tcBorders>
              <w:top w:val="none" w:color="000000" w:sz="4"/>
              <w:left w:val="single" w:color="000000" w:sz="4"/>
              <w:bottom w:val="single" w:color="000000" w:sz="4"/>
              <w:right w:val="single" w:color="000000" w:sz="4"/>
            </w:tcBorders>
            <w:vAlign w:val="top"/>
          </w:tcPr>
          <w:p>
            <w:pPr>
              <w:jc w:val="center"/>
            </w:pPr>
            <w:r>
              <w:rPr>
                <w:sz w:val="21"/>
              </w:rPr>
              <w:t>广东省北江监狱</w:t>
            </w:r>
            <w:r>
              <w:rPr>
                <w:sz w:val="21"/>
              </w:rPr>
              <w:t>2023-2024年度日常维修服务项目</w:t>
            </w:r>
          </w:p>
        </w:tc>
        <w:tc>
          <w:tcPr>
            <w:tcW w:type="dxa" w:w="1090"/>
            <w:tcBorders>
              <w:top w:val="none" w:color="000000" w:sz="4"/>
              <w:left w:val="single" w:color="000000" w:sz="4"/>
              <w:bottom w:val="single" w:color="000000" w:sz="4"/>
              <w:right w:val="single" w:color="000000" w:sz="4"/>
            </w:tcBorders>
            <w:vAlign w:val="top"/>
          </w:tcPr>
          <w:p>
            <w:pPr>
              <w:jc w:val="center"/>
            </w:pPr>
            <w:r>
              <w:rPr>
                <w:sz w:val="21"/>
              </w:rPr>
              <w:t>1项</w:t>
            </w:r>
          </w:p>
        </w:tc>
        <w:tc>
          <w:tcPr>
            <w:tcW w:type="dxa" w:w="2330"/>
            <w:tcBorders>
              <w:top w:val="none" w:color="000000" w:sz="4"/>
              <w:left w:val="single" w:color="000000" w:sz="4"/>
              <w:bottom w:val="single" w:color="000000" w:sz="4"/>
              <w:right w:val="single" w:color="000000" w:sz="4"/>
            </w:tcBorders>
            <w:vAlign w:val="top"/>
          </w:tcPr>
          <w:p>
            <w:pPr>
              <w:jc w:val="center"/>
            </w:pPr>
            <w:r>
              <w:rPr>
                <w:sz w:val="21"/>
              </w:rPr>
              <w:t>1,800,000.00元</w:t>
            </w:r>
          </w:p>
        </w:tc>
      </w:tr>
    </w:tbl>
    <w:p>
      <w:r>
        <w:rPr/>
        <w:t>（三）附表：《</w:t>
      </w:r>
      <w:r>
        <w:rPr>
          <w:b/>
          <w:sz w:val="21"/>
        </w:rPr>
        <w:t>日常维修服务监督管理考核表</w:t>
      </w:r>
      <w:r>
        <w:rPr>
          <w:sz w:val="21"/>
        </w:rPr>
        <w:t>》《</w:t>
      </w:r>
      <w:r>
        <w:rPr>
          <w:b/>
          <w:sz w:val="21"/>
        </w:rPr>
        <w:t>日常维修验收表</w:t>
      </w:r>
      <w:r>
        <w:rPr>
          <w:sz w:val="21"/>
        </w:rPr>
        <w:t>》</w:t>
      </w:r>
    </w:p>
    <w:p>
      <w:pPr>
        <w:jc w:val="center"/>
      </w:pPr>
      <w:r>
        <w:rPr>
          <w:b/>
          <w:sz w:val="21"/>
        </w:rPr>
        <w:t>（1）日常维修服务监督管理考核表</w:t>
      </w:r>
    </w:p>
    <w:p>
      <w:pPr>
        <w:jc w:val="both"/>
      </w:pPr>
      <w:r>
        <w:rPr>
          <w:sz w:val="21"/>
        </w:rPr>
        <w:t>被考核服务商：</w:t>
      </w:r>
      <w:r>
        <w:rPr>
          <w:sz w:val="21"/>
        </w:rPr>
        <w:t xml:space="preserve">                     </w:t>
      </w:r>
      <w:r>
        <w:rPr>
          <w:sz w:val="21"/>
        </w:rPr>
        <w:t>考核时间：</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10"/>
        <w:gridCol w:w="2730"/>
        <w:gridCol w:w="630"/>
        <w:gridCol w:w="705"/>
        <w:gridCol w:w="510"/>
        <w:gridCol w:w="540"/>
        <w:gridCol w:w="450"/>
      </w:tblGrid>
      <w:tr>
        <w:tc>
          <w:tcPr>
            <w:tcW w:type="dxa" w:w="510"/>
            <w:vMerge w:val="restart"/>
            <w:tcBorders>
              <w:top w:val="single" w:color="000000" w:sz="4"/>
              <w:left w:val="single" w:color="000000" w:sz="4"/>
              <w:bottom w:val="single" w:color="000000" w:sz="4"/>
              <w:right w:val="single" w:color="000000" w:sz="4"/>
            </w:tcBorders>
            <w:vAlign w:val="top"/>
          </w:tcPr>
          <w:p>
            <w:pPr>
              <w:jc w:val="both"/>
            </w:pPr>
            <w:r>
              <w:rPr>
                <w:sz w:val="21"/>
              </w:rPr>
              <w:t>类别</w:t>
            </w:r>
          </w:p>
        </w:tc>
        <w:tc>
          <w:tcPr>
            <w:tcW w:type="dxa" w:w="2730"/>
            <w:vMerge w:val="restart"/>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1845"/>
            <w:gridSpan w:val="3"/>
            <w:tcBorders>
              <w:top w:val="single" w:color="000000" w:sz="4"/>
              <w:left w:val="single" w:color="000000" w:sz="4"/>
              <w:bottom w:val="single" w:color="000000" w:sz="4"/>
              <w:right w:val="single" w:color="000000" w:sz="4"/>
            </w:tcBorders>
            <w:vAlign w:val="top"/>
          </w:tcPr>
          <w:p>
            <w:pPr>
              <w:jc w:val="both"/>
            </w:pPr>
            <w:r>
              <w:rPr>
                <w:sz w:val="21"/>
              </w:rPr>
              <w:t>检查情况</w:t>
            </w:r>
          </w:p>
        </w:tc>
        <w:tc>
          <w:tcPr>
            <w:tcW w:type="dxa" w:w="540"/>
            <w:vMerge w:val="restart"/>
            <w:tcBorders>
              <w:top w:val="single" w:color="000000" w:sz="4"/>
              <w:left w:val="single" w:color="000000" w:sz="4"/>
              <w:bottom w:val="single" w:color="000000" w:sz="4"/>
              <w:right w:val="single" w:color="000000" w:sz="4"/>
            </w:tcBorders>
            <w:vAlign w:val="top"/>
          </w:tcPr>
          <w:p>
            <w:pPr>
              <w:jc w:val="both"/>
            </w:pPr>
            <w:r>
              <w:rPr>
                <w:sz w:val="21"/>
              </w:rPr>
              <w:t>整改情况</w:t>
            </w:r>
          </w:p>
        </w:tc>
        <w:tc>
          <w:tcPr>
            <w:tcW w:type="dxa" w:w="450"/>
            <w:vMerge w:val="restart"/>
            <w:tcBorders>
              <w:top w:val="single" w:color="000000" w:sz="4"/>
              <w:left w:val="single" w:color="000000" w:sz="4"/>
              <w:bottom w:val="single" w:color="000000" w:sz="4"/>
              <w:right w:val="single" w:color="000000" w:sz="4"/>
            </w:tcBorders>
            <w:vAlign w:val="top"/>
          </w:tcPr>
          <w:p>
            <w:pPr>
              <w:jc w:val="both"/>
            </w:pPr>
            <w:r>
              <w:rPr>
                <w:sz w:val="21"/>
              </w:rPr>
              <w:t>备注</w:t>
            </w:r>
          </w:p>
        </w:tc>
      </w:tr>
      <w:tr>
        <w:tc>
          <w:tcPr>
            <w:tcW w:type="dxa" w:w="510"/>
            <w:vMerge/>
            <w:tcBorders>
              <w:top w:val="single" w:color="000000" w:sz="4"/>
              <w:left w:val="single" w:color="000000" w:sz="4"/>
              <w:bottom w:val="single" w:color="000000" w:sz="4"/>
              <w:right w:val="single" w:color="000000" w:sz="4"/>
            </w:tcBorders>
          </w:tcPr>
          <w:p/>
        </w:tc>
        <w:tc>
          <w:tcPr>
            <w:tcW w:type="dxa" w:w="2730"/>
            <w:vMerge/>
            <w:tcBorders>
              <w:top w:val="single" w:color="000000" w:sz="4"/>
              <w:left w:val="single" w:color="000000" w:sz="4"/>
              <w:bottom w:val="single" w:color="000000" w:sz="4"/>
              <w:right w:val="single" w:color="000000" w:sz="4"/>
            </w:tcBorders>
          </w:tcPr>
          <w:p/>
        </w:tc>
        <w:tc>
          <w:tcPr>
            <w:tcW w:type="dxa" w:w="630"/>
            <w:tcBorders>
              <w:top w:val="none" w:color="000000" w:sz="4"/>
              <w:left w:val="single" w:color="000000" w:sz="4"/>
              <w:bottom w:val="single" w:color="000000" w:sz="4"/>
              <w:right w:val="single" w:color="000000" w:sz="4"/>
            </w:tcBorders>
            <w:vAlign w:val="top"/>
          </w:tcPr>
          <w:p>
            <w:pPr>
              <w:jc w:val="center"/>
            </w:pPr>
            <w:r>
              <w:rPr>
                <w:sz w:val="21"/>
              </w:rPr>
              <w:t>发现问题次数</w:t>
            </w:r>
          </w:p>
        </w:tc>
        <w:tc>
          <w:tcPr>
            <w:tcW w:type="dxa" w:w="705"/>
            <w:tcBorders>
              <w:top w:val="none" w:color="000000" w:sz="4"/>
              <w:left w:val="single" w:color="000000" w:sz="4"/>
              <w:bottom w:val="single" w:color="000000" w:sz="4"/>
              <w:right w:val="single" w:color="000000" w:sz="4"/>
            </w:tcBorders>
            <w:vAlign w:val="top"/>
          </w:tcPr>
          <w:p>
            <w:pPr>
              <w:jc w:val="center"/>
            </w:pPr>
            <w:r>
              <w:rPr>
                <w:sz w:val="21"/>
              </w:rPr>
              <w:t>发现问题人员签名</w:t>
            </w:r>
          </w:p>
        </w:tc>
        <w:tc>
          <w:tcPr>
            <w:tcW w:type="dxa" w:w="510"/>
            <w:tcBorders>
              <w:top w:val="none" w:color="000000" w:sz="4"/>
              <w:left w:val="single" w:color="000000" w:sz="4"/>
              <w:bottom w:val="single" w:color="000000" w:sz="4"/>
              <w:right w:val="single" w:color="000000" w:sz="4"/>
            </w:tcBorders>
            <w:vAlign w:val="top"/>
          </w:tcPr>
          <w:p>
            <w:pPr>
              <w:jc w:val="both"/>
            </w:pPr>
            <w:r>
              <w:rPr>
                <w:sz w:val="21"/>
              </w:rPr>
              <w:t>扣分情况</w:t>
            </w:r>
          </w:p>
        </w:tc>
      </w:tr>
      <w:tr>
        <w:tc>
          <w:tcPr>
            <w:tcW w:type="dxa" w:w="510"/>
            <w:vMerge w:val="restart"/>
            <w:tcBorders>
              <w:top w:val="none" w:color="000000" w:sz="4"/>
              <w:left w:val="single" w:color="000000" w:sz="4"/>
              <w:bottom w:val="single" w:color="000000" w:sz="4"/>
              <w:right w:val="single" w:color="000000" w:sz="4"/>
            </w:tcBorders>
            <w:vAlign w:val="top"/>
          </w:tcPr>
          <w:p>
            <w:pPr>
              <w:jc w:val="center"/>
            </w:pPr>
            <w:r>
              <w:rPr>
                <w:sz w:val="21"/>
              </w:rPr>
              <w:t>日常维修</w:t>
            </w:r>
          </w:p>
        </w:tc>
        <w:tc>
          <w:tcPr>
            <w:tcW w:type="dxa" w:w="2730"/>
            <w:tcBorders>
              <w:top w:val="none" w:color="000000" w:sz="4"/>
              <w:left w:val="single" w:color="000000" w:sz="4"/>
              <w:bottom w:val="single" w:color="000000" w:sz="4"/>
              <w:right w:val="single" w:color="000000" w:sz="4"/>
            </w:tcBorders>
            <w:vAlign w:val="top"/>
          </w:tcPr>
          <w:p>
            <w:pPr>
              <w:jc w:val="both"/>
            </w:pPr>
            <w:r>
              <w:rPr>
                <w:sz w:val="21"/>
              </w:rPr>
              <w:t>1.服务商对归口部门下发的维修任务未制定维修措施、维修时间，超维修时间未完成维修的，每次扣2分。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2.维修人员损坏与维修内容无关的设施、设备及物品，每次扣2-5分。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3.服务商维修人员收到归口部门的维修通知后，未在规定时间内的到达处置现场的，每次扣2分。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4.服务商维修人员未按规定统一着装、佩戴工牌，在监管区内不听从带班民警指挥、擅自走动的，每次扣2-5分，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5.服务商拒绝归口部门合同规定内的维修安排，每次扣10分。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6.按未按规定</w:t>
            </w:r>
            <w:r>
              <w:rPr>
                <w:sz w:val="21"/>
              </w:rPr>
              <w:t>每月</w:t>
            </w:r>
            <w:r>
              <w:rPr>
                <w:sz w:val="21"/>
              </w:rPr>
              <w:t>20日前须上报上月维修费用予各归口部门进行结算，每次扣2-5分。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7.服务商维修安排人员不足，拒不改正的，每次扣2分。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vMerge/>
            <w:tcBorders>
              <w:top w:val="none" w:color="000000" w:sz="4"/>
              <w:left w:val="single" w:color="000000" w:sz="4"/>
              <w:bottom w:val="single" w:color="000000" w:sz="4"/>
              <w:right w:val="single" w:color="000000" w:sz="4"/>
            </w:tcBorders>
          </w:tcPr>
          <w:p/>
        </w:tc>
        <w:tc>
          <w:tcPr>
            <w:tcW w:type="dxa" w:w="2730"/>
            <w:tcBorders>
              <w:top w:val="none" w:color="000000" w:sz="4"/>
              <w:left w:val="single" w:color="000000" w:sz="4"/>
              <w:bottom w:val="single" w:color="000000" w:sz="4"/>
              <w:right w:val="single" w:color="000000" w:sz="4"/>
            </w:tcBorders>
            <w:vAlign w:val="top"/>
          </w:tcPr>
          <w:p>
            <w:pPr>
              <w:jc w:val="both"/>
            </w:pPr>
            <w:r>
              <w:rPr>
                <w:sz w:val="21"/>
              </w:rPr>
              <w:t>8.表中未涵盖的其他扣分情况，需注明扣分原因，每次扣 2 分。</w:t>
            </w:r>
          </w:p>
        </w:tc>
        <w:tc>
          <w:tcPr>
            <w:tcW w:type="dxa" w:w="630"/>
            <w:tcBorders>
              <w:top w:val="none" w:color="000000" w:sz="4"/>
              <w:left w:val="single" w:color="000000" w:sz="4"/>
              <w:bottom w:val="single" w:color="000000" w:sz="4"/>
              <w:right w:val="single" w:color="000000" w:sz="4"/>
            </w:tcBorders>
            <w:vAlign w:val="top"/>
          </w:tcPr>
          <w:p>
            <w:pPr>
              <w:jc w:val="both"/>
            </w:pPr>
          </w:p>
        </w:tc>
        <w:tc>
          <w:tcPr>
            <w:tcW w:type="dxa" w:w="705"/>
            <w:tcBorders>
              <w:top w:val="none" w:color="000000" w:sz="4"/>
              <w:left w:val="single" w:color="000000" w:sz="4"/>
              <w:bottom w:val="single" w:color="000000" w:sz="4"/>
              <w:right w:val="single" w:color="000000" w:sz="4"/>
            </w:tcBorders>
            <w:vAlign w:val="top"/>
          </w:tcPr>
          <w:p>
            <w:pPr>
              <w:jc w:val="both"/>
            </w:pPr>
          </w:p>
        </w:tc>
        <w:tc>
          <w:tcPr>
            <w:tcW w:type="dxa" w:w="510"/>
            <w:tcBorders>
              <w:top w:val="none" w:color="000000" w:sz="4"/>
              <w:left w:val="single" w:color="000000" w:sz="4"/>
              <w:bottom w:val="single" w:color="000000" w:sz="4"/>
              <w:right w:val="single" w:color="000000" w:sz="4"/>
            </w:tcBorders>
            <w:vAlign w:val="top"/>
          </w:tcPr>
          <w:p>
            <w:pPr>
              <w:jc w:val="both"/>
            </w:pPr>
          </w:p>
        </w:tc>
        <w:tc>
          <w:tcPr>
            <w:tcW w:type="dxa" w:w="540"/>
            <w:tcBorders>
              <w:top w:val="none" w:color="000000" w:sz="4"/>
              <w:left w:val="single" w:color="000000" w:sz="4"/>
              <w:bottom w:val="single" w:color="000000" w:sz="4"/>
              <w:right w:val="single" w:color="000000" w:sz="4"/>
            </w:tcBorders>
            <w:vAlign w:val="top"/>
          </w:tcPr>
          <w:p>
            <w:pPr>
              <w:jc w:val="both"/>
            </w:pPr>
          </w:p>
        </w:tc>
        <w:tc>
          <w:tcPr>
            <w:tcW w:type="dxa" w:w="450"/>
            <w:tcBorders>
              <w:top w:val="none" w:color="000000" w:sz="4"/>
              <w:left w:val="singl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both"/>
            </w:pPr>
            <w:r>
              <w:rPr>
                <w:sz w:val="21"/>
              </w:rPr>
              <w:t>总得分</w:t>
            </w:r>
          </w:p>
        </w:tc>
        <w:tc>
          <w:tcPr>
            <w:tcW w:type="dxa" w:w="5565"/>
            <w:gridSpan w:val="6"/>
            <w:tcBorders>
              <w:top w:val="none" w:color="000000" w:sz="4"/>
              <w:left w:val="single" w:color="000000" w:sz="4"/>
              <w:bottom w:val="single" w:color="000000" w:sz="4"/>
              <w:right w:val="single" w:color="000000" w:sz="4"/>
            </w:tcBorders>
            <w:vAlign w:val="top"/>
          </w:tcPr>
          <w:p>
            <w:pPr>
              <w:jc w:val="both"/>
            </w:pPr>
          </w:p>
        </w:tc>
      </w:tr>
      <w:tr>
        <w:tc>
          <w:tcPr>
            <w:tcW w:type="dxa" w:w="510"/>
            <w:tcBorders>
              <w:top w:val="none" w:color="000000" w:sz="4"/>
              <w:left w:val="single" w:color="000000" w:sz="4"/>
              <w:bottom w:val="single" w:color="000000" w:sz="4"/>
              <w:right w:val="single" w:color="000000" w:sz="4"/>
            </w:tcBorders>
            <w:vAlign w:val="top"/>
          </w:tcPr>
          <w:p>
            <w:pPr>
              <w:jc w:val="both"/>
            </w:pPr>
          </w:p>
        </w:tc>
        <w:tc>
          <w:tcPr>
            <w:tcW w:type="dxa" w:w="5565"/>
            <w:gridSpan w:val="6"/>
            <w:tcBorders>
              <w:top w:val="none" w:color="000000" w:sz="4"/>
              <w:left w:val="single" w:color="000000" w:sz="4"/>
              <w:bottom w:val="single" w:color="000000" w:sz="4"/>
              <w:right w:val="single" w:color="000000" w:sz="4"/>
            </w:tcBorders>
            <w:vAlign w:val="top"/>
          </w:tcPr>
          <w:p>
            <w:pPr>
              <w:jc w:val="both"/>
            </w:pPr>
            <w:r>
              <w:rPr>
                <w:sz w:val="21"/>
              </w:rPr>
              <w:t>考核人：</w:t>
            </w:r>
            <w:r>
              <w:rPr>
                <w:sz w:val="21"/>
              </w:rPr>
              <w:t xml:space="preserve">          </w:t>
            </w:r>
            <w:r>
              <w:rPr>
                <w:sz w:val="21"/>
              </w:rPr>
              <w:t>审批人：</w:t>
            </w:r>
            <w:r>
              <w:rPr>
                <w:sz w:val="21"/>
              </w:rPr>
              <w:t xml:space="preserve">        </w:t>
            </w:r>
            <w:r>
              <w:rPr>
                <w:sz w:val="21"/>
              </w:rPr>
              <w:t>考核日期：</w:t>
            </w:r>
          </w:p>
        </w:tc>
      </w:tr>
    </w:tbl>
    <w:p>
      <w:pPr>
        <w:jc w:val="center"/>
      </w:pPr>
      <w:r>
        <w:rPr/>
        <w:t xml:space="preserve"> </w:t>
      </w:r>
    </w:p>
    <w:p>
      <w:pPr>
        <w:jc w:val="center"/>
      </w:pPr>
      <w:r>
        <w:rPr>
          <w:b/>
          <w:sz w:val="21"/>
        </w:rPr>
        <w:t>（2）日常维修验收表</w:t>
      </w:r>
    </w:p>
    <w:p>
      <w:pPr>
        <w:jc w:val="right"/>
      </w:pPr>
      <w:r>
        <w:rPr>
          <w:sz w:val="21"/>
        </w:rPr>
        <w:t>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570"/>
        <w:gridCol w:w="1455"/>
        <w:gridCol w:w="337"/>
        <w:gridCol w:w="337"/>
        <w:gridCol w:w="2850"/>
      </w:tblGrid>
      <w:tr>
        <w:tc>
          <w:tcPr>
            <w:tcW w:type="dxa" w:w="1140"/>
            <w:gridSpan w:val="2"/>
            <w:tcBorders>
              <w:top w:val="single" w:color="000000" w:sz="4"/>
              <w:left w:val="single" w:color="000000" w:sz="4"/>
              <w:bottom w:val="single" w:color="000000" w:sz="4"/>
              <w:right w:val="single" w:color="000000" w:sz="4"/>
            </w:tcBorders>
            <w:vAlign w:val="top"/>
          </w:tcPr>
          <w:p>
            <w:pPr>
              <w:jc w:val="center"/>
            </w:pPr>
            <w:r>
              <w:rPr>
                <w:sz w:val="21"/>
              </w:rPr>
              <w:t>报修人</w:t>
            </w:r>
          </w:p>
        </w:tc>
        <w:tc>
          <w:tcPr>
            <w:tcW w:type="dxa" w:w="1455"/>
            <w:tcBorders>
              <w:top w:val="single" w:color="000000" w:sz="4"/>
              <w:left w:val="single" w:color="000000" w:sz="4"/>
              <w:bottom w:val="single" w:color="000000" w:sz="4"/>
              <w:right w:val="single" w:color="000000" w:sz="4"/>
            </w:tcBorders>
            <w:vAlign w:val="top"/>
          </w:tcPr>
          <w:p>
            <w:pPr>
              <w:jc w:val="center"/>
            </w:pPr>
          </w:p>
        </w:tc>
        <w:tc>
          <w:tcPr>
            <w:tcW w:type="dxa" w:w="674"/>
            <w:gridSpan w:val="2"/>
            <w:tcBorders>
              <w:top w:val="single" w:color="000000" w:sz="4"/>
              <w:left w:val="single" w:color="000000" w:sz="4"/>
              <w:bottom w:val="single" w:color="000000" w:sz="4"/>
              <w:right w:val="single" w:color="000000" w:sz="4"/>
            </w:tcBorders>
            <w:vAlign w:val="top"/>
          </w:tcPr>
          <w:p>
            <w:pPr>
              <w:jc w:val="center"/>
            </w:pPr>
            <w:r>
              <w:rPr>
                <w:sz w:val="21"/>
              </w:rPr>
              <w:t>地点</w:t>
            </w:r>
          </w:p>
        </w:tc>
        <w:tc>
          <w:tcPr>
            <w:tcW w:type="dxa" w:w="2850"/>
            <w:tcBorders>
              <w:top w:val="single" w:color="000000" w:sz="4"/>
              <w:left w:val="single" w:color="000000" w:sz="4"/>
              <w:bottom w:val="single" w:color="000000" w:sz="4"/>
              <w:right w:val="single" w:color="000000" w:sz="4"/>
            </w:tcBorders>
            <w:vAlign w:val="top"/>
          </w:tcPr>
          <w:p>
            <w:pPr>
              <w:jc w:val="center"/>
            </w:pPr>
          </w:p>
        </w:tc>
      </w:tr>
      <w:tr>
        <w:tc>
          <w:tcPr>
            <w:tcW w:type="dxa" w:w="1140"/>
            <w:gridSpan w:val="2"/>
            <w:tcBorders>
              <w:top w:val="none" w:color="000000" w:sz="4"/>
              <w:left w:val="single" w:color="000000" w:sz="4"/>
              <w:bottom w:val="single" w:color="000000" w:sz="4"/>
              <w:right w:val="single" w:color="000000" w:sz="4"/>
            </w:tcBorders>
            <w:vAlign w:val="top"/>
          </w:tcPr>
          <w:p>
            <w:pPr>
              <w:jc w:val="center"/>
            </w:pPr>
            <w:r>
              <w:rPr>
                <w:sz w:val="21"/>
              </w:rPr>
              <w:t>维修项目</w:t>
            </w:r>
          </w:p>
        </w:tc>
        <w:tc>
          <w:tcPr>
            <w:tcW w:type="dxa" w:w="4979"/>
            <w:gridSpan w:val="4"/>
            <w:tcBorders>
              <w:top w:val="none" w:color="000000" w:sz="4"/>
              <w:left w:val="single" w:color="000000" w:sz="4"/>
              <w:bottom w:val="single" w:color="000000" w:sz="4"/>
              <w:right w:val="single" w:color="000000" w:sz="4"/>
            </w:tcBorders>
            <w:vAlign w:val="top"/>
          </w:tcPr>
          <w:p>
            <w:pPr>
              <w:jc w:val="center"/>
            </w:pPr>
          </w:p>
        </w:tc>
      </w:tr>
      <w:tr>
        <w:tc>
          <w:tcPr>
            <w:tcW w:type="dxa" w:w="1140"/>
            <w:gridSpan w:val="2"/>
            <w:tcBorders>
              <w:top w:val="none" w:color="000000" w:sz="4"/>
              <w:left w:val="single" w:color="000000" w:sz="4"/>
              <w:bottom w:val="single" w:color="000000" w:sz="4"/>
              <w:right w:val="single" w:color="000000" w:sz="4"/>
            </w:tcBorders>
            <w:vAlign w:val="top"/>
          </w:tcPr>
          <w:p>
            <w:pPr>
              <w:jc w:val="center"/>
            </w:pPr>
            <w:r>
              <w:rPr>
                <w:sz w:val="21"/>
              </w:rPr>
              <w:t>维修时间</w:t>
            </w:r>
          </w:p>
        </w:tc>
        <w:tc>
          <w:tcPr>
            <w:tcW w:type="dxa" w:w="4979"/>
            <w:gridSpan w:val="4"/>
            <w:tcBorders>
              <w:top w:val="none" w:color="000000" w:sz="4"/>
              <w:left w:val="single" w:color="000000" w:sz="4"/>
              <w:bottom w:val="single" w:color="000000" w:sz="4"/>
              <w:right w:val="single" w:color="000000" w:sz="4"/>
            </w:tcBorders>
            <w:vAlign w:val="top"/>
          </w:tcPr>
          <w:p>
            <w:pPr>
              <w:jc w:val="center"/>
            </w:pPr>
            <w:r>
              <w:rPr>
                <w:sz w:val="21"/>
              </w:rPr>
              <w:t xml:space="preserve">  </w:t>
            </w:r>
            <w:r>
              <w:rPr>
                <w:sz w:val="21"/>
              </w:rPr>
              <w:t>时</w:t>
            </w:r>
            <w:r>
              <w:rPr>
                <w:sz w:val="21"/>
              </w:rPr>
              <w:t xml:space="preserve">  </w:t>
            </w:r>
            <w:r>
              <w:rPr>
                <w:sz w:val="21"/>
              </w:rPr>
              <w:t>分至</w:t>
            </w:r>
            <w:r>
              <w:rPr>
                <w:sz w:val="21"/>
              </w:rPr>
              <w:t xml:space="preserve"> </w:t>
            </w:r>
            <w:r>
              <w:rPr>
                <w:sz w:val="21"/>
              </w:rPr>
              <w:t>时</w:t>
            </w:r>
            <w:r>
              <w:rPr>
                <w:sz w:val="21"/>
              </w:rPr>
              <w:t xml:space="preserve"> </w:t>
            </w:r>
            <w:r>
              <w:rPr>
                <w:sz w:val="21"/>
              </w:rPr>
              <w:t>分，共</w:t>
            </w:r>
            <w:r>
              <w:rPr>
                <w:sz w:val="21"/>
              </w:rPr>
              <w:t xml:space="preserve">  </w:t>
            </w:r>
            <w:r>
              <w:rPr>
                <w:sz w:val="21"/>
              </w:rPr>
              <w:t>分钟，</w:t>
            </w:r>
            <w:r>
              <w:rPr>
                <w:sz w:val="21"/>
              </w:rPr>
              <w:t xml:space="preserve">  </w:t>
            </w:r>
            <w:r>
              <w:rPr>
                <w:sz w:val="21"/>
              </w:rPr>
              <w:t>工日</w:t>
            </w:r>
          </w:p>
        </w:tc>
      </w:tr>
      <w:tr>
        <w:tc>
          <w:tcPr>
            <w:tcW w:type="dxa" w:w="570"/>
            <w:vMerge w:val="restart"/>
            <w:tcBorders>
              <w:top w:val="none" w:color="000000" w:sz="4"/>
              <w:left w:val="single" w:color="000000" w:sz="4"/>
              <w:bottom w:val="single" w:color="000000" w:sz="4"/>
              <w:right w:val="single" w:color="000000" w:sz="4"/>
            </w:tcBorders>
            <w:vAlign w:val="top"/>
          </w:tcPr>
          <w:p>
            <w:pPr>
              <w:jc w:val="center"/>
            </w:pPr>
            <w:r>
              <w:rPr>
                <w:sz w:val="21"/>
              </w:rPr>
              <w:t>维修内容</w:t>
            </w:r>
          </w:p>
        </w:tc>
        <w:tc>
          <w:tcPr>
            <w:tcW w:type="dxa" w:w="2362"/>
            <w:gridSpan w:val="3"/>
            <w:tcBorders>
              <w:top w:val="none" w:color="000000" w:sz="4"/>
              <w:left w:val="single" w:color="000000" w:sz="4"/>
              <w:bottom w:val="single" w:color="000000" w:sz="4"/>
              <w:right w:val="single" w:color="000000" w:sz="4"/>
            </w:tcBorders>
            <w:vAlign w:val="top"/>
          </w:tcPr>
          <w:p>
            <w:pPr>
              <w:jc w:val="center"/>
            </w:pPr>
            <w:r>
              <w:rPr>
                <w:sz w:val="21"/>
              </w:rPr>
              <w:t>维修服务商填写</w:t>
            </w:r>
          </w:p>
        </w:tc>
        <w:tc>
          <w:tcPr>
            <w:tcW w:type="dxa" w:w="3187"/>
            <w:gridSpan w:val="2"/>
            <w:tcBorders>
              <w:top w:val="single" w:color="000000" w:sz="4"/>
              <w:left w:val="single" w:color="000000" w:sz="4"/>
              <w:bottom w:val="single" w:color="000000" w:sz="4"/>
              <w:right w:val="single" w:color="000000" w:sz="4"/>
            </w:tcBorders>
            <w:vAlign w:val="top"/>
          </w:tcPr>
          <w:p>
            <w:pPr>
              <w:jc w:val="center"/>
            </w:pPr>
            <w:r>
              <w:rPr>
                <w:sz w:val="21"/>
              </w:rPr>
              <w:t>报修人、归口部门、技术部门核实</w:t>
            </w:r>
          </w:p>
        </w:tc>
      </w:tr>
      <w:tr>
        <w:tc>
          <w:tcPr>
            <w:tcW w:type="dxa" w:w="570"/>
            <w:vMerge/>
            <w:tcBorders>
              <w:top w:val="none" w:color="000000" w:sz="4"/>
              <w:left w:val="single" w:color="000000" w:sz="4"/>
              <w:bottom w:val="single" w:color="000000" w:sz="4"/>
              <w:right w:val="single" w:color="000000" w:sz="4"/>
            </w:tcBorders>
          </w:tcPr>
          <w:p/>
        </w:tc>
        <w:tc>
          <w:tcPr>
            <w:tcW w:type="dxa" w:w="2362"/>
            <w:gridSpan w:val="3"/>
            <w:tcBorders>
              <w:top w:val="none" w:color="000000" w:sz="4"/>
              <w:left w:val="single" w:color="000000" w:sz="4"/>
              <w:bottom w:val="single" w:color="000000" w:sz="4"/>
              <w:right w:val="single" w:color="000000" w:sz="4"/>
            </w:tcBorders>
            <w:vAlign w:val="top"/>
          </w:tcPr>
          <w:p>
            <w:pPr>
              <w:jc w:val="center"/>
            </w:pPr>
          </w:p>
        </w:tc>
        <w:tc>
          <w:tcPr>
            <w:tcW w:type="dxa" w:w="3187"/>
            <w:gridSpan w:val="2"/>
            <w:tcBorders>
              <w:top w:val="none" w:color="000000" w:sz="4"/>
              <w:left w:val="single" w:color="000000" w:sz="4"/>
              <w:bottom w:val="single" w:color="000000" w:sz="4"/>
              <w:right w:val="single" w:color="000000" w:sz="4"/>
            </w:tcBorders>
            <w:vAlign w:val="top"/>
          </w:tcPr>
          <w:p>
            <w:pPr>
              <w:jc w:val="center"/>
            </w:pPr>
          </w:p>
        </w:tc>
      </w:tr>
      <w:tr>
        <w:tc>
          <w:tcPr>
            <w:tcW w:type="dxa" w:w="1140"/>
            <w:gridSpan w:val="2"/>
            <w:vMerge w:val="restart"/>
            <w:tcBorders>
              <w:top w:val="none" w:color="000000" w:sz="4"/>
              <w:left w:val="single" w:color="000000" w:sz="4"/>
              <w:bottom w:val="single" w:color="000000" w:sz="4"/>
              <w:right w:val="single" w:color="000000" w:sz="4"/>
            </w:tcBorders>
            <w:vAlign w:val="top"/>
          </w:tcPr>
          <w:p>
            <w:pPr>
              <w:jc w:val="center"/>
            </w:pPr>
            <w:r>
              <w:rPr>
                <w:sz w:val="21"/>
              </w:rPr>
              <w:t>评价</w:t>
            </w:r>
          </w:p>
        </w:tc>
        <w:tc>
          <w:tcPr>
            <w:tcW w:type="dxa" w:w="4979"/>
            <w:gridSpan w:val="4"/>
            <w:tcBorders>
              <w:top w:val="none" w:color="000000" w:sz="4"/>
              <w:left w:val="single" w:color="000000" w:sz="4"/>
              <w:bottom w:val="single" w:color="000000" w:sz="4"/>
              <w:right w:val="single" w:color="000000" w:sz="4"/>
            </w:tcBorders>
            <w:vAlign w:val="top"/>
          </w:tcPr>
          <w:p>
            <w:pPr>
              <w:jc w:val="left"/>
            </w:pPr>
            <w:r>
              <w:rPr>
                <w:sz w:val="21"/>
              </w:rPr>
              <w:t>质量评价：好（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r>
        <w:tc>
          <w:tcPr>
            <w:tcW w:type="dxa" w:w="1140"/>
            <w:gridSpan w:val="2"/>
            <w:vMerge/>
            <w:tcBorders>
              <w:top w:val="none" w:color="000000" w:sz="4"/>
              <w:left w:val="single" w:color="000000" w:sz="4"/>
              <w:bottom w:val="single" w:color="000000" w:sz="4"/>
              <w:right w:val="single" w:color="000000" w:sz="4"/>
            </w:tcBorders>
          </w:tcPr>
          <w:p/>
        </w:tc>
        <w:tc>
          <w:tcPr>
            <w:tcW w:type="dxa" w:w="4979"/>
            <w:gridSpan w:val="4"/>
            <w:tcBorders>
              <w:top w:val="none" w:color="000000" w:sz="4"/>
              <w:left w:val="single" w:color="000000" w:sz="4"/>
              <w:bottom w:val="single" w:color="000000" w:sz="4"/>
              <w:right w:val="single" w:color="000000" w:sz="4"/>
            </w:tcBorders>
            <w:vAlign w:val="top"/>
          </w:tcPr>
          <w:p>
            <w:pPr>
              <w:jc w:val="left"/>
            </w:pPr>
            <w:r>
              <w:rPr>
                <w:sz w:val="21"/>
              </w:rPr>
              <w:t>态度评价：好（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bl>
    <w:p>
      <w:pPr>
        <w:jc w:val="left"/>
      </w:pPr>
      <w:r>
        <w:rPr>
          <w:sz w:val="21"/>
        </w:rPr>
        <w:t>维修人签名：</w:t>
      </w:r>
      <w:r>
        <w:rPr>
          <w:sz w:val="21"/>
        </w:rPr>
        <w:t xml:space="preserve">                   </w:t>
      </w:r>
      <w:r>
        <w:rPr>
          <w:sz w:val="21"/>
        </w:rPr>
        <w:t>归口部门签名：</w:t>
      </w:r>
    </w:p>
    <w:p>
      <w:pPr>
        <w:jc w:val="left"/>
      </w:pPr>
      <w:r>
        <w:rPr>
          <w:sz w:val="21"/>
        </w:rPr>
        <w:t>报修人签名：</w:t>
      </w:r>
      <w:r>
        <w:rPr>
          <w:sz w:val="21"/>
        </w:rPr>
        <w:t xml:space="preserve">                   </w:t>
      </w:r>
      <w:r>
        <w:rPr>
          <w:sz w:val="21"/>
        </w:rPr>
        <w:t>维修部门签名：</w:t>
      </w:r>
    </w:p>
    <w:p>
      <w:pPr>
        <w:jc w:val="both"/>
      </w:pPr>
      <w:r>
        <w:rPr>
          <w:sz w:val="21"/>
        </w:rPr>
        <w:t xml:space="preserve">                                </w:t>
      </w:r>
      <w:r>
        <w:rPr>
          <w:sz w:val="21"/>
        </w:rPr>
        <w:t>技术部门签名：</w:t>
      </w:r>
    </w:p>
    <w:p/>
    <w:p>
      <w:pPr>
        <w:ind w:firstLine="480"/>
      </w:pPr>
    </w:p>
    <w:p/>
    <w:p>
      <w:r>
        <w:rPr/>
        <w:t>采购包1（广东省北江监狱2023-2024年度日常维修服务项目）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服务期12个月或实际支付金额累计达到采购预算额度，若合同期满未达到采购预算金额，则按实结算。</w:t>
            </w:r>
          </w:p>
        </w:tc>
      </w:tr>
      <w:tr>
        <w:tc>
          <w:tcPr>
            <w:tcW w:type="dxa" w:w="4153"/>
          </w:tcPr>
          <w:p>
            <w:r>
              <w:rPr/>
              <w:t>标的提供的地点</w:t>
            </w:r>
          </w:p>
        </w:tc>
        <w:tc>
          <w:tcPr>
            <w:tcW w:type="dxa" w:w="4153"/>
          </w:tcPr>
          <w:p/>
          <w:p>
            <w:r>
              <w:rPr/>
              <w:t>广东省北江监狱</w:t>
            </w:r>
          </w:p>
        </w:tc>
      </w:tr>
      <w:tr>
        <w:tc>
          <w:tcPr>
            <w:tcW w:type="dxa" w:w="4153"/>
          </w:tcPr>
          <w:p>
            <w:r>
              <w:rPr/>
              <w:t>付款方式</w:t>
            </w:r>
          </w:p>
        </w:tc>
        <w:tc>
          <w:tcPr>
            <w:tcW w:type="dxa" w:w="4153"/>
          </w:tcPr>
          <w:p/>
          <w:p/>
          <w:p>
            <w:r>
              <w:rPr/>
              <w:t>1期：支付比例100%,由采购人按下列程序付款： 1、按月按实结算，结算费用=各项维修费用汇总（含税）； 2、成交供应商凭以下有效文件与采购人结算：（1）合同；（2）成交供应商开具的正式发票；（3）成交通知书；（4）维修清单；（5）日常维修验收表；（6）日常维修服务监督管理考核表。  3、因采购人使用的是财政资金，采购人在前款规定的付款时间为准，向政府采购支付部门提出办理财政支付申请手续的时间(不含政府财政支付部门审核的时间)，在规定时间内递交支付部门视为完成</w:t>
            </w:r>
          </w:p>
        </w:tc>
      </w:tr>
      <w:tr>
        <w:tc>
          <w:tcPr>
            <w:tcW w:type="dxa" w:w="4153"/>
          </w:tcPr>
          <w:p>
            <w:r>
              <w:rPr/>
              <w:t>验收要求</w:t>
            </w:r>
          </w:p>
        </w:tc>
        <w:tc>
          <w:tcPr>
            <w:tcW w:type="dxa" w:w="4153"/>
          </w:tcPr>
          <w:p/>
          <w:p/>
          <w:p/>
          <w:p>
            <w:r>
              <w:rPr/>
              <w:t>1期：1、根据采购人提出的月度考核标准实施考核。本部分《日常维修服务监督管理考核表》详见“1、项目概况” 2、采购人将根据考核情况支付合同月结款：采用100分制，当月考核分数达到90分如上（含本数），视为考核结果“合格”，按月结费用的 100% 支付当期款项；如成交供应商考核分数达到 80（含本数）—89分的，视为考核结果“基本合格”，除限期整改外，采购人按月结费用的95%支付当期款项， 并启动整改机制；考核分数未达到考核分数达到70（含本数）—79分的，视为考核结果“不合格”，除限期整改外，采购人按月结费用的90%支付当期款项，出现 2 次“基本合格”，或出现 1次“不合格”仍未能有效整改的，采购人将根据合同约定解除合同。出现其他违法违规情形的，将按规定上报相关主管部门处理</w:t>
            </w:r>
          </w:p>
        </w:tc>
      </w:tr>
      <w:tr>
        <w:tc>
          <w:tcPr>
            <w:tcW w:type="dxa" w:w="4153"/>
          </w:tcPr>
          <w:p>
            <w:r>
              <w:rPr/>
              <w:t>履约保证金</w:t>
            </w:r>
          </w:p>
        </w:tc>
        <w:tc>
          <w:tcPr>
            <w:tcW w:type="dxa" w:w="4153"/>
          </w:tcPr>
          <w:p/>
          <w:p/>
          <w:p/>
          <w:p/>
          <w:p>
            <w:r>
              <w:rPr/>
              <w:t>收取比例：3%,说明：1、合同签订后，成交供应商应在15个工作日内向采购人支付； 2、递交形式：供应商应当以支票、汇票、本票或者金融机构、担保机构出具的保函等非现金形式提交； 3、期满后15 个工作日内将履约保证金无息退回成交供应商； 4、不予退还履约保证金的情形：如在合同期内，成交供应商自行停止合约或违反合同有关规定被采购人终止合约的，则履约保证金全部归采购人所有。若成交供应商不履行或不适当履行其合同义务导致采购人蒙受损失的，采购人有权直接从履约保证金中获取相应违约金或损失赔偿款项；违约金或给采购人造成的损失超过履约保证金数额的，成交供应商应对超出部分给予赔偿。其他违约责任按照合同约定； 5、采购人逾期退还履约保证金的，除应当退还履约保证金本金外，还应当每日按履约保证金的0.3‰向成交供应商偿付违约金，但因合同的履行产生争议成交供应商自身原因导致无法及时退还的除外；</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p/>
          <w:p>
            <w:r>
              <w:rPr/>
              <w:t>其它服务要求，1、报价方式 采用下浮率报价，报价以%单位。报价下浮率必须≥0.00%；对用工单价及材料价格（除《水电日常维修材料清单》内包含的材料）作为基准价进行下浮。 2、维修结算 1、维修费用按月按实结算； 2、维修用工单价为293.38元/工日×（1-成交下浮率）（含税）； 3、维修人工工日、设备台班的确认 （1）狱内维修人工工日、设备台班的计算。狱内维修按6小时（360分钟）为1工日（台班）计算，维修时间按每次进入监管区大门时间至出监管区大门时间计算（X分钟）：狱内维修人工工日、设备台班=维修时间（分钟）÷360分钟； （2）狱外维修人工工日、设备台班的计算。狱外维修按8小时（480分钟）为1工日（台班）计算，维修时间按每次到达维修现场时间至维修结束时间计算（X分钟）：狱内维修人工工日、设备台班=维修时间（分钟）÷480分钟。 4、维修材料价格 （1）采购人《水电日常维修材料清单》内的材料按该清单价格结算； （2）《日常维修材料清单》按清单价格×（1-成交下浮率）的价格结算；材料清单未包含的，查询当月的《韶关市建筑经济信息材料》《造价通》，按查询价格×（1-成交下浮率）的价格结算；查询不到的，由采购人归口部门组织进行市场调查确定市场价，按确定市场价×（1-成交下浮率）的价格结算。材料单价均为含税价。 5、结算费用=各项维修费用汇总（含税）。 6、成交供应商向采购人归口部门报送结算资料，结算资料包括： （1）每项维修完成后填写的《日常维修验收表》，该表必须有成交供应商、采购人报修人、维修部门、归口部门和技术部门（如有参与）相关人员签名确认； （2）按要求制定的结算资料，包含纸质档和电子档； 7、成交供应商每月15日前须上报上月维修费用予各归口部门进行结算。 8、成交供应商按审批结算费用出具发票，会齐结算资料后提交至采购人归口部门，采购人归口部门于15个工作日内向成交供应商支付维修费用。 9、《日常维修验收表》详见“1、项目概况”。</w:t>
            </w:r>
          </w:p>
        </w:tc>
      </w:tr>
    </w:tbl>
    <w:p/>
    <w:p>
      <w:r>
        <w:rPr/>
        <w:t>其他商务需求</w:t>
      </w:r>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项目服务要求</w:t>
            </w:r>
          </w:p>
        </w:tc>
        <w:tc>
          <w:tcPr>
            <w:tcW w:type="dxa" w:w="2076"/>
          </w:tcPr>
          <w:p>
            <w:pPr>
              <w:jc w:val="left"/>
            </w:pPr>
            <w:r>
              <w:rPr/>
              <w:t>1、★成交供应商在服务期限内必须保持至少6名固定的55岁以下成年健康男性维修人员，其中至少包含两名维修人员具有特种作业操作证（低压电工作业2名），以应对机电相关维修和紧急任务，提供固定人员名单，并办理好长期监管区出入证及工具进出审批（备注：提供以上人员证书复印件、磋商截止前三个月内任意一个月在供应商购买的社会保险缴纳证明复印件）。</w:t>
            </w:r>
          </w:p>
        </w:tc>
      </w:tr>
      <w:tr>
        <w:tc>
          <w:tcPr>
            <w:tcW w:type="dxa" w:w="2076"/>
          </w:tcPr>
          <w:p>
            <w:pPr>
              <w:jc w:val="center"/>
            </w:pPr>
          </w:p>
        </w:tc>
        <w:tc>
          <w:tcPr>
            <w:tcW w:type="dxa" w:w="2076"/>
          </w:tcPr>
          <w:p>
            <w:pPr>
              <w:jc w:val="center"/>
            </w:pPr>
            <w:r>
              <w:rPr/>
              <w:t>2</w:t>
            </w:r>
          </w:p>
        </w:tc>
        <w:tc>
          <w:tcPr>
            <w:tcW w:type="dxa" w:w="2076"/>
          </w:tcPr>
          <w:p>
            <w:pPr>
              <w:jc w:val="left"/>
            </w:pPr>
            <w:r>
              <w:rPr/>
              <w:t>项目服务要求</w:t>
            </w:r>
          </w:p>
        </w:tc>
        <w:tc>
          <w:tcPr>
            <w:tcW w:type="dxa" w:w="2076"/>
          </w:tcPr>
          <w:p>
            <w:pPr>
              <w:jc w:val="left"/>
            </w:pPr>
            <w:r>
              <w:rPr/>
              <w:t>2、成交供应商应设有固定联系电话及指定联系人，及时响应采购人的各项要求； 3、成交供应商维修人员统一着装，佩戴工牌，举止文明礼貌，夜间作业应穿反光安全服； 4、成交供应商应详实登记零星维修台账，并与采购人的报修人、维修部门、归口部门和技术部门（如有参与）签名确认； 5、成交供应商违反以下规定的，采购人有权扣罚履约保证金，情节严重的，中止服务合同并将企业列入采购人采购黑名单； （1）成交供应商不得拒绝维修安排，维修人员必须在服务期间全天24小时通讯畅通，随时待命，接到维修通知后及时赶到处置现场； （2）成交供应商必须遵守采购人相关制度和管理规定，维修过程接受采购人相关部门的监督、检查、纠正，接受对违规行为的处理决定； （3）维修人员不得损坏与维修内容无关的设施、设备及物品，若有损坏，必须无偿修复、更换； （4）成交供应商必须接受采购人对维修用工和材料数量的认定，接受维修费用结算审核结论； 6、成交供应商应对维修人员的人身安全及财产负全部责任。根据有关要求需对人员购买商业保险，建立健全安全生产管理制度等； 7、成交供应商必须按照采购人的要求配合采购人做好采购货物的索证索票工作； 8、成交供应商应按安全施工的要求，严格落实科学的安全措施，确保施工安全和第三者的安全，承担由于自身安全措施不力造成事故责任和发生的费用； 9、成交供应商应对施工人员的人身安全及财产负全部责任，按有关要求购买意外伤害保险，建立健全安全生产管理制度等。</w:t>
            </w:r>
          </w:p>
        </w:tc>
      </w:tr>
      <w:tr>
        <w:tc>
          <w:tcPr>
            <w:tcW w:type="dxa" w:w="2076"/>
          </w:tcPr>
          <w:p>
            <w:pPr>
              <w:jc w:val="center"/>
            </w:pPr>
          </w:p>
        </w:tc>
        <w:tc>
          <w:tcPr>
            <w:tcW w:type="dxa" w:w="2076"/>
          </w:tcPr>
          <w:p>
            <w:pPr>
              <w:jc w:val="center"/>
            </w:pPr>
            <w:r>
              <w:rPr/>
              <w:t>3</w:t>
            </w:r>
          </w:p>
        </w:tc>
        <w:tc>
          <w:tcPr>
            <w:tcW w:type="dxa" w:w="2076"/>
          </w:tcPr>
          <w:p>
            <w:pPr>
              <w:jc w:val="left"/>
            </w:pPr>
            <w:r>
              <w:rPr/>
              <w:t>保密事项及人员要求</w:t>
            </w:r>
          </w:p>
        </w:tc>
        <w:tc>
          <w:tcPr>
            <w:tcW w:type="dxa" w:w="2076"/>
          </w:tcPr>
          <w:p>
            <w:pPr>
              <w:jc w:val="left"/>
            </w:pPr>
            <w:r>
              <w:rPr/>
              <w:t>未经我监事先书面同意，成交供应商不得将由我监为本合同提供的有关资料提供给与本合同无关的任何第三方，不得将其用于履行本合同之外的其他用途，即使向与履行本合同有关的人员提供，也应注意保密并限于履行合同所必须的范围；服务人员严格遵守监狱的施工管理相关条例和保密条例；外来人员不得携带违禁品、违规品、危险品等可能影响监管安全的物品进入监管区，进入监管区时必须按规定将移动电话等物品保管在贮物箱。</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pPr>
              <w:jc w:val="center"/>
            </w:pPr>
            <w:r>
              <w:rPr/>
              <w:t>权重%</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left"/>
            </w:pPr>
            <w:r>
              <w:rPr/>
              <w:t>其他维修和保养服务</w:t>
            </w:r>
          </w:p>
        </w:tc>
        <w:tc>
          <w:tcPr>
            <w:tcW w:type="dxa" w:w="831"/>
          </w:tcPr>
          <w:p>
            <w:pPr>
              <w:jc w:val="left"/>
            </w:pPr>
            <w:r>
              <w:rPr/>
              <w:t>日常维修服务</w:t>
            </w:r>
          </w:p>
        </w:tc>
        <w:tc>
          <w:tcPr>
            <w:tcW w:type="dxa" w:w="831"/>
          </w:tcPr>
          <w:p>
            <w:pPr>
              <w:jc w:val="left"/>
            </w:pPr>
            <w:r>
              <w:rPr/>
              <w:t>项</w:t>
            </w:r>
          </w:p>
        </w:tc>
        <w:tc>
          <w:tcPr>
            <w:tcW w:type="dxa" w:w="831"/>
          </w:tcPr>
          <w:p>
            <w:pPr>
              <w:jc w:val="right"/>
            </w:pPr>
            <w:r>
              <w:rPr/>
              <w:t>1.00</w:t>
            </w:r>
          </w:p>
        </w:tc>
        <w:tc>
          <w:tcPr>
            <w:tcW w:type="dxa" w:w="831"/>
          </w:tcPr>
          <w:p>
            <w:pPr>
              <w:jc w:val="right"/>
            </w:pPr>
            <w:r>
              <w:rPr/>
              <w:t>1,800,000.00</w:t>
            </w:r>
          </w:p>
        </w:tc>
        <w:tc>
          <w:tcPr>
            <w:tcW w:type="dxa" w:w="831"/>
          </w:tcPr>
          <w:p>
            <w:pPr>
              <w:jc w:val="right"/>
            </w:pPr>
            <w:r>
              <w:rPr/>
              <w:t>1,800,000.00</w:t>
            </w:r>
          </w:p>
        </w:tc>
        <w:tc>
          <w:tcPr>
            <w:tcW w:type="dxa" w:w="831"/>
          </w:tcPr>
          <w:p>
            <w:r>
              <w:rPr/>
              <w:t>100.0</w:t>
            </w:r>
          </w:p>
        </w:tc>
        <w:tc>
          <w:tcPr>
            <w:tcW w:type="dxa" w:w="831"/>
          </w:tcPr>
          <w:p>
            <w:r>
              <w:rPr/>
              <w:t>其他未列明行业</w:t>
            </w:r>
          </w:p>
        </w:tc>
        <w:tc>
          <w:tcPr>
            <w:tcW w:type="dxa" w:w="831"/>
          </w:tcPr>
          <w:p>
            <w:r>
              <w:rPr/>
              <w:t>详见附表一</w:t>
            </w:r>
          </w:p>
        </w:tc>
      </w:tr>
    </w:tbl>
    <w:p>
      <w:r>
        <w:rPr/>
        <w:t>备注：最终综合总报价=（各产品报价×各项产品权重）的相加值</w:t>
      </w:r>
    </w:p>
    <w:p/>
    <w:p>
      <w:r>
        <w:rPr>
          <w:b/>
        </w:rPr>
        <w:t>附表</w:t>
      </w:r>
      <w:r>
        <w:rPr>
          <w:b/>
        </w:rPr>
        <w:t>一</w:t>
      </w:r>
      <w:r>
        <w:rPr>
          <w:b/>
        </w:rPr>
        <w:t>：</w:t>
      </w:r>
      <w:r>
        <w:rPr>
          <w:b/>
        </w:rPr>
        <w:t>日常维修服务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626"/>
              <w:gridCol w:w="1618"/>
              <w:gridCol w:w="1552"/>
              <w:gridCol w:w="561"/>
              <w:gridCol w:w="1213"/>
            </w:tblGrid>
            <w:tr>
              <w:tc>
                <w:tcPr>
                  <w:tcW w:type="dxa" w:w="5570"/>
                  <w:gridSpan w:val="5"/>
                  <w:tcBorders>
                    <w:top w:val="single" w:color="000000" w:sz="4"/>
                    <w:left w:val="single" w:color="000000" w:sz="4"/>
                    <w:bottom w:val="single" w:color="000000" w:sz="4"/>
                    <w:right w:val="single" w:color="000000" w:sz="4"/>
                  </w:tcBorders>
                  <w:vAlign w:val="top"/>
                </w:tcPr>
                <w:p>
                  <w:pPr>
                    <w:jc w:val="left"/>
                  </w:pPr>
                  <w:r>
                    <w:rPr>
                      <w:b/>
                      <w:sz w:val="21"/>
                    </w:rPr>
                    <w:t>1、</w:t>
                  </w:r>
                  <w:r>
                    <w:rPr>
                      <w:b/>
                      <w:sz w:val="21"/>
                    </w:rPr>
                    <w:t>日常维修材料清单</w:t>
                  </w:r>
                  <w:r>
                    <w:rPr>
                      <w:b/>
                      <w:sz w:val="21"/>
                    </w:rPr>
                    <w:t xml:space="preserve">                             </w:t>
                  </w:r>
                </w:p>
              </w:tc>
            </w:tr>
            <w:tr>
              <w:tc>
                <w:tcPr>
                  <w:tcW w:type="dxa" w:w="626"/>
                  <w:tcBorders>
                    <w:top w:val="none" w:color="000000" w:sz="4"/>
                    <w:left w:val="single" w:color="000000" w:sz="4"/>
                    <w:bottom w:val="single" w:color="000000" w:sz="4"/>
                    <w:right w:val="single" w:color="000000" w:sz="4"/>
                  </w:tcBorders>
                  <w:vAlign w:val="top"/>
                </w:tcPr>
                <w:p>
                  <w:pPr>
                    <w:jc w:val="center"/>
                  </w:pPr>
                  <w:r>
                    <w:rPr>
                      <w:b/>
                      <w:sz w:val="21"/>
                    </w:rPr>
                    <w:t>序号</w:t>
                  </w:r>
                </w:p>
              </w:tc>
              <w:tc>
                <w:tcPr>
                  <w:tcW w:type="dxa" w:w="1618"/>
                  <w:tcBorders>
                    <w:top w:val="single" w:color="000000" w:sz="4"/>
                    <w:left w:val="none" w:color="000000" w:sz="4"/>
                    <w:bottom w:val="single" w:color="000000" w:sz="4"/>
                    <w:right w:val="single" w:color="000000" w:sz="4"/>
                  </w:tcBorders>
                  <w:vAlign w:val="top"/>
                </w:tcPr>
                <w:p>
                  <w:pPr>
                    <w:jc w:val="center"/>
                  </w:pPr>
                  <w:r>
                    <w:rPr>
                      <w:b/>
                      <w:sz w:val="21"/>
                    </w:rPr>
                    <w:t>名称</w:t>
                  </w:r>
                </w:p>
              </w:tc>
              <w:tc>
                <w:tcPr>
                  <w:tcW w:type="dxa" w:w="1552"/>
                  <w:tcBorders>
                    <w:top w:val="single" w:color="000000" w:sz="4"/>
                    <w:left w:val="none" w:color="000000" w:sz="4"/>
                    <w:bottom w:val="single" w:color="000000" w:sz="4"/>
                    <w:right w:val="single" w:color="000000" w:sz="4"/>
                  </w:tcBorders>
                  <w:vAlign w:val="top"/>
                </w:tcPr>
                <w:p>
                  <w:pPr>
                    <w:jc w:val="center"/>
                  </w:pPr>
                  <w:r>
                    <w:rPr>
                      <w:b/>
                      <w:sz w:val="21"/>
                    </w:rPr>
                    <w:t>型号规格</w:t>
                  </w:r>
                </w:p>
              </w:tc>
              <w:tc>
                <w:tcPr>
                  <w:tcW w:type="dxa" w:w="561"/>
                  <w:tcBorders>
                    <w:top w:val="single" w:color="000000" w:sz="4"/>
                    <w:left w:val="none" w:color="000000" w:sz="4"/>
                    <w:bottom w:val="single" w:color="000000" w:sz="4"/>
                    <w:right w:val="single" w:color="000000" w:sz="4"/>
                  </w:tcBorders>
                  <w:vAlign w:val="top"/>
                </w:tcPr>
                <w:p>
                  <w:pPr>
                    <w:jc w:val="center"/>
                  </w:pPr>
                  <w:r>
                    <w:rPr>
                      <w:b/>
                      <w:sz w:val="21"/>
                    </w:rPr>
                    <w:t>单位</w:t>
                  </w:r>
                </w:p>
              </w:tc>
              <w:tc>
                <w:tcPr>
                  <w:tcW w:type="dxa" w:w="1213"/>
                  <w:tcBorders>
                    <w:top w:val="single" w:color="000000" w:sz="4"/>
                    <w:left w:val="none" w:color="000000" w:sz="4"/>
                    <w:bottom w:val="single" w:color="000000" w:sz="4"/>
                    <w:right w:val="single" w:color="000000" w:sz="4"/>
                  </w:tcBorders>
                  <w:vAlign w:val="top"/>
                </w:tcPr>
                <w:p>
                  <w:pPr>
                    <w:jc w:val="center"/>
                  </w:pPr>
                  <w:r>
                    <w:rPr>
                      <w:b/>
                      <w:sz w:val="21"/>
                    </w:rPr>
                    <w:t>单价最高限价</w:t>
                  </w:r>
                  <w:r>
                    <w:rPr>
                      <w:b/>
                      <w:sz w:val="21"/>
                    </w:rPr>
                    <w:t>(含税)</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螺纹钢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4300.00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螺纹钢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4030.00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螺纹钢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镀锌低碳钢丝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高强钢丝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4576.50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φ14. 1 〜15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φ16〜18.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φ19 〜21.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φ4.2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钢绞线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5985.00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4245.00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φ12 〜25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方钢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扁钢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镀锌扁钢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工字钢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槽钢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热轧等边角钢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4576.50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角钢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 5〜10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 〜16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 〜36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15以外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热轧厚钢板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4775.00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05〜0.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8以外</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0. 27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花纹钢板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4360.00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不锈钢装饰板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164.23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&lt;8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冷轧薄钢板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 〜1.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4880.00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 xml:space="preserve"> </w:t>
                  </w:r>
                  <w:r>
                    <w:rPr>
                      <w:sz w:val="21"/>
                    </w:rPr>
                    <w:t>冷轧薄钢板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 15〜0. 20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 xml:space="preserve"> </w:t>
                  </w: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黄铜丝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150系列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155系列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铝合金门窗型材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粉末喷涂</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铝合金门窗型材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电泳</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废钢</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152.15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尼龙编织布</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尼龙编织袋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尼龙网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30目</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塑料篾</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麻袋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幼麻筋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麻刀</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不锈钢螺钉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木螺钉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木螺钉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m3.5X22〜25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不锈钢螺丝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M5X50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M6X80镀锌连母</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膨胀螺栓</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M8X80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砂轮片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片</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木砂纸</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水砂纸</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铁砂布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张</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低碳钢焊条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不锈钢焊条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不锈钢焊条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奥</w:t>
                  </w:r>
                  <w:r>
                    <w:rPr>
                      <w:sz w:val="21"/>
                    </w:rPr>
                    <w:t>102 φ2.5以内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不锈钢焊丝</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 〜45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圆钉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 〜75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射钉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枪钉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盒</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水泥钉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骑马钉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7.91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铁丝</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钢板网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镀锌铁码</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镀锌铁件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预埋铁件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不锈钢法兰座</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装饰用</w:t>
                  </w:r>
                  <w:r>
                    <w:rPr>
                      <w:sz w:val="21"/>
                    </w:rPr>
                    <w:t>O 59</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不绣钢法兰座</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装饰用</w:t>
                  </w:r>
                  <w:r>
                    <w:rPr>
                      <w:sz w:val="21"/>
                    </w:rPr>
                    <w:t>O 32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合金钢钻头</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合金钢钻头</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钢纤</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φ22〜25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复合普通硅酸盐水泥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P.C 32.5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349.99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复合普通硅酸盐水泥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P.0 42.5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复合普通硅酸盐水泥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P.0 52.5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32.5 (R)水泥(转窑)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457.65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42.5 (R)水泥（转窑）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489.00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32.5 (R)水泥（转窑散装）</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42.5 (R)水泥（转窑散装）</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早强型、粤海牌</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458.99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白色硅酸盐水泥</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膨胀水泥</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耐酸水泥</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1201.98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细砂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185.32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碎石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131.65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河卵石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天然级配</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河卵石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园林用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河卵石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杂色</w:t>
                  </w:r>
                  <w:r>
                    <w:rPr>
                      <w:sz w:val="21"/>
                    </w:rPr>
                    <w:t>(级配石,混凝土用）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黑米石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190.26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黄米石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165.13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红色石米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391.03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白色石米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261.61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石屑</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76.79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生石灰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饰灰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石灰膏</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288.53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粘土</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毛石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标准砖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240X115X53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蒸压灰砂砖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240X115X53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蒸压灰砂砖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240X115X115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蒸压灰砂砖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240X175X115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烧结粉煤灰砖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240X115X53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400X120X200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600X60X200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2.16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600X180X200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蒸压加气混凝土砌块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600X240X240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杉原木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松杂原木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φ100〜280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1023.00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松杂木板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1558.70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松杂板枋材</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2026.20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1929.88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垫木</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1986.60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22X35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光方条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20X30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光方条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光方条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22X35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定型板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1000X500X15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松杂直边板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1864.50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白榉木门套线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榉木天花木角线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樱桃木天花木角线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120X7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2440X1200X4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2440X1200X9</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25.56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2440X1200X12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模板用</w:t>
                  </w:r>
                  <w:r>
                    <w:rPr>
                      <w:sz w:val="21"/>
                    </w:rPr>
                    <w:t>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白榉胶合板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红榉胶合板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沙比利胶合板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红樱桃胶合板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里鸡翅胶合板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红橡胶合板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水曲柳胶合板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里胡桃胶合板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白枫胶合板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泰柚胶合板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花樟胶合板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2440X1220X14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大芯板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56.08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纤维板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2100X1000X4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白色</w:t>
                  </w:r>
                  <w:r>
                    <w:rPr>
                      <w:sz w:val="21"/>
                    </w:rPr>
                    <w:t>1220X2440X0.8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各色</w:t>
                  </w:r>
                  <w:r>
                    <w:rPr>
                      <w:sz w:val="21"/>
                    </w:rPr>
                    <w:t>1220X2440X0.8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白色</w:t>
                  </w:r>
                  <w:r>
                    <w:rPr>
                      <w:sz w:val="21"/>
                    </w:rPr>
                    <w:t>1220X2440X1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各色</w:t>
                  </w:r>
                  <w:r>
                    <w:rPr>
                      <w:sz w:val="21"/>
                    </w:rPr>
                    <w:t>1220X2440X1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24.69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8+1.52PVB+8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409.96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夹胶钢化白玻璃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夹胶度膜福特兰钢化玻璃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夹胶度膜福特兰钢化玻璃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132.72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钢化白玻璃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164.63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钢化白玻璃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茶色钢化玻璃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有机玻璃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72.68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平板玻璃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48.70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74.76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82.52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101.82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浮法白色玻璃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182.86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浮法茶色玻璃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39.55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199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开界玻璃（绿色）</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开界玻璃（绿色）</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52.16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56.25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95.39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122.71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钢化玻璃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403.62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中空玻璃</w:t>
                  </w:r>
                  <w:r>
                    <w:rPr>
                      <w:sz w:val="21"/>
                    </w:rPr>
                    <w:t>6+6</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玻璃马赛克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各色</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60cm宽</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磨砂玻璃膜</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90cm宽</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800X800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1000X1000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袖面外墙砖</w:t>
                  </w:r>
                </w:p>
                <w:p>
                  <w:pPr>
                    <w:jc w:val="center"/>
                  </w:pPr>
                  <w:r>
                    <w:rPr>
                      <w:sz w:val="21"/>
                    </w:rPr>
                    <w:t>(贴纸）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p>
                  <w:pPr>
                    <w:jc w:val="center"/>
                  </w:pPr>
                  <w:r>
                    <w:rPr>
                      <w:sz w:val="21"/>
                    </w:rPr>
                    <w:t>(贴纸）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20.91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73X73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45X145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25.81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釉面外墙砖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45X195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外墙小方砖</w:t>
                  </w:r>
                </w:p>
                <w:p>
                  <w:pPr>
                    <w:jc w:val="center"/>
                  </w:pPr>
                  <w:r>
                    <w:rPr>
                      <w:sz w:val="21"/>
                    </w:rPr>
                    <w:t>（光面）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外墙小方砖</w:t>
                  </w:r>
                </w:p>
                <w:p>
                  <w:pPr>
                    <w:jc w:val="center"/>
                  </w:pPr>
                  <w:r>
                    <w:rPr>
                      <w:sz w:val="21"/>
                    </w:rPr>
                    <w:t>（麻面）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24.04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外墙条砖</w:t>
                  </w:r>
                </w:p>
                <w:p>
                  <w:pPr>
                    <w:jc w:val="center"/>
                  </w:pPr>
                  <w:r>
                    <w:rPr>
                      <w:sz w:val="21"/>
                    </w:rPr>
                    <w:t>（光面）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外墙条砖</w:t>
                  </w:r>
                </w:p>
                <w:p>
                  <w:pPr>
                    <w:jc w:val="center"/>
                  </w:pPr>
                  <w:r>
                    <w:rPr>
                      <w:sz w:val="21"/>
                    </w:rPr>
                    <w:t>（麻面）</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外墙通体砖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外墙釉面砖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140X280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瓷质仿石砖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瓷质仿石砖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31.87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粒径</w:t>
                  </w:r>
                  <w:r>
                    <w:rPr>
                      <w:sz w:val="21"/>
                    </w:rPr>
                    <w:t>45X95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瓷质抛光砖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600X600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瓷质抛光砖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800X800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瓷质抛光砖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1000X1000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麻面仿石砖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52.64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瓷质梯级砖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300X280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瓷质梯级砖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瓷质梯级砖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瓷质耐磨砖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500X500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195X45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凹凸假麻石砖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150X225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250X330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250X400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34.85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瓷片</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35X200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126.03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73X200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125.38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117.15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瓷质腰线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80X250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119.89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佛肚竹节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φ90X335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方竹节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85X85X330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小元竹节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φ85X285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大元竹节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φ105X395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件</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陶瓷马赛克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305X305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光面防潮砖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150X150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大理石板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碎块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大理石板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纯白人造大理石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广西白人造大理石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汉白玉大理石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373.58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晚霞红大理石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金碧黄大理石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孔雀绿大理石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255.61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中花白大理石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570.20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南洋绿大理石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639.02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大花绿大理石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452.23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大花白大理石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639.02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米黄玉大理石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334.25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花岗岩板</w:t>
                  </w:r>
                </w:p>
              </w:tc>
              <w:tc>
                <w:tcPr>
                  <w:tcW w:type="dxa" w:w="1552"/>
                  <w:tcBorders>
                    <w:top w:val="none" w:color="000000" w:sz="4"/>
                    <w:left w:val="none" w:color="000000" w:sz="4"/>
                    <w:bottom w:val="single" w:color="000000" w:sz="4"/>
                    <w:right w:val="single" w:color="000000" w:sz="4"/>
                  </w:tcBorders>
                  <w:vAlign w:val="top"/>
                </w:tcPr>
                <w:p>
                  <w:pPr>
                    <w:jc w:val="both"/>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碎花岗岩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大花红花岗岩石（印度红）</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147.47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细金砂花岗岩石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176.96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晚霞红花岗岩石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255.61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雪花青花岗岩石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太白青花岗岩石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孔雀绿花岗岩石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石榴红花岗岩石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神州绿花岗岩石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冰花花岗岩石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275.27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浅灰花岗岩石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中国红花岗岩石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216.28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印度红花岗岩石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373.58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细金砂花岗岩石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中金砂花岗岩石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373.58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大金砂花岗岩石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442.40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紫罗红花岗岩石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442.40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浅灰花岗岩石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大花绿花岗岩石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491.55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p>
                  <w:pPr>
                    <w:jc w:val="center"/>
                  </w:pPr>
                  <w:r>
                    <w:rPr>
                      <w:sz w:val="21"/>
                    </w:rPr>
                    <w:t>（墨绿、砂岩）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p>
                  <w:pPr>
                    <w:jc w:val="center"/>
                  </w:pPr>
                  <w:r>
                    <w:rPr>
                      <w:sz w:val="21"/>
                    </w:rPr>
                    <w:t>（墨绿、板岩）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112.07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文化石</w:t>
                  </w:r>
                </w:p>
                <w:p>
                  <w:pPr>
                    <w:jc w:val="center"/>
                  </w:pPr>
                  <w:r>
                    <w:rPr>
                      <w:sz w:val="21"/>
                    </w:rPr>
                    <w:t>（其他色、砂岩）</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112.07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平口</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企口</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300.83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黄檀木实木地板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紫金檀木实木地板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紫金檀木实木地板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344.09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花梨木实木地板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花梨木实木地板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334.25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红榉木实木地板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304.76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柞木实木地板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橡木实木地板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610X93X18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柚木实木地板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351.95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复合木地板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110.01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普通复合木地板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68.82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普通强化复合木地板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108.14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(柚木）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(柞木）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233.98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(虎木）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233.98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(红檀）</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245.78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(黑核桃）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(香脂梪）</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(厚果榄）</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(乳桑）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196.62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复合实木地板</w:t>
                  </w:r>
                  <w:r>
                    <w:rPr>
                      <w:sz w:val="21"/>
                    </w:rPr>
                    <w:t>(沙比利）</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135.67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(青柚）</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(枫木）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(胡桃木）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强化复合实木地板</w:t>
                  </w:r>
                  <w:r>
                    <w:rPr>
                      <w:sz w:val="21"/>
                    </w:rPr>
                    <w:t>(香草白橡）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910X125X15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155.33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271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象牙木运动地板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271.00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18.81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普通纸面石膏板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普通纸面石裔板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ELS蓝钻加强板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ELS蓝钻加强板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耐水纸面石膏板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9.5X1220X2440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耐火纸面石膏板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12.5X1220X2440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61.74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宝丽板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氟碳喷涂铝单板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372.17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铝合金扣板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包配套小龙骨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银合金方板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300X300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铝合金方板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600X600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钙塑板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99.87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(铝厚0.12)(聚酯)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49.16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(铝厚0.15)(聚酯）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(铝厚0.21)(聚酯）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51.25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(铝厚0.12)(聚酯)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(铝厚0.15)(聚酯)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(铝厚0.18)(聚酯)</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72.29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(铝厚0.21)(氟碳）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(铝厚0.4)(氟碳)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铝塑板</w:t>
                  </w:r>
                  <w:r>
                    <w:rPr>
                      <w:sz w:val="21"/>
                    </w:rPr>
                    <w:t>(铝厚0. 5)(氟碳)</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2440X1220X4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140.20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珍珠岩水泥板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环保轻质隔墙条板（内墙用）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任意长</w:t>
                  </w:r>
                  <w:r>
                    <w:rPr>
                      <w:sz w:val="21"/>
                    </w:rPr>
                    <w:t>X 600X90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塑钢全玻璃隔断</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塑钢板隔断</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143.22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塑钢半玻璃隔断</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121.42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塑钢推拉门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塑钢推拉窗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塑钢平开门</w:t>
                  </w:r>
                </w:p>
                <w:p>
                  <w:pPr>
                    <w:jc w:val="center"/>
                  </w:pPr>
                  <w:r>
                    <w:rPr>
                      <w:sz w:val="21"/>
                    </w:rPr>
                    <w:t>（全塑板）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246.72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塑钢平开门</w:t>
                  </w:r>
                </w:p>
                <w:p>
                  <w:pPr>
                    <w:jc w:val="center"/>
                  </w:pPr>
                  <w:r>
                    <w:rPr>
                      <w:sz w:val="21"/>
                    </w:rPr>
                    <w:t>（半玻半板）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塑钢平开门</w:t>
                  </w:r>
                </w:p>
                <w:p>
                  <w:pPr>
                    <w:jc w:val="center"/>
                  </w:pPr>
                  <w:r>
                    <w:rPr>
                      <w:sz w:val="21"/>
                    </w:rPr>
                    <w:t>(全玻)</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241.98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塑钢平开窗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208.77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塑钢固定窗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塑钢百页窗</w:t>
                  </w:r>
                </w:p>
                <w:p>
                  <w:pPr>
                    <w:jc w:val="center"/>
                  </w:pPr>
                  <w:r>
                    <w:rPr>
                      <w:sz w:val="21"/>
                    </w:rPr>
                    <w:t>（固定）</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塑钢百页窗</w:t>
                  </w:r>
                </w:p>
                <w:p>
                  <w:pPr>
                    <w:jc w:val="center"/>
                  </w:pPr>
                  <w:r>
                    <w:rPr>
                      <w:sz w:val="21"/>
                    </w:rPr>
                    <w:t>（活动）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厚</w:t>
                  </w:r>
                  <w:r>
                    <w:rPr>
                      <w:sz w:val="21"/>
                    </w:rPr>
                    <w:t>2. 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铝合金全玻单扇平开门</w:t>
                  </w:r>
                  <w:r>
                    <w:rPr>
                      <w:sz w:val="21"/>
                    </w:rPr>
                    <w:t>46系列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无上亮（无横框）</w:t>
                  </w:r>
                  <w:r>
                    <w:rPr>
                      <w:sz w:val="21"/>
                    </w:rPr>
                    <w:t>1.2mm厚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铝合金全玻单扇平开门</w:t>
                  </w:r>
                  <w:r>
                    <w:rPr>
                      <w:sz w:val="21"/>
                    </w:rPr>
                    <w:t>46系列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w:t>
                  </w:r>
                  <w:r>
                    <w:rPr>
                      <w:sz w:val="21"/>
                    </w:rPr>
                    <w:t>2.0mm厚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铝合金单扇平开窗</w:t>
                  </w:r>
                  <w:r>
                    <w:rPr>
                      <w:sz w:val="21"/>
                    </w:rPr>
                    <w:t>38系列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铝合金单扇平开窗</w:t>
                  </w:r>
                  <w:r>
                    <w:rPr>
                      <w:sz w:val="21"/>
                    </w:rPr>
                    <w:t>38系列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带上亮</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297.18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铝合金双扇推拉窗</w:t>
                  </w:r>
                  <w:r>
                    <w:rPr>
                      <w:sz w:val="21"/>
                    </w:rPr>
                    <w:t>90系列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无上亮</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239.03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铝合金固定窗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矩形</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240.86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铝合金固定窗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异形</w:t>
                  </w: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168.12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全铝合金百叶窗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475.70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铝合金玻璃百叶窗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1.4mm厚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木质防火门单扇（甲级）</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钢质防火门单扇（甲级）</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铝合金收口条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150X3</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石膏装饰线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50X10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100mm以内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140mm以内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200mra以内</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石膏天花角线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宽</w:t>
                  </w:r>
                  <w:r>
                    <w:rPr>
                      <w:sz w:val="21"/>
                    </w:rPr>
                    <w:t>200mm以上</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塑料压条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88.48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399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150X60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硬木扶手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螺旋形</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不锈钢扶手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φ75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生漆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封闭乳胶底涂料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21.80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内墙乳胶漆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面漆</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普通内墙涂料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803型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高级环保墙面漆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耐候外墙漆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丙稀酸外墙涂料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20公斤/桶</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36.59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丙稀酸外墙底漆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20公斤/桶</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亚光漆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水晶地板漆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地坪面漆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红丹漆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腻子粉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成品（防水型）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腻子粉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成品（一般型）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封闭漆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水溶性</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溶剂型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23.52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钢结构薄型防火涂料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钢结构厚型防火涂料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钢结构膨胀防火涂料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改性氨基膨胀防火涂料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配套罩面漆</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聚氨酯防水涂料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甲、乙级</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10.69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聚合物水泥防水涂料</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(JS-II)</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醇酸防锈漆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红丹</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酚醛铁红防锈漆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红丹防锈漆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酚醛红丹防锈漆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油性防锈漆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环氧绝缘漆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沥青绝缘漆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水性水泥漆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酚醛黑板漆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聚氨酯甲料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聚氨酯乙料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虫胶漆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46.13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聚氨酯底漆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聚氨酯磁漆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13.76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丙烯酸清漆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硝基清漆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环氧面漆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环氧底漆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12.88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沥青清漆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醇酸清漆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酚醛清漆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酚醛磁漆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普通乳胶漆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白色、浅奶黄、奶白</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酚醛调和漆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内墙乳胶漆底漆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醇酸磁漆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过氯乙烯磁漆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G52 -1</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环氧树脂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淸油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13.91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松节油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防腐油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桐油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9.84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天那水</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32.44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滑石粉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双飞粉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大白粉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嵌缝粉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乳液</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6.79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福粉</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(干磨白石粉）</w:t>
                  </w: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原子灰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酒精</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酒精</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工业用</w:t>
                  </w:r>
                  <w:r>
                    <w:rPr>
                      <w:sz w:val="21"/>
                    </w:rPr>
                    <w:t>99. 5%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清漆稀释剂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聚氨酯漆稀释剂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13.11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防火涂料稀释剂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过氯乙烯漆稀释剂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4.31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乳化沥青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改性乳化沥青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改性沥青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石油沥青油毡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石油沥青油毡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350g</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石油沥青油毡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400g</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PVC防水卷材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聚氯乙烯灰色</w:t>
                  </w:r>
                  <w:r>
                    <w:rPr>
                      <w:sz w:val="21"/>
                    </w:rPr>
                    <w:t>PVC卷材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聚氯乙烯灰色</w:t>
                  </w:r>
                  <w:r>
                    <w:rPr>
                      <w:sz w:val="21"/>
                    </w:rPr>
                    <w:t>PVC卷材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shd w:fill="FFFFFF"/>
                  <w:vAlign w:val="top"/>
                </w:tcPr>
                <w:p>
                  <w:pPr>
                    <w:jc w:val="center"/>
                  </w:pPr>
                  <w:r>
                    <w:rPr>
                      <w:sz w:val="21"/>
                    </w:rPr>
                    <w:t>16.40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聚氯乙烯灰色</w:t>
                  </w:r>
                  <w:r>
                    <w:rPr>
                      <w:sz w:val="21"/>
                    </w:rPr>
                    <w:t>PVC卷材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氯化聚乙烯橡胶卷材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改性沥青卷材</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高级聚氨酯手扫漆</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水泥瓷砖粘着剂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 kg /罐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23.22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水泥瓷砖填缝剂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 kg /罐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柴油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汽油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灯用煤油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499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重油</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8.06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机油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草酸</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甲苯</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隔离剂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软填料</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氧气</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氩气</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乙炔气</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万能胶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19.21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腻子胶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335克/支</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12.78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双面强力弹性胶带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B100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石棉泥</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576.59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φ12.7X0.7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φ19X0.8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φ31.8X0.8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φ12.7X0.7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φ19X0.8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14.27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φ25X0. 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16.19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φ31.8X0.8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20.69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201#不诱钢方管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16X16X0.7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19X19X0.7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20X20X0.8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201#不锈钢方管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25X25X0.8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12X12X0.7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16X16X0.7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304#不诱钢方管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19X19X0.7</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20X20X0.8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22X22X0.8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304#不诱钢方管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25X25X0.8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304#不锈钢装饰管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φ25X1.2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41.13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304#不锈钢装饰管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φ32X1.2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55.37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方钢管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25X25X2.5</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D300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D400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63.39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106.08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D600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124.48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D800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219.67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D1000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318.72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D1200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413.04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钢筋混凝土承插口排水管</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D1500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778.77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橡胶垫</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门窗密封橡胶条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0.96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密封膏</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密封毛条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白棉纱</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13.89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广场砖（普通白底斑点综合价）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100X100X16.2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61.38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w:t>
                  </w:r>
                </w:p>
                <w:p>
                  <w:pPr>
                    <w:jc w:val="center"/>
                  </w:pPr>
                  <w:r>
                    <w:rPr>
                      <w:sz w:val="21"/>
                    </w:rPr>
                    <w:t>（普通棕红、绿斑点综合价）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100X100X16.2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68.40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广场砖（普通天蓝、果绿综合价）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100X100X16.2</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C15粒径为20mm石子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411.41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C15粒径为40mm石子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411.41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C20粒径为20mm石子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C20粒径为40mm石子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422.38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C25粒径为20mm石子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444.32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C25粒径为40mm石子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444.32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普通预拌混凝土</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C30粒径为20mm石子</w:t>
                  </w:r>
                </w:p>
              </w:tc>
              <w:tc>
                <w:tcPr>
                  <w:tcW w:type="dxa" w:w="561"/>
                  <w:tcBorders>
                    <w:top w:val="none" w:color="000000" w:sz="4"/>
                    <w:left w:val="none" w:color="000000" w:sz="4"/>
                    <w:bottom w:val="single" w:color="000000" w:sz="4"/>
                    <w:right w:val="single" w:color="000000" w:sz="4"/>
                  </w:tcBorders>
                  <w:vAlign w:val="top"/>
                </w:tcPr>
                <w:p>
                  <w:pPr>
                    <w:jc w:val="center"/>
                  </w:pPr>
                  <w:r>
                    <w:rPr>
                      <w:sz w:val="21"/>
                    </w:rPr>
                    <w:t>m³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455.29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硅酮结构胶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300ml</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32.08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结构胶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玻璃门地弹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重型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166.65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玻璃门地弹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轻型</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111.10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玻璃门拉手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125.24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玻璃门拉手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174.73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玻璃门上下夾</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磁力锁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含电源盒、开关、磁力锁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429.25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不锈钢球锁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球形锁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消防门锁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A01-304防火锁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卫生间门球锁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球型锁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大门锁锁芯</w:t>
                  </w:r>
                </w:p>
                <w:p>
                  <w:pPr>
                    <w:jc w:val="center"/>
                  </w:pPr>
                  <w:r>
                    <w:rPr>
                      <w:sz w:val="21"/>
                    </w:rPr>
                    <w:t>（防盗门）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全铜</w:t>
                  </w:r>
                  <w:r>
                    <w:rPr>
                      <w:sz w:val="21"/>
                    </w:rPr>
                    <w:t>AB锁芯</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大门执手锁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防盗门锁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玻璃门锁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304不锈钢</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166.65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铁插销</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23.23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门栓插销</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17.17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大门执手锁把手</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外壳</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不锈钢门拉手（厕所门）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2049 直径38mm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合页</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挂锁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U型锁</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57.57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铁链锁</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闭门器</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95.95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589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插芯门锁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单舌门锁</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65.41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不锈钢门合页</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门窗密封胶条</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m</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不锈钢雨棚</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191.90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红砖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100X200X38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沙浆王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特级粘粉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防水胶</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瓷砖胶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地砖瓷砖用</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26.64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油漆刷</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25-40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599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羊毛滚筒</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羊毛刷</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石膏板天花</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600X060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17.94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铝扣天花板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300mm*300mm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10.10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铝扣天花板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600mm*600mm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不锈钢延时冲水阀</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85.85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大便冲洗阀</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6分、脚踩</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104.54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蹲厕（含存水弯）</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136.35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蹲厕水箱</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122.25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大理石洗手台（成套）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969.60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609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厕所隔板连接扣</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21.21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厕所隔板脚座</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33.33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加厚防滑胶垫</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25.25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增强双壁波纹管（含橡胶圈）</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225/SN8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144.57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增强双壁波纹管（含橡胶圈）</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300/SN8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273.06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增强双壁波纹管（含橡胶圈）</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400/SN8</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417.62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堵漏剂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31.61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手喷漆</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450ml</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支</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13.34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角码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40*40*16mm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生料带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26mm*0.1mm*20m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619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伸缩节</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φ110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14.12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麻丝</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12.49</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双面胶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30mm*10m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钢丝刷子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清洁剂</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7.07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分色纸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30mm*50m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门铰</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警示带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64mm*100m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卷</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塑料布</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三色彩条布</w:t>
                  </w:r>
                </w:p>
              </w:tc>
              <w:tc>
                <w:tcPr>
                  <w:tcW w:type="dxa" w:w="561"/>
                  <w:tcBorders>
                    <w:top w:val="none" w:color="000000" w:sz="4"/>
                    <w:left w:val="none" w:color="000000" w:sz="4"/>
                    <w:bottom w:val="single" w:color="000000" w:sz="4"/>
                    <w:right w:val="single" w:color="000000" w:sz="4"/>
                  </w:tcBorders>
                  <w:vAlign w:val="top"/>
                </w:tcPr>
                <w:p>
                  <w:pPr>
                    <w:jc w:val="center"/>
                  </w:pPr>
                  <w:r>
                    <w:rPr>
                      <w:sz w:val="21"/>
                    </w:rPr>
                    <w:t>KG</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15.62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键盘托道轨</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0.3米</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12.63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629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文件柜锁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103-25mm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抽屉锁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小芯</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5.36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办公桌抽屉锁</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把</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184.45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塑料挂钩</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综合</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U型箍</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4.55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太空铝毛巾挂钩</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8位</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三角皮带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A2100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条</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35.35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三角皮带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A1750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条</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28.28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带齿皮带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W1200Li</w:t>
                  </w:r>
                </w:p>
              </w:tc>
              <w:tc>
                <w:tcPr>
                  <w:tcW w:type="dxa" w:w="561"/>
                  <w:tcBorders>
                    <w:top w:val="none" w:color="000000" w:sz="4"/>
                    <w:left w:val="none" w:color="000000" w:sz="4"/>
                    <w:bottom w:val="single" w:color="000000" w:sz="4"/>
                    <w:right w:val="single" w:color="000000" w:sz="4"/>
                  </w:tcBorders>
                  <w:vAlign w:val="top"/>
                </w:tcPr>
                <w:p>
                  <w:pPr>
                    <w:jc w:val="center"/>
                  </w:pPr>
                  <w:r>
                    <w:rPr>
                      <w:sz w:val="21"/>
                    </w:rPr>
                    <w:t>条</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66.66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制冷机组启动运行总成</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2匹</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639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电热水器电路控制板</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121.20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排气扇扇叶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10寸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排气扇电容</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1.2uF</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电机轴承</w:t>
                  </w:r>
                </w:p>
                <w:p>
                  <w:pPr>
                    <w:jc w:val="center"/>
                  </w:pPr>
                  <w:r>
                    <w:rPr>
                      <w:sz w:val="21"/>
                    </w:rPr>
                    <w:t>(热水泵)</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6207-2RS/P4</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40.40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铝合金回风口</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双面圆带双面胶户外数字纸</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直径</w:t>
                  </w:r>
                  <w:r>
                    <w:rPr>
                      <w:sz w:val="21"/>
                    </w:rPr>
                    <w:t>15cm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PVC胶片缕空字</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50.50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沙井圆盖板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φ60mm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90.90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球墨铸铁水井盖</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DN700</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395.92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铁盖板</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50cm*30cm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块</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87.87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649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不锈钢天井盖</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303.00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不锈钢防盗网</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间距</w:t>
                  </w:r>
                  <w:r>
                    <w:rPr>
                      <w:sz w:val="21"/>
                    </w:rPr>
                    <w:t>120mm内 1mm厚</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111.73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304不锈钢平推窗支架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12寸</w:t>
                  </w: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订制木门门扇</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扇</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924.58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木纹豪华全封钢门</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樘</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656.50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窗帘支架</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方管</w:t>
                  </w:r>
                </w:p>
              </w:tc>
              <w:tc>
                <w:tcPr>
                  <w:tcW w:type="dxa" w:w="561"/>
                  <w:tcBorders>
                    <w:top w:val="none" w:color="000000" w:sz="4"/>
                    <w:left w:val="none" w:color="000000" w:sz="4"/>
                    <w:bottom w:val="single" w:color="000000" w:sz="4"/>
                    <w:right w:val="single" w:color="000000" w:sz="4"/>
                  </w:tcBorders>
                  <w:vAlign w:val="top"/>
                </w:tcPr>
                <w:p>
                  <w:pPr>
                    <w:jc w:val="center"/>
                  </w:pPr>
                  <w:r>
                    <w:rPr>
                      <w:sz w:val="21"/>
                    </w:rPr>
                    <w:t>米</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26.26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金刚纱窗网</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铝合金百页窗</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246.12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平推窗铝合金拉手</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个</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15.15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窗帘</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遮光布</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46.46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659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卷帘</w:t>
                  </w:r>
                  <w:r>
                    <w:rPr>
                      <w:sz w:val="21"/>
                    </w:rPr>
                    <w:t>(遮光）</w:t>
                  </w:r>
                </w:p>
              </w:tc>
              <w:tc>
                <w:tcPr>
                  <w:tcW w:type="dxa" w:w="1552"/>
                  <w:tcBorders>
                    <w:top w:val="none" w:color="000000" w:sz="4"/>
                    <w:left w:val="none" w:color="000000" w:sz="4"/>
                    <w:bottom w:val="single" w:color="000000" w:sz="4"/>
                    <w:right w:val="single" w:color="000000" w:sz="4"/>
                  </w:tcBorders>
                  <w:vAlign w:val="top"/>
                </w:tcPr>
                <w:p>
                  <w:pPr>
                    <w:jc w:val="center"/>
                  </w:pP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113.24</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金属</w:t>
                  </w:r>
                </w:p>
                <w:p>
                  <w:pPr>
                    <w:jc w:val="center"/>
                  </w:pPr>
                  <w:r>
                    <w:rPr>
                      <w:sz w:val="21"/>
                    </w:rPr>
                    <w:t>（塑钢、断桥）窗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4200×3600、普通铝合金框、6mm透明玻璃固定窗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金属</w:t>
                  </w:r>
                </w:p>
                <w:p>
                  <w:pPr>
                    <w:jc w:val="center"/>
                  </w:pPr>
                  <w:r>
                    <w:rPr>
                      <w:sz w:val="21"/>
                    </w:rPr>
                    <w:t>（塑钢、断桥）窗</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5200×3600、普通铝合金框、6mm透明玻璃固定窗</w:t>
                  </w:r>
                </w:p>
              </w:tc>
              <w:tc>
                <w:tcPr>
                  <w:tcW w:type="dxa" w:w="561"/>
                  <w:tcBorders>
                    <w:top w:val="none" w:color="000000" w:sz="4"/>
                    <w:left w:val="none" w:color="000000" w:sz="4"/>
                    <w:bottom w:val="single" w:color="000000" w:sz="4"/>
                    <w:right w:val="single" w:color="000000" w:sz="4"/>
                  </w:tcBorders>
                  <w:vAlign w:val="top"/>
                </w:tcPr>
                <w:p>
                  <w:pPr>
                    <w:jc w:val="center"/>
                  </w:pPr>
                  <w:r>
                    <w:rPr>
                      <w:sz w:val="21"/>
                    </w:rPr>
                    <w:t>㎡</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228.51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打穿墙孔</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个</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60.00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挖掘机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45cm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1313.00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挖掘机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75cm</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1818.00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1.25t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213.70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2t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266.77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2.5t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368.42</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3t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265.83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669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4t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319.93</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670</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346.60</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671</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6t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377.21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672</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载货汽车</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装载质量</w:t>
                  </w:r>
                  <w:r>
                    <w:rPr>
                      <w:sz w:val="21"/>
                    </w:rPr>
                    <w:t>8t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447.28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673</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8t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540.81</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674</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10t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636.77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675</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16t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887.58</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676</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轮胎式起重机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20t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1018.86</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677</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叉式起重机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3t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361.95</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678</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叉式起重机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4t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365.97</w:t>
                  </w:r>
                </w:p>
              </w:tc>
            </w:tr>
            <w:tr>
              <w:tc>
                <w:tcPr>
                  <w:tcW w:type="dxa" w:w="626"/>
                  <w:tcBorders>
                    <w:top w:val="none" w:color="000000" w:sz="4"/>
                    <w:left w:val="single" w:color="000000" w:sz="4"/>
                    <w:bottom w:val="single" w:color="000000" w:sz="4"/>
                    <w:right w:val="single" w:color="000000" w:sz="4"/>
                  </w:tcBorders>
                  <w:vAlign w:val="top"/>
                </w:tcPr>
                <w:p>
                  <w:pPr>
                    <w:jc w:val="left"/>
                  </w:pPr>
                  <w:r>
                    <w:rPr>
                      <w:sz w:val="21"/>
                    </w:rPr>
                    <w:t>679</w:t>
                  </w:r>
                </w:p>
              </w:tc>
              <w:tc>
                <w:tcPr>
                  <w:tcW w:type="dxa" w:w="1618"/>
                  <w:tcBorders>
                    <w:top w:val="none" w:color="000000" w:sz="4"/>
                    <w:left w:val="none" w:color="000000" w:sz="4"/>
                    <w:bottom w:val="single" w:color="000000" w:sz="4"/>
                    <w:right w:val="single" w:color="000000" w:sz="4"/>
                  </w:tcBorders>
                  <w:vAlign w:val="top"/>
                </w:tcPr>
                <w:p>
                  <w:pPr>
                    <w:jc w:val="center"/>
                  </w:pPr>
                  <w:r>
                    <w:rPr>
                      <w:sz w:val="21"/>
                    </w:rPr>
                    <w:t>叉式起重机</w:t>
                  </w:r>
                </w:p>
              </w:tc>
              <w:tc>
                <w:tcPr>
                  <w:tcW w:type="dxa" w:w="1552"/>
                  <w:tcBorders>
                    <w:top w:val="none" w:color="000000" w:sz="4"/>
                    <w:left w:val="none" w:color="000000" w:sz="4"/>
                    <w:bottom w:val="single" w:color="000000" w:sz="4"/>
                    <w:right w:val="single" w:color="000000" w:sz="4"/>
                  </w:tcBorders>
                  <w:vAlign w:val="top"/>
                </w:tcPr>
                <w:p>
                  <w:pPr>
                    <w:jc w:val="center"/>
                  </w:pPr>
                  <w:r>
                    <w:rPr>
                      <w:sz w:val="21"/>
                    </w:rPr>
                    <w:t>提升质量</w:t>
                  </w:r>
                  <w:r>
                    <w:rPr>
                      <w:sz w:val="21"/>
                    </w:rPr>
                    <w:t>5t</w:t>
                  </w:r>
                </w:p>
              </w:tc>
              <w:tc>
                <w:tcPr>
                  <w:tcW w:type="dxa" w:w="561"/>
                  <w:tcBorders>
                    <w:top w:val="none" w:color="000000" w:sz="4"/>
                    <w:left w:val="none" w:color="000000" w:sz="4"/>
                    <w:bottom w:val="single" w:color="000000" w:sz="4"/>
                    <w:right w:val="single" w:color="000000" w:sz="4"/>
                  </w:tcBorders>
                  <w:vAlign w:val="top"/>
                </w:tcPr>
                <w:p>
                  <w:pPr>
                    <w:jc w:val="center"/>
                  </w:pPr>
                  <w:r>
                    <w:rPr>
                      <w:sz w:val="21"/>
                    </w:rPr>
                    <w:t>台班</w:t>
                  </w:r>
                </w:p>
              </w:tc>
              <w:tc>
                <w:tcPr>
                  <w:tcW w:type="dxa" w:w="1213"/>
                  <w:tcBorders>
                    <w:top w:val="none" w:color="000000" w:sz="4"/>
                    <w:left w:val="none" w:color="000000" w:sz="4"/>
                    <w:bottom w:val="single" w:color="000000" w:sz="4"/>
                    <w:right w:val="single" w:color="000000" w:sz="4"/>
                  </w:tcBorders>
                  <w:vAlign w:val="top"/>
                </w:tcPr>
                <w:p>
                  <w:pPr>
                    <w:jc w:val="center"/>
                  </w:pPr>
                  <w:r>
                    <w:rPr>
                      <w:sz w:val="21"/>
                    </w:rPr>
                    <w:t>388.95</w:t>
                  </w:r>
                </w:p>
              </w:tc>
            </w:tr>
            <w:tr>
              <w:tc>
                <w:tcPr>
                  <w:tcW w:type="dxa" w:w="5570"/>
                  <w:gridSpan w:val="5"/>
                  <w:tcBorders>
                    <w:top w:val="none" w:color="000000" w:sz="4"/>
                    <w:left w:val="single" w:color="000000" w:sz="4"/>
                    <w:bottom w:val="single" w:color="000000" w:sz="4"/>
                    <w:right w:val="single" w:color="000000" w:sz="4"/>
                  </w:tcBorders>
                  <w:vAlign w:val="top"/>
                </w:tcPr>
                <w:p>
                  <w:pPr>
                    <w:jc w:val="both"/>
                  </w:pPr>
                  <w:r>
                    <w:rPr>
                      <w:b/>
                      <w:sz w:val="21"/>
                    </w:rPr>
                    <w:t>2、</w:t>
                  </w:r>
                  <w:r>
                    <w:rPr>
                      <w:b/>
                      <w:sz w:val="21"/>
                    </w:rPr>
                    <w:t>《</w:t>
                  </w:r>
                  <w:r>
                    <w:rPr>
                      <w:b/>
                      <w:sz w:val="21"/>
                    </w:rPr>
                    <w:t>水电日常维修材料清单</w:t>
                  </w:r>
                  <w:r>
                    <w:rPr>
                      <w:b/>
                      <w:sz w:val="21"/>
                    </w:rPr>
                    <w:t>》</w:t>
                  </w:r>
                  <w:r>
                    <w:rPr>
                      <w:b/>
                      <w:sz w:val="21"/>
                    </w:rPr>
                    <w:t>详见</w:t>
                  </w:r>
                  <w:r>
                    <w:rPr>
                      <w:b/>
                      <w:sz w:val="21"/>
                    </w:rPr>
                    <w:t>采购</w:t>
                  </w:r>
                  <w:r>
                    <w:rPr>
                      <w:b/>
                      <w:sz w:val="21"/>
                    </w:rPr>
                    <w:t>公告附件</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1.采购代理机构：本项目是指广东远东招标代理有限公司，负责整个采购活动的组织，依法负责编制和发布磋商文件，对磋商文件拥有最终的解释权，不以任何身份出任磋商小组成员。</w:t>
      </w:r>
    </w:p>
    <w:p>
      <w:pPr>
        <w:ind w:firstLine="480"/>
      </w:pPr>
      <w:r>
        <w:rPr/>
        <w:t>2.采购人：本项目是指</w:t>
      </w:r>
      <w:r>
        <w:rPr/>
        <w:t>广东省北江监狱</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采购包1：下浮率</w:t>
            </w:r>
          </w:p>
        </w:tc>
      </w:tr>
      <w:tr>
        <w:tc>
          <w:tcPr>
            <w:tcW w:type="dxa" w:w="1051"/>
          </w:tcPr>
          <w:p>
            <w:pPr>
              <w:jc w:val="center"/>
            </w:pPr>
            <w:r>
              <w:rPr/>
              <w:t>6</w:t>
            </w:r>
          </w:p>
        </w:tc>
        <w:tc>
          <w:tcPr>
            <w:tcW w:type="dxa" w:w="2252"/>
          </w:tcPr>
          <w:p>
            <w:r>
              <w:rPr/>
              <w:t>报价要求</w:t>
            </w:r>
          </w:p>
        </w:tc>
        <w:tc>
          <w:tcPr>
            <w:tcW w:type="dxa" w:w="5004"/>
          </w:tcPr>
          <w:p/>
          <w:p>
            <w:r>
              <w:rPr/>
              <w:t>采购包1：0% - 100%</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收取中标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1、本项目属于《广东省财政厅关于印发省本级政府购买服务指导性目录的通知》（粤财行〔2022〕111号）代码为B1101维修保养服务，为政府购买服务项目，，本项目适用《财政部关于政府采购竞争性磋商采购方式管理暂行办法有关问题的补充通知》（财库〔2015〕124号）“采用竞争性磋商采购方式采购的政府购买服务项目（含政府和社会资本合作项目），在采购过程中符合要求的供应商（社会资本）只有2家的，竞争性磋商采购活动可以继续进行”的规定。</w:t>
            </w:r>
          </w:p>
          <w:p>
            <w:pPr>
              <w:jc w:val="left"/>
            </w:pPr>
            <w:r>
              <w:rPr/>
              <w:t>2、本项目纪检监督联系方式如下， 联系方式: 0751-8836041 联系地址: 广东省韶关市江区十里亭镇黄岗北江监狱。</w:t>
            </w:r>
          </w:p>
        </w:tc>
      </w:tr>
      <w:tr>
        <w:tc>
          <w:tcPr>
            <w:tcW w:type="dxa" w:w="1051"/>
          </w:tcPr>
          <w:p>
            <w:pPr>
              <w:jc w:val="center"/>
            </w:pPr>
            <w:r>
              <w:rPr/>
              <w:t>19</w:t>
            </w:r>
          </w:p>
        </w:tc>
        <w:tc>
          <w:tcPr>
            <w:tcW w:type="dxa" w:w="2252"/>
          </w:tcPr>
          <w:p>
            <w:r>
              <w:rPr/>
              <w:t>开标解密时长</w:t>
            </w:r>
          </w:p>
        </w:tc>
        <w:tc>
          <w:tcPr>
            <w:tcW w:type="dxa" w:w="5004"/>
          </w:tcPr>
          <w:p>
            <w:r>
              <w:rPr/>
              <w:t>30</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广东远东招标代理有限公司</w:t>
      </w:r>
      <w:r>
        <w:rPr/>
        <w:t>代收。具体操作要求详见</w:t>
      </w:r>
      <w:r>
        <w:rPr/>
        <w:t>广东远东招标代理有限公司</w:t>
      </w:r>
      <w:r>
        <w:rPr/>
        <w:t>有关指引，递交事宜请自行咨询</w:t>
      </w:r>
      <w:r>
        <w:rPr/>
        <w:t>广东远东招标代理有限公司</w:t>
      </w:r>
      <w:r>
        <w:rPr/>
        <w:t>；请各供应商在响应文件递交截止时间前按须知前附表规定的金额递交至</w:t>
      </w:r>
      <w:r>
        <w:rPr/>
        <w:t>广东远东招标代理有限公司</w:t>
      </w:r>
      <w:r>
        <w:rPr/>
        <w:t>，到账情况以开启时</w:t>
      </w:r>
      <w:r>
        <w:rPr/>
        <w:t>广东远东招标代理有限公司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广东远东招标代理有限公司（http://www.gdydzb.com/）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广东远东招标代理有限公司（http://www.gdydzb.com/）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黄小姐</w:t>
      </w:r>
    </w:p>
    <w:p>
      <w:pPr>
        <w:ind w:firstLine="480"/>
      </w:pPr>
      <w:r>
        <w:rPr/>
        <w:t>电话：</w:t>
      </w:r>
      <w:r>
        <w:rPr/>
        <w:t>0751-8115118</w:t>
      </w:r>
    </w:p>
    <w:p>
      <w:pPr>
        <w:ind w:firstLine="480"/>
      </w:pPr>
      <w:r>
        <w:rPr/>
        <w:t>传真：</w:t>
      </w:r>
      <w:r>
        <w:rPr/>
        <w:t>0751-8115118</w:t>
      </w:r>
    </w:p>
    <w:p>
      <w:pPr>
        <w:ind w:firstLine="480"/>
      </w:pPr>
      <w:r>
        <w:rPr/>
        <w:t>邮箱：</w:t>
      </w:r>
      <w:r>
        <w:rPr/>
        <w:t>shaoguan_yuandong@163.com</w:t>
      </w:r>
    </w:p>
    <w:p>
      <w:pPr>
        <w:ind w:firstLine="480"/>
      </w:pPr>
      <w:r>
        <w:rPr/>
        <w:t>地址：</w:t>
      </w:r>
      <w:r>
        <w:rPr/>
        <w:t>广东省韶关市武江区西联镇小阳山沐芙路扬成名门综合楼三楼318号</w:t>
      </w:r>
    </w:p>
    <w:p>
      <w:pPr>
        <w:ind w:firstLine="480"/>
      </w:pPr>
      <w:r>
        <w:rPr/>
        <w:t>邮编：</w:t>
      </w:r>
      <w:r>
        <w:rPr/>
        <w:t>512000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东省北江监狱2023-2024年度日常维修服务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广东远东招标代理有限公司</w:t>
      </w:r>
      <w:r>
        <w:rPr/>
        <w:t>统一对外发布。</w:t>
      </w:r>
    </w:p>
    <w:p>
      <w:pPr>
        <w:ind w:firstLine="480"/>
      </w:pPr>
      <w:r>
        <w:rPr/>
        <w:t>（2）对</w:t>
      </w:r>
      <w:r>
        <w:rPr/>
        <w:t>广东远东招标代理有限公司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采购包1（广东省北江监狱2023-2024年度日常维修服务项目）：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节能、环保产品</w:t>
            </w:r>
          </w:p>
        </w:tc>
        <w:tc>
          <w:tcPr>
            <w:tcW w:type="dxa" w:w="2160"/>
          </w:tcPr>
          <w:p>
            <w:r>
              <w:rPr/>
              <w:t>——</w:t>
            </w:r>
          </w:p>
        </w:tc>
        <w:tc>
          <w:tcPr>
            <w:tcW w:type="dxa" w:w="1246"/>
          </w:tcPr>
          <w:p>
            <w:r>
              <w:rPr/>
              <w:t>3%</w:t>
            </w:r>
          </w:p>
        </w:tc>
        <w:tc>
          <w:tcPr>
            <w:tcW w:type="dxa" w:w="2160"/>
          </w:tcPr>
          <w:p>
            <w:pPr>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采购包1（广东省北江监狱2023-2024年度日常维修服务项目）：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副本复印件。分支机构响应的，须提供总公司和分公司营业执照副本复印件，总公司出具给分支机构的授权书；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提供响应截止日前6个月内任意1个月依法缴纳税收和社会保障资金的相关材料。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供应商必须具有良好的商业信誉和健全的财务会计制度（供应商必须提供2022年度财务状况报告或2023年任意1个月的财务报表或基本开户行出具的资信证明）；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注：中小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根据《关于印发中小企业划型标准规定的通知》（工信部联企业[2011]300号）,,本项所属行业为：其他未列明行业。</w:t>
            </w:r>
          </w:p>
        </w:tc>
      </w:tr>
    </w:tbl>
    <w:p/>
    <w:p>
      <w:pPr>
        <w:ind w:firstLine="480"/>
      </w:pPr>
      <w:r>
        <w:rPr/>
        <w:t>表二符合性审查表：</w:t>
      </w:r>
    </w:p>
    <w:p>
      <w:pPr>
        <w:ind w:firstLine="480"/>
      </w:pPr>
    </w:p>
    <w:p/>
    <w:p>
      <w:r>
        <w:rPr/>
        <w:t>采购包1（广东省北江监狱2023-2024年度日常维修服务项目）：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签署、盖章要求</w:t>
            </w:r>
          </w:p>
        </w:tc>
        <w:tc>
          <w:tcPr>
            <w:tcW w:type="dxa" w:w="4238"/>
          </w:tcPr>
          <w:p>
            <w:r>
              <w:rPr/>
              <w:t>响应文件按竞争性磋商文件要求签署、盖章</w:t>
            </w:r>
          </w:p>
        </w:tc>
      </w:tr>
      <w:tr>
        <w:tc>
          <w:tcPr>
            <w:tcW w:type="dxa" w:w="890"/>
          </w:tcPr>
          <w:p>
            <w:r>
              <w:rPr/>
              <w:t>2</w:t>
            </w:r>
          </w:p>
        </w:tc>
        <w:tc>
          <w:tcPr>
            <w:tcW w:type="dxa" w:w="3178"/>
          </w:tcPr>
          <w:p>
            <w:r>
              <w:rPr/>
              <w:t>报价下浮率</w:t>
            </w:r>
          </w:p>
        </w:tc>
        <w:tc>
          <w:tcPr>
            <w:tcW w:type="dxa" w:w="4238"/>
          </w:tcPr>
          <w:p>
            <w:r>
              <w:rPr/>
              <w:t>报价下浮率必须≥0.00%</w:t>
            </w:r>
          </w:p>
        </w:tc>
      </w:tr>
      <w:tr>
        <w:tc>
          <w:tcPr>
            <w:tcW w:type="dxa" w:w="890"/>
          </w:tcPr>
          <w:p>
            <w:r>
              <w:rPr/>
              <w:t>3</w:t>
            </w:r>
          </w:p>
        </w:tc>
        <w:tc>
          <w:tcPr>
            <w:tcW w:type="dxa" w:w="3178"/>
          </w:tcPr>
          <w:p>
            <w:r>
              <w:rPr/>
              <w:t>“★”号实质性响应情况</w:t>
            </w:r>
          </w:p>
        </w:tc>
        <w:tc>
          <w:tcPr>
            <w:tcW w:type="dxa" w:w="4238"/>
          </w:tcPr>
          <w:p>
            <w:r>
              <w:rPr/>
              <w:t>磋商商务技术没有实质性不响应</w:t>
            </w:r>
          </w:p>
        </w:tc>
      </w:tr>
      <w:tr>
        <w:tc>
          <w:tcPr>
            <w:tcW w:type="dxa" w:w="890"/>
          </w:tcPr>
          <w:p>
            <w:r>
              <w:rPr/>
              <w:t>4</w:t>
            </w:r>
          </w:p>
        </w:tc>
        <w:tc>
          <w:tcPr>
            <w:tcW w:type="dxa" w:w="3178"/>
          </w:tcPr>
          <w:p>
            <w:r>
              <w:rPr/>
              <w:t>合同履行期限</w:t>
            </w:r>
          </w:p>
        </w:tc>
        <w:tc>
          <w:tcPr>
            <w:tcW w:type="dxa" w:w="4238"/>
          </w:tcPr>
          <w:p>
            <w:r>
              <w:rPr/>
              <w:t>合同履行期限符合磋商要求</w:t>
            </w:r>
          </w:p>
        </w:tc>
      </w:tr>
      <w:tr>
        <w:tc>
          <w:tcPr>
            <w:tcW w:type="dxa" w:w="890"/>
          </w:tcPr>
          <w:p>
            <w:r>
              <w:rPr/>
              <w:t>5</w:t>
            </w:r>
          </w:p>
        </w:tc>
        <w:tc>
          <w:tcPr>
            <w:tcW w:type="dxa" w:w="3178"/>
          </w:tcPr>
          <w:p>
            <w:r>
              <w:rPr/>
              <w:t>磋商无效响应情况</w:t>
            </w:r>
          </w:p>
        </w:tc>
        <w:tc>
          <w:tcPr>
            <w:tcW w:type="dxa" w:w="4238"/>
          </w:tcPr>
          <w:p>
            <w:r>
              <w:rPr/>
              <w:t>响应文件无采购人不能接受的附加条件的；无法律、法规和竞争性磋商文件规定的其他无效情形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采购包1(广东省北江监狱2023-2024年度日常维修服务项目):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商务部分34.0分</w:t>
            </w:r>
          </w:p>
          <w:p>
            <w:r>
              <w:rPr/>
              <w:t>技术部分46.0分</w:t>
            </w:r>
          </w:p>
          <w:p>
            <w:r>
              <w:rPr/>
              <w:t>报价得分20.0分</w:t>
            </w:r>
          </w:p>
        </w:tc>
      </w:tr>
      <w:tr>
        <w:tc>
          <w:tcPr>
            <w:tcW w:type="dxa" w:w="922"/>
            <w:gridSpan w:val="2"/>
            <w:vMerge w:val="restart"/>
          </w:tcPr>
          <w:p>
            <w:pPr>
              <w:jc w:val="center"/>
            </w:pPr>
            <w:r>
              <w:rPr/>
              <w:t>技术部分</w:t>
            </w:r>
          </w:p>
        </w:tc>
        <w:tc>
          <w:tcPr>
            <w:tcW w:type="dxa" w:w="2307"/>
          </w:tcPr>
          <w:p>
            <w:pPr>
              <w:jc w:val="left"/>
            </w:pPr>
            <w:r>
              <w:rPr/>
              <w:t>项目负责人情况 (6.0分)</w:t>
            </w:r>
            <w:r>
              <w:rPr/>
              <w:t>，（等次分值选择：</w:t>
            </w:r>
            <w:r>
              <w:rPr/>
              <w:t>0.0;</w:t>
            </w:r>
            <w:r>
              <w:rPr/>
              <w:t>2.0;</w:t>
            </w:r>
            <w:r>
              <w:rPr/>
              <w:t>4.0;</w:t>
            </w:r>
            <w:r>
              <w:rPr/>
              <w:t>6.0;</w:t>
            </w:r>
            <w:r>
              <w:rPr/>
              <w:t>）</w:t>
            </w:r>
          </w:p>
        </w:tc>
        <w:tc>
          <w:tcPr>
            <w:tcW w:type="dxa" w:w="5076"/>
          </w:tcPr>
          <w:p>
            <w:pPr>
              <w:jc w:val="left"/>
            </w:pPr>
            <w:r>
              <w:rPr/>
              <w:t>拟投入本项目的负责人具有同类相关维修服务经验，每有一年经验得2分，最高得6分；   注：提供项目负责人的履历表（曾在不同单位任职的，年限可累加）及磋商截止前三个月任意一个月的社保缴费证明，否则不得分。</w:t>
            </w:r>
          </w:p>
        </w:tc>
      </w:tr>
      <w:tr>
        <w:tc>
          <w:tcPr>
            <w:tcW w:type="dxa" w:w="922"/>
            <w:gridSpan w:val="2"/>
            <w:vMerge/>
          </w:tcPr>
          <w:p/>
        </w:tc>
        <w:tc>
          <w:tcPr>
            <w:tcW w:type="dxa" w:w="2307"/>
          </w:tcPr>
          <w:p>
            <w:pPr>
              <w:jc w:val="left"/>
            </w:pPr>
            <w:r>
              <w:rPr/>
              <w:t>项目维修实施方案 (10.0分)</w:t>
            </w:r>
            <w:r>
              <w:rPr/>
              <w:t>，（等次分值选择：</w:t>
            </w:r>
            <w:r>
              <w:rPr/>
              <w:t>0.0;</w:t>
            </w:r>
            <w:r>
              <w:rPr/>
              <w:t>1.0;</w:t>
            </w:r>
            <w:r>
              <w:rPr/>
              <w:t>4.0;</w:t>
            </w:r>
            <w:r>
              <w:rPr/>
              <w:t>7.0;</w:t>
            </w:r>
            <w:r>
              <w:rPr/>
              <w:t>10.0;</w:t>
            </w:r>
            <w:r>
              <w:rPr/>
              <w:t>）</w:t>
            </w:r>
          </w:p>
        </w:tc>
        <w:tc>
          <w:tcPr>
            <w:tcW w:type="dxa" w:w="5076"/>
          </w:tcPr>
          <w:p>
            <w:pPr>
              <w:jc w:val="left"/>
            </w:pPr>
            <w:r>
              <w:rPr/>
              <w:t>根据供应商所提供的项目维修实施方案(包括但不限于服务维修计划、服务维修过程和具体实施措施等)进行评审： 1、项目实施方案详尽、服务维修计划详尽、服务维修过程重点难点清晰，具体实施措施可行性高的，得10分； 2、项目实施方案较详细、服务维修计划较详细、有服务维修过程重点难点、具体实施措施可行性较高的，得7分； 3、项目实施方案简单，服务维修计划较简单、具体维修实施措施可行性一般的，得4分； 4、有项目实施方案，有服务维修计划、具体维修实施措施可行性较差的，得1分； 5、未提供对应方案不得分。</w:t>
            </w:r>
          </w:p>
        </w:tc>
      </w:tr>
      <w:tr>
        <w:tc>
          <w:tcPr>
            <w:tcW w:type="dxa" w:w="922"/>
            <w:gridSpan w:val="2"/>
            <w:vMerge/>
          </w:tcPr>
          <w:p/>
        </w:tc>
        <w:tc>
          <w:tcPr>
            <w:tcW w:type="dxa" w:w="2307"/>
          </w:tcPr>
          <w:p>
            <w:pPr>
              <w:jc w:val="left"/>
            </w:pPr>
            <w:r>
              <w:rPr/>
              <w:t>质量保证方案 (10.0分)</w:t>
            </w:r>
            <w:r>
              <w:rPr/>
              <w:t>，（等次分值选择：</w:t>
            </w:r>
            <w:r>
              <w:rPr/>
              <w:t>0.0;</w:t>
            </w:r>
            <w:r>
              <w:rPr/>
              <w:t>1.0;</w:t>
            </w:r>
            <w:r>
              <w:rPr/>
              <w:t>4.0;</w:t>
            </w:r>
            <w:r>
              <w:rPr/>
              <w:t>7.0;</w:t>
            </w:r>
            <w:r>
              <w:rPr/>
              <w:t>10.0;</w:t>
            </w:r>
            <w:r>
              <w:rPr/>
              <w:t>）</w:t>
            </w:r>
          </w:p>
        </w:tc>
        <w:tc>
          <w:tcPr>
            <w:tcW w:type="dxa" w:w="5076"/>
          </w:tcPr>
          <w:p>
            <w:pPr>
              <w:jc w:val="left"/>
            </w:pPr>
            <w:r>
              <w:rPr/>
              <w:t>根据供应商提供的质量保证方案（包含技术组织、工序控制、材料管理等）进行评审： 1、针对本项目所采取的质量保证方案全面详细，科学性、合理性、有效性、操作性强，得10分； 2、针对本项目所采取的质量保证方案完整具体，合理性、有效性、操作性较强，得7分； 3、针对本项目所采取的质量保证方案完整具体，合理性、有效性、操作性一般，得4分； 4、针对本项目所采取的质量保证方案不够完善，合理性、有效性、操作性较差，得1分； 5、不提供方案不得分。</w:t>
            </w:r>
          </w:p>
        </w:tc>
      </w:tr>
      <w:tr>
        <w:tc>
          <w:tcPr>
            <w:tcW w:type="dxa" w:w="922"/>
            <w:gridSpan w:val="2"/>
            <w:vMerge/>
          </w:tcPr>
          <w:p/>
        </w:tc>
        <w:tc>
          <w:tcPr>
            <w:tcW w:type="dxa" w:w="2307"/>
          </w:tcPr>
          <w:p>
            <w:pPr>
              <w:jc w:val="left"/>
            </w:pPr>
            <w:r>
              <w:rPr/>
              <w:t>安全保障方案 (10.0分)</w:t>
            </w:r>
            <w:r>
              <w:rPr/>
              <w:t>，（等次分值选择：</w:t>
            </w:r>
            <w:r>
              <w:rPr/>
              <w:t>0.0;</w:t>
            </w:r>
            <w:r>
              <w:rPr/>
              <w:t>1.0;</w:t>
            </w:r>
            <w:r>
              <w:rPr/>
              <w:t>4.0;</w:t>
            </w:r>
            <w:r>
              <w:rPr/>
              <w:t>7.0;</w:t>
            </w:r>
            <w:r>
              <w:rPr/>
              <w:t>10.0;</w:t>
            </w:r>
            <w:r>
              <w:rPr/>
              <w:t>）</w:t>
            </w:r>
          </w:p>
        </w:tc>
        <w:tc>
          <w:tcPr>
            <w:tcW w:type="dxa" w:w="5076"/>
          </w:tcPr>
          <w:p>
            <w:pPr>
              <w:jc w:val="left"/>
            </w:pPr>
            <w:r>
              <w:rPr/>
              <w:t>1、供应商提供的安全保障方案全面、具体、可行，能够制定严格的安全管理制度，应急预案实用性及可操作性很强，能够有效的保障项目的顺利进行，得10分； 2、供应商提供的安全保障方案较全面、较具体、较可行，能够制定较严格的安全管理制度，应急预案实用性及可操作性较强，能够的保障项目进行，得7分； 3、供应商提供的安全保障方案全面性、可行性一般，能够制定安全管理制度，应急预案实用性及可操作性一般，能够一定程度上保障项目的进行，得4分； 4、供应商提供的安全保障方案全面性、可行性较差，安全管理制度有缺失，应急预案的适用性、操作性和保障性较差或内容不完全，得1分； 5、其他或不提供不得分。</w:t>
            </w:r>
          </w:p>
        </w:tc>
      </w:tr>
      <w:tr>
        <w:tc>
          <w:tcPr>
            <w:tcW w:type="dxa" w:w="922"/>
            <w:gridSpan w:val="2"/>
            <w:vMerge/>
          </w:tcPr>
          <w:p/>
        </w:tc>
        <w:tc>
          <w:tcPr>
            <w:tcW w:type="dxa" w:w="2307"/>
          </w:tcPr>
          <w:p>
            <w:pPr>
              <w:jc w:val="left"/>
            </w:pPr>
            <w:r>
              <w:rPr/>
              <w:t>突发事件应急预案及保障方案 (10.0分)</w:t>
            </w:r>
            <w:r>
              <w:rPr/>
              <w:t>，（等次分值选择：</w:t>
            </w:r>
            <w:r>
              <w:rPr/>
              <w:t>0.0;</w:t>
            </w:r>
            <w:r>
              <w:rPr/>
              <w:t>1.0;</w:t>
            </w:r>
            <w:r>
              <w:rPr/>
              <w:t>4.0;</w:t>
            </w:r>
            <w:r>
              <w:rPr/>
              <w:t>7.0;</w:t>
            </w:r>
            <w:r>
              <w:rPr/>
              <w:t>10.0;</w:t>
            </w:r>
            <w:r>
              <w:rPr/>
              <w:t>）</w:t>
            </w:r>
          </w:p>
        </w:tc>
        <w:tc>
          <w:tcPr>
            <w:tcW w:type="dxa" w:w="5076"/>
          </w:tcPr>
          <w:p>
            <w:pPr>
              <w:jc w:val="left"/>
            </w:pPr>
            <w:r>
              <w:rPr/>
              <w:t>根据供应商提供的突发事件应急预案及保障方案（包括但不限于应对处理突发事件、应急保障措施等）进行评审： 1、应急预案及保障方案内容完整且能围绕本项目实际进行阐述，各项预案切实可行 ，保障能力较强且可操作程度高，得10分； 2、应急预案及保障方案内容完整，能关联本项目实际需要，各项预案均有可行性，应急保障能力较强，得7分；  3、应急预案及保障方案内容完整、与本项目实际关联度不高，能体现一定的应急保障能力，得4分；  4、应急预案及保障方案内容描述与本项目不相关，得1分； 5、其他或不提供不得分。</w:t>
            </w:r>
          </w:p>
        </w:tc>
      </w:tr>
      <w:tr>
        <w:tc>
          <w:tcPr>
            <w:tcW w:type="dxa" w:w="922"/>
            <w:gridSpan w:val="2"/>
            <w:vMerge w:val="restart"/>
          </w:tcPr>
          <w:p>
            <w:pPr>
              <w:jc w:val="center"/>
            </w:pPr>
            <w:r>
              <w:rPr/>
              <w:t>商务部分</w:t>
            </w:r>
          </w:p>
        </w:tc>
        <w:tc>
          <w:tcPr>
            <w:tcW w:type="dxa" w:w="2307"/>
          </w:tcPr>
          <w:p>
            <w:pPr>
              <w:jc w:val="left"/>
            </w:pPr>
            <w:r>
              <w:rPr/>
              <w:t>“其他商务需求”响应程度（18分） (18.0分)</w:t>
            </w:r>
          </w:p>
        </w:tc>
        <w:tc>
          <w:tcPr>
            <w:tcW w:type="dxa" w:w="5076"/>
          </w:tcPr>
          <w:p>
            <w:pPr>
              <w:jc w:val="left"/>
            </w:pPr>
            <w:r>
              <w:rPr/>
              <w:t>供应商对用户需求书中“其他商务需求”除“★”号实质性条款外，要求的响应完全满足或优于的得18分。每一项不满足的扣1.5分，扣完为止。 注：用户需求书中其他商务需求中明确要求提供证明资料的，以供应商提供的证明资料加盖供应商公章为准，其他商务需求没有明确要求提供证明资料的，则以供应商提供《商务偏离表》作为证明材料复印件加盖供应商公章，凡标有最低一级序号的指标项即为一项商务要求条款，无论是否隶属于上一级编号。</w:t>
            </w:r>
          </w:p>
        </w:tc>
      </w:tr>
      <w:tr>
        <w:tc>
          <w:tcPr>
            <w:tcW w:type="dxa" w:w="922"/>
            <w:gridSpan w:val="2"/>
            <w:vMerge/>
          </w:tcPr>
          <w:p/>
        </w:tc>
        <w:tc>
          <w:tcPr>
            <w:tcW w:type="dxa" w:w="2307"/>
          </w:tcPr>
          <w:p>
            <w:pPr>
              <w:jc w:val="left"/>
            </w:pPr>
            <w:r>
              <w:rPr/>
              <w:t>同类项目业绩  (6.0分)</w:t>
            </w:r>
          </w:p>
        </w:tc>
        <w:tc>
          <w:tcPr>
            <w:tcW w:type="dxa" w:w="5076"/>
          </w:tcPr>
          <w:p>
            <w:pPr>
              <w:jc w:val="left"/>
            </w:pPr>
            <w:r>
              <w:rPr/>
              <w:t>供应商自2020年9月1日以来承接的同类项目业绩情况，每提供1个得3分，最高得6分。  注：时间以合同签订日期为准，需提供上述同类业绩合同关键页（合同关键页包含但不限于合同首页、项目名称、签署页）的复印件并加盖公章作为证明材料。</w:t>
            </w:r>
          </w:p>
        </w:tc>
      </w:tr>
      <w:tr>
        <w:tc>
          <w:tcPr>
            <w:tcW w:type="dxa" w:w="922"/>
            <w:gridSpan w:val="2"/>
            <w:vMerge/>
          </w:tcPr>
          <w:p/>
        </w:tc>
        <w:tc>
          <w:tcPr>
            <w:tcW w:type="dxa" w:w="2307"/>
          </w:tcPr>
          <w:p>
            <w:pPr>
              <w:jc w:val="left"/>
            </w:pPr>
            <w:r>
              <w:rPr/>
              <w:t>企业认证 (3.0分)</w:t>
            </w:r>
            <w:r>
              <w:rPr/>
              <w:t>，（等次分值选择：</w:t>
            </w:r>
            <w:r>
              <w:rPr/>
              <w:t>0.0;</w:t>
            </w:r>
            <w:r>
              <w:rPr/>
              <w:t>1.0;</w:t>
            </w:r>
            <w:r>
              <w:rPr/>
              <w:t>2.0;</w:t>
            </w:r>
            <w:r>
              <w:rPr/>
              <w:t>3.0;</w:t>
            </w:r>
            <w:r>
              <w:rPr/>
              <w:t>）</w:t>
            </w:r>
          </w:p>
        </w:tc>
        <w:tc>
          <w:tcPr>
            <w:tcW w:type="dxa" w:w="5076"/>
          </w:tcPr>
          <w:p>
            <w:pPr>
              <w:jc w:val="left"/>
            </w:pPr>
            <w:r>
              <w:rPr/>
              <w:t>供应商具有质量管理体系认证证书，得1分；具有环境管理体系认证证书，得1分；具有职业健康安全管理体系认证证书，得1分。此项最高的3分。 注：提供以上证书复印件及全国认证认可信息公共服务平台（http://cx.cnca.cn/CertECloud/index/index/page）查询结果为有效的结果截图，不提供或资料提供不齐全不得分。</w:t>
            </w:r>
          </w:p>
        </w:tc>
      </w:tr>
      <w:tr>
        <w:tc>
          <w:tcPr>
            <w:tcW w:type="dxa" w:w="922"/>
            <w:gridSpan w:val="2"/>
            <w:vMerge/>
          </w:tcPr>
          <w:p/>
        </w:tc>
        <w:tc>
          <w:tcPr>
            <w:tcW w:type="dxa" w:w="2307"/>
          </w:tcPr>
          <w:p>
            <w:pPr>
              <w:jc w:val="left"/>
            </w:pPr>
            <w:r>
              <w:rPr/>
              <w:t>服务便利性 (7.0分)</w:t>
            </w:r>
            <w:r>
              <w:rPr/>
              <w:t>，（等次分值选择：</w:t>
            </w:r>
            <w:r>
              <w:rPr/>
              <w:t>0.0;</w:t>
            </w:r>
            <w:r>
              <w:rPr/>
              <w:t>1.0;</w:t>
            </w:r>
            <w:r>
              <w:rPr/>
              <w:t>4.0;</w:t>
            </w:r>
            <w:r>
              <w:rPr/>
              <w:t>7.0;</w:t>
            </w:r>
            <w:r>
              <w:rPr/>
              <w:t>）</w:t>
            </w:r>
          </w:p>
        </w:tc>
        <w:tc>
          <w:tcPr>
            <w:tcW w:type="dxa" w:w="5076"/>
          </w:tcPr>
          <w:p>
            <w:pPr>
              <w:jc w:val="left"/>
            </w:pPr>
            <w:r>
              <w:rPr/>
              <w:t>1、供应商全天24小时响应，承诺在采购人提出服务要求30分钟内（含）响应并派服务人员赶到现场提供服务的，得7分；  2、供应商全天24小时响应，供应商承诺在采购人提出服务要求后40分钟（含）响应并派服务人员赶到现场提供服务的，得4分；  3、供应商全天24小时响应，承诺在采购人提出服务要求后60分钟（含）响应并派服务人员赶到现场提供服务的，得1分。  4、不提供不得分。 注：提供相关承诺函（格式自拟）加盖供应商公章；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ind w:firstLine="422"/>
        <w:jc w:val="both"/>
      </w:pPr>
      <w:r>
        <w:rPr>
          <w:b/>
          <w:sz w:val="21"/>
        </w:rPr>
        <w:t>甲</w:t>
      </w:r>
      <w:r>
        <w:rPr>
          <w:b/>
          <w:sz w:val="21"/>
        </w:rPr>
        <w:t xml:space="preserve">   </w:t>
      </w:r>
      <w:r>
        <w:rPr>
          <w:b/>
          <w:sz w:val="21"/>
        </w:rPr>
        <w:t>方：</w:t>
      </w:r>
      <w:r>
        <w:rPr>
          <w:b/>
          <w:sz w:val="21"/>
          <w:u w:val="single"/>
        </w:rPr>
        <w:t xml:space="preserve">                   </w:t>
      </w:r>
    </w:p>
    <w:p>
      <w:pPr>
        <w:ind w:firstLine="422"/>
        <w:jc w:val="left"/>
      </w:pPr>
      <w:r>
        <w:rPr>
          <w:b/>
          <w:sz w:val="21"/>
        </w:rPr>
        <w:t>乙</w:t>
      </w:r>
      <w:r>
        <w:rPr>
          <w:b/>
          <w:sz w:val="21"/>
        </w:rPr>
        <w:t xml:space="preserve">   </w:t>
      </w:r>
      <w:r>
        <w:rPr>
          <w:b/>
          <w:sz w:val="21"/>
        </w:rPr>
        <w:t>方：</w:t>
      </w:r>
      <w:r>
        <w:rPr>
          <w:b/>
          <w:sz w:val="21"/>
          <w:u w:val="single"/>
        </w:rPr>
        <w:t xml:space="preserve">                    </w:t>
      </w:r>
      <w:r>
        <w:br/>
      </w:r>
      <w:r>
        <w:rPr>
          <w:sz w:val="21"/>
        </w:rPr>
        <w:t>根据（</w:t>
      </w:r>
      <w:r>
        <w:rPr>
          <w:sz w:val="21"/>
        </w:rPr>
        <w:t>广东省北江监狱</w:t>
      </w:r>
      <w:r>
        <w:rPr>
          <w:sz w:val="21"/>
        </w:rPr>
        <w:t>2023-2024年度日常维修服务项目（二次）</w:t>
      </w:r>
      <w:r>
        <w:rPr>
          <w:sz w:val="21"/>
        </w:rPr>
        <w:t>）的采购结果，按照</w:t>
      </w:r>
      <w:r>
        <w:rPr>
          <w:sz w:val="21"/>
        </w:rPr>
        <w:t>按照《中华人民共和国政府采购法》</w:t>
      </w:r>
      <w:r>
        <w:rPr>
          <w:sz w:val="21"/>
        </w:rPr>
        <w:t>《中华人民共和国民法典》（合同编）的规定，经双方协商，本着平等互利和诚实信用的原则，一致同意签订本合同如下。</w:t>
      </w:r>
    </w:p>
    <w:p>
      <w:pPr>
        <w:jc w:val="both"/>
      </w:pPr>
      <w:r>
        <w:rPr>
          <w:b/>
          <w:sz w:val="24"/>
        </w:rPr>
        <w:t>一、合同金额</w:t>
      </w:r>
    </w:p>
    <w:p>
      <w:pPr>
        <w:ind w:firstLine="420"/>
        <w:jc w:val="left"/>
      </w:pPr>
      <w:r>
        <w:rPr>
          <w:sz w:val="21"/>
        </w:rPr>
        <w:t>成交下浮率（大写）：百分之</w:t>
      </w:r>
      <w:r>
        <w:rPr>
          <w:sz w:val="24"/>
          <w:u w:val="single"/>
        </w:rPr>
        <w:t xml:space="preserve">               </w:t>
      </w:r>
      <w:r>
        <w:rPr>
          <w:sz w:val="21"/>
        </w:rPr>
        <w:t>（小写：</w:t>
      </w:r>
      <w:r>
        <w:rPr>
          <w:sz w:val="24"/>
          <w:u w:val="single"/>
        </w:rPr>
        <w:t xml:space="preserve">               </w:t>
      </w:r>
      <w:r>
        <w:rPr>
          <w:sz w:val="21"/>
        </w:rPr>
        <w:t>%）。</w:t>
      </w:r>
    </w:p>
    <w:p>
      <w:pPr>
        <w:jc w:val="both"/>
      </w:pPr>
      <w:r>
        <w:rPr>
          <w:b/>
          <w:sz w:val="24"/>
        </w:rPr>
        <w:t>二、服务内容</w:t>
      </w:r>
    </w:p>
    <w:p>
      <w:pPr>
        <w:ind w:firstLine="420"/>
        <w:jc w:val="both"/>
      </w:pPr>
      <w:r>
        <w:rPr>
          <w:sz w:val="21"/>
        </w:rPr>
        <w:t>乙方聘请乙方提供以下服务：</w:t>
      </w:r>
    </w:p>
    <w:p>
      <w:pPr>
        <w:ind w:firstLine="420"/>
        <w:jc w:val="both"/>
      </w:pPr>
      <w:r>
        <w:rPr>
          <w:sz w:val="21"/>
        </w:rPr>
        <w:t>1、本合同项下的服务指</w:t>
      </w:r>
      <w:r>
        <w:rPr>
          <w:sz w:val="21"/>
          <w:u w:val="single"/>
        </w:rPr>
        <w:t xml:space="preserve">                                     </w:t>
      </w:r>
      <w:r>
        <w:rPr>
          <w:sz w:val="21"/>
        </w:rPr>
        <w:t>。</w:t>
      </w:r>
    </w:p>
    <w:p>
      <w:pPr>
        <w:ind w:firstLine="420"/>
        <w:jc w:val="both"/>
      </w:pPr>
      <w:r>
        <w:rPr>
          <w:sz w:val="21"/>
        </w:rPr>
        <w:t>2、</w:t>
      </w:r>
      <w:r>
        <w:rPr>
          <w:sz w:val="21"/>
          <w:u w:val="single"/>
        </w:rPr>
        <w:t xml:space="preserve">                                                       </w:t>
      </w:r>
      <w:r>
        <w:rPr>
          <w:sz w:val="21"/>
        </w:rPr>
        <w:t>。</w:t>
      </w:r>
    </w:p>
    <w:p>
      <w:pPr>
        <w:ind w:firstLine="420"/>
        <w:jc w:val="both"/>
      </w:pPr>
      <w:r>
        <w:rPr>
          <w:sz w:val="21"/>
        </w:rPr>
        <w:t>3、</w:t>
      </w:r>
      <w:r>
        <w:rPr>
          <w:sz w:val="21"/>
          <w:u w:val="single"/>
        </w:rPr>
        <w:t xml:space="preserve">                                                       </w:t>
      </w:r>
      <w:r>
        <w:rPr>
          <w:sz w:val="21"/>
        </w:rPr>
        <w:t>。</w:t>
      </w:r>
    </w:p>
    <w:p>
      <w:pPr>
        <w:jc w:val="both"/>
      </w:pPr>
      <w:r>
        <w:rPr>
          <w:b/>
          <w:sz w:val="24"/>
        </w:rPr>
        <w:t>三、服务地点、</w:t>
      </w:r>
      <w:r>
        <w:rPr>
          <w:b/>
          <w:sz w:val="24"/>
        </w:rPr>
        <w:t>服务期限</w:t>
      </w:r>
    </w:p>
    <w:p>
      <w:pPr>
        <w:ind w:firstLine="420"/>
        <w:jc w:val="both"/>
      </w:pPr>
      <w:r>
        <w:rPr>
          <w:sz w:val="21"/>
        </w:rPr>
        <w:t>1、服务地点：广东省北江监狱。</w:t>
      </w:r>
    </w:p>
    <w:p>
      <w:pPr>
        <w:ind w:firstLine="420"/>
        <w:jc w:val="both"/>
      </w:pPr>
      <w:r>
        <w:rPr>
          <w:sz w:val="21"/>
        </w:rPr>
        <w:t>2、服务期限：服务期12个月或实际支付金额累计达到采购预算额度，若合同期满未达到采购预算金额，则按实结算。</w:t>
      </w:r>
    </w:p>
    <w:p>
      <w:pPr>
        <w:jc w:val="both"/>
      </w:pPr>
      <w:r>
        <w:rPr>
          <w:b/>
          <w:sz w:val="24"/>
        </w:rPr>
        <w:t>四、</w:t>
      </w:r>
      <w:r>
        <w:rPr>
          <w:b/>
          <w:sz w:val="24"/>
        </w:rPr>
        <w:t>项目服务要求</w:t>
      </w:r>
    </w:p>
    <w:p>
      <w:pPr>
        <w:ind w:firstLine="420"/>
        <w:jc w:val="both"/>
      </w:pPr>
      <w:r>
        <w:rPr>
          <w:sz w:val="21"/>
        </w:rPr>
        <w:t>1</w:t>
      </w:r>
      <w:r>
        <w:rPr>
          <w:sz w:val="21"/>
        </w:rPr>
        <w:t>、乙方应设有固定联系电话及指定联系人，及时响应甲方的各项要求；</w:t>
      </w:r>
    </w:p>
    <w:p>
      <w:pPr>
        <w:ind w:firstLine="420"/>
        <w:jc w:val="left"/>
      </w:pPr>
      <w:r>
        <w:rPr>
          <w:sz w:val="21"/>
        </w:rPr>
        <w:t>联系方式：</w:t>
      </w:r>
      <w:r>
        <w:rPr>
          <w:sz w:val="21"/>
          <w:u w:val="single"/>
        </w:rPr>
        <w:t xml:space="preserve">                   </w:t>
      </w:r>
    </w:p>
    <w:p>
      <w:pPr>
        <w:ind w:firstLine="420"/>
        <w:jc w:val="both"/>
      </w:pPr>
      <w:r>
        <w:rPr>
          <w:sz w:val="21"/>
        </w:rPr>
        <w:t>2、乙方在服务期限内必须保持    名固定的55岁以下成年健康男性维修人员，其中至少包含两名维修人员具有特种作业操作证（低压电工作业</w:t>
      </w:r>
      <w:r>
        <w:rPr>
          <w:sz w:val="21"/>
          <w:u w:val="single"/>
        </w:rPr>
        <w:t xml:space="preserve">     </w:t>
      </w:r>
      <w:r>
        <w:rPr>
          <w:sz w:val="21"/>
        </w:rPr>
        <w:t>名），以应对机电相关维修和紧急任务，提供固定人员名单，并办理好长期监管区出入证及工具进出审批。</w:t>
      </w:r>
    </w:p>
    <w:p>
      <w:pPr>
        <w:ind w:firstLine="420"/>
        <w:jc w:val="both"/>
      </w:pPr>
      <w:r>
        <w:rPr>
          <w:sz w:val="21"/>
        </w:rPr>
        <w:t>3、乙方维修人员统一着装，佩戴工牌，举止文明礼貌，夜间作业应穿反光安全服；</w:t>
      </w:r>
    </w:p>
    <w:p>
      <w:pPr>
        <w:ind w:firstLine="420"/>
        <w:jc w:val="both"/>
      </w:pPr>
      <w:r>
        <w:rPr>
          <w:sz w:val="21"/>
        </w:rPr>
        <w:t>4、乙方应详实登记零星维修台账，并与甲方的报修人、维修部门、归口部门和技术部门（如有参与）签名确认；</w:t>
      </w:r>
    </w:p>
    <w:p>
      <w:pPr>
        <w:ind w:firstLine="420"/>
        <w:jc w:val="both"/>
      </w:pPr>
      <w:r>
        <w:rPr>
          <w:sz w:val="21"/>
        </w:rPr>
        <w:t>5、乙方违反以下规定的，甲方有权扣罚履约保证金，情节严重的，中止服务合同并将企业列入甲方采购黑名单；</w:t>
      </w:r>
    </w:p>
    <w:p>
      <w:pPr>
        <w:ind w:firstLine="420"/>
        <w:jc w:val="both"/>
      </w:pPr>
      <w:r>
        <w:rPr>
          <w:sz w:val="21"/>
        </w:rPr>
        <w:t>（</w:t>
      </w:r>
      <w:r>
        <w:rPr>
          <w:sz w:val="21"/>
        </w:rPr>
        <w:t>1）乙方不得拒绝维修安排，维修人员必须在服务期间全天24小时通讯畅通，随时待命，接到维修通知后必须在</w:t>
      </w:r>
      <w:r>
        <w:rPr>
          <w:sz w:val="21"/>
          <w:u w:val="single"/>
        </w:rPr>
        <w:t xml:space="preserve"> </w:t>
      </w:r>
      <w:r>
        <w:rPr>
          <w:sz w:val="21"/>
          <w:u w:val="single"/>
        </w:rPr>
        <w:t xml:space="preserve">     </w:t>
      </w:r>
      <w:r>
        <w:rPr>
          <w:sz w:val="21"/>
        </w:rPr>
        <w:t>内赶到处置现场；</w:t>
      </w:r>
    </w:p>
    <w:p>
      <w:pPr>
        <w:ind w:firstLine="420"/>
        <w:jc w:val="both"/>
      </w:pPr>
      <w:r>
        <w:rPr>
          <w:sz w:val="21"/>
        </w:rPr>
        <w:t>（</w:t>
      </w:r>
      <w:r>
        <w:rPr>
          <w:sz w:val="21"/>
        </w:rPr>
        <w:t>2）乙方必须遵守甲方相关制度和管理规定，维修过程接受甲方相关部门的监督、检查、纠正，接受对违规行为的处理决定；</w:t>
      </w:r>
    </w:p>
    <w:p>
      <w:pPr>
        <w:ind w:firstLine="420"/>
        <w:jc w:val="both"/>
      </w:pPr>
      <w:r>
        <w:rPr>
          <w:sz w:val="21"/>
        </w:rPr>
        <w:t>（</w:t>
      </w:r>
      <w:r>
        <w:rPr>
          <w:sz w:val="21"/>
        </w:rPr>
        <w:t>3）维修人员不得损坏与维修内容无关的设施、设备及物品，若有损坏，必须无偿修复、更换；</w:t>
      </w:r>
    </w:p>
    <w:p>
      <w:pPr>
        <w:ind w:firstLine="420"/>
        <w:jc w:val="both"/>
      </w:pPr>
      <w:r>
        <w:rPr>
          <w:sz w:val="21"/>
        </w:rPr>
        <w:t>（</w:t>
      </w:r>
      <w:r>
        <w:rPr>
          <w:sz w:val="21"/>
        </w:rPr>
        <w:t>4）乙方必须接受甲方对维修用工和材料数量的认定，接受维修费用结算审核结论；</w:t>
      </w:r>
    </w:p>
    <w:p>
      <w:pPr>
        <w:ind w:firstLine="420"/>
        <w:jc w:val="both"/>
      </w:pPr>
      <w:r>
        <w:rPr>
          <w:sz w:val="21"/>
        </w:rPr>
        <w:t>6、乙方应对维修人员的人身安全及财产负全部责任。根据有关要求需对人员购买商业保险，建立健全安全生产管理制度等；</w:t>
      </w:r>
    </w:p>
    <w:p>
      <w:pPr>
        <w:ind w:firstLine="420"/>
        <w:jc w:val="both"/>
      </w:pPr>
      <w:r>
        <w:rPr>
          <w:sz w:val="21"/>
        </w:rPr>
        <w:t>7、乙方必须按照甲方的要求配合甲方做好采购货物的索证索票工作；</w:t>
      </w:r>
    </w:p>
    <w:p>
      <w:pPr>
        <w:ind w:firstLine="420"/>
        <w:jc w:val="both"/>
      </w:pPr>
      <w:r>
        <w:rPr>
          <w:sz w:val="21"/>
        </w:rPr>
        <w:t>8、乙方应按安全施工的要求，严格落实科学的安全措施，确保施工安全和第三者的安全，承担由于自身安全措施不力造成事故责任和发生的费用；</w:t>
      </w:r>
    </w:p>
    <w:p>
      <w:pPr>
        <w:ind w:firstLine="420"/>
        <w:jc w:val="both"/>
      </w:pPr>
      <w:r>
        <w:rPr>
          <w:sz w:val="21"/>
        </w:rPr>
        <w:t>9、乙方应对施工人员的人身安全</w:t>
      </w:r>
      <w:r>
        <w:rPr>
          <w:sz w:val="21"/>
        </w:rPr>
        <w:t>及财产负全部责任，按有关要求购买意外伤害保险，建立健全安全生产管理制度等。</w:t>
      </w:r>
    </w:p>
    <w:p>
      <w:pPr>
        <w:jc w:val="both"/>
      </w:pPr>
      <w:r>
        <w:rPr>
          <w:b/>
          <w:sz w:val="21"/>
        </w:rPr>
        <w:t>五、</w:t>
      </w:r>
      <w:r>
        <w:rPr>
          <w:b/>
          <w:sz w:val="21"/>
        </w:rPr>
        <w:t>详见附件：</w:t>
      </w:r>
      <w:r>
        <w:rPr>
          <w:b/>
          <w:sz w:val="21"/>
        </w:rPr>
        <w:t>《</w:t>
      </w:r>
      <w:r>
        <w:rPr>
          <w:b/>
          <w:sz w:val="21"/>
        </w:rPr>
        <w:t>日常维修材料清单》、</w:t>
      </w:r>
      <w:r>
        <w:rPr>
          <w:b/>
          <w:sz w:val="21"/>
        </w:rPr>
        <w:t>《</w:t>
      </w:r>
      <w:r>
        <w:rPr>
          <w:b/>
          <w:sz w:val="21"/>
        </w:rPr>
        <w:t>水电日常维修材料清单</w:t>
      </w:r>
      <w:r>
        <w:rPr>
          <w:b/>
          <w:sz w:val="21"/>
        </w:rPr>
        <w:t>》</w:t>
      </w:r>
    </w:p>
    <w:p>
      <w:pPr>
        <w:jc w:val="both"/>
      </w:pPr>
      <w:r>
        <w:rPr>
          <w:b/>
          <w:sz w:val="21"/>
        </w:rPr>
        <w:t>六、履约验收考核</w:t>
      </w:r>
    </w:p>
    <w:p>
      <w:pPr>
        <w:ind w:firstLine="420"/>
        <w:jc w:val="left"/>
      </w:pPr>
      <w:r>
        <w:rPr>
          <w:sz w:val="21"/>
        </w:rPr>
        <w:t>1、根据甲方提出的月度考核标准实施考核。本部分详见：日常维修服务监督管理考核表。</w:t>
      </w:r>
    </w:p>
    <w:p>
      <w:pPr>
        <w:ind w:firstLine="420"/>
        <w:jc w:val="left"/>
      </w:pPr>
      <w:r>
        <w:rPr>
          <w:sz w:val="21"/>
        </w:rPr>
        <w:t>2、甲方将根据考核情况支付合同月结款：采用100分制，当月考核分数达到90分如上（含本数），视为考核结果“合格”，按月结费用的 100% 支付当期款项；如乙方考核分数达到 80（含本数）—89分的，视为考核结果“基本合格”，除限期整改外，甲方按月结费用的95%支付当期款项， 并启动整改机制；考核分数未达到考核分数达到70（含本数）—79分的，视为考核结果“不合格”，除限期整改外，甲方按月结费用的90%支付当期款项，出现 2 次“基本合格”，或出现 1次“不合格”仍未能有效整改的，甲方将根据合同约定解除合同。出现其他违法违规情形的，将按规定上报相关主管部门处理。</w:t>
      </w:r>
    </w:p>
    <w:p>
      <w:pPr>
        <w:jc w:val="center"/>
      </w:pPr>
      <w:r>
        <w:rPr>
          <w:b/>
          <w:sz w:val="21"/>
        </w:rPr>
        <w:t>日常维修服务监督管理考核表</w:t>
      </w:r>
    </w:p>
    <w:p>
      <w:pPr>
        <w:jc w:val="both"/>
      </w:pPr>
      <w:r>
        <w:rPr>
          <w:sz w:val="21"/>
        </w:rPr>
        <w:t>被考核服务商：</w:t>
      </w:r>
      <w:r>
        <w:rPr>
          <w:sz w:val="21"/>
        </w:rPr>
        <w:t xml:space="preserve">                     </w:t>
      </w:r>
      <w:r>
        <w:rPr>
          <w:sz w:val="21"/>
        </w:rPr>
        <w:t>考核时间：</w:t>
      </w:r>
    </w:p>
    <w:tbl>
      <w:tblPr>
        <w:tblW w:w="0" w:type="auto"/>
        <w:tblBorders>
          <w:top w:val="none" w:color="000000" w:sz="4"/>
          <w:left w:val="none" w:color="000000" w:sz="4"/>
          <w:bottom w:val="none" w:color="000000" w:sz="4"/>
          <w:right w:val="none" w:color="000000" w:sz="4"/>
          <w:insideH w:val="none"/>
          <w:insideV w:val="none"/>
        </w:tblBorders>
      </w:tblPr>
      <w:tblGrid>
        <w:gridCol w:w="1040"/>
        <w:gridCol w:w="3574"/>
        <w:gridCol w:w="629"/>
        <w:gridCol w:w="966"/>
        <w:gridCol w:w="703"/>
        <w:gridCol w:w="732"/>
        <w:gridCol w:w="615"/>
      </w:tblGrid>
      <w:tr>
        <w:tc>
          <w:tcPr>
            <w:tcW w:type="dxa" w:w="1040"/>
            <w:vMerge w:val="restart"/>
            <w:tcBorders>
              <w:top w:val="single" w:color="000000" w:sz="4"/>
              <w:left w:val="single" w:color="000000" w:sz="4"/>
              <w:bottom w:val="single" w:color="000000" w:sz="4"/>
              <w:right w:val="single" w:color="000000" w:sz="4"/>
            </w:tcBorders>
            <w:vAlign w:val="top"/>
          </w:tcPr>
          <w:p>
            <w:pPr>
              <w:jc w:val="center"/>
            </w:pPr>
            <w:r>
              <w:rPr>
                <w:sz w:val="21"/>
              </w:rPr>
              <w:t>类别</w:t>
            </w:r>
          </w:p>
        </w:tc>
        <w:tc>
          <w:tcPr>
            <w:tcW w:type="dxa" w:w="3574"/>
            <w:vMerge w:val="restart"/>
            <w:tcBorders>
              <w:top w:val="single" w:color="000000" w:sz="4"/>
              <w:left w:val="single" w:color="000000" w:sz="4"/>
              <w:bottom w:val="single" w:color="000000" w:sz="4"/>
              <w:right w:val="single" w:color="000000" w:sz="4"/>
            </w:tcBorders>
            <w:vAlign w:val="top"/>
          </w:tcPr>
          <w:p>
            <w:pPr>
              <w:jc w:val="center"/>
            </w:pPr>
            <w:r>
              <w:rPr>
                <w:sz w:val="21"/>
              </w:rPr>
              <w:t>项目</w:t>
            </w:r>
          </w:p>
        </w:tc>
        <w:tc>
          <w:tcPr>
            <w:tcW w:type="dxa" w:w="2298"/>
            <w:gridSpan w:val="3"/>
            <w:tcBorders>
              <w:top w:val="single" w:color="000000" w:sz="4"/>
              <w:left w:val="single" w:color="000000" w:sz="4"/>
              <w:bottom w:val="single" w:color="000000" w:sz="4"/>
              <w:right w:val="single" w:color="000000" w:sz="4"/>
            </w:tcBorders>
            <w:vAlign w:val="top"/>
          </w:tcPr>
          <w:p>
            <w:pPr>
              <w:jc w:val="center"/>
            </w:pPr>
            <w:r>
              <w:rPr>
                <w:sz w:val="21"/>
              </w:rPr>
              <w:t>检查情况</w:t>
            </w:r>
          </w:p>
        </w:tc>
        <w:tc>
          <w:tcPr>
            <w:tcW w:type="dxa" w:w="732"/>
            <w:vMerge w:val="restart"/>
            <w:tcBorders>
              <w:top w:val="single" w:color="000000" w:sz="4"/>
              <w:left w:val="single" w:color="000000" w:sz="4"/>
              <w:bottom w:val="single" w:color="000000" w:sz="4"/>
              <w:right w:val="single" w:color="000000" w:sz="4"/>
            </w:tcBorders>
            <w:vAlign w:val="top"/>
          </w:tcPr>
          <w:p>
            <w:pPr>
              <w:jc w:val="center"/>
            </w:pPr>
            <w:r>
              <w:rPr>
                <w:sz w:val="21"/>
              </w:rPr>
              <w:t>整改情况</w:t>
            </w:r>
          </w:p>
        </w:tc>
        <w:tc>
          <w:tcPr>
            <w:tcW w:type="dxa" w:w="615"/>
            <w:vMerge w:val="restart"/>
            <w:tcBorders>
              <w:top w:val="single" w:color="000000" w:sz="4"/>
              <w:left w:val="single" w:color="000000" w:sz="4"/>
              <w:bottom w:val="single" w:color="000000" w:sz="4"/>
              <w:right w:val="single" w:color="000000" w:sz="4"/>
            </w:tcBorders>
            <w:vAlign w:val="top"/>
          </w:tcPr>
          <w:p>
            <w:pPr>
              <w:jc w:val="center"/>
            </w:pPr>
            <w:r>
              <w:rPr>
                <w:sz w:val="21"/>
              </w:rPr>
              <w:t>备注</w:t>
            </w:r>
          </w:p>
        </w:tc>
      </w:tr>
      <w:tr>
        <w:tc>
          <w:tcPr>
            <w:tcW w:type="dxa" w:w="1040"/>
            <w:vMerge/>
            <w:tcBorders>
              <w:top w:val="single" w:color="000000" w:sz="4"/>
              <w:left w:val="single" w:color="000000" w:sz="4"/>
              <w:bottom w:val="single" w:color="000000" w:sz="4"/>
              <w:right w:val="single" w:color="000000" w:sz="4"/>
            </w:tcBorders>
          </w:tcPr>
          <w:p/>
        </w:tc>
        <w:tc>
          <w:tcPr>
            <w:tcW w:type="dxa" w:w="3574"/>
            <w:vMerge/>
            <w:tcBorders>
              <w:top w:val="single" w:color="000000" w:sz="4"/>
              <w:left w:val="single" w:color="000000" w:sz="4"/>
              <w:bottom w:val="single" w:color="000000" w:sz="4"/>
              <w:right w:val="single" w:color="000000" w:sz="4"/>
            </w:tcBorders>
          </w:tcPr>
          <w:p/>
        </w:tc>
        <w:tc>
          <w:tcPr>
            <w:tcW w:type="dxa" w:w="629"/>
            <w:tcBorders>
              <w:top w:val="none" w:color="000000" w:sz="4"/>
              <w:left w:val="single" w:color="000000" w:sz="4"/>
              <w:bottom w:val="single" w:color="000000" w:sz="4"/>
              <w:right w:val="single" w:color="000000" w:sz="4"/>
            </w:tcBorders>
            <w:vAlign w:val="top"/>
          </w:tcPr>
          <w:p>
            <w:pPr>
              <w:jc w:val="center"/>
            </w:pPr>
            <w:r>
              <w:rPr>
                <w:sz w:val="21"/>
              </w:rPr>
              <w:t>发现问题次数</w:t>
            </w:r>
          </w:p>
        </w:tc>
        <w:tc>
          <w:tcPr>
            <w:tcW w:type="dxa" w:w="966"/>
            <w:tcBorders>
              <w:top w:val="none" w:color="000000" w:sz="4"/>
              <w:left w:val="single" w:color="000000" w:sz="4"/>
              <w:bottom w:val="single" w:color="000000" w:sz="4"/>
              <w:right w:val="single" w:color="000000" w:sz="4"/>
            </w:tcBorders>
            <w:vAlign w:val="top"/>
          </w:tcPr>
          <w:p>
            <w:pPr>
              <w:jc w:val="center"/>
            </w:pPr>
            <w:r>
              <w:rPr>
                <w:sz w:val="21"/>
              </w:rPr>
              <w:t>发现问题人员签名</w:t>
            </w:r>
          </w:p>
        </w:tc>
        <w:tc>
          <w:tcPr>
            <w:tcW w:type="dxa" w:w="703"/>
            <w:tcBorders>
              <w:top w:val="none" w:color="000000" w:sz="4"/>
              <w:left w:val="single" w:color="000000" w:sz="4"/>
              <w:bottom w:val="single" w:color="000000" w:sz="4"/>
              <w:right w:val="single" w:color="000000" w:sz="4"/>
            </w:tcBorders>
            <w:vAlign w:val="top"/>
          </w:tcPr>
          <w:p>
            <w:pPr>
              <w:jc w:val="both"/>
            </w:pPr>
            <w:r>
              <w:rPr>
                <w:sz w:val="21"/>
              </w:rPr>
              <w:t>扣分情况</w:t>
            </w:r>
          </w:p>
        </w:tc>
      </w:tr>
      <w:tr>
        <w:tc>
          <w:tcPr>
            <w:tcW w:type="dxa" w:w="1040"/>
            <w:vMerge w:val="restart"/>
            <w:tcBorders>
              <w:top w:val="none" w:color="000000" w:sz="4"/>
              <w:left w:val="single" w:color="000000" w:sz="4"/>
              <w:bottom w:val="single" w:color="000000" w:sz="4"/>
              <w:right w:val="single" w:color="000000" w:sz="4"/>
            </w:tcBorders>
            <w:vAlign w:val="top"/>
          </w:tcPr>
          <w:p>
            <w:pPr>
              <w:jc w:val="center"/>
            </w:pPr>
            <w:r>
              <w:rPr>
                <w:sz w:val="21"/>
              </w:rPr>
              <w:t>日常维修</w:t>
            </w:r>
          </w:p>
        </w:tc>
        <w:tc>
          <w:tcPr>
            <w:tcW w:type="dxa" w:w="3574"/>
            <w:tcBorders>
              <w:top w:val="none" w:color="000000" w:sz="4"/>
              <w:left w:val="single" w:color="000000" w:sz="4"/>
              <w:bottom w:val="single" w:color="000000" w:sz="4"/>
              <w:right w:val="single" w:color="000000" w:sz="4"/>
            </w:tcBorders>
            <w:vAlign w:val="top"/>
          </w:tcPr>
          <w:p>
            <w:pPr>
              <w:jc w:val="both"/>
            </w:pPr>
            <w:r>
              <w:rPr>
                <w:sz w:val="21"/>
              </w:rPr>
              <w:t>1.服务商对归口部门下发的维修任务未制定维修措施、维修时间，超维修时间未完成维修的，每次扣2分。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2.维修人员损坏与维修内容无关的设施、设备及物品，每次扣2-5分。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3.服务商维修人员收到归口部门的维修通知后，未在规定时间内的到达处置现场的，每次扣2分。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4.服务商维修人员未按规定统一着装、佩戴工牌，在监管区内不听从带班民警指挥、擅自走动的，每次扣2-5分。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5.服务商拒绝归口部门合同规定内的维修安排，每次扣10分。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6.按未按规定</w:t>
            </w:r>
            <w:r>
              <w:rPr>
                <w:sz w:val="21"/>
              </w:rPr>
              <w:t>每月</w:t>
            </w:r>
            <w:r>
              <w:rPr>
                <w:sz w:val="21"/>
              </w:rPr>
              <w:t>20日前须上报上月维修费用予各归口部门进行结算，每次扣2-5分。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7.服务商维修安排人员不足，拒不改正的，每次扣2分。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vMerge/>
            <w:tcBorders>
              <w:top w:val="none" w:color="000000" w:sz="4"/>
              <w:left w:val="single" w:color="000000" w:sz="4"/>
              <w:bottom w:val="single" w:color="000000" w:sz="4"/>
              <w:right w:val="single" w:color="000000" w:sz="4"/>
            </w:tcBorders>
          </w:tcPr>
          <w:p/>
        </w:tc>
        <w:tc>
          <w:tcPr>
            <w:tcW w:type="dxa" w:w="3574"/>
            <w:tcBorders>
              <w:top w:val="none" w:color="000000" w:sz="4"/>
              <w:left w:val="single" w:color="000000" w:sz="4"/>
              <w:bottom w:val="single" w:color="000000" w:sz="4"/>
              <w:right w:val="single" w:color="000000" w:sz="4"/>
            </w:tcBorders>
            <w:vAlign w:val="top"/>
          </w:tcPr>
          <w:p>
            <w:pPr>
              <w:jc w:val="both"/>
            </w:pPr>
            <w:r>
              <w:rPr>
                <w:sz w:val="21"/>
              </w:rPr>
              <w:t>8.表中未涵盖的其他扣分情况，需注明扣分原因，每次扣 2 分。</w:t>
            </w:r>
          </w:p>
        </w:tc>
        <w:tc>
          <w:tcPr>
            <w:tcW w:type="dxa" w:w="629"/>
            <w:tcBorders>
              <w:top w:val="none" w:color="000000" w:sz="4"/>
              <w:left w:val="single" w:color="000000" w:sz="4"/>
              <w:bottom w:val="single" w:color="000000" w:sz="4"/>
              <w:right w:val="single" w:color="000000" w:sz="4"/>
            </w:tcBorders>
            <w:vAlign w:val="top"/>
          </w:tcPr>
          <w:p>
            <w:pPr>
              <w:jc w:val="both"/>
            </w:pPr>
          </w:p>
        </w:tc>
        <w:tc>
          <w:tcPr>
            <w:tcW w:type="dxa" w:w="966"/>
            <w:tcBorders>
              <w:top w:val="none" w:color="000000" w:sz="4"/>
              <w:left w:val="single" w:color="000000" w:sz="4"/>
              <w:bottom w:val="single" w:color="000000" w:sz="4"/>
              <w:right w:val="single" w:color="000000" w:sz="4"/>
            </w:tcBorders>
            <w:vAlign w:val="top"/>
          </w:tcPr>
          <w:p>
            <w:pPr>
              <w:jc w:val="both"/>
            </w:pPr>
          </w:p>
        </w:tc>
        <w:tc>
          <w:tcPr>
            <w:tcW w:type="dxa" w:w="703"/>
            <w:tcBorders>
              <w:top w:val="none" w:color="000000" w:sz="4"/>
              <w:left w:val="single" w:color="000000" w:sz="4"/>
              <w:bottom w:val="single" w:color="000000" w:sz="4"/>
              <w:right w:val="single" w:color="000000" w:sz="4"/>
            </w:tcBorders>
            <w:vAlign w:val="top"/>
          </w:tcPr>
          <w:p>
            <w:pPr>
              <w:jc w:val="both"/>
            </w:pPr>
          </w:p>
        </w:tc>
        <w:tc>
          <w:tcPr>
            <w:tcW w:type="dxa" w:w="732"/>
            <w:tcBorders>
              <w:top w:val="none" w:color="000000" w:sz="4"/>
              <w:left w:val="single" w:color="000000" w:sz="4"/>
              <w:bottom w:val="single" w:color="000000" w:sz="4"/>
              <w:right w:val="single" w:color="000000" w:sz="4"/>
            </w:tcBorders>
            <w:vAlign w:val="top"/>
          </w:tcPr>
          <w:p>
            <w:pPr>
              <w:jc w:val="both"/>
            </w:pPr>
          </w:p>
        </w:tc>
        <w:tc>
          <w:tcPr>
            <w:tcW w:type="dxa" w:w="615"/>
            <w:tcBorders>
              <w:top w:val="none" w:color="000000" w:sz="4"/>
              <w:left w:val="single" w:color="000000" w:sz="4"/>
              <w:bottom w:val="single" w:color="000000" w:sz="4"/>
              <w:right w:val="single" w:color="000000" w:sz="4"/>
            </w:tcBorders>
            <w:vAlign w:val="top"/>
          </w:tcPr>
          <w:p>
            <w:pPr>
              <w:jc w:val="both"/>
            </w:pPr>
          </w:p>
        </w:tc>
      </w:tr>
      <w:tr>
        <w:tc>
          <w:tcPr>
            <w:tcW w:type="dxa" w:w="1040"/>
            <w:tcBorders>
              <w:top w:val="none" w:color="000000" w:sz="4"/>
              <w:left w:val="single" w:color="000000" w:sz="4"/>
              <w:bottom w:val="single" w:color="000000" w:sz="4"/>
              <w:right w:val="single" w:color="000000" w:sz="4"/>
            </w:tcBorders>
            <w:vAlign w:val="top"/>
          </w:tcPr>
          <w:p>
            <w:pPr>
              <w:jc w:val="both"/>
            </w:pPr>
            <w:r>
              <w:rPr>
                <w:sz w:val="21"/>
              </w:rPr>
              <w:t>总得分</w:t>
            </w:r>
          </w:p>
        </w:tc>
        <w:tc>
          <w:tcPr>
            <w:tcW w:type="dxa" w:w="7219"/>
            <w:gridSpan w:val="6"/>
            <w:tcBorders>
              <w:top w:val="none" w:color="000000" w:sz="4"/>
              <w:left w:val="single" w:color="000000" w:sz="4"/>
              <w:bottom w:val="single" w:color="000000" w:sz="4"/>
              <w:right w:val="single" w:color="000000" w:sz="4"/>
            </w:tcBorders>
            <w:vAlign w:val="top"/>
          </w:tcPr>
          <w:p>
            <w:pPr>
              <w:jc w:val="both"/>
            </w:pPr>
          </w:p>
        </w:tc>
      </w:tr>
      <w:tr>
        <w:tc>
          <w:tcPr>
            <w:tcW w:type="dxa" w:w="1040"/>
            <w:tcBorders>
              <w:top w:val="none" w:color="000000" w:sz="4"/>
              <w:left w:val="single" w:color="000000" w:sz="4"/>
              <w:bottom w:val="single" w:color="000000" w:sz="4"/>
              <w:right w:val="single" w:color="000000" w:sz="4"/>
            </w:tcBorders>
            <w:vAlign w:val="top"/>
          </w:tcPr>
          <w:p>
            <w:pPr>
              <w:jc w:val="both"/>
            </w:pPr>
          </w:p>
        </w:tc>
        <w:tc>
          <w:tcPr>
            <w:tcW w:type="dxa" w:w="7219"/>
            <w:gridSpan w:val="6"/>
            <w:tcBorders>
              <w:top w:val="none" w:color="000000" w:sz="4"/>
              <w:left w:val="single" w:color="000000" w:sz="4"/>
              <w:bottom w:val="single" w:color="000000" w:sz="4"/>
              <w:right w:val="single" w:color="000000" w:sz="4"/>
            </w:tcBorders>
            <w:vAlign w:val="top"/>
          </w:tcPr>
          <w:p>
            <w:pPr>
              <w:jc w:val="both"/>
            </w:pPr>
            <w:r>
              <w:rPr>
                <w:sz w:val="21"/>
              </w:rPr>
              <w:t>考核人：</w:t>
            </w:r>
            <w:r>
              <w:rPr>
                <w:sz w:val="21"/>
              </w:rPr>
              <w:t xml:space="preserve">          </w:t>
            </w:r>
            <w:r>
              <w:rPr>
                <w:sz w:val="21"/>
              </w:rPr>
              <w:t>审批人：</w:t>
            </w:r>
            <w:r>
              <w:rPr>
                <w:sz w:val="21"/>
              </w:rPr>
              <w:t xml:space="preserve">        </w:t>
            </w:r>
            <w:r>
              <w:rPr>
                <w:sz w:val="21"/>
              </w:rPr>
              <w:t>考核日期：</w:t>
            </w:r>
          </w:p>
        </w:tc>
      </w:tr>
    </w:tbl>
    <w:p>
      <w:r>
        <w:rPr>
          <w:b/>
          <w:sz w:val="21"/>
        </w:rPr>
        <w:t>七、维修结算</w:t>
      </w:r>
    </w:p>
    <w:p>
      <w:pPr>
        <w:ind w:firstLine="420"/>
        <w:jc w:val="left"/>
      </w:pPr>
      <w:r>
        <w:rPr>
          <w:sz w:val="21"/>
        </w:rPr>
        <w:t>1、维修费用按月按实结算；</w:t>
      </w:r>
    </w:p>
    <w:p>
      <w:pPr>
        <w:ind w:firstLine="420"/>
        <w:jc w:val="left"/>
      </w:pPr>
      <w:r>
        <w:rPr>
          <w:sz w:val="21"/>
        </w:rPr>
        <w:t>2、维修用工单价为293.38元/工日×（1-</w:t>
      </w:r>
      <w:r>
        <w:rPr>
          <w:sz w:val="21"/>
        </w:rPr>
        <w:t>成交下浮率</w:t>
      </w:r>
      <w:r>
        <w:rPr>
          <w:sz w:val="21"/>
        </w:rPr>
        <w:t>）（含税）；</w:t>
      </w:r>
    </w:p>
    <w:p>
      <w:pPr>
        <w:ind w:firstLine="420"/>
        <w:jc w:val="left"/>
      </w:pPr>
      <w:r>
        <w:rPr>
          <w:sz w:val="21"/>
        </w:rPr>
        <w:t>3、维修人工工日、设备台班的确认</w:t>
      </w:r>
    </w:p>
    <w:p>
      <w:pPr>
        <w:ind w:firstLine="420"/>
        <w:jc w:val="left"/>
      </w:pPr>
      <w:r>
        <w:rPr>
          <w:sz w:val="21"/>
        </w:rPr>
        <w:t>（</w:t>
      </w:r>
      <w:r>
        <w:rPr>
          <w:sz w:val="21"/>
        </w:rPr>
        <w:t>1）狱内维修人工工日、设备台班的计算。狱内维修按6小时（360分钟）为1工日（台班）计算，维修时间按每次进入监管区大门时间至出监管区大门时间计算（X分钟）：狱内维修人工工日、设备台班=维修时间（分钟）÷360分钟；</w:t>
      </w:r>
    </w:p>
    <w:p>
      <w:pPr>
        <w:ind w:firstLine="420"/>
        <w:jc w:val="left"/>
      </w:pPr>
      <w:r>
        <w:rPr>
          <w:sz w:val="21"/>
        </w:rPr>
        <w:t>（</w:t>
      </w:r>
      <w:r>
        <w:rPr>
          <w:sz w:val="21"/>
        </w:rPr>
        <w:t>2）狱外维修人工工日、设备台班的计算。狱外维修按8小时（480分钟）为1工日（台班）计算，维修时间按每次到达维修现场时间至维修结束时间计算（X分钟）：狱内维修人工工日、设备台班=维修时间（分钟）÷480分钟。</w:t>
      </w:r>
    </w:p>
    <w:p>
      <w:pPr>
        <w:jc w:val="both"/>
      </w:pPr>
      <w:r>
        <w:rPr>
          <w:b/>
          <w:sz w:val="21"/>
        </w:rPr>
        <w:t>八、维修材料价格</w:t>
      </w:r>
    </w:p>
    <w:p>
      <w:pPr>
        <w:ind w:firstLine="420"/>
        <w:jc w:val="left"/>
      </w:pPr>
      <w:r>
        <w:rPr>
          <w:sz w:val="21"/>
        </w:rPr>
        <w:t>（</w:t>
      </w:r>
      <w:r>
        <w:rPr>
          <w:sz w:val="21"/>
        </w:rPr>
        <w:t>1</w:t>
      </w:r>
      <w:r>
        <w:rPr>
          <w:sz w:val="21"/>
        </w:rPr>
        <w:t>）</w:t>
      </w:r>
      <w:r>
        <w:rPr>
          <w:sz w:val="21"/>
        </w:rPr>
        <w:t>甲方</w:t>
      </w:r>
      <w:r>
        <w:rPr>
          <w:sz w:val="21"/>
        </w:rPr>
        <w:t>《</w:t>
      </w:r>
      <w:r>
        <w:rPr>
          <w:sz w:val="21"/>
        </w:rPr>
        <w:t>水电日常维修材料清单</w:t>
      </w:r>
      <w:r>
        <w:rPr>
          <w:sz w:val="21"/>
        </w:rPr>
        <w:t>》内的材料按该</w:t>
      </w:r>
      <w:r>
        <w:rPr>
          <w:sz w:val="21"/>
        </w:rPr>
        <w:t>清单</w:t>
      </w:r>
      <w:r>
        <w:rPr>
          <w:sz w:val="21"/>
        </w:rPr>
        <w:t>价格结算；</w:t>
      </w:r>
    </w:p>
    <w:p>
      <w:pPr>
        <w:ind w:firstLine="420"/>
        <w:jc w:val="left"/>
      </w:pPr>
      <w:r>
        <w:rPr>
          <w:sz w:val="21"/>
        </w:rPr>
        <w:t>（</w:t>
      </w:r>
      <w:r>
        <w:rPr>
          <w:sz w:val="21"/>
        </w:rPr>
        <w:t>2</w:t>
      </w:r>
      <w:r>
        <w:rPr>
          <w:sz w:val="21"/>
        </w:rPr>
        <w:t>）《</w:t>
      </w:r>
      <w:r>
        <w:rPr>
          <w:sz w:val="21"/>
        </w:rPr>
        <w:t>日常维修材料清单</w:t>
      </w:r>
      <w:r>
        <w:rPr>
          <w:sz w:val="21"/>
        </w:rPr>
        <w:t>》</w:t>
      </w:r>
      <w:r>
        <w:rPr>
          <w:sz w:val="21"/>
        </w:rPr>
        <w:t>按清单价格</w:t>
      </w:r>
      <w:r>
        <w:rPr>
          <w:sz w:val="21"/>
        </w:rPr>
        <w:t>×</w:t>
      </w:r>
      <w:r>
        <w:rPr>
          <w:sz w:val="21"/>
        </w:rPr>
        <w:t>（</w:t>
      </w:r>
      <w:r>
        <w:rPr>
          <w:sz w:val="21"/>
        </w:rPr>
        <w:t>1-</w:t>
      </w:r>
      <w:r>
        <w:rPr>
          <w:sz w:val="21"/>
        </w:rPr>
        <w:t>成交下浮率</w:t>
      </w:r>
      <w:r>
        <w:rPr>
          <w:sz w:val="21"/>
        </w:rPr>
        <w:t>）</w:t>
      </w:r>
      <w:r>
        <w:rPr>
          <w:sz w:val="21"/>
        </w:rPr>
        <w:t>的价格结算；</w:t>
      </w:r>
      <w:r>
        <w:rPr>
          <w:sz w:val="21"/>
        </w:rPr>
        <w:t>材料清单</w:t>
      </w:r>
      <w:r>
        <w:rPr>
          <w:sz w:val="21"/>
        </w:rPr>
        <w:t>未包含的，查询当月的《韶关市建筑经济信息材料》《造价通》，按</w:t>
      </w:r>
      <w:r>
        <w:rPr>
          <w:sz w:val="21"/>
        </w:rPr>
        <w:t>查询价格</w:t>
      </w:r>
      <w:r>
        <w:rPr>
          <w:sz w:val="21"/>
        </w:rPr>
        <w:t>×</w:t>
      </w:r>
      <w:r>
        <w:rPr>
          <w:sz w:val="21"/>
        </w:rPr>
        <w:t>（</w:t>
      </w:r>
      <w:r>
        <w:rPr>
          <w:sz w:val="21"/>
        </w:rPr>
        <w:t>1-</w:t>
      </w:r>
      <w:r>
        <w:rPr>
          <w:sz w:val="21"/>
        </w:rPr>
        <w:t>成交下浮率</w:t>
      </w:r>
      <w:r>
        <w:rPr>
          <w:sz w:val="21"/>
        </w:rPr>
        <w:t>）</w:t>
      </w:r>
      <w:r>
        <w:rPr>
          <w:sz w:val="21"/>
        </w:rPr>
        <w:t>的价格结算；查询不到的，由采购人归口部门组织进行市场调查确定市场价，按确定市场价</w:t>
      </w:r>
      <w:r>
        <w:rPr>
          <w:sz w:val="21"/>
        </w:rPr>
        <w:t>×</w:t>
      </w:r>
      <w:r>
        <w:rPr>
          <w:sz w:val="21"/>
        </w:rPr>
        <w:t>（</w:t>
      </w:r>
      <w:r>
        <w:rPr>
          <w:sz w:val="21"/>
        </w:rPr>
        <w:t>1-</w:t>
      </w:r>
      <w:r>
        <w:rPr>
          <w:sz w:val="21"/>
        </w:rPr>
        <w:t>成交下浮率</w:t>
      </w:r>
      <w:r>
        <w:rPr>
          <w:sz w:val="21"/>
        </w:rPr>
        <w:t>）</w:t>
      </w:r>
      <w:r>
        <w:rPr>
          <w:sz w:val="21"/>
        </w:rPr>
        <w:t>的价格结算。材料单价均为含税价。</w:t>
      </w:r>
    </w:p>
    <w:p>
      <w:pPr>
        <w:jc w:val="both"/>
      </w:pPr>
      <w:r>
        <w:rPr>
          <w:b/>
          <w:sz w:val="21"/>
        </w:rPr>
        <w:t>九、结算费用</w:t>
      </w:r>
      <w:r>
        <w:rPr>
          <w:b/>
          <w:sz w:val="21"/>
        </w:rPr>
        <w:t>=各项维修费用汇总（含税）。</w:t>
      </w:r>
    </w:p>
    <w:p>
      <w:pPr>
        <w:jc w:val="both"/>
      </w:pPr>
      <w:r>
        <w:rPr>
          <w:b/>
          <w:sz w:val="21"/>
        </w:rPr>
        <w:t>十、乙方向甲方归口部门报送结算资料，结算资料包括：</w:t>
      </w:r>
    </w:p>
    <w:p>
      <w:pPr>
        <w:ind w:firstLine="420"/>
        <w:jc w:val="left"/>
      </w:pPr>
      <w:r>
        <w:rPr>
          <w:sz w:val="21"/>
        </w:rPr>
        <w:t>（</w:t>
      </w:r>
      <w:r>
        <w:rPr>
          <w:sz w:val="21"/>
        </w:rPr>
        <w:t>1）每项维修完成后填写的《日常维修验收表》，该表必须有乙方、甲方报修人、维修部门、归口部门和技术部门（如有参与）相关人员签名确认；</w:t>
      </w:r>
    </w:p>
    <w:p>
      <w:pPr>
        <w:ind w:firstLine="420"/>
        <w:jc w:val="left"/>
      </w:pPr>
      <w:r>
        <w:rPr>
          <w:sz w:val="21"/>
        </w:rPr>
        <w:t>（</w:t>
      </w:r>
      <w:r>
        <w:rPr>
          <w:sz w:val="21"/>
        </w:rPr>
        <w:t>2）按要求制定的结算资料，包含纸质档和电子档；</w:t>
      </w:r>
    </w:p>
    <w:p>
      <w:pPr>
        <w:ind w:firstLine="420"/>
        <w:jc w:val="left"/>
      </w:pPr>
      <w:r>
        <w:rPr>
          <w:sz w:val="21"/>
        </w:rPr>
        <w:t>7、乙方每月15日前须上报上月维修费用予各归口部门进行结算。</w:t>
      </w:r>
    </w:p>
    <w:p>
      <w:pPr>
        <w:ind w:firstLine="420"/>
        <w:jc w:val="left"/>
      </w:pPr>
      <w:r>
        <w:rPr>
          <w:sz w:val="21"/>
        </w:rPr>
        <w:t>8、</w:t>
      </w:r>
      <w:r>
        <w:rPr>
          <w:sz w:val="21"/>
        </w:rPr>
        <w:t>乙方</w:t>
      </w:r>
      <w:r>
        <w:rPr>
          <w:sz w:val="21"/>
        </w:rPr>
        <w:t>按审批结算费用出具发票，会齐结算资料后提交至</w:t>
      </w:r>
      <w:r>
        <w:rPr>
          <w:sz w:val="21"/>
        </w:rPr>
        <w:t>甲方</w:t>
      </w:r>
      <w:r>
        <w:rPr>
          <w:sz w:val="21"/>
        </w:rPr>
        <w:t>归口部门，</w:t>
      </w:r>
      <w:r>
        <w:rPr>
          <w:sz w:val="21"/>
        </w:rPr>
        <w:t>甲方</w:t>
      </w:r>
      <w:r>
        <w:rPr>
          <w:sz w:val="21"/>
        </w:rPr>
        <w:t>归口部门于</w:t>
      </w:r>
      <w:r>
        <w:rPr>
          <w:sz w:val="21"/>
        </w:rPr>
        <w:t>15个工作日内向</w:t>
      </w:r>
      <w:r>
        <w:rPr>
          <w:sz w:val="21"/>
        </w:rPr>
        <w:t>乙方</w:t>
      </w:r>
      <w:r>
        <w:rPr>
          <w:sz w:val="21"/>
        </w:rPr>
        <w:t>支付维修费用。</w:t>
      </w:r>
    </w:p>
    <w:p>
      <w:pPr>
        <w:jc w:val="center"/>
      </w:pPr>
      <w:r>
        <w:rPr>
          <w:b/>
          <w:sz w:val="21"/>
        </w:rPr>
        <w:t>日常维修验收表</w:t>
      </w:r>
    </w:p>
    <w:p>
      <w:pPr>
        <w:jc w:val="right"/>
      </w:pPr>
      <w:r>
        <w:rPr>
          <w:sz w:val="21"/>
        </w:rPr>
        <w:t>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784"/>
        <w:gridCol w:w="755"/>
        <w:gridCol w:w="1969"/>
        <w:gridCol w:w="917"/>
        <w:gridCol w:w="533"/>
        <w:gridCol w:w="3316"/>
      </w:tblGrid>
      <w:tr>
        <w:tc>
          <w:tcPr>
            <w:tcW w:type="dxa" w:w="1539"/>
            <w:gridSpan w:val="2"/>
            <w:tcBorders>
              <w:top w:val="single" w:color="000000" w:sz="4"/>
              <w:left w:val="single" w:color="000000" w:sz="4"/>
              <w:bottom w:val="single" w:color="000000" w:sz="4"/>
              <w:right w:val="single" w:color="000000" w:sz="4"/>
            </w:tcBorders>
            <w:vAlign w:val="top"/>
          </w:tcPr>
          <w:p>
            <w:pPr>
              <w:jc w:val="center"/>
            </w:pPr>
            <w:r>
              <w:rPr>
                <w:sz w:val="21"/>
              </w:rPr>
              <w:t>报修人</w:t>
            </w:r>
          </w:p>
        </w:tc>
        <w:tc>
          <w:tcPr>
            <w:tcW w:type="dxa" w:w="1969"/>
            <w:tcBorders>
              <w:top w:val="single" w:color="000000" w:sz="4"/>
              <w:left w:val="single" w:color="000000" w:sz="4"/>
              <w:bottom w:val="single" w:color="000000" w:sz="4"/>
              <w:right w:val="single" w:color="000000" w:sz="4"/>
            </w:tcBorders>
            <w:vAlign w:val="top"/>
          </w:tcPr>
          <w:p>
            <w:pPr>
              <w:jc w:val="center"/>
            </w:pPr>
          </w:p>
        </w:tc>
        <w:tc>
          <w:tcPr>
            <w:tcW w:type="dxa" w:w="917"/>
            <w:tcBorders>
              <w:top w:val="single" w:color="000000" w:sz="4"/>
              <w:left w:val="single" w:color="000000" w:sz="4"/>
              <w:bottom w:val="single" w:color="000000" w:sz="4"/>
              <w:right w:val="single" w:color="000000" w:sz="4"/>
            </w:tcBorders>
            <w:vAlign w:val="top"/>
          </w:tcPr>
          <w:p>
            <w:pPr>
              <w:jc w:val="center"/>
            </w:pPr>
            <w:r>
              <w:rPr>
                <w:sz w:val="21"/>
              </w:rPr>
              <w:t>地点</w:t>
            </w:r>
          </w:p>
        </w:tc>
        <w:tc>
          <w:tcPr>
            <w:tcW w:type="dxa" w:w="3849"/>
            <w:gridSpan w:val="2"/>
            <w:tcBorders>
              <w:top w:val="single" w:color="000000" w:sz="4"/>
              <w:left w:val="single" w:color="000000" w:sz="4"/>
              <w:bottom w:val="single" w:color="000000" w:sz="4"/>
              <w:right w:val="single" w:color="000000" w:sz="4"/>
            </w:tcBorders>
            <w:vAlign w:val="top"/>
          </w:tcPr>
          <w:p>
            <w:pPr>
              <w:jc w:val="center"/>
            </w:pPr>
          </w:p>
        </w:tc>
      </w:tr>
      <w:tr>
        <w:tc>
          <w:tcPr>
            <w:tcW w:type="dxa" w:w="1539"/>
            <w:gridSpan w:val="2"/>
            <w:tcBorders>
              <w:top w:val="none" w:color="000000" w:sz="4"/>
              <w:left w:val="single" w:color="000000" w:sz="4"/>
              <w:bottom w:val="single" w:color="000000" w:sz="4"/>
              <w:right w:val="single" w:color="000000" w:sz="4"/>
            </w:tcBorders>
            <w:vAlign w:val="top"/>
          </w:tcPr>
          <w:p>
            <w:pPr>
              <w:jc w:val="center"/>
            </w:pPr>
            <w:r>
              <w:rPr>
                <w:sz w:val="21"/>
              </w:rPr>
              <w:t>维修项目</w:t>
            </w:r>
          </w:p>
        </w:tc>
        <w:tc>
          <w:tcPr>
            <w:tcW w:type="dxa" w:w="6735"/>
            <w:gridSpan w:val="4"/>
            <w:tcBorders>
              <w:top w:val="none" w:color="000000" w:sz="4"/>
              <w:left w:val="single" w:color="000000" w:sz="4"/>
              <w:bottom w:val="single" w:color="000000" w:sz="4"/>
              <w:right w:val="single" w:color="000000" w:sz="4"/>
            </w:tcBorders>
            <w:vAlign w:val="top"/>
          </w:tcPr>
          <w:p>
            <w:pPr>
              <w:jc w:val="center"/>
            </w:pPr>
          </w:p>
        </w:tc>
      </w:tr>
      <w:tr>
        <w:tc>
          <w:tcPr>
            <w:tcW w:type="dxa" w:w="1539"/>
            <w:gridSpan w:val="2"/>
            <w:tcBorders>
              <w:top w:val="none" w:color="000000" w:sz="4"/>
              <w:left w:val="single" w:color="000000" w:sz="4"/>
              <w:bottom w:val="single" w:color="000000" w:sz="4"/>
              <w:right w:val="single" w:color="000000" w:sz="4"/>
            </w:tcBorders>
            <w:vAlign w:val="top"/>
          </w:tcPr>
          <w:p>
            <w:pPr>
              <w:jc w:val="center"/>
            </w:pPr>
            <w:r>
              <w:rPr>
                <w:sz w:val="21"/>
              </w:rPr>
              <w:t>维修时间</w:t>
            </w:r>
          </w:p>
        </w:tc>
        <w:tc>
          <w:tcPr>
            <w:tcW w:type="dxa" w:w="6735"/>
            <w:gridSpan w:val="4"/>
            <w:tcBorders>
              <w:top w:val="none" w:color="000000" w:sz="4"/>
              <w:left w:val="single" w:color="000000" w:sz="4"/>
              <w:bottom w:val="single" w:color="000000" w:sz="4"/>
              <w:right w:val="single" w:color="000000" w:sz="4"/>
            </w:tcBorders>
            <w:vAlign w:val="top"/>
          </w:tcPr>
          <w:p>
            <w:pPr>
              <w:jc w:val="center"/>
            </w:pPr>
            <w:r>
              <w:rPr>
                <w:sz w:val="21"/>
              </w:rPr>
              <w:t xml:space="preserve">  </w:t>
            </w:r>
            <w:r>
              <w:rPr>
                <w:sz w:val="21"/>
              </w:rPr>
              <w:t>时</w:t>
            </w:r>
            <w:r>
              <w:rPr>
                <w:sz w:val="21"/>
              </w:rPr>
              <w:t xml:space="preserve">  </w:t>
            </w:r>
            <w:r>
              <w:rPr>
                <w:sz w:val="21"/>
              </w:rPr>
              <w:t>分至</w:t>
            </w:r>
            <w:r>
              <w:rPr>
                <w:sz w:val="21"/>
              </w:rPr>
              <w:t xml:space="preserve"> </w:t>
            </w:r>
            <w:r>
              <w:rPr>
                <w:sz w:val="21"/>
              </w:rPr>
              <w:t>时</w:t>
            </w:r>
            <w:r>
              <w:rPr>
                <w:sz w:val="21"/>
              </w:rPr>
              <w:t xml:space="preserve"> </w:t>
            </w:r>
            <w:r>
              <w:rPr>
                <w:sz w:val="21"/>
              </w:rPr>
              <w:t>分，共</w:t>
            </w:r>
            <w:r>
              <w:rPr>
                <w:sz w:val="21"/>
              </w:rPr>
              <w:t xml:space="preserve">  </w:t>
            </w:r>
            <w:r>
              <w:rPr>
                <w:sz w:val="21"/>
              </w:rPr>
              <w:t>分钟，</w:t>
            </w:r>
            <w:r>
              <w:rPr>
                <w:sz w:val="21"/>
              </w:rPr>
              <w:t xml:space="preserve">  </w:t>
            </w:r>
            <w:r>
              <w:rPr>
                <w:sz w:val="21"/>
              </w:rPr>
              <w:t>工日</w:t>
            </w:r>
          </w:p>
        </w:tc>
      </w:tr>
      <w:tr>
        <w:tc>
          <w:tcPr>
            <w:tcW w:type="dxa" w:w="784"/>
            <w:vMerge w:val="restart"/>
            <w:tcBorders>
              <w:top w:val="none" w:color="000000" w:sz="4"/>
              <w:left w:val="single" w:color="000000" w:sz="4"/>
              <w:bottom w:val="single" w:color="000000" w:sz="4"/>
              <w:right w:val="single" w:color="000000" w:sz="4"/>
            </w:tcBorders>
            <w:vAlign w:val="top"/>
          </w:tcPr>
          <w:p>
            <w:pPr>
              <w:jc w:val="center"/>
            </w:pPr>
            <w:r>
              <w:rPr>
                <w:sz w:val="21"/>
              </w:rPr>
              <w:t>维修内容</w:t>
            </w:r>
          </w:p>
        </w:tc>
        <w:tc>
          <w:tcPr>
            <w:tcW w:type="dxa" w:w="4174"/>
            <w:gridSpan w:val="4"/>
            <w:tcBorders>
              <w:top w:val="none" w:color="000000" w:sz="4"/>
              <w:left w:val="single" w:color="000000" w:sz="4"/>
              <w:bottom w:val="single" w:color="000000" w:sz="4"/>
              <w:right w:val="single" w:color="000000" w:sz="4"/>
            </w:tcBorders>
            <w:vAlign w:val="top"/>
          </w:tcPr>
          <w:p>
            <w:pPr>
              <w:jc w:val="center"/>
            </w:pPr>
            <w:r>
              <w:rPr>
                <w:sz w:val="21"/>
              </w:rPr>
              <w:t>维修服务商填写</w:t>
            </w:r>
          </w:p>
        </w:tc>
        <w:tc>
          <w:tcPr>
            <w:tcW w:type="dxa" w:w="3316"/>
            <w:tcBorders>
              <w:top w:val="single" w:color="000000" w:sz="4"/>
              <w:left w:val="single" w:color="000000" w:sz="4"/>
              <w:bottom w:val="single" w:color="000000" w:sz="4"/>
              <w:right w:val="single" w:color="000000" w:sz="4"/>
            </w:tcBorders>
            <w:vAlign w:val="top"/>
          </w:tcPr>
          <w:p>
            <w:pPr>
              <w:jc w:val="center"/>
            </w:pPr>
            <w:r>
              <w:rPr>
                <w:sz w:val="21"/>
              </w:rPr>
              <w:t>报修人、归口部门、技术部门核实</w:t>
            </w:r>
          </w:p>
        </w:tc>
      </w:tr>
      <w:tr>
        <w:tc>
          <w:tcPr>
            <w:tcW w:type="dxa" w:w="784"/>
            <w:vMerge/>
            <w:tcBorders>
              <w:top w:val="none" w:color="000000" w:sz="4"/>
              <w:left w:val="single" w:color="000000" w:sz="4"/>
              <w:bottom w:val="single" w:color="000000" w:sz="4"/>
              <w:right w:val="single" w:color="000000" w:sz="4"/>
            </w:tcBorders>
          </w:tcPr>
          <w:p/>
        </w:tc>
        <w:tc>
          <w:tcPr>
            <w:tcW w:type="dxa" w:w="4174"/>
            <w:gridSpan w:val="4"/>
            <w:tcBorders>
              <w:top w:val="none" w:color="000000" w:sz="4"/>
              <w:left w:val="single" w:color="000000" w:sz="4"/>
              <w:bottom w:val="single" w:color="000000" w:sz="4"/>
              <w:right w:val="single" w:color="000000" w:sz="4"/>
            </w:tcBorders>
            <w:vAlign w:val="top"/>
          </w:tcPr>
          <w:p>
            <w:pPr>
              <w:jc w:val="center"/>
            </w:pPr>
          </w:p>
        </w:tc>
        <w:tc>
          <w:tcPr>
            <w:tcW w:type="dxa" w:w="3316"/>
            <w:tcBorders>
              <w:top w:val="none" w:color="000000" w:sz="4"/>
              <w:left w:val="single" w:color="000000" w:sz="4"/>
              <w:bottom w:val="single" w:color="000000" w:sz="4"/>
              <w:right w:val="single" w:color="000000" w:sz="4"/>
            </w:tcBorders>
            <w:vAlign w:val="top"/>
          </w:tcPr>
          <w:p>
            <w:pPr>
              <w:jc w:val="center"/>
            </w:pPr>
          </w:p>
        </w:tc>
      </w:tr>
      <w:tr>
        <w:tc>
          <w:tcPr>
            <w:tcW w:type="dxa" w:w="1539"/>
            <w:gridSpan w:val="2"/>
            <w:vMerge w:val="restart"/>
            <w:tcBorders>
              <w:top w:val="none" w:color="000000" w:sz="4"/>
              <w:left w:val="single" w:color="000000" w:sz="4"/>
              <w:bottom w:val="single" w:color="000000" w:sz="4"/>
              <w:right w:val="single" w:color="000000" w:sz="4"/>
            </w:tcBorders>
            <w:vAlign w:val="top"/>
          </w:tcPr>
          <w:p>
            <w:pPr>
              <w:jc w:val="center"/>
            </w:pPr>
            <w:r>
              <w:rPr>
                <w:sz w:val="21"/>
              </w:rPr>
              <w:t>评价</w:t>
            </w:r>
          </w:p>
        </w:tc>
        <w:tc>
          <w:tcPr>
            <w:tcW w:type="dxa" w:w="6735"/>
            <w:gridSpan w:val="4"/>
            <w:tcBorders>
              <w:top w:val="none" w:color="000000" w:sz="4"/>
              <w:left w:val="single" w:color="000000" w:sz="4"/>
              <w:bottom w:val="single" w:color="000000" w:sz="4"/>
              <w:right w:val="single" w:color="000000" w:sz="4"/>
            </w:tcBorders>
            <w:vAlign w:val="top"/>
          </w:tcPr>
          <w:p>
            <w:pPr>
              <w:jc w:val="left"/>
            </w:pPr>
            <w:r>
              <w:rPr>
                <w:sz w:val="21"/>
              </w:rPr>
              <w:t>质量评价：好（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r>
        <w:tc>
          <w:tcPr>
            <w:tcW w:type="dxa" w:w="1539"/>
            <w:gridSpan w:val="2"/>
            <w:vMerge/>
            <w:tcBorders>
              <w:top w:val="none" w:color="000000" w:sz="4"/>
              <w:left w:val="single" w:color="000000" w:sz="4"/>
              <w:bottom w:val="single" w:color="000000" w:sz="4"/>
              <w:right w:val="single" w:color="000000" w:sz="4"/>
            </w:tcBorders>
          </w:tcPr>
          <w:p/>
        </w:tc>
        <w:tc>
          <w:tcPr>
            <w:tcW w:type="dxa" w:w="6735"/>
            <w:gridSpan w:val="4"/>
            <w:tcBorders>
              <w:top w:val="none" w:color="000000" w:sz="4"/>
              <w:left w:val="single" w:color="000000" w:sz="4"/>
              <w:bottom w:val="single" w:color="000000" w:sz="4"/>
              <w:right w:val="single" w:color="000000" w:sz="4"/>
            </w:tcBorders>
            <w:vAlign w:val="top"/>
          </w:tcPr>
          <w:p>
            <w:pPr>
              <w:jc w:val="left"/>
            </w:pPr>
            <w:r>
              <w:rPr>
                <w:sz w:val="21"/>
              </w:rPr>
              <w:t>态度评价：好（</w:t>
            </w:r>
            <w:r>
              <w:rPr>
                <w:sz w:val="21"/>
              </w:rPr>
              <w:t xml:space="preserve"> </w:t>
            </w:r>
            <w:r>
              <w:rPr>
                <w:sz w:val="21"/>
              </w:rPr>
              <w:t>）</w:t>
            </w:r>
            <w:r>
              <w:rPr>
                <w:sz w:val="21"/>
              </w:rPr>
              <w:t xml:space="preserve"> </w:t>
            </w:r>
            <w:r>
              <w:rPr>
                <w:sz w:val="21"/>
              </w:rPr>
              <w:t>一般（</w:t>
            </w:r>
            <w:r>
              <w:rPr>
                <w:sz w:val="21"/>
              </w:rPr>
              <w:t xml:space="preserve"> </w:t>
            </w:r>
            <w:r>
              <w:rPr>
                <w:sz w:val="21"/>
              </w:rPr>
              <w:t>）</w:t>
            </w:r>
            <w:r>
              <w:rPr>
                <w:sz w:val="21"/>
              </w:rPr>
              <w:t xml:space="preserve"> </w:t>
            </w:r>
            <w:r>
              <w:rPr>
                <w:sz w:val="21"/>
              </w:rPr>
              <w:t>差（</w:t>
            </w:r>
            <w:r>
              <w:rPr>
                <w:sz w:val="21"/>
              </w:rPr>
              <w:t xml:space="preserve"> </w:t>
            </w:r>
            <w:r>
              <w:rPr>
                <w:sz w:val="21"/>
              </w:rPr>
              <w:t>）</w:t>
            </w:r>
          </w:p>
        </w:tc>
      </w:tr>
    </w:tbl>
    <w:p>
      <w:pPr>
        <w:jc w:val="left"/>
      </w:pPr>
      <w:r>
        <w:rPr>
          <w:sz w:val="21"/>
        </w:rPr>
        <w:t>维修人签名：</w:t>
      </w:r>
      <w:r>
        <w:rPr>
          <w:sz w:val="21"/>
        </w:rPr>
        <w:t xml:space="preserve">                   </w:t>
      </w:r>
      <w:r>
        <w:rPr>
          <w:sz w:val="21"/>
        </w:rPr>
        <w:t>归口部门签名：</w:t>
      </w:r>
    </w:p>
    <w:p>
      <w:pPr>
        <w:jc w:val="left"/>
      </w:pPr>
      <w:r>
        <w:rPr>
          <w:sz w:val="21"/>
        </w:rPr>
        <w:t>报修人签名：</w:t>
      </w:r>
      <w:r>
        <w:rPr>
          <w:sz w:val="21"/>
        </w:rPr>
        <w:t xml:space="preserve">                   </w:t>
      </w:r>
      <w:r>
        <w:rPr>
          <w:sz w:val="21"/>
        </w:rPr>
        <w:t>维修部门签名：</w:t>
      </w:r>
    </w:p>
    <w:p>
      <w:pPr>
        <w:jc w:val="both"/>
      </w:pPr>
      <w:r>
        <w:rPr>
          <w:sz w:val="21"/>
        </w:rPr>
        <w:t xml:space="preserve">                                </w:t>
      </w:r>
      <w:r>
        <w:rPr>
          <w:sz w:val="21"/>
        </w:rPr>
        <w:t>技术部门签名：</w:t>
      </w:r>
    </w:p>
    <w:p>
      <w:pPr>
        <w:jc w:val="both"/>
      </w:pPr>
      <w:r>
        <w:rPr>
          <w:b/>
          <w:sz w:val="24"/>
        </w:rPr>
        <w:t>十一、</w:t>
      </w:r>
      <w:r>
        <w:rPr>
          <w:b/>
          <w:sz w:val="24"/>
        </w:rPr>
        <w:t>履约保证金</w:t>
      </w:r>
    </w:p>
    <w:p>
      <w:pPr>
        <w:ind w:firstLine="420"/>
        <w:jc w:val="left"/>
      </w:pPr>
      <w:r>
        <w:rPr>
          <w:sz w:val="21"/>
        </w:rPr>
        <w:t>1、</w:t>
      </w:r>
      <w:r>
        <w:rPr>
          <w:sz w:val="21"/>
        </w:rPr>
        <w:t>收取</w:t>
      </w:r>
      <w:r>
        <w:rPr>
          <w:sz w:val="21"/>
        </w:rPr>
        <w:t>比例：</w:t>
      </w:r>
      <w:r>
        <w:rPr>
          <w:sz w:val="21"/>
          <w:u w:val="single"/>
        </w:rPr>
        <w:t xml:space="preserve">        </w:t>
      </w:r>
      <w:r>
        <w:rPr>
          <w:sz w:val="21"/>
        </w:rPr>
        <w:t>，合同签订后，乙方应在</w:t>
      </w:r>
      <w:r>
        <w:rPr>
          <w:sz w:val="21"/>
          <w:u w:val="single"/>
        </w:rPr>
        <w:t xml:space="preserve">    </w:t>
      </w:r>
      <w:r>
        <w:rPr>
          <w:sz w:val="21"/>
        </w:rPr>
        <w:t>个工作日内向甲方支付；</w:t>
      </w:r>
    </w:p>
    <w:p>
      <w:pPr>
        <w:ind w:firstLine="420"/>
        <w:jc w:val="both"/>
      </w:pPr>
      <w:r>
        <w:rPr>
          <w:sz w:val="21"/>
        </w:rPr>
        <w:t>2、递交形式：以支票、汇票、本票、保函等非现金形式提交；</w:t>
      </w:r>
    </w:p>
    <w:p>
      <w:pPr>
        <w:ind w:firstLine="420"/>
        <w:jc w:val="left"/>
      </w:pPr>
      <w:r>
        <w:rPr>
          <w:sz w:val="21"/>
        </w:rPr>
        <w:t>3、说明：期满后</w:t>
      </w:r>
      <w:r>
        <w:rPr>
          <w:sz w:val="21"/>
          <w:u w:val="single"/>
        </w:rPr>
        <w:t xml:space="preserve">     </w:t>
      </w:r>
      <w:r>
        <w:rPr>
          <w:sz w:val="21"/>
        </w:rPr>
        <w:t>个工作日内将履约保证金无息退回乙方；</w:t>
      </w:r>
    </w:p>
    <w:p>
      <w:pPr>
        <w:ind w:firstLine="420"/>
        <w:jc w:val="left"/>
      </w:pPr>
      <w:r>
        <w:rPr>
          <w:sz w:val="21"/>
        </w:rPr>
        <w:t>4、不予退还履约保证金的情形：如在合同期内，乙方自行停止合约或违反合同有关规定被甲方终止合约的，则履约保证金全部归甲方所有。若乙方不履行或不适当履行其合同义务导致甲方蒙受损失的，甲方有权直接从履约保证金中获取相应违约金或损失赔偿款项；违约金或给甲方造成的损失超过履约保证金数额的，乙方应对超出部分给予赔偿。其他违约责任按照合同约定。</w:t>
      </w:r>
    </w:p>
    <w:p>
      <w:pPr>
        <w:ind w:firstLine="420"/>
      </w:pPr>
      <w:r>
        <w:rPr>
          <w:color w:val="0000FF"/>
          <w:sz w:val="21"/>
        </w:rPr>
        <w:t>5、</w:t>
      </w:r>
      <w:r>
        <w:rPr>
          <w:sz w:val="21"/>
        </w:rPr>
        <w:t>甲方逾期退还履约保证金的，除应当退还履约保证金本金外，还应当每日按履约保证金的</w:t>
      </w:r>
      <w:r>
        <w:rPr>
          <w:sz w:val="21"/>
        </w:rPr>
        <w:t>0.3‰向乙方偿付违约金，但因合同的履行产生争议成交供应商自身原因导致无法及时退还的除外。</w:t>
      </w:r>
    </w:p>
    <w:p>
      <w:pPr>
        <w:jc w:val="both"/>
      </w:pPr>
      <w:r>
        <w:rPr>
          <w:b/>
          <w:sz w:val="24"/>
        </w:rPr>
        <w:t>十二、付款方式</w:t>
      </w:r>
    </w:p>
    <w:p>
      <w:pPr>
        <w:ind w:firstLine="210"/>
        <w:jc w:val="left"/>
      </w:pPr>
      <w:r>
        <w:rPr>
          <w:sz w:val="21"/>
        </w:rPr>
        <w:t>由采购人按下列程序付款：</w:t>
      </w:r>
    </w:p>
    <w:p>
      <w:pPr>
        <w:ind w:firstLine="420"/>
        <w:jc w:val="left"/>
      </w:pPr>
      <w:r>
        <w:rPr>
          <w:sz w:val="21"/>
        </w:rPr>
        <w:t>1、</w:t>
      </w:r>
      <w:r>
        <w:rPr>
          <w:sz w:val="21"/>
        </w:rPr>
        <w:t>按月按实结算</w:t>
      </w:r>
      <w:r>
        <w:rPr>
          <w:sz w:val="21"/>
        </w:rPr>
        <w:t>，</w:t>
      </w:r>
      <w:r>
        <w:rPr>
          <w:sz w:val="21"/>
        </w:rPr>
        <w:t>结算费用</w:t>
      </w:r>
      <w:r>
        <w:rPr>
          <w:sz w:val="21"/>
        </w:rPr>
        <w:t>=各项维修费用汇总（含税）</w:t>
      </w:r>
      <w:r>
        <w:rPr>
          <w:sz w:val="21"/>
        </w:rPr>
        <w:t>；</w:t>
      </w:r>
    </w:p>
    <w:p>
      <w:pPr>
        <w:ind w:firstLine="420"/>
        <w:jc w:val="both"/>
      </w:pPr>
      <w:r>
        <w:rPr>
          <w:sz w:val="21"/>
        </w:rPr>
        <w:t>2、乙方</w:t>
      </w:r>
      <w:r>
        <w:rPr>
          <w:sz w:val="21"/>
        </w:rPr>
        <w:t>凭以下有效文件与</w:t>
      </w:r>
      <w:r>
        <w:rPr>
          <w:sz w:val="21"/>
        </w:rPr>
        <w:t>甲方</w:t>
      </w:r>
      <w:r>
        <w:rPr>
          <w:sz w:val="21"/>
        </w:rPr>
        <w:t>结算：（</w:t>
      </w:r>
      <w:r>
        <w:rPr>
          <w:sz w:val="21"/>
        </w:rPr>
        <w:t>1）合同；（2）</w:t>
      </w:r>
      <w:r>
        <w:rPr>
          <w:sz w:val="21"/>
        </w:rPr>
        <w:t>乙方</w:t>
      </w:r>
      <w:r>
        <w:rPr>
          <w:sz w:val="21"/>
        </w:rPr>
        <w:t>开具的正式发票；（</w:t>
      </w:r>
      <w:r>
        <w:rPr>
          <w:sz w:val="21"/>
        </w:rPr>
        <w:t>3）成交通知书</w:t>
      </w:r>
      <w:r>
        <w:rPr>
          <w:sz w:val="21"/>
        </w:rPr>
        <w:t>；</w:t>
      </w:r>
      <w:r>
        <w:rPr>
          <w:sz w:val="21"/>
        </w:rPr>
        <w:t>（</w:t>
      </w:r>
      <w:r>
        <w:rPr>
          <w:sz w:val="21"/>
        </w:rPr>
        <w:t>4）</w:t>
      </w:r>
      <w:r>
        <w:rPr>
          <w:sz w:val="21"/>
        </w:rPr>
        <w:t>维修清单；（</w:t>
      </w:r>
      <w:r>
        <w:rPr>
          <w:sz w:val="21"/>
        </w:rPr>
        <w:t>5）</w:t>
      </w:r>
      <w:r>
        <w:rPr>
          <w:sz w:val="21"/>
        </w:rPr>
        <w:t>日常维修验收表</w:t>
      </w:r>
      <w:r>
        <w:rPr>
          <w:b/>
          <w:sz w:val="21"/>
        </w:rPr>
        <w:t>；</w:t>
      </w:r>
      <w:r>
        <w:rPr>
          <w:sz w:val="21"/>
        </w:rPr>
        <w:t>（</w:t>
      </w:r>
      <w:r>
        <w:rPr>
          <w:sz w:val="21"/>
        </w:rPr>
        <w:t>6</w:t>
      </w:r>
      <w:r>
        <w:rPr>
          <w:sz w:val="21"/>
        </w:rPr>
        <w:t>）</w:t>
      </w:r>
      <w:r>
        <w:rPr>
          <w:sz w:val="21"/>
        </w:rPr>
        <w:t>日常维修服务监督管理考核表。</w:t>
      </w:r>
    </w:p>
    <w:p>
      <w:pPr>
        <w:ind w:firstLine="420"/>
        <w:jc w:val="both"/>
      </w:pPr>
      <w:r>
        <w:rPr>
          <w:sz w:val="21"/>
        </w:rPr>
        <w:t>3</w:t>
      </w:r>
      <w:r>
        <w:rPr>
          <w:sz w:val="21"/>
        </w:rPr>
        <w:t>、因</w:t>
      </w:r>
      <w:r>
        <w:rPr>
          <w:sz w:val="21"/>
        </w:rPr>
        <w:t>甲方</w:t>
      </w:r>
      <w:r>
        <w:rPr>
          <w:sz w:val="21"/>
        </w:rPr>
        <w:t>使用的是财政资金，</w:t>
      </w:r>
      <w:r>
        <w:rPr>
          <w:sz w:val="21"/>
        </w:rPr>
        <w:t>甲方</w:t>
      </w:r>
      <w:r>
        <w:rPr>
          <w:sz w:val="21"/>
        </w:rPr>
        <w:t>在前款规定的付款时间为准，向政府采购支付部门提出办理财政支付申请手续的时间</w:t>
      </w:r>
      <w:r>
        <w:rPr>
          <w:sz w:val="21"/>
        </w:rPr>
        <w:t>(不含政府财政支付部门审核的时间)，在规定时间内递交支付部门视为完成。</w:t>
      </w:r>
    </w:p>
    <w:p>
      <w:pPr>
        <w:jc w:val="both"/>
      </w:pPr>
      <w:r>
        <w:rPr>
          <w:b/>
          <w:sz w:val="24"/>
        </w:rPr>
        <w:t>十三、保密事项</w:t>
      </w:r>
      <w:r>
        <w:rPr>
          <w:b/>
          <w:sz w:val="24"/>
        </w:rPr>
        <w:t>及人员</w:t>
      </w:r>
      <w:r>
        <w:rPr>
          <w:b/>
          <w:sz w:val="24"/>
        </w:rPr>
        <w:t>要求</w:t>
      </w:r>
    </w:p>
    <w:p>
      <w:pPr>
        <w:ind w:firstLine="420"/>
        <w:jc w:val="both"/>
      </w:pPr>
      <w:r>
        <w:rPr>
          <w:sz w:val="21"/>
        </w:rPr>
        <w:t>未经</w:t>
      </w:r>
      <w:r>
        <w:rPr>
          <w:sz w:val="21"/>
        </w:rPr>
        <w:t>甲方</w:t>
      </w:r>
      <w:r>
        <w:rPr>
          <w:sz w:val="21"/>
        </w:rPr>
        <w:t>事先书面同意，</w:t>
      </w:r>
      <w:r>
        <w:rPr>
          <w:sz w:val="21"/>
        </w:rPr>
        <w:t>乙方</w:t>
      </w:r>
      <w:r>
        <w:rPr>
          <w:sz w:val="21"/>
        </w:rPr>
        <w:t>不得将由</w:t>
      </w:r>
      <w:r>
        <w:rPr>
          <w:sz w:val="21"/>
        </w:rPr>
        <w:t>甲方</w:t>
      </w:r>
      <w:r>
        <w:rPr>
          <w:sz w:val="21"/>
        </w:rPr>
        <w:t>为本合同提供的有关资料提供给与本合同无关的任何第三方，不得将其用于履行本合同之外的其他用途，即使向与履行本合同有关的人员提供，也应注意保密并限于履行合同所必须的范围</w:t>
      </w:r>
      <w:r>
        <w:rPr>
          <w:sz w:val="21"/>
        </w:rPr>
        <w:t>；</w:t>
      </w:r>
      <w:r>
        <w:rPr>
          <w:sz w:val="21"/>
        </w:rPr>
        <w:t>乙方服务人员严格遵守监狱的施工管理相关条例和保密条例；外来人员不得携带违禁品、违规品、危险品等可能影响监管安全的物品进入监管区，进入监管区时必须按规定将移动电话等物品保管在贮物箱。</w:t>
      </w:r>
    </w:p>
    <w:p>
      <w:pPr>
        <w:ind w:firstLine="482"/>
        <w:jc w:val="both"/>
      </w:pPr>
      <w:r>
        <w:rPr>
          <w:b/>
          <w:sz w:val="24"/>
        </w:rPr>
        <w:t>十四、违约责任</w:t>
      </w:r>
    </w:p>
    <w:p>
      <w:pPr>
        <w:ind w:firstLine="420"/>
        <w:jc w:val="both"/>
      </w:pPr>
      <w:r>
        <w:rPr>
          <w:sz w:val="21"/>
        </w:rPr>
        <w:t>1、乙方未能按本竞争性磋商文件要求的时间提供服务的，从逾期之日起，每日按成交金额的3‰向乙方支付违约金；逾期半月以上的，乙方有权终止合同，由此对乙方造成的由乙方承担。</w:t>
      </w:r>
    </w:p>
    <w:p>
      <w:pPr>
        <w:ind w:firstLine="420"/>
        <w:jc w:val="both"/>
      </w:pPr>
      <w:r>
        <w:rPr>
          <w:sz w:val="21"/>
        </w:rPr>
        <w:t>2、乙方无正当理由拒绝接受服务的，乙方向乙方赔付成交金额的5%作为违约金；乙方到期拒付合同款项的，则每日按逾期金额的3‰向乙方支付违约金。</w:t>
      </w:r>
    </w:p>
    <w:p>
      <w:pPr>
        <w:ind w:firstLine="420"/>
        <w:jc w:val="both"/>
      </w:pPr>
      <w:r>
        <w:rPr>
          <w:sz w:val="21"/>
        </w:rPr>
        <w:t>3、乙方在进行本项目的服务期过程中，应严格恪守保密原则，如发现商业泄密，乙方将扣除乙方成交金额的5%作为违约金，同时追究其法律责任。</w:t>
      </w:r>
    </w:p>
    <w:p>
      <w:pPr>
        <w:ind w:firstLine="420"/>
        <w:jc w:val="both"/>
      </w:pPr>
      <w:r>
        <w:rPr>
          <w:sz w:val="21"/>
        </w:rPr>
        <w:t>4、其它违约责任按《中华人民共和国民法典》（合同编）处理。</w:t>
      </w:r>
    </w:p>
    <w:p>
      <w:pPr>
        <w:jc w:val="both"/>
      </w:pPr>
      <w:r>
        <w:rPr>
          <w:b/>
          <w:sz w:val="21"/>
        </w:rPr>
        <w:t>十五、争议的解决</w:t>
      </w:r>
    </w:p>
    <w:p>
      <w:pPr>
        <w:ind w:firstLine="420"/>
        <w:jc w:val="both"/>
      </w:pPr>
      <w:r>
        <w:rPr>
          <w:sz w:val="21"/>
        </w:rPr>
        <w:t>甲、乙双方因合同履行发生纠纷，应友好协商解决，协商仍不能解决的，双方约定向韶关仲裁委员会申请仲裁。违约方应赔偿守约方因此支出的全部费用。</w:t>
      </w:r>
    </w:p>
    <w:p>
      <w:pPr>
        <w:jc w:val="both"/>
      </w:pPr>
      <w:r>
        <w:rPr>
          <w:b/>
          <w:sz w:val="21"/>
        </w:rPr>
        <w:t>十六、不可抗力</w:t>
      </w:r>
    </w:p>
    <w:p>
      <w:pPr>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十七、</w:t>
      </w:r>
      <w:r>
        <w:rPr>
          <w:b/>
          <w:sz w:val="21"/>
        </w:rPr>
        <w:t>其它</w:t>
      </w:r>
    </w:p>
    <w:p>
      <w:pPr>
        <w:ind w:firstLine="420"/>
        <w:jc w:val="both"/>
      </w:pPr>
      <w:r>
        <w:rPr>
          <w:sz w:val="21"/>
        </w:rPr>
        <w:t>1、本合同所有附件、竞争性磋商文件、响应文件、成交通知书均为合同的有效组成部分，与本合同具有同等法律效力。解释的顺序除特别说明外，以文件生成时间在后的为准。</w:t>
      </w:r>
    </w:p>
    <w:p>
      <w:pPr>
        <w:ind w:firstLine="420"/>
        <w:jc w:val="both"/>
      </w:pPr>
      <w:r>
        <w:rPr>
          <w:sz w:val="21"/>
        </w:rPr>
        <w:t>2、在执行本合同的过程中，所有经双方签署确认的文件（包括会议纪要、补充协议、往来信函）即成为本合同的有效组成部分。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4、除乙方事先书面同意外，乙方不得部分或全部转让其应履行的合同项下的义务。</w:t>
      </w:r>
    </w:p>
    <w:p>
      <w:pPr>
        <w:jc w:val="both"/>
      </w:pPr>
      <w:r>
        <w:rPr>
          <w:b/>
          <w:sz w:val="21"/>
        </w:rPr>
        <w:t>十</w:t>
      </w:r>
      <w:r>
        <w:rPr>
          <w:b/>
          <w:sz w:val="21"/>
        </w:rPr>
        <w:t>八</w:t>
      </w:r>
      <w:r>
        <w:rPr>
          <w:b/>
          <w:sz w:val="21"/>
        </w:rPr>
        <w:t>、合同生效</w:t>
      </w:r>
    </w:p>
    <w:p>
      <w:pPr>
        <w:ind w:firstLine="420"/>
        <w:jc w:val="both"/>
      </w:pPr>
      <w:r>
        <w:rPr>
          <w:sz w:val="21"/>
        </w:rPr>
        <w:t>1、本</w:t>
      </w:r>
      <w:r>
        <w:rPr>
          <w:sz w:val="21"/>
        </w:rPr>
        <w:t>合同</w:t>
      </w:r>
      <w:r>
        <w:rPr>
          <w:sz w:val="21"/>
        </w:rPr>
        <w:t>经双方授权代表签字并加盖合同专用章或公章之日起生效，合同生效日期以最后一个签字日为准。</w:t>
      </w:r>
    </w:p>
    <w:p>
      <w:pPr>
        <w:ind w:firstLine="420"/>
        <w:jc w:val="left"/>
      </w:pPr>
      <w:r>
        <w:rPr>
          <w:sz w:val="21"/>
        </w:rPr>
        <w:t>2、本合同一式</w:t>
      </w:r>
      <w:r>
        <w:rPr>
          <w:sz w:val="21"/>
          <w:u w:val="single"/>
        </w:rPr>
        <w:t xml:space="preserve">    </w:t>
      </w:r>
      <w:r>
        <w:rPr>
          <w:sz w:val="21"/>
        </w:rPr>
        <w:t>份，乙方执</w:t>
      </w:r>
      <w:r>
        <w:rPr>
          <w:sz w:val="21"/>
          <w:u w:val="single"/>
        </w:rPr>
        <w:t xml:space="preserve">   </w:t>
      </w:r>
      <w:r>
        <w:rPr>
          <w:sz w:val="21"/>
        </w:rPr>
        <w:t>份、乙方执</w:t>
      </w:r>
      <w:r>
        <w:rPr>
          <w:sz w:val="21"/>
          <w:u w:val="single"/>
        </w:rPr>
        <w:t xml:space="preserve">   </w:t>
      </w:r>
      <w:r>
        <w:rPr>
          <w:sz w:val="21"/>
        </w:rPr>
        <w:t>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077"/>
        <w:gridCol w:w="4229"/>
      </w:tblGrid>
      <w:tr>
        <w:tc>
          <w:tcPr>
            <w:tcW w:type="dxa" w:w="4077"/>
            <w:tcBorders>
              <w:top w:val="none" w:color="000000" w:sz="4"/>
              <w:left w:val="none" w:color="000000" w:sz="4"/>
              <w:bottom w:val="none" w:color="000000" w:sz="4"/>
              <w:right w:val="none" w:color="000000" w:sz="4"/>
            </w:tcBorders>
            <w:vAlign w:val="top"/>
          </w:tcPr>
          <w:p>
            <w:pPr>
              <w:jc w:val="both"/>
            </w:pPr>
            <w:r>
              <w:rPr>
                <w:sz w:val="21"/>
              </w:rPr>
              <w:t>乙方（盖章）：</w:t>
            </w:r>
          </w:p>
        </w:tc>
        <w:tc>
          <w:tcPr>
            <w:tcW w:type="dxa" w:w="4229"/>
            <w:tcBorders>
              <w:top w:val="none" w:color="000000" w:sz="4"/>
              <w:left w:val="none" w:color="000000" w:sz="4"/>
              <w:bottom w:val="none" w:color="000000" w:sz="4"/>
              <w:right w:val="none" w:color="000000" w:sz="4"/>
            </w:tcBorders>
            <w:vAlign w:val="top"/>
          </w:tcPr>
          <w:p>
            <w:pPr>
              <w:jc w:val="both"/>
            </w:pPr>
            <w:r>
              <w:rPr>
                <w:sz w:val="21"/>
              </w:rPr>
              <w:t>乙方（盖章）：</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法人或其授权的代理人（签字）：</w:t>
            </w:r>
          </w:p>
        </w:tc>
        <w:tc>
          <w:tcPr>
            <w:tcW w:type="dxa" w:w="4229"/>
            <w:tcBorders>
              <w:top w:val="none" w:color="000000" w:sz="4"/>
              <w:left w:val="none" w:color="000000" w:sz="4"/>
              <w:bottom w:val="none" w:color="000000" w:sz="4"/>
              <w:right w:val="none" w:color="000000" w:sz="4"/>
            </w:tcBorders>
            <w:vAlign w:val="top"/>
          </w:tcPr>
          <w:p>
            <w:pPr>
              <w:jc w:val="both"/>
            </w:pPr>
            <w:r>
              <w:rPr>
                <w:sz w:val="21"/>
              </w:rPr>
              <w:t>法人或其授权的代理人（签字）：</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住</w:t>
            </w:r>
            <w:r>
              <w:rPr>
                <w:sz w:val="21"/>
              </w:rPr>
              <w:t xml:space="preserve">   </w:t>
            </w:r>
            <w:r>
              <w:rPr>
                <w:sz w:val="21"/>
              </w:rPr>
              <w:t>所：</w:t>
            </w:r>
          </w:p>
        </w:tc>
        <w:tc>
          <w:tcPr>
            <w:tcW w:type="dxa" w:w="4229"/>
            <w:tcBorders>
              <w:top w:val="none" w:color="000000" w:sz="4"/>
              <w:left w:val="none" w:color="000000" w:sz="4"/>
              <w:bottom w:val="none" w:color="000000" w:sz="4"/>
              <w:right w:val="none" w:color="000000" w:sz="4"/>
            </w:tcBorders>
            <w:vAlign w:val="top"/>
          </w:tcPr>
          <w:p>
            <w:pPr>
              <w:jc w:val="both"/>
            </w:pPr>
            <w:r>
              <w:rPr>
                <w:sz w:val="21"/>
              </w:rPr>
              <w:t>住</w:t>
            </w:r>
            <w:r>
              <w:rPr>
                <w:sz w:val="21"/>
              </w:rPr>
              <w:t xml:space="preserve">   </w:t>
            </w:r>
            <w:r>
              <w:rPr>
                <w:sz w:val="21"/>
              </w:rPr>
              <w:t>所：</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开户名称：</w:t>
            </w:r>
          </w:p>
        </w:tc>
        <w:tc>
          <w:tcPr>
            <w:tcW w:type="dxa" w:w="4229"/>
            <w:tcBorders>
              <w:top w:val="none" w:color="000000" w:sz="4"/>
              <w:left w:val="none" w:color="000000" w:sz="4"/>
              <w:bottom w:val="none" w:color="000000" w:sz="4"/>
              <w:right w:val="none" w:color="000000" w:sz="4"/>
            </w:tcBorders>
            <w:vAlign w:val="top"/>
          </w:tcPr>
          <w:p>
            <w:pPr>
              <w:jc w:val="both"/>
            </w:pPr>
            <w:r>
              <w:rPr>
                <w:sz w:val="21"/>
              </w:rPr>
              <w:t>开户名称：</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开户银行：</w:t>
            </w:r>
          </w:p>
        </w:tc>
        <w:tc>
          <w:tcPr>
            <w:tcW w:type="dxa" w:w="4229"/>
            <w:tcBorders>
              <w:top w:val="none" w:color="000000" w:sz="4"/>
              <w:left w:val="none" w:color="000000" w:sz="4"/>
              <w:bottom w:val="none" w:color="000000" w:sz="4"/>
              <w:right w:val="none" w:color="000000" w:sz="4"/>
            </w:tcBorders>
            <w:vAlign w:val="top"/>
          </w:tcPr>
          <w:p>
            <w:pPr>
              <w:jc w:val="both"/>
            </w:pPr>
            <w:r>
              <w:rPr>
                <w:sz w:val="21"/>
              </w:rPr>
              <w:t>开户银行：</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账</w:t>
            </w:r>
            <w:r>
              <w:rPr>
                <w:sz w:val="21"/>
              </w:rPr>
              <w:t xml:space="preserve">     </w:t>
            </w:r>
            <w:r>
              <w:rPr>
                <w:sz w:val="21"/>
              </w:rPr>
              <w:t>号：</w:t>
            </w:r>
          </w:p>
        </w:tc>
        <w:tc>
          <w:tcPr>
            <w:tcW w:type="dxa" w:w="4229"/>
            <w:tcBorders>
              <w:top w:val="none" w:color="000000" w:sz="4"/>
              <w:left w:val="none" w:color="000000" w:sz="4"/>
              <w:bottom w:val="none" w:color="000000" w:sz="4"/>
              <w:right w:val="none" w:color="000000" w:sz="4"/>
            </w:tcBorders>
            <w:vAlign w:val="top"/>
          </w:tcPr>
          <w:p>
            <w:pPr>
              <w:jc w:val="both"/>
            </w:pPr>
            <w:r>
              <w:rPr>
                <w:sz w:val="21"/>
              </w:rPr>
              <w:t>账</w:t>
            </w:r>
            <w:r>
              <w:rPr>
                <w:sz w:val="21"/>
              </w:rPr>
              <w:t xml:space="preserve">     </w:t>
            </w:r>
            <w:r>
              <w:rPr>
                <w:sz w:val="21"/>
              </w:rPr>
              <w:t>号：</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邮政编码：</w:t>
            </w:r>
            <w:r>
              <w:rPr>
                <w:sz w:val="21"/>
              </w:rPr>
              <w:t>512000</w:t>
            </w:r>
          </w:p>
        </w:tc>
        <w:tc>
          <w:tcPr>
            <w:tcW w:type="dxa" w:w="4229"/>
            <w:tcBorders>
              <w:top w:val="none" w:color="000000" w:sz="4"/>
              <w:left w:val="none" w:color="000000" w:sz="4"/>
              <w:bottom w:val="none" w:color="000000" w:sz="4"/>
              <w:right w:val="none" w:color="000000" w:sz="4"/>
            </w:tcBorders>
            <w:vAlign w:val="top"/>
          </w:tcPr>
          <w:p>
            <w:pPr>
              <w:jc w:val="both"/>
            </w:pPr>
            <w:r>
              <w:rPr>
                <w:sz w:val="21"/>
              </w:rPr>
              <w:t>邮政编码：</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联系电话：</w:t>
            </w:r>
          </w:p>
        </w:tc>
        <w:tc>
          <w:tcPr>
            <w:tcW w:type="dxa" w:w="4229"/>
            <w:tcBorders>
              <w:top w:val="none" w:color="000000" w:sz="4"/>
              <w:left w:val="none" w:color="000000" w:sz="4"/>
              <w:bottom w:val="none" w:color="000000" w:sz="4"/>
              <w:right w:val="none" w:color="000000" w:sz="4"/>
            </w:tcBorders>
            <w:vAlign w:val="top"/>
          </w:tcPr>
          <w:p>
            <w:pPr>
              <w:jc w:val="both"/>
            </w:pPr>
            <w:r>
              <w:rPr>
                <w:sz w:val="21"/>
              </w:rPr>
              <w:t>联系电话：</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传</w:t>
            </w:r>
            <w:r>
              <w:rPr>
                <w:sz w:val="21"/>
              </w:rPr>
              <w:t xml:space="preserve">  </w:t>
            </w:r>
            <w:r>
              <w:rPr>
                <w:sz w:val="21"/>
              </w:rPr>
              <w:t>真：</w:t>
            </w:r>
          </w:p>
        </w:tc>
        <w:tc>
          <w:tcPr>
            <w:tcW w:type="dxa" w:w="4229"/>
            <w:tcBorders>
              <w:top w:val="none" w:color="000000" w:sz="4"/>
              <w:left w:val="none" w:color="000000" w:sz="4"/>
              <w:bottom w:val="none" w:color="000000" w:sz="4"/>
              <w:right w:val="none" w:color="000000" w:sz="4"/>
            </w:tcBorders>
            <w:vAlign w:val="top"/>
          </w:tcPr>
          <w:p>
            <w:pPr>
              <w:jc w:val="both"/>
            </w:pPr>
            <w:r>
              <w:rPr>
                <w:sz w:val="21"/>
              </w:rPr>
              <w:t>传</w:t>
            </w:r>
            <w:r>
              <w:rPr>
                <w:sz w:val="21"/>
              </w:rPr>
              <w:t xml:space="preserve">  </w:t>
            </w:r>
            <w:r>
              <w:rPr>
                <w:sz w:val="21"/>
              </w:rPr>
              <w:t>真：</w:t>
            </w:r>
          </w:p>
        </w:tc>
      </w:tr>
      <w:tr>
        <w:tc>
          <w:tcPr>
            <w:tcW w:type="dxa" w:w="4077"/>
            <w:tcBorders>
              <w:top w:val="none" w:color="000000" w:sz="4"/>
              <w:left w:val="none" w:color="000000" w:sz="4"/>
              <w:bottom w:val="none" w:color="000000" w:sz="4"/>
              <w:right w:val="none" w:color="000000" w:sz="4"/>
            </w:tcBorders>
            <w:vAlign w:val="top"/>
          </w:tcPr>
          <w:p>
            <w:pPr>
              <w:jc w:val="both"/>
            </w:pPr>
            <w:r>
              <w:rPr>
                <w:sz w:val="21"/>
              </w:rPr>
              <w:t>电子信箱：</w:t>
            </w:r>
          </w:p>
        </w:tc>
        <w:tc>
          <w:tcPr>
            <w:tcW w:type="dxa" w:w="4229"/>
            <w:tcBorders>
              <w:top w:val="none" w:color="000000" w:sz="4"/>
              <w:left w:val="none" w:color="000000" w:sz="4"/>
              <w:bottom w:val="none" w:color="000000" w:sz="4"/>
              <w:right w:val="none" w:color="000000" w:sz="4"/>
            </w:tcBorders>
            <w:vAlign w:val="top"/>
          </w:tcPr>
          <w:p>
            <w:pPr>
              <w:jc w:val="both"/>
            </w:pPr>
            <w:r>
              <w:rPr>
                <w:sz w:val="21"/>
              </w:rPr>
              <w:t>电子信箱：</w:t>
            </w:r>
          </w:p>
        </w:tc>
      </w:tr>
    </w:tbl>
    <w:p>
      <w:pPr>
        <w:jc w:val="both"/>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440001-2023-40903</w:t>
      </w:r>
    </w:p>
    <w:p>
      <w:pPr>
        <w:jc w:val="center"/>
      </w:pPr>
      <w:r>
        <w:rPr>
          <w:b/>
          <w:sz w:val="24"/>
        </w:rPr>
        <w:t>采购项目编号：</w:t>
      </w:r>
      <w:r>
        <w:rPr>
          <w:b/>
          <w:sz w:val="24"/>
        </w:rPr>
        <w:t>GDYD230943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广东远东招标代理有限公司</w:t>
      </w:r>
    </w:p>
    <w:p>
      <w:pPr>
        <w:ind w:firstLine="480"/>
      </w:pPr>
      <w:r>
        <w:rPr/>
        <w:t>你方组织的</w:t>
      </w:r>
      <w:r>
        <w:rPr>
          <w:u w:val="single"/>
        </w:rPr>
        <w:t>“</w:t>
      </w:r>
      <w:r>
        <w:rPr>
          <w:u w:val="single"/>
        </w:rPr>
        <w:t>广东省北江监狱2023-2024年度日常维修服务项目(二次)</w:t>
      </w:r>
      <w:r>
        <w:rPr>
          <w:u w:val="single"/>
        </w:rPr>
        <w:t>”</w:t>
      </w:r>
      <w:r>
        <w:rPr/>
        <w:t>项目的竞争性磋商[采购项目编号为：</w:t>
      </w:r>
      <w:r>
        <w:rPr>
          <w:u w:val="single"/>
        </w:rPr>
        <w:t>GDYD230943</w:t>
      </w:r>
      <w:r>
        <w:rPr/>
        <w:t>]，我方愿参与响应。</w:t>
      </w:r>
    </w:p>
    <w:p>
      <w:pPr>
        <w:ind w:firstLine="480"/>
      </w:pPr>
      <w:r>
        <w:rPr/>
        <w:t>我方确认收到贵方提供的</w:t>
      </w:r>
      <w:r>
        <w:rPr>
          <w:u w:val="single"/>
        </w:rPr>
        <w:t>“</w:t>
      </w:r>
      <w:r>
        <w:rPr>
          <w:u w:val="single"/>
        </w:rPr>
        <w:t>广东省北江监狱2023-2024年度日常维修服务项目(二次)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广东省北江监狱2023-2024年度日常维修服务项目(二次)</w:t>
      </w:r>
      <w:r>
        <w:rPr/>
        <w:t>”项目采购[采购项目编号为</w:t>
      </w:r>
      <w:r>
        <w:rPr/>
        <w:t>GDYD230943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广东省北江监狱</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广东远东招标代理有限公司</w:t>
      </w:r>
    </w:p>
    <w:p>
      <w:pPr>
        <w:ind w:firstLine="480"/>
      </w:pPr>
      <w:r>
        <w:rPr/>
        <w:t>我单位参加贵公司组织的</w:t>
      </w:r>
      <w:r>
        <w:rPr/>
        <w:t>广东省北江监狱2023-2024年度日常维修服务项目(二次)</w:t>
      </w:r>
      <w:r>
        <w:rPr/>
        <w:t>（采购项目编号：</w:t>
      </w:r>
      <w:r>
        <w:rPr/>
        <w:t>GDYD230943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广东省北江监狱2023-2024年度日常维修服务项目(二次)</w:t>
      </w:r>
      <w:r>
        <w:rPr/>
        <w:t>”项目（采购项目编号：</w:t>
      </w:r>
      <w:r>
        <w:rPr/>
        <w:t>GDYD230943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