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440001-2025-18360</w:t>
      </w:r>
    </w:p>
    <w:p>
      <w:pPr>
        <w:pStyle w:val="null3"/>
        <w:jc w:val="center"/>
        <w:outlineLvl w:val="3"/>
      </w:pPr>
      <w:r>
        <w:rPr>
          <w:sz w:val="24"/>
          <w:b/>
        </w:rPr>
        <w:t>采购项目编号：</w:t>
      </w:r>
      <w:r>
        <w:rPr>
          <w:sz w:val="24"/>
          <w:b/>
        </w:rPr>
        <w:t>GDYD250208</w:t>
      </w:r>
    </w:p>
    <w:p>
      <w:pPr>
        <w:pStyle w:val="null3"/>
        <w:jc w:val="center"/>
        <w:outlineLvl w:val="3"/>
      </w:pPr>
      <w:r>
        <w:rPr>
          <w:sz w:val="24"/>
          <w:b/>
        </w:rPr>
        <w:t>项目名称：</w:t>
      </w:r>
      <w:r>
        <w:rPr>
          <w:sz w:val="24"/>
          <w:b/>
        </w:rPr>
        <w:t>南岭国家公园（广东乳源大峡谷省级自然保护区片区）科普教育基地(二次)</w:t>
      </w:r>
    </w:p>
    <w:p>
      <w:pPr>
        <w:pStyle w:val="null3"/>
        <w:jc w:val="center"/>
        <w:outlineLvl w:val="3"/>
      </w:pPr>
      <w:r>
        <w:rPr>
          <w:sz w:val="24"/>
          <w:b/>
        </w:rPr>
        <w:t>采购人：</w:t>
      </w:r>
      <w:r>
        <w:rPr>
          <w:sz w:val="24"/>
          <w:b/>
        </w:rPr>
        <w:t>广东乳源大峡谷省级自然保护区管理处</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广东乳源大峡谷省级自然保护区管理处</w:t>
      </w:r>
      <w:r>
        <w:rPr/>
        <w:t>的委托，采用</w:t>
      </w:r>
      <w:r>
        <w:rPr/>
        <w:t>竞争性磋商</w:t>
      </w:r>
      <w:r>
        <w:rPr/>
        <w:t>方式组织采购</w:t>
      </w:r>
      <w:r>
        <w:rPr/>
        <w:t>南岭国家公园（广东乳源大峡谷省级自然保护区片区）科普教育基地(二次)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南岭国家公园（广东乳源大峡谷省级自然保护区片区）科普教育基地(二次)</w:t>
      </w:r>
    </w:p>
    <w:p>
      <w:pPr>
        <w:pStyle w:val="null3"/>
        <w:ind w:firstLine="480"/>
      </w:pPr>
      <w:r>
        <w:rPr/>
        <w:t>采购计划编号：</w:t>
      </w:r>
      <w:r>
        <w:rPr/>
        <w:t>440001-2025-18360</w:t>
      </w:r>
    </w:p>
    <w:p>
      <w:pPr>
        <w:pStyle w:val="null3"/>
        <w:ind w:firstLine="480"/>
      </w:pPr>
      <w:r>
        <w:rPr/>
        <w:t>采购项目编号：</w:t>
      </w:r>
      <w:r>
        <w:rPr/>
        <w:t>GDYD250208</w:t>
      </w:r>
    </w:p>
    <w:p>
      <w:pPr>
        <w:pStyle w:val="null3"/>
        <w:ind w:firstLine="480"/>
      </w:pPr>
      <w:r>
        <w:rPr/>
        <w:t>采购方式：</w:t>
      </w:r>
      <w:r>
        <w:rPr/>
        <w:t>竞争性磋商</w:t>
      </w:r>
    </w:p>
    <w:p>
      <w:pPr>
        <w:pStyle w:val="null3"/>
        <w:ind w:firstLine="480"/>
      </w:pPr>
      <w:r>
        <w:rPr/>
        <w:t>预算金额：</w:t>
      </w:r>
      <w:r>
        <w:rPr/>
        <w:t>736,000.00</w:t>
      </w:r>
      <w:r>
        <w:rPr/>
        <w:t>元</w:t>
      </w:r>
    </w:p>
    <w:p>
      <w:pPr>
        <w:pStyle w:val="null3"/>
        <w:outlineLvl w:val="3"/>
      </w:pPr>
      <w:r>
        <w:rPr>
          <w:sz w:val="24"/>
          <w:b/>
        </w:rPr>
        <w:t>2.项目内容及需求情况（采购项目技术规格、参数及要求）</w:t>
      </w:r>
    </w:p>
    <w:p>
      <w:pPr>
        <w:pStyle w:val="null3"/>
      </w:pPr>
      <w:r>
        <w:rPr/>
        <w:t>采购包1(地质灾害危险性评估、水土保持方案编制):</w:t>
      </w:r>
    </w:p>
    <w:p>
      <w:pPr>
        <w:pStyle w:val="null3"/>
      </w:pPr>
      <w:r>
        <w:rPr/>
        <w:t>采购包预算金额：736,000.00元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工程设计前咨询服务</w:t>
            </w:r>
          </w:p>
        </w:tc>
        <w:tc>
          <w:tcPr>
            <w:tcW w:type="dxa" w:w="2052"/>
          </w:tcPr>
          <w:p>
            <w:pPr>
              <w:pStyle w:val="null3"/>
            </w:pPr>
            <w:r>
              <w:rPr/>
              <w:t>地质灾害危险性评估、水土保持方案编制</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736,000.00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合同履行期限：合同签订之日起至2025年11月30日。具体时间以所签订的合同约定时间为准。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经会计师事务所审计的2023年或2024年度财务状况报告；②同时提供a.基本开户行出具的资信证明，b.《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采购包1（地质灾害危险性评估、水土保持方案编制）：</w:t>
      </w:r>
      <w:r>
        <w:rPr/>
        <w:t>本采购包属于专门面向中小企业采购的项目，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采购包1（地质灾害危险性评估、水土保持方案编制）：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行政主管部门颁发的《地质灾害防治单位资质证书》，资质类别为地质灾害评估和治理工程勘查设计，资质等级为甲级。(承担本项目“地质灾害危险性评估”服务内容的供应商应当具备特定行业法定准入要求，供应商必须须具有行政主管部门颁发的《地质灾害防治单位资质证书》，资质类别为地质灾害评估和治理工程勘查设计，资质等级为甲级（注：①若独立投标，供应商应具备上述资质；②若联合体投标，多方共同承担“地质灾害危险性评估”工作，则各方均须具备上述资质；③若联合体投标，其中仅一方承担“地质灾害危险性评估”工作，则该方须具备上述资质，另一方未承担“地质灾害危险性评估”工作的无上述资质要求。须在《联合体共同投标协议书》上明确各方承担的工作内容。）)</w:t>
      </w:r>
    </w:p>
    <w:p>
      <w:pPr>
        <w:pStyle w:val="null3"/>
      </w:pPr>
      <w:r>
        <w:rPr/>
        <w:t>4)本采购包接受联合体投标。联合体以一个供应商的身份共同投标。 ①联合体成员数量不超过2个； ②联合体各方均需满足“1.供应商应具备《中华人民共和国政府采购法》第二十二条规定的条件，提供下列材料”的要求，响应文件中联合体各方分别提供证明材料并分别加盖其单位公章。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广东乳源大峡谷省级自然保护区管理处</w:t>
      </w:r>
    </w:p>
    <w:p>
      <w:pPr>
        <w:pStyle w:val="null3"/>
        <w:ind w:firstLine="480"/>
      </w:pPr>
      <w:r>
        <w:rPr/>
        <w:t>地址：</w:t>
      </w:r>
      <w:r>
        <w:rPr/>
        <w:t>韶关市乳源县乳城镇解放北路3号四楼</w:t>
      </w:r>
    </w:p>
    <w:p>
      <w:pPr>
        <w:pStyle w:val="null3"/>
        <w:ind w:firstLine="480"/>
      </w:pPr>
      <w:r>
        <w:rPr/>
        <w:t>联系方式：</w:t>
      </w:r>
      <w:r>
        <w:rPr/>
        <w:t>0751-5374193</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邹小姐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采购项目需求一览表</w:t>
      </w:r>
    </w:p>
    <w:p>
      <w:pPr>
        <w:pStyle w:val="null3"/>
        <w:jc w:val="both"/>
      </w:pPr>
      <w:r>
        <w:rPr>
          <w:sz w:val="24"/>
          <w:b/>
        </w:rPr>
        <w:t>1、项目需求</w:t>
      </w:r>
    </w:p>
    <w:tbl>
      <w:tblPr>
        <w:tblW w:w="0" w:type="auto"/>
        <w:tblBorders>
          <w:top w:val="none" w:color="000000" w:sz="4"/>
          <w:left w:val="none" w:color="000000" w:sz="4"/>
          <w:bottom w:val="none" w:color="000000" w:sz="4"/>
          <w:right w:val="none" w:color="000000" w:sz="4"/>
          <w:insideH w:val="none"/>
          <w:insideV w:val="none"/>
        </w:tblBorders>
      </w:tblPr>
      <w:tblGrid>
        <w:gridCol w:w="3366"/>
        <w:gridCol w:w="2380"/>
        <w:gridCol w:w="2517"/>
      </w:tblGrid>
      <w:tr>
        <w:tc>
          <w:tcPr>
            <w:tcW w:type="dxa" w:w="3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b/>
                <w:shd w:fill="FFFFFF" w:val="clear"/>
              </w:rPr>
              <w:t>采购包名称</w:t>
            </w:r>
          </w:p>
        </w:tc>
        <w:tc>
          <w:tcPr>
            <w:tcW w:type="dxa" w:w="2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4"/>
                <w:b/>
                <w:shd w:fill="FFFFFF" w:val="clear"/>
              </w:rPr>
              <w:t>数量（单位）</w:t>
            </w:r>
          </w:p>
        </w:tc>
        <w:tc>
          <w:tcPr>
            <w:tcW w:type="dxa" w:w="2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r>
              <w:rPr>
                <w:sz w:val="24"/>
                <w:b/>
              </w:rPr>
              <w:t>/最高限价</w:t>
            </w:r>
          </w:p>
        </w:tc>
      </w:tr>
      <w:tr>
        <w:tc>
          <w:tcPr>
            <w:tcW w:type="dxa" w:w="3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地质灾害危险性评估、水土保持方案编制</w:t>
            </w:r>
          </w:p>
        </w:tc>
        <w:tc>
          <w:tcPr>
            <w:tcW w:type="dxa" w:w="2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4"/>
                <w:shd w:fill="FFFFFF" w:val="clear"/>
              </w:rPr>
              <w:t>1项</w:t>
            </w:r>
          </w:p>
        </w:tc>
        <w:tc>
          <w:tcPr>
            <w:tcW w:type="dxa" w:w="2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736</w:t>
            </w:r>
            <w:r>
              <w:rPr>
                <w:sz w:val="24"/>
              </w:rPr>
              <w:t>,000.00元</w:t>
            </w:r>
          </w:p>
        </w:tc>
      </w:tr>
    </w:tbl>
    <w:p>
      <w:pPr>
        <w:pStyle w:val="null3"/>
        <w:ind w:firstLine="482"/>
        <w:jc w:val="left"/>
      </w:pPr>
      <w:r>
        <w:rPr>
          <w:sz w:val="24"/>
          <w:b/>
        </w:rPr>
        <w:t>注：</w:t>
      </w:r>
      <w:r>
        <w:rPr>
          <w:sz w:val="24"/>
          <w:b/>
        </w:rPr>
        <w:t>本项目兼投</w:t>
      </w:r>
      <w:r>
        <w:rPr>
          <w:sz w:val="24"/>
          <w:b/>
        </w:rPr>
        <w:t>不</w:t>
      </w:r>
      <w:r>
        <w:rPr>
          <w:sz w:val="24"/>
          <w:b/>
        </w:rPr>
        <w:t>兼中：已成为采购包</w:t>
      </w:r>
      <w:r>
        <w:rPr>
          <w:sz w:val="24"/>
          <w:b/>
        </w:rPr>
        <w:t>1(项目建议书编制、可行性研究报告编制、树木保护专章编制、节能评估报告书编制、社会稳定风险评估)的第一成交候选人不得参与本项目</w:t>
      </w:r>
      <w:r>
        <w:rPr>
          <w:sz w:val="24"/>
          <w:b/>
        </w:rPr>
        <w:t>。</w:t>
      </w:r>
    </w:p>
    <w:p>
      <w:pPr>
        <w:pStyle w:val="null3"/>
        <w:ind w:firstLine="480"/>
        <w:jc w:val="left"/>
      </w:pPr>
      <w:r>
        <w:rPr>
          <w:sz w:val="24"/>
        </w:rPr>
        <w:t>2、项目实施的政策文件依据</w:t>
      </w:r>
    </w:p>
    <w:p>
      <w:pPr>
        <w:pStyle w:val="null3"/>
        <w:ind w:firstLine="480"/>
        <w:jc w:val="left"/>
      </w:pPr>
      <w:r>
        <w:rPr>
          <w:sz w:val="24"/>
        </w:rPr>
        <w:t>《建立国家公园体制总体方案》（中共中央办公厅</w:t>
      </w:r>
      <w:r>
        <w:rPr>
          <w:sz w:val="24"/>
        </w:rPr>
        <w:t>国务院办公厅）</w:t>
      </w:r>
    </w:p>
    <w:p>
      <w:pPr>
        <w:pStyle w:val="null3"/>
        <w:ind w:firstLine="480"/>
        <w:jc w:val="left"/>
      </w:pPr>
      <w:r>
        <w:rPr>
          <w:sz w:val="24"/>
        </w:rPr>
        <w:t>《关于建立以国家公园为主体的自然保护地体系的指导意见》（中共中央办公厅</w:t>
      </w:r>
      <w:r>
        <w:rPr>
          <w:sz w:val="24"/>
        </w:rPr>
        <w:t>国务院办公厅）</w:t>
      </w:r>
    </w:p>
    <w:p>
      <w:pPr>
        <w:pStyle w:val="null3"/>
        <w:ind w:firstLine="480"/>
        <w:jc w:val="left"/>
      </w:pPr>
      <w:r>
        <w:rPr>
          <w:sz w:val="24"/>
        </w:rPr>
        <w:t>《国家公园空间布局方案》</w:t>
      </w:r>
    </w:p>
    <w:p>
      <w:pPr>
        <w:pStyle w:val="null3"/>
        <w:ind w:firstLine="480"/>
        <w:jc w:val="left"/>
      </w:pPr>
      <w:r>
        <w:rPr>
          <w:sz w:val="24"/>
        </w:rPr>
        <w:t>《关于加快推进生态文明建设的意见》</w:t>
      </w:r>
    </w:p>
    <w:p>
      <w:pPr>
        <w:pStyle w:val="null3"/>
        <w:ind w:firstLine="480"/>
        <w:jc w:val="left"/>
      </w:pPr>
      <w:r>
        <w:rPr>
          <w:sz w:val="24"/>
        </w:rPr>
        <w:t>《生态文明体制改革总体方案》</w:t>
      </w:r>
    </w:p>
    <w:p>
      <w:pPr>
        <w:pStyle w:val="null3"/>
        <w:ind w:firstLine="480"/>
        <w:jc w:val="left"/>
      </w:pPr>
      <w:r>
        <w:rPr>
          <w:sz w:val="24"/>
        </w:rPr>
        <w:t>《广东省自然教育发展</w:t>
      </w:r>
      <w:r>
        <w:rPr>
          <w:sz w:val="24"/>
        </w:rPr>
        <w:t>“十四五”规划（2021-2025年）》</w:t>
      </w:r>
    </w:p>
    <w:p>
      <w:pPr>
        <w:pStyle w:val="null3"/>
        <w:ind w:firstLine="480"/>
        <w:jc w:val="left"/>
      </w:pPr>
      <w:r>
        <w:rPr>
          <w:sz w:val="24"/>
        </w:rPr>
        <w:t>《南岭国家公园总体规划》</w:t>
      </w:r>
    </w:p>
    <w:p>
      <w:pPr>
        <w:pStyle w:val="null3"/>
        <w:ind w:firstLine="480"/>
        <w:jc w:val="left"/>
      </w:pPr>
      <w:r>
        <w:rPr>
          <w:sz w:val="24"/>
        </w:rPr>
        <w:t>3、项目工程预算约18800万元。</w:t>
      </w:r>
    </w:p>
    <w:p>
      <w:pPr>
        <w:pStyle w:val="null3"/>
        <w:jc w:val="both"/>
      </w:pPr>
      <w:r>
        <w:rPr>
          <w:sz w:val="24"/>
          <w:b/>
        </w:rPr>
        <w:t>（二）项目采购内容清单</w:t>
      </w:r>
    </w:p>
    <w:tbl>
      <w:tblPr>
        <w:tblW w:w="0" w:type="auto"/>
        <w:tblBorders>
          <w:top w:val="none" w:color="000000" w:sz="4"/>
          <w:left w:val="none" w:color="000000" w:sz="4"/>
          <w:bottom w:val="none" w:color="000000" w:sz="4"/>
          <w:right w:val="none" w:color="000000" w:sz="4"/>
          <w:insideH w:val="none"/>
          <w:insideV w:val="none"/>
        </w:tblBorders>
      </w:tblPr>
      <w:tblGrid>
        <w:gridCol w:w="1378"/>
        <w:gridCol w:w="3059"/>
        <w:gridCol w:w="3855"/>
      </w:tblGrid>
      <w:tr>
        <w:tc>
          <w:tcPr>
            <w:tcW w:type="dxa" w:w="1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3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单项最高限价（元）</w:t>
            </w:r>
          </w:p>
        </w:tc>
      </w:tr>
      <w:tr>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地质灾害危险性评估</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100,000.00</w:t>
            </w:r>
          </w:p>
        </w:tc>
      </w:tr>
      <w:tr>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水土保持方案编制</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636,000.00</w:t>
            </w:r>
          </w:p>
        </w:tc>
      </w:tr>
      <w:tr>
        <w:tc>
          <w:tcPr>
            <w:tcW w:type="dxa" w:w="44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736</w:t>
            </w:r>
            <w:r>
              <w:rPr>
                <w:sz w:val="24"/>
              </w:rPr>
              <w:t>,000.00</w:t>
            </w:r>
          </w:p>
        </w:tc>
      </w:tr>
    </w:tbl>
    <w:p>
      <w:pPr>
        <w:pStyle w:val="null3"/>
        <w:jc w:val="both"/>
      </w:pPr>
      <w:r>
        <w:rPr>
          <w:sz w:val="24"/>
          <w:b/>
        </w:rPr>
        <w:t>（三）前期工作概况</w:t>
      </w:r>
    </w:p>
    <w:p>
      <w:pPr>
        <w:pStyle w:val="null3"/>
        <w:ind w:firstLine="480"/>
        <w:jc w:val="left"/>
      </w:pPr>
      <w:r>
        <w:rPr>
          <w:sz w:val="24"/>
        </w:rPr>
        <w:t>1、2021年9月，保护区管理处向乳源县人民政府提出科普教育基地项目，规划基地总面积13.64公顷，包含建设用地3.26公顷，选址于大峡谷保护区实验区大峡谷景区旁的大结冲、上下冲一带，属于集体林地范畴，并未列入生态保护红线区域。规划内容包括地质博物馆、访客服务中心等多元化设施，以满足科普、研学、生态旅游等多重需求。</w:t>
      </w:r>
    </w:p>
    <w:p>
      <w:pPr>
        <w:pStyle w:val="null3"/>
        <w:ind w:firstLine="480"/>
        <w:jc w:val="left"/>
      </w:pPr>
      <w:r>
        <w:rPr>
          <w:sz w:val="24"/>
        </w:rPr>
        <w:t>2、2022年2月，乳源县已将科普教育基地项目列为2021-2035年重点建设项目，并纳入《乳源瑶族自治县国土空间总体规划（2021—2035 年）》，项目范围面积13.64公顷，至2035年新增建设用地3.26公顷，建设年限为2022-2028年；2023年11月，广东省人民政府以粤府函【2023】289号《关于&lt;乳源瑶族自治县国土空间总体规划（2021-2035年）&gt;的批复》，审查通过了《乳源瑶族自治县国土空间总体规划（2021—2035 年）》；</w:t>
      </w:r>
    </w:p>
    <w:p>
      <w:pPr>
        <w:pStyle w:val="null3"/>
        <w:ind w:firstLine="480"/>
        <w:jc w:val="left"/>
      </w:pPr>
      <w:r>
        <w:rPr>
          <w:sz w:val="24"/>
        </w:rPr>
        <w:t>3、2023年3月，经省林业局批准，保护区管理处组织实施了“科普教育基地前期设计项目”，编制完成科普教育基地总体规划设计方案、分期实施方案和建设项目环境影响报告表，2023年12月，项目及总体规划设计方案通过了专家的评审。</w:t>
      </w:r>
    </w:p>
    <w:p>
      <w:pPr>
        <w:pStyle w:val="null3"/>
        <w:jc w:val="both"/>
      </w:pPr>
      <w:r>
        <w:rPr>
          <w:sz w:val="24"/>
          <w:b/>
        </w:rPr>
        <w:t>（四）实施必要性简要情况</w:t>
      </w:r>
    </w:p>
    <w:p>
      <w:pPr>
        <w:pStyle w:val="null3"/>
        <w:ind w:firstLine="480"/>
        <w:jc w:val="left"/>
      </w:pPr>
      <w:r>
        <w:rPr>
          <w:sz w:val="24"/>
        </w:rPr>
        <w:t>1、项目实施是国家政策的需求</w:t>
      </w:r>
    </w:p>
    <w:p>
      <w:pPr>
        <w:pStyle w:val="null3"/>
        <w:ind w:firstLine="480"/>
        <w:jc w:val="left"/>
      </w:pPr>
      <w:r>
        <w:rPr>
          <w:sz w:val="24"/>
        </w:rPr>
        <w:t>广东省委、省政府高度重视国家公园创建工作，将创建国家公园作为全省进行自然保护地体系重构的关键和重点工作。根据《南岭国家公园总体规划（</w:t>
      </w:r>
      <w:r>
        <w:rPr>
          <w:sz w:val="24"/>
        </w:rPr>
        <w:t>2021-2035年）》、《南岭国家公园生态教育与自然体验专项规划》（2021-2035年）等文件要求，需做好南岭国家公园科普宣教工作。项目地实施对推进南岭国家公园建设，筑牢粤港澳大湾区生态安全屏障，推动区域生态文明建设具有重要意义。</w:t>
      </w:r>
    </w:p>
    <w:p>
      <w:pPr>
        <w:pStyle w:val="null3"/>
        <w:ind w:firstLine="480"/>
        <w:jc w:val="left"/>
      </w:pPr>
      <w:r>
        <w:rPr>
          <w:sz w:val="24"/>
        </w:rPr>
        <w:t>2、项目实施是南岭国家公园提升科普教育能力的需求</w:t>
      </w:r>
    </w:p>
    <w:p>
      <w:pPr>
        <w:pStyle w:val="null3"/>
        <w:ind w:firstLine="480"/>
        <w:jc w:val="left"/>
      </w:pPr>
      <w:r>
        <w:rPr>
          <w:sz w:val="24"/>
        </w:rPr>
        <w:t>大峡谷保护位于国家公园韶关片与清远片交接地带，周边有国道、省道和高速，交通便捷，是国家公园的关键节点和未来重要交通枢纽。保护区是广东省科普教育基地，近年来通过广东大峡谷这个国家</w:t>
      </w:r>
      <w:r>
        <w:rPr>
          <w:sz w:val="24"/>
        </w:rPr>
        <w:t>4A级景区平台，不断扩大宣教群体和范围，越来越成为最优质的科普宣教基地。项目的实施是响应南岭国家公园建设的具体实践，是自然保护地探索全民共享机制的内在要求，是乳源大峡谷推进文旅与科普深度融合的有力尝试，以及响应双减政策与研学旅行政策号召的积极行动。</w:t>
      </w:r>
    </w:p>
    <w:p>
      <w:pPr>
        <w:pStyle w:val="null3"/>
        <w:ind w:firstLine="480"/>
        <w:jc w:val="left"/>
      </w:pPr>
      <w:r>
        <w:rPr>
          <w:sz w:val="24"/>
        </w:rPr>
        <w:t>3、项目实施是发挥基础设施功能的需要</w:t>
      </w:r>
    </w:p>
    <w:p>
      <w:pPr>
        <w:pStyle w:val="null3"/>
        <w:ind w:firstLine="480"/>
        <w:jc w:val="left"/>
      </w:pPr>
      <w:r>
        <w:rPr>
          <w:sz w:val="24"/>
        </w:rPr>
        <w:t>大峡谷保护区片区缺少系统化完整的科普教育基地，各个科普设施使用率不高。</w:t>
      </w:r>
      <w:r>
        <w:rPr>
          <w:sz w:val="24"/>
        </w:rPr>
        <w:t>2021年，南岭国家公园规划打造广东大峡谷原生探秘体验区，建设大峡谷研学教育基地，重点建设地质博物馆、访客服务中心、训练基地、自然学校、智慧科普展示园、科研教学实习基地、野外环教点、生态教育步道等项目。为充分发挥设施的功能，考虑到科普教育与环境保护高度融合，结合项目区的特点，进行功能优化提升，规划建设系统化地科普教育基地，用以满足科普教育、自然教育等活动。</w:t>
      </w:r>
    </w:p>
    <w:p>
      <w:pPr>
        <w:pStyle w:val="null3"/>
        <w:ind w:firstLine="480"/>
        <w:jc w:val="left"/>
      </w:pPr>
      <w:r>
        <w:rPr>
          <w:sz w:val="24"/>
        </w:rPr>
        <w:t>4、科普基地建设是南岭国家公园项目落地实施的重要基础保障</w:t>
      </w:r>
    </w:p>
    <w:p>
      <w:pPr>
        <w:pStyle w:val="null3"/>
        <w:ind w:firstLine="480"/>
        <w:jc w:val="left"/>
      </w:pPr>
      <w:r>
        <w:rPr>
          <w:sz w:val="24"/>
        </w:rPr>
        <w:t>南岭国家公园（广东乳源大峡谷省级自然保护区片区）科普教育基地项目</w:t>
      </w:r>
      <w:r>
        <w:rPr>
          <w:sz w:val="24"/>
        </w:rPr>
        <w:t>2022年列为乳源县重点建设项目并纳入《乳源瑶族自治县国土空间总体规划（2021—2035 年）》，2023年广东省人民政府审查通过了《乳源瑶族自治县国土空间总体规划（2021—2035 年）》，为南岭国家公园建设项目提供政策保障，确保了用地的合法性。项目的实施，不仅可以解决大峡谷片区的项目建设，还可为南岭国家公园其他项目提供建设用地，为公园的长远发展预留空间。</w:t>
      </w:r>
    </w:p>
    <w:p>
      <w:pPr>
        <w:pStyle w:val="null3"/>
        <w:jc w:val="both"/>
      </w:pPr>
      <w:r>
        <w:rPr>
          <w:sz w:val="24"/>
          <w:b/>
        </w:rPr>
        <w:t>（五）实施可行性简要情况</w:t>
      </w:r>
    </w:p>
    <w:p>
      <w:pPr>
        <w:pStyle w:val="null3"/>
        <w:ind w:firstLine="480"/>
        <w:jc w:val="left"/>
      </w:pPr>
      <w:r>
        <w:rPr>
          <w:sz w:val="24"/>
        </w:rPr>
        <w:t>1、项目符合广东省、韶关市的“三线一单”方案</w:t>
      </w:r>
    </w:p>
    <w:p>
      <w:pPr>
        <w:pStyle w:val="null3"/>
        <w:ind w:firstLine="480"/>
        <w:jc w:val="left"/>
      </w:pPr>
      <w:r>
        <w:rPr>
          <w:sz w:val="24"/>
        </w:rPr>
        <w:t>根据《广东省人民政府关于印发广东省</w:t>
      </w:r>
      <w:r>
        <w:rPr>
          <w:sz w:val="24"/>
        </w:rPr>
        <w:t>“三线一单”生态环境分区管控方案的通知》（粤府〔2020〕71号）与《韶关市人民政府关于印发韶关市“三线一单”生态环境分区管控方案的通知》（韶府〔2021〕10号）文件，项目范围不涉及生态保护红线自然保护地核心保护区，项目主要建设地质博物馆、森林消防训练基地、访客中心、自然学校、坝头观景平台、停车场、入口景观大道、生态教育道等，属于基础建设项目，符合相关区域布局管控、能源资源利用、污染物排放管控和环境风险防控要求。</w:t>
      </w:r>
    </w:p>
    <w:p>
      <w:pPr>
        <w:pStyle w:val="null3"/>
        <w:ind w:firstLine="480"/>
        <w:jc w:val="left"/>
      </w:pPr>
      <w:r>
        <w:rPr>
          <w:sz w:val="24"/>
        </w:rPr>
        <w:t>2、项目符合政策规范要求</w:t>
      </w:r>
    </w:p>
    <w:p>
      <w:pPr>
        <w:pStyle w:val="null3"/>
        <w:ind w:firstLine="480"/>
        <w:jc w:val="left"/>
      </w:pPr>
      <w:r>
        <w:rPr>
          <w:sz w:val="24"/>
        </w:rPr>
        <w:t>本项目的技术设计主要执行现行的国家、部委及广东省有关现行的强制性标准和法规、规范、规程、规章、规定等；没有国家标准、规范时，有行业标准、规范的，使用行业标准、规范；没有行业标准、规范的，使用广东省标准、规范；没有地方标准、规范的，按照招标人的要求进行；如有最新技术标准的，按最新的技术标准进行。</w:t>
      </w:r>
    </w:p>
    <w:p>
      <w:pPr>
        <w:pStyle w:val="null3"/>
        <w:ind w:firstLine="480"/>
        <w:jc w:val="left"/>
      </w:pPr>
      <w:r>
        <w:rPr>
          <w:sz w:val="24"/>
        </w:rPr>
        <w:t>3、符合南岭国家公园的建设要求</w:t>
      </w:r>
    </w:p>
    <w:p>
      <w:pPr>
        <w:pStyle w:val="null3"/>
        <w:ind w:firstLine="480"/>
        <w:jc w:val="left"/>
      </w:pPr>
      <w:r>
        <w:rPr>
          <w:sz w:val="24"/>
        </w:rPr>
        <w:t>（</w:t>
      </w:r>
      <w:r>
        <w:rPr>
          <w:sz w:val="24"/>
        </w:rPr>
        <w:t>1）《南岭国家公园总体规划（2021-203年）》提出将南岭国家公园打造成世界湾区国家公园建设典范区、中国发达地区人与自然和谐共生典范区、南岭山地水源涵养和生态保护修复引领区、粤港澳大湾区经济带体制改革和绿色崛起先行区、中国自然保护地生态教育和自然体验示范区。规划将科普教育展示分为综合场馆式、开放体验式、媒介传播式和交互沟通式4种类型，布局“一个综合科普教育中心+N个研学教育基地”的科普教育展示体系，即南岭综合科普教育中心以及罗坑鳄蜥、南水湖、乳源大峡谷、天井山、阳山、秤架、大东山龙坪和石门台等研学教育基地，通过室内宣教与室外展示有机结合，打造不同科普教育主题。乳源大峡谷省级自然保护区规划建设科普教育基地，是响应《南岭国家公园总体规划（2021-2030年）》相关内容的具体实践，是完善南岭国家公园“一个综合科普教育中心+N个研学教育基地”科普教育展示体系的必要措施。</w:t>
      </w:r>
    </w:p>
    <w:p>
      <w:pPr>
        <w:pStyle w:val="null3"/>
        <w:ind w:firstLine="480"/>
        <w:jc w:val="left"/>
      </w:pPr>
      <w:r>
        <w:rPr>
          <w:sz w:val="24"/>
        </w:rPr>
        <w:t>（</w:t>
      </w:r>
      <w:r>
        <w:rPr>
          <w:sz w:val="24"/>
        </w:rPr>
        <w:t>2）《南岭国家公园生态教育与自然体验专项规划（2021-2035年）》提出依托南岭优质的亚热带常绿阔叶林及其野生动植物资源，在总体规划指导下，坚持“创新、协调、绿色、开放、共享”发展理念，将南岭国家公园打造成为：中国自然保护地生态教育和自然体验示范区、粤港澳大湾区生态教育和自然体验目的地。</w:t>
      </w:r>
    </w:p>
    <w:p>
      <w:pPr>
        <w:pStyle w:val="null3"/>
        <w:ind w:firstLine="480"/>
        <w:jc w:val="left"/>
      </w:pPr>
      <w:r>
        <w:rPr>
          <w:sz w:val="24"/>
        </w:rPr>
        <w:t>根据资源类型进行自然体验不同类型的定位，突出各区域的资源特色来开展不同类型的自然体验项目。根据自然与人文资源综合评价，对其景观价值、科研价值、人文价值以及科普教育价值的现状研究，以</w:t>
      </w:r>
      <w:r>
        <w:rPr>
          <w:sz w:val="24"/>
        </w:rPr>
        <w:t>“原、奇、灵、智、和”五大特色为指引，最终形成了以不同主题为主的重点体验展示区，即罗坑科普教育体验区、南岭智慧研学体验区、天井山四季全时体验区、大东山高山平湖休闲体验区、广东大峡谷原生探秘体验区、石门台亲水休闲体验区、波罗河山水画廊体验区。</w:t>
      </w:r>
    </w:p>
    <w:p>
      <w:pPr>
        <w:pStyle w:val="null3"/>
        <w:ind w:firstLine="480"/>
        <w:jc w:val="left"/>
      </w:pPr>
      <w:r>
        <w:rPr>
          <w:sz w:val="24"/>
        </w:rPr>
        <w:t>规划整合广东大峡谷现有步道沿线体验资源，以线串点打造一条景观独特、内涵丰富的峡谷景观体验带，通过整合资源类型，将各类资源进行数字化、智能解说化，突出广东大峡谷资源的丰富性，便于访客记忆，易于科普宣传，同时也是对广东大峡谷现有步道线路景观的提炼和文化内涵的提升，使广东大峡谷成为生态文化展示、科普宣传教育以及自然风貌观光的重要组成部分。根据广东大峡谷原生探秘体验区的资源特色及功能需求，规划建设乳源大峡谷地质科普馆、智慧科普展示园、生态教育步道、野外环教点、科研教学实习基地、自然学校、访客管理服务中心等设施。</w:t>
      </w:r>
    </w:p>
    <w:p>
      <w:pPr>
        <w:pStyle w:val="null3"/>
        <w:ind w:firstLine="480"/>
        <w:jc w:val="left"/>
      </w:pPr>
      <w:r>
        <w:rPr>
          <w:sz w:val="24"/>
        </w:rPr>
        <w:t>4、大峡谷保护区片区公众教育能力</w:t>
      </w:r>
    </w:p>
    <w:p>
      <w:pPr>
        <w:pStyle w:val="null3"/>
        <w:ind w:firstLine="480"/>
        <w:jc w:val="left"/>
      </w:pPr>
      <w:r>
        <w:rPr>
          <w:sz w:val="24"/>
        </w:rPr>
        <w:t>保护区历来重视生态环境及科普教育工作，一是通过科普志愿者服务队伍组建并培训，扩大了生态教育影响力</w:t>
      </w:r>
      <w:r>
        <w:rPr>
          <w:sz w:val="24"/>
        </w:rPr>
        <w:t>,提高了科普人员素质，提高科普宣教能力和质量；二占领了大峡谷景区这一优质宣传阵地,扩大受众群体和范围,对每一位游客进行自然生态科普宣传；三是丰富了科普宣传手段，通过科普进校园、进社区、进景区等活动，利用宣传栏、展板、横额、视频、课堂宣讲、电视及新媒体宣传、发放宣传资料等手段，多种渠道、多种方式向公众普及科学知识、倡导科学方法、传播科学思想、弘扬科学精神；四是充分发挥“基地”作用，营造浓郁的科普氛围，掀起学科学、爱科学、讲科学、用科学的新高潮，积极组织各行业各部门联合开展高质量公益科普活动和科普惠民活动，提高社区群众对自然保护和生态环保意识。</w:t>
      </w:r>
    </w:p>
    <w:p>
      <w:pPr>
        <w:pStyle w:val="null3"/>
        <w:ind w:firstLine="480"/>
        <w:jc w:val="left"/>
      </w:pPr>
      <w:r>
        <w:rPr>
          <w:sz w:val="24"/>
        </w:rPr>
        <w:t>保护区目前建设有宣教中心、自然课堂、自然科普教育径和科普长廊和广东大峡谷景区，</w:t>
      </w:r>
      <w:r>
        <w:rPr>
          <w:sz w:val="24"/>
        </w:rPr>
        <w:t>2024年在建社区和校园科普课堂3个，社会和校园科普宣传栏5个。有音像、书刊、画册等宣传资料，配备有解说系统等，能为不同类型的访客进行系统讲解，室内宣教设施设备基本能满足目前保护区科普宣教需求。并且拥有一支专业的教育团队，具有丰富的环境教育经验和教学技能，配有专职科普工作人员2人，兼职科普工作人员5人，科普志愿者30人，同时保护区一直保持与科研院校及专家学者的沟通交流，学习新的好的科技手段和能力，不断提高自己的科研宣教水平。近年来，保护区制作了多种宣传手册、折页、画册、图鉴、视频，采取资料发放、会议发动、活动宣讲、媒体宣传等方式，结合“世界野生动植物日”、“全国生态日”、“世界生物多样性日”等主题宣传日持续开展科普进社区、科普进景区和科普进校园活动，年服务公众人数达6万人次以上。</w:t>
      </w:r>
    </w:p>
    <w:p>
      <w:pPr>
        <w:pStyle w:val="null3"/>
        <w:ind w:firstLine="480"/>
        <w:jc w:val="left"/>
      </w:pPr>
      <w:r>
        <w:rPr>
          <w:sz w:val="24"/>
        </w:rPr>
        <w:t>乳源大峡谷有着特殊的地理区位、</w:t>
      </w:r>
      <w:r>
        <w:rPr>
          <w:sz w:val="24"/>
        </w:rPr>
        <w:t>文化区位与交通区位</w:t>
      </w:r>
      <w:r>
        <w:rPr>
          <w:sz w:val="24"/>
        </w:rPr>
        <w:t>,可承接生态旅游、研学、科普教育的客群需求,科普教育基地的建设，将有利于推进文旅与科普深度融，全面提升南岭国家公园（拟建）乳源大峡谷片区对外的科普宣教能力。</w:t>
      </w:r>
    </w:p>
    <w:p>
      <w:pPr>
        <w:pStyle w:val="null3"/>
        <w:ind w:firstLine="480"/>
        <w:jc w:val="left"/>
      </w:pPr>
      <w:r>
        <w:rPr>
          <w:sz w:val="24"/>
        </w:rPr>
        <w:t>5、大峡谷保护区社区协调能力</w:t>
      </w:r>
    </w:p>
    <w:p>
      <w:pPr>
        <w:pStyle w:val="null3"/>
        <w:ind w:firstLine="480"/>
        <w:jc w:val="left"/>
      </w:pPr>
      <w:r>
        <w:rPr>
          <w:sz w:val="24"/>
        </w:rPr>
        <w:t>大峡谷保护区管理处同区内的村委会签订了社区共管协议。通过聘请当地村民担任护林人员的方式积极争取当地村民组织对保护区工作的支持，引导和鼓励群众积极参与保护区的生态环境保护，提高了村民的保护意识，使他们能够自觉遵守自然保护区的管理规定。</w:t>
      </w:r>
    </w:p>
    <w:p>
      <w:pPr>
        <w:pStyle w:val="null3"/>
        <w:jc w:val="both"/>
      </w:pPr>
      <w:r>
        <w:rPr>
          <w:sz w:val="24"/>
        </w:rPr>
        <w:t>保护区也通过在政策、资金、提供技术等方面帮助社区群众发展茶叶、水果等经济作物的生产，搞好林区公路建设，使社会群众成为资源保护的受益者，促进了保护区与社区经济社会协调发展，使大峡谷保护区建设走上和谐良性发展的道路。</w:t>
      </w:r>
    </w:p>
    <w:p>
      <w:pPr>
        <w:pStyle w:val="null3"/>
      </w:pPr>
      <w:r>
        <w:rPr/>
        <w:t>采购包1（地质灾害危险性评估、水土保持方案编制）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合同签订之日起至2025年11月30日。具体时间以所签订的合同约定时间为准。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第1期为(预付款)：支付比例30%，采购人与成交供应商签订合同且收到发票后5个工作日内，向成交供应商支付所承接采购包合同金额的30%作为预付款。</w:t>
            </w:r>
          </w:p>
          <w:p>
            <w:pPr>
              <w:pStyle w:val="null3"/>
            </w:pPr>
            <w:r>
              <w:rPr/>
              <w:t>第2期为(进度款)：支付比例20%，成交供应商安排好相关进场服务程序，在收到成交供应商提供的发票后30日内，向成交供应商支付所承接采购包合同金额的20%进度款。</w:t>
            </w:r>
          </w:p>
          <w:p>
            <w:pPr>
              <w:pStyle w:val="null3"/>
            </w:pPr>
            <w:r>
              <w:rPr/>
              <w:t>第3期为(进度款)：支付比例30%，待所有报告初稿编制完成并通过采购人审核后，且在收到成交供应商提供的发票后30日内，向成交供应商支付所承接采购包合同金额的30%进度款。</w:t>
            </w:r>
          </w:p>
          <w:p>
            <w:pPr>
              <w:pStyle w:val="null3"/>
            </w:pPr>
            <w:r>
              <w:rPr/>
              <w:t>第4期为(尾款)：支付比例20%，待项目完成并通过政府主管部门相关批文（如有）后，且在收到成交供应商提供的发票后30日内，采购人支付合同剩余款项。 注：成交供应商凭以下有效文件与采购人结算：（1）采购合同；（2）成交通知书；（3）成交供应商开具的正式发票；（4）项目完成成果文件。（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1期：1、按国家有关规定以及采购文件的服务要求、供应商的响应文件及承诺与本合同约定标准进行验收； 2、其他未尽事宜应严格按照《财政部关于进一步加强政府采购需求和履约验收管理的指导意见》(财库〔2016〕205号)、《关于进一步加强政府采购需求管理工作的通知》（粤财采购函〔2023〕29号）的要求进行验收，对每一项技术、服务的履约情况进行确认。符合国家有关规定、采购文件的服务要求、供应商的响应文件及承诺以及合同条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服务要求：1、供应商资金保证充足，具有独立财务账户或财务独立核算，以保证任务的独立性和公正性。具有明确的法人地位，能够对出具的数据、结果的真实性和准确性负责。2、服务未经采购人同意，不得将任务外包或分包给其他机构，否则视为违约，立即取消其合同和中标资格。3、严格遵守法律法规，保守委托方秘密，不得擅自公布采购人的数据信息。属于保密范围数据、资料、成果，应按照国家有关保密规定和委托合同约定进行管理。4、投标时需在实施方案中编制项目保密方案；项目实施过程中，所有参与者应严格遵守《中华人民共和国保守国家秘密法》、本项目保密制度等相关规定，防止涉密信息泄露。</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成交供应商应承担由自身过错导致的任何责任</w:t>
            </w:r>
          </w:p>
        </w:tc>
        <w:tc>
          <w:tcPr>
            <w:tcW w:type="dxa" w:w="2076"/>
          </w:tcPr>
          <w:p>
            <w:pPr>
              <w:pStyle w:val="null3"/>
              <w:jc w:val="left"/>
            </w:pPr>
            <w:r>
              <w:rPr/>
              <w:t>成交供应商应承担由自身过错导致的任何责任。服务期内由于成交供应商的责任造成的一切人员的伤亡及财产损失，均由成交供应商承担由此产生的一切后果。（须提供书面承诺函，格式自拟）</w:t>
            </w:r>
          </w:p>
        </w:tc>
      </w:tr>
      <w:tr>
        <w:tc>
          <w:tcPr>
            <w:tcW w:type="dxa" w:w="2076"/>
          </w:tcPr>
          <w:p/>
        </w:tc>
        <w:tc>
          <w:tcPr>
            <w:tcW w:type="dxa" w:w="2076"/>
          </w:tcPr>
          <w:p>
            <w:pPr>
              <w:pStyle w:val="null3"/>
              <w:jc w:val="center"/>
            </w:pPr>
            <w:r>
              <w:rPr/>
              <w:t>2</w:t>
            </w:r>
          </w:p>
        </w:tc>
        <w:tc>
          <w:tcPr>
            <w:tcW w:type="dxa" w:w="2076"/>
          </w:tcPr>
          <w:p>
            <w:pPr>
              <w:pStyle w:val="null3"/>
              <w:jc w:val="left"/>
            </w:pPr>
            <w:r>
              <w:rPr/>
              <w:t>成交供应商管理要求</w:t>
            </w:r>
          </w:p>
        </w:tc>
        <w:tc>
          <w:tcPr>
            <w:tcW w:type="dxa" w:w="2076"/>
          </w:tcPr>
          <w:p>
            <w:pPr>
              <w:pStyle w:val="null3"/>
              <w:jc w:val="left"/>
            </w:pPr>
            <w:r>
              <w:rPr/>
              <w:t>1、成交供应商须认真遵守职业道德和行业规范。严禁弄虚作假、营私舞弊，严格执行国家法律法规及相关行业规定。按规定缴纳税费，必须提供带税章的正式发票。成交供应商有权拒绝项目涉及单位提出的不符合本采购文件规定的不正当要求；坚决杜绝使用行贿、送礼品、给回/扣等一切不正当竞争行为获得实际服务机会的承接。 2、成交供应商在服务期限内，履行本采购文件约定的义务过程中出现违反国家法律法规、相关主管部门规章制度、提供伪劣服务内容、服务质量低劣造成采购人损失等情况的，采购人有权视情节分别给予警告、没收协议采购履约担保或终止协议等处罚。 3、采购人将对成交供应商实行动态管理。对成交供应商的服务承诺、服务态度等进行定期和不定期的考核，一旦发现成交供应商违反采购文件要求及其承诺，要求其限期整改。若成交供应商怠于整改或整改后仍不符合要求的，采购人有权终止协议。 4、成交供应商在编制文件过程中应积极主动与采购人进行沟通。本着诚实信用的原则，高效率的提供本需求规定的各项服务。</w:t>
            </w:r>
          </w:p>
        </w:tc>
      </w:tr>
      <w:tr>
        <w:tc>
          <w:tcPr>
            <w:tcW w:type="dxa" w:w="2076"/>
          </w:tcPr>
          <w:p/>
        </w:tc>
        <w:tc>
          <w:tcPr>
            <w:tcW w:type="dxa" w:w="2076"/>
          </w:tcPr>
          <w:p>
            <w:pPr>
              <w:pStyle w:val="null3"/>
              <w:jc w:val="center"/>
            </w:pPr>
            <w:r>
              <w:rPr/>
              <w:t>3</w:t>
            </w:r>
          </w:p>
        </w:tc>
        <w:tc>
          <w:tcPr>
            <w:tcW w:type="dxa" w:w="2076"/>
          </w:tcPr>
          <w:p>
            <w:pPr>
              <w:pStyle w:val="null3"/>
              <w:jc w:val="left"/>
            </w:pPr>
            <w:r>
              <w:rPr/>
              <w:t>采购文件未尽事宜</w:t>
            </w:r>
          </w:p>
        </w:tc>
        <w:tc>
          <w:tcPr>
            <w:tcW w:type="dxa" w:w="2076"/>
          </w:tcPr>
          <w:p>
            <w:pPr>
              <w:pStyle w:val="null3"/>
              <w:jc w:val="left"/>
            </w:pPr>
            <w:r>
              <w:rPr/>
              <w:t>采购文件未尽事宜，将在合同签订或项目执行过程中双方协商确定。</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1、同类项目：供应商应当说明与本项目同类（地质灾害危险性评估、水土保持方案编制）的其它项目的业绩情况等内容。 2、管理体系：本项目要求供应商做好质量保证内控管理，应具有相关管理体系认证，以确保供应商具有对服务经营全过程管控的能力，以及在品质控制方面管理的规范性。 3、项目服务人员要求：本项目需配备一名较强的组织和协调能力，有较高分析解决问题能力的项目负责人，能够统筹项目管理、技术管理。 项目负责人应是该项目实施全过程的真正组织者和指导者，担负实质性工作，挂名或不担负实质性工作的人不得作为项目负责人参与本项目。项目负责人及服务团队人员应是具有中级工程师或以上职称的技术性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工程设计前咨询服务</w:t>
            </w:r>
          </w:p>
        </w:tc>
        <w:tc>
          <w:tcPr>
            <w:tcW w:type="dxa" w:w="933"/>
          </w:tcPr>
          <w:p>
            <w:pPr>
              <w:pStyle w:val="null3"/>
              <w:jc w:val="left"/>
            </w:pPr>
            <w:r>
              <w:rPr/>
              <w:t>地质灾害危险性评估、水土保持方案编制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736,000.00</w:t>
            </w:r>
          </w:p>
        </w:tc>
        <w:tc>
          <w:tcPr>
            <w:tcW w:type="dxa" w:w="933"/>
          </w:tcPr>
          <w:p>
            <w:pPr>
              <w:pStyle w:val="null3"/>
              <w:jc w:val="right"/>
            </w:pPr>
            <w:r>
              <w:rPr/>
              <w:t>736,000.00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地质灾害危险性评估、水土保持方案编制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一、项目范围</w:t>
            </w:r>
          </w:p>
          <w:p>
            <w:pPr>
              <w:pStyle w:val="null3"/>
              <w:jc w:val="both"/>
            </w:pPr>
            <w:r>
              <w:rPr>
                <w:sz w:val="24"/>
              </w:rPr>
              <w:t>本项目拟开展南岭国家公园（广东乳源大峡谷省级自然保护区片区）科普教育基地立项阶段前期工作，包括地质灾害危险性评估、水土保持方案编制。</w:t>
            </w:r>
          </w:p>
        </w:tc>
      </w:tr>
      <w:tr>
        <w:tc>
          <w:tcPr>
            <w:tcW w:type="dxa" w:w="2076"/>
          </w:tcPr>
          <w:p/>
        </w:tc>
        <w:tc>
          <w:tcPr>
            <w:tcW w:type="dxa" w:w="415"/>
          </w:tcPr>
          <w:p>
            <w:pPr>
              <w:pStyle w:val="null3"/>
            </w:pPr>
            <w:r>
              <w:rPr/>
              <w:t>2</w:t>
            </w:r>
          </w:p>
        </w:tc>
        <w:tc>
          <w:tcPr>
            <w:tcW w:type="dxa" w:w="5814"/>
          </w:tcPr>
          <w:p>
            <w:pPr>
              <w:pStyle w:val="null3"/>
              <w:jc w:val="both"/>
            </w:pPr>
            <w:r>
              <w:rPr>
                <w:sz w:val="24"/>
                <w:b/>
              </w:rPr>
              <w:t>二、项目研究内容要求</w:t>
            </w:r>
          </w:p>
          <w:p>
            <w:pPr>
              <w:pStyle w:val="null3"/>
              <w:jc w:val="left"/>
            </w:pPr>
            <w:r>
              <w:rPr>
                <w:sz w:val="24"/>
              </w:rPr>
              <w:t>（</w:t>
            </w:r>
            <w:r>
              <w:rPr>
                <w:sz w:val="24"/>
              </w:rPr>
              <w:t>一</w:t>
            </w:r>
            <w:r>
              <w:rPr>
                <w:sz w:val="24"/>
              </w:rPr>
              <w:t>）</w:t>
            </w:r>
            <w:r>
              <w:rPr>
                <w:sz w:val="24"/>
              </w:rPr>
              <w:t>地质灾害危险性评估研究内容要求：</w:t>
            </w:r>
          </w:p>
          <w:p>
            <w:pPr>
              <w:pStyle w:val="null3"/>
              <w:jc w:val="left"/>
            </w:pPr>
            <w:r>
              <w:rPr>
                <w:sz w:val="24"/>
              </w:rPr>
              <w:t>1、</w:t>
            </w:r>
            <w:r>
              <w:rPr>
                <w:sz w:val="24"/>
              </w:rPr>
              <w:t>地质条件调查：对项目所在区域的地质条件进行详细调查，包括地形地貌、地质构造等。</w:t>
            </w:r>
          </w:p>
          <w:p>
            <w:pPr>
              <w:pStyle w:val="null3"/>
            </w:pPr>
            <w:r>
              <w:rPr>
                <w:sz w:val="24"/>
              </w:rPr>
              <w:t>2</w:t>
            </w:r>
            <w:r>
              <w:rPr>
                <w:sz w:val="24"/>
              </w:rPr>
              <w:t>、</w:t>
            </w:r>
            <w:r>
              <w:rPr>
                <w:sz w:val="24"/>
              </w:rPr>
              <w:t>压履矿产资源查询</w:t>
            </w:r>
            <w:r>
              <w:rPr>
                <w:sz w:val="24"/>
              </w:rPr>
              <w:t>：</w:t>
            </w:r>
            <w:r>
              <w:rPr>
                <w:sz w:val="24"/>
              </w:rPr>
              <w:t>查询项目用地红线及安全距离范围内矿产资源分布及矿业权设置情况。</w:t>
            </w:r>
          </w:p>
          <w:p>
            <w:pPr>
              <w:pStyle w:val="null3"/>
              <w:jc w:val="left"/>
            </w:pPr>
            <w:r>
              <w:rPr>
                <w:sz w:val="24"/>
              </w:rPr>
              <w:t>3、</w:t>
            </w:r>
            <w:r>
              <w:rPr>
                <w:sz w:val="24"/>
              </w:rPr>
              <w:t>灾害危险性评估：评估项目区域发生地质灾害（如滑坡、泥石流等）的可能性及危险性。</w:t>
            </w:r>
          </w:p>
          <w:p>
            <w:pPr>
              <w:pStyle w:val="null3"/>
              <w:jc w:val="both"/>
            </w:pPr>
            <w:r>
              <w:rPr>
                <w:sz w:val="24"/>
              </w:rPr>
              <w:t>4、</w:t>
            </w:r>
            <w:r>
              <w:rPr>
                <w:sz w:val="24"/>
              </w:rPr>
              <w:t>防治措施：提出预防地质灾害的工程技术措施和管理措施。</w:t>
            </w:r>
          </w:p>
          <w:p>
            <w:pPr>
              <w:pStyle w:val="null3"/>
              <w:jc w:val="left"/>
            </w:pPr>
            <w:r>
              <w:rPr>
                <w:sz w:val="24"/>
              </w:rPr>
              <w:t>5、</w:t>
            </w:r>
            <w:r>
              <w:rPr>
                <w:sz w:val="24"/>
              </w:rPr>
              <w:t>地质灾害危险性评估</w:t>
            </w:r>
            <w:r>
              <w:rPr>
                <w:sz w:val="24"/>
              </w:rPr>
              <w:t>咨询：包括但不限于按照相关政策文件要求，编制符合各级政府主管部门和审批部门要求的地质灾害危险性评估报告，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地质灾害危险性评估报告，确保地质灾害危险性评估报告通过专家评审组的审査，并最终取得政府主管部门相关批文。</w:t>
            </w:r>
          </w:p>
          <w:p>
            <w:pPr>
              <w:pStyle w:val="null3"/>
              <w:jc w:val="left"/>
            </w:pPr>
            <w:r>
              <w:rPr>
                <w:sz w:val="24"/>
              </w:rPr>
              <w:t>（</w:t>
            </w:r>
            <w:r>
              <w:rPr>
                <w:sz w:val="24"/>
              </w:rPr>
              <w:t>二</w:t>
            </w:r>
            <w:r>
              <w:rPr>
                <w:sz w:val="24"/>
              </w:rPr>
              <w:t>）</w:t>
            </w:r>
            <w:r>
              <w:rPr>
                <w:sz w:val="24"/>
              </w:rPr>
              <w:t>水土保持方案编制研究内容要求：</w:t>
            </w:r>
          </w:p>
          <w:p>
            <w:pPr>
              <w:pStyle w:val="null3"/>
              <w:jc w:val="left"/>
            </w:pPr>
            <w:r>
              <w:rPr>
                <w:sz w:val="24"/>
              </w:rPr>
              <w:t>1、</w:t>
            </w:r>
            <w:r>
              <w:rPr>
                <w:sz w:val="24"/>
              </w:rPr>
              <w:t>水土流失现状调查：对项目区域的水土流失现状进行详细调查。</w:t>
            </w:r>
          </w:p>
          <w:p>
            <w:pPr>
              <w:pStyle w:val="null3"/>
              <w:jc w:val="left"/>
            </w:pPr>
            <w:r>
              <w:rPr>
                <w:sz w:val="24"/>
              </w:rPr>
              <w:t>2、</w:t>
            </w:r>
            <w:r>
              <w:rPr>
                <w:sz w:val="24"/>
              </w:rPr>
              <w:t>水土保持措施：根据水土流失现状，提出具体的水土保持措施，包括工程措施和生物措施。</w:t>
            </w:r>
          </w:p>
          <w:p>
            <w:pPr>
              <w:pStyle w:val="null3"/>
              <w:jc w:val="both"/>
            </w:pPr>
            <w:r>
              <w:rPr>
                <w:sz w:val="24"/>
              </w:rPr>
              <w:t>3、</w:t>
            </w:r>
            <w:r>
              <w:rPr>
                <w:sz w:val="24"/>
              </w:rPr>
              <w:t>监测与评估：制定水土保持监测计划，对水土保持措施的实施效果进行评估。</w:t>
            </w:r>
          </w:p>
          <w:p>
            <w:pPr>
              <w:pStyle w:val="null3"/>
              <w:jc w:val="both"/>
            </w:pPr>
            <w:r>
              <w:rPr>
                <w:sz w:val="24"/>
              </w:rPr>
              <w:t>4、</w:t>
            </w:r>
            <w:r>
              <w:rPr>
                <w:sz w:val="24"/>
              </w:rPr>
              <w:t>水土保持方案</w:t>
            </w:r>
            <w:r>
              <w:rPr>
                <w:sz w:val="24"/>
              </w:rPr>
              <w:t>咨询：包括但不限于按照相关政策文件要求，编制符合各级政府主管部门和审批部门要求的</w:t>
            </w:r>
            <w:r>
              <w:rPr>
                <w:sz w:val="24"/>
              </w:rPr>
              <w:t>水土保持方案</w:t>
            </w:r>
            <w:r>
              <w:rPr>
                <w:sz w:val="24"/>
              </w:rPr>
              <w:t>，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w:t>
            </w:r>
            <w:r>
              <w:rPr>
                <w:sz w:val="24"/>
              </w:rPr>
              <w:t>水土保持方案</w:t>
            </w:r>
            <w:r>
              <w:rPr>
                <w:sz w:val="24"/>
              </w:rPr>
              <w:t>，确保</w:t>
            </w:r>
            <w:r>
              <w:rPr>
                <w:sz w:val="24"/>
              </w:rPr>
              <w:t>水土保持方案</w:t>
            </w:r>
            <w:r>
              <w:rPr>
                <w:sz w:val="24"/>
              </w:rPr>
              <w:t>通过专家评审组的审査，并最终取得政府主管部门相关批文。</w:t>
            </w:r>
          </w:p>
        </w:tc>
      </w:tr>
      <w:tr>
        <w:tc>
          <w:tcPr>
            <w:tcW w:type="dxa" w:w="2076"/>
          </w:tcPr>
          <w:p/>
        </w:tc>
        <w:tc>
          <w:tcPr>
            <w:tcW w:type="dxa" w:w="415"/>
          </w:tcPr>
          <w:p>
            <w:pPr>
              <w:pStyle w:val="null3"/>
            </w:pPr>
            <w:r>
              <w:rPr/>
              <w:t>3</w:t>
            </w:r>
          </w:p>
        </w:tc>
        <w:tc>
          <w:tcPr>
            <w:tcW w:type="dxa" w:w="5814"/>
          </w:tcPr>
          <w:p>
            <w:pPr>
              <w:pStyle w:val="null3"/>
            </w:pPr>
            <w:r>
              <w:rPr>
                <w:sz w:val="24"/>
                <w:b/>
              </w:rPr>
              <w:t>三、项目研究成果要求</w:t>
            </w:r>
          </w:p>
          <w:p>
            <w:pPr>
              <w:pStyle w:val="null3"/>
            </w:pPr>
            <w:r>
              <w:rPr>
                <w:sz w:val="24"/>
              </w:rPr>
              <w:t>（一）</w:t>
            </w:r>
            <w:r>
              <w:rPr>
                <w:sz w:val="24"/>
              </w:rPr>
              <w:t>成果内容须符合制定的编制原则、编制范围等要点的规定。</w:t>
            </w:r>
            <w:r>
              <w:br/>
            </w:r>
            <w:r>
              <w:rPr>
                <w:sz w:val="24"/>
              </w:rPr>
              <w:t>（</w:t>
            </w:r>
            <w:r>
              <w:rPr>
                <w:sz w:val="24"/>
              </w:rPr>
              <w:t>二</w:t>
            </w:r>
            <w:r>
              <w:rPr>
                <w:sz w:val="24"/>
              </w:rPr>
              <w:t>）</w:t>
            </w:r>
            <w:r>
              <w:rPr>
                <w:sz w:val="24"/>
              </w:rPr>
              <w:t>文本必须做到清晰、完整、表达准确，同类图纸规格应尽量统一。</w:t>
            </w:r>
            <w:r>
              <w:br/>
            </w:r>
            <w:r>
              <w:rPr>
                <w:sz w:val="24"/>
              </w:rPr>
              <w:t>（</w:t>
            </w:r>
            <w:r>
              <w:rPr>
                <w:sz w:val="24"/>
              </w:rPr>
              <w:t>三</w:t>
            </w:r>
            <w:r>
              <w:rPr>
                <w:sz w:val="24"/>
              </w:rPr>
              <w:t>）</w:t>
            </w:r>
            <w:r>
              <w:rPr>
                <w:sz w:val="24"/>
              </w:rPr>
              <w:t>成果包括文本文件及相应的计算机文件。</w:t>
            </w:r>
            <w:r>
              <w:br/>
            </w:r>
            <w:r>
              <w:rPr>
                <w:sz w:val="24"/>
              </w:rPr>
              <w:t>1、</w:t>
            </w:r>
            <w:r>
              <w:rPr>
                <w:sz w:val="24"/>
              </w:rPr>
              <w:t>文本文件要求：文本文件包括报告文本、附表和附图，提供各阶段成果文件</w:t>
            </w:r>
            <w:r>
              <w:rPr>
                <w:sz w:val="24"/>
              </w:rPr>
              <w:t>8套。</w:t>
            </w:r>
            <w:r>
              <w:br/>
            </w:r>
            <w:r>
              <w:rPr>
                <w:sz w:val="24"/>
              </w:rPr>
              <w:t>2、</w:t>
            </w:r>
            <w:r>
              <w:rPr>
                <w:sz w:val="24"/>
              </w:rPr>
              <w:t>电子文件要求：全部成果均制作电子文件，文本文件采用</w:t>
            </w:r>
            <w:r>
              <w:rPr>
                <w:sz w:val="24"/>
              </w:rPr>
              <w:t>Microsoft Word的DOC格式文件，图形文件采用AutoCAD的DWG格式文件，调查数据及处理结果采用Microsoft Excel的格式文件，提供以上电子文件</w:t>
            </w:r>
            <w:r>
              <w:rPr>
                <w:sz w:val="24"/>
              </w:rPr>
              <w:t>U</w:t>
            </w:r>
            <w:r>
              <w:rPr>
                <w:sz w:val="24"/>
              </w:rPr>
              <w:t>盘</w:t>
            </w:r>
            <w:r>
              <w:rPr>
                <w:sz w:val="24"/>
              </w:rPr>
              <w:t>1 套。</w:t>
            </w:r>
            <w:r>
              <w:br/>
            </w:r>
            <w:r>
              <w:rPr>
                <w:sz w:val="24"/>
              </w:rPr>
              <w:t>（</w:t>
            </w:r>
            <w:r>
              <w:rPr>
                <w:sz w:val="24"/>
              </w:rPr>
              <w:t>四</w:t>
            </w:r>
            <w:r>
              <w:rPr>
                <w:sz w:val="24"/>
              </w:rPr>
              <w:t>）</w:t>
            </w:r>
            <w:r>
              <w:rPr>
                <w:sz w:val="24"/>
              </w:rPr>
              <w:t>研究成果必须符合</w:t>
            </w:r>
            <w:r>
              <w:rPr>
                <w:sz w:val="24"/>
              </w:rPr>
              <w:t>采购需求及相关文件</w:t>
            </w:r>
            <w:r>
              <w:rPr>
                <w:sz w:val="24"/>
              </w:rPr>
              <w:t>中的规定。</w:t>
            </w:r>
            <w:r>
              <w:rPr>
                <w:sz w:val="24"/>
              </w:rPr>
              <w:t>各项成果文件内容须按相关技术规范、操作规程、行业标准、指导意见或管理办法等相关文件要求与采购人协商编制。</w:t>
            </w:r>
            <w:r>
              <w:br/>
            </w:r>
            <w:r>
              <w:rPr>
                <w:sz w:val="24"/>
              </w:rPr>
              <w:t>（</w:t>
            </w:r>
            <w:r>
              <w:rPr>
                <w:sz w:val="24"/>
              </w:rPr>
              <w:t>五</w:t>
            </w:r>
            <w:r>
              <w:rPr>
                <w:sz w:val="24"/>
              </w:rPr>
              <w:t>）</w:t>
            </w:r>
            <w:r>
              <w:rPr>
                <w:sz w:val="24"/>
              </w:rPr>
              <w:t>成果报送、审查与审定</w:t>
            </w:r>
            <w:r>
              <w:br/>
            </w:r>
            <w:r>
              <w:rPr>
                <w:sz w:val="24"/>
              </w:rPr>
              <w:t>1、</w:t>
            </w:r>
            <w:r>
              <w:rPr>
                <w:sz w:val="24"/>
              </w:rPr>
              <w:t>成果文件必须在指定的阶段成果文件提交时间之前送达采购人指定地点，采购人清点成果文件后签发登记。成果文件通过采购人审查后，才能进入下一阶段的工作。最终成果完成后，根据各相关单位反馈意见及采购人审查结果对研究报告进行最终的修改完善，形成报批报告。</w:t>
            </w:r>
            <w:r>
              <w:br/>
            </w:r>
            <w:r>
              <w:rPr>
                <w:sz w:val="24"/>
              </w:rPr>
              <w:t xml:space="preserve"> </w:t>
            </w:r>
            <w:r>
              <w:rPr>
                <w:sz w:val="24"/>
              </w:rPr>
              <w:t>（</w:t>
            </w:r>
            <w:r>
              <w:rPr>
                <w:sz w:val="24"/>
              </w:rPr>
              <w:t>1）</w:t>
            </w:r>
            <w:r>
              <w:rPr>
                <w:sz w:val="24"/>
              </w:rPr>
              <w:t>成交供应商</w:t>
            </w:r>
            <w:r>
              <w:rPr>
                <w:sz w:val="24"/>
              </w:rPr>
              <w:t>按本</w:t>
            </w:r>
            <w:r>
              <w:rPr>
                <w:sz w:val="24"/>
              </w:rPr>
              <w:t>采购文件</w:t>
            </w:r>
            <w:r>
              <w:rPr>
                <w:sz w:val="24"/>
              </w:rPr>
              <w:t>的约定向采购人递交的工作成果及建议，采购人有权进行审核并决定是否采纳，</w:t>
            </w:r>
            <w:r>
              <w:rPr>
                <w:sz w:val="24"/>
              </w:rPr>
              <w:t>成交供应商</w:t>
            </w:r>
            <w:r>
              <w:rPr>
                <w:sz w:val="24"/>
              </w:rPr>
              <w:t>对此不得提出任何异议。</w:t>
            </w:r>
            <w:r>
              <w:br/>
            </w:r>
            <w:r>
              <w:rPr>
                <w:sz w:val="24"/>
              </w:rPr>
              <w:t xml:space="preserve"> </w:t>
            </w:r>
            <w:r>
              <w:rPr>
                <w:sz w:val="24"/>
              </w:rPr>
              <w:t>（</w:t>
            </w:r>
            <w:r>
              <w:rPr>
                <w:sz w:val="24"/>
              </w:rPr>
              <w:t>2）在</w:t>
            </w:r>
            <w:r>
              <w:rPr>
                <w:sz w:val="24"/>
              </w:rPr>
              <w:t>成交供应商</w:t>
            </w:r>
            <w:r>
              <w:rPr>
                <w:sz w:val="24"/>
              </w:rPr>
              <w:t>提供服务的过程中，如果因</w:t>
            </w:r>
            <w:r>
              <w:rPr>
                <w:sz w:val="24"/>
              </w:rPr>
              <w:t>成交供应商</w:t>
            </w:r>
            <w:r>
              <w:rPr>
                <w:sz w:val="24"/>
              </w:rPr>
              <w:t>责任造成采购人经济损失的，采购人有权要求</w:t>
            </w:r>
            <w:r>
              <w:rPr>
                <w:sz w:val="24"/>
              </w:rPr>
              <w:t>成交供应商</w:t>
            </w:r>
            <w:r>
              <w:rPr>
                <w:sz w:val="24"/>
              </w:rPr>
              <w:t>赔偿相应的经济损失，甚至单方面解除合同。</w:t>
            </w:r>
            <w:r>
              <w:br/>
            </w:r>
            <w:r>
              <w:rPr>
                <w:sz w:val="24"/>
              </w:rPr>
              <w:t xml:space="preserve"> </w:t>
            </w:r>
            <w:r>
              <w:rPr>
                <w:sz w:val="24"/>
              </w:rPr>
              <w:t>（</w:t>
            </w:r>
            <w:r>
              <w:rPr>
                <w:sz w:val="24"/>
              </w:rPr>
              <w:t>3）采购人在认为有必要时，有权将</w:t>
            </w:r>
            <w:r>
              <w:rPr>
                <w:sz w:val="24"/>
              </w:rPr>
              <w:t>成交供应商</w:t>
            </w:r>
            <w:r>
              <w:rPr>
                <w:sz w:val="24"/>
              </w:rPr>
              <w:t>递交的工作成果及建议递交给第三方评审，</w:t>
            </w:r>
            <w:r>
              <w:rPr>
                <w:sz w:val="24"/>
              </w:rPr>
              <w:t>成交供应商</w:t>
            </w:r>
            <w:r>
              <w:rPr>
                <w:sz w:val="24"/>
              </w:rPr>
              <w:t>不得干预。</w:t>
            </w:r>
          </w:p>
          <w:p>
            <w:pPr>
              <w:pStyle w:val="null3"/>
              <w:jc w:val="both"/>
            </w:pPr>
            <w:r>
              <w:rPr>
                <w:sz w:val="24"/>
              </w:rPr>
              <w:t>2、</w:t>
            </w:r>
            <w:r>
              <w:rPr>
                <w:sz w:val="24"/>
              </w:rPr>
              <w:t>附则：成果文件有下列情况之一者无效：提交的成果文件不符合本</w:t>
            </w:r>
            <w:r>
              <w:rPr>
                <w:sz w:val="24"/>
              </w:rPr>
              <w:t>项目</w:t>
            </w:r>
            <w:r>
              <w:rPr>
                <w:sz w:val="24"/>
              </w:rPr>
              <w:t>规定的成果内容和格式；未经组织单位同意而逾期送达；有关经济技术指标严重不实；图纸和文字辨认不清、内容不全、粗制滥造；未盖有承接单位公章。</w:t>
            </w:r>
          </w:p>
        </w:tc>
      </w:tr>
      <w:tr>
        <w:tc>
          <w:tcPr>
            <w:tcW w:type="dxa" w:w="2076"/>
          </w:tcPr>
          <w:p/>
        </w:tc>
        <w:tc>
          <w:tcPr>
            <w:tcW w:type="dxa" w:w="415"/>
          </w:tcPr>
          <w:p>
            <w:pPr>
              <w:pStyle w:val="null3"/>
            </w:pPr>
            <w:r>
              <w:rPr/>
              <w:t>4</w:t>
            </w:r>
          </w:p>
        </w:tc>
        <w:tc>
          <w:tcPr>
            <w:tcW w:type="dxa" w:w="5814"/>
          </w:tcPr>
          <w:p>
            <w:pPr>
              <w:pStyle w:val="null3"/>
            </w:pPr>
            <w:r>
              <w:rPr>
                <w:sz w:val="24"/>
                <w:b/>
              </w:rPr>
              <w:t>四、项目进度安排</w:t>
            </w:r>
          </w:p>
          <w:tbl>
            <w:tblPr>
              <w:tblInd w:type="dxa" w:w="120"/>
              <w:tblBorders>
                <w:top w:val="none" w:color="000000" w:sz="4"/>
                <w:left w:val="none" w:color="000000" w:sz="4"/>
                <w:bottom w:val="none" w:color="000000" w:sz="4"/>
                <w:right w:val="none" w:color="000000" w:sz="4"/>
                <w:insideH w:val="none"/>
                <w:insideV w:val="none"/>
              </w:tblBorders>
            </w:tblPr>
            <w:tblGrid>
              <w:gridCol w:w="919"/>
              <w:gridCol w:w="1974"/>
              <w:gridCol w:w="2681"/>
            </w:tblGrid>
            <w:tr>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时间安排</w:t>
                  </w:r>
                </w:p>
              </w:tc>
              <w:tc>
                <w:tcPr>
                  <w:tcW w:type="dxa" w:w="1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工作重点</w:t>
                  </w:r>
                </w:p>
              </w:tc>
              <w:tc>
                <w:tcPr>
                  <w:tcW w:type="dxa" w:w="2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预期产出</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工作方案，组织开展各专项工作</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制定工作方案，组织开展各专项报告、方案编制和专项评估工作</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地质灾害危险性评估</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完成地质灾害危险性评估</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水土保持方案编制</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完成水土保持方案编制</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专项报告及方案的专家评审和项目自验收</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组织开展各专项报告及方案的专家评审和项目自验收工作</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项目验收</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完成验收工作，撰写总结报告</w:t>
                  </w:r>
                </w:p>
              </w:tc>
            </w:tr>
          </w:tbl>
          <w:p/>
        </w:tc>
      </w:tr>
      <w:tr>
        <w:tc>
          <w:tcPr>
            <w:tcW w:type="dxa" w:w="2076"/>
          </w:tcPr>
          <w:p/>
        </w:tc>
        <w:tc>
          <w:tcPr>
            <w:tcW w:type="dxa" w:w="415"/>
          </w:tcPr>
          <w:p>
            <w:pPr>
              <w:pStyle w:val="null3"/>
            </w:pPr>
            <w:r>
              <w:rPr/>
              <w:t>5</w:t>
            </w:r>
          </w:p>
        </w:tc>
        <w:tc>
          <w:tcPr>
            <w:tcW w:type="dxa" w:w="5814"/>
          </w:tcPr>
          <w:p>
            <w:pPr>
              <w:pStyle w:val="null3"/>
            </w:pPr>
            <w:r>
              <w:rPr>
                <w:sz w:val="24"/>
                <w:b/>
              </w:rPr>
              <w:t>五、保密要求</w:t>
            </w:r>
          </w:p>
          <w:p>
            <w:pPr>
              <w:pStyle w:val="null3"/>
            </w:pPr>
            <w:r>
              <w:rPr>
                <w:sz w:val="24"/>
              </w:rPr>
              <w:t>（</w:t>
            </w:r>
            <w:r>
              <w:rPr>
                <w:sz w:val="24"/>
              </w:rPr>
              <w:t>一</w:t>
            </w:r>
            <w:r>
              <w:rPr>
                <w:sz w:val="24"/>
              </w:rPr>
              <w:t>）</w:t>
            </w:r>
            <w:r>
              <w:rPr>
                <w:sz w:val="24"/>
              </w:rPr>
              <w:t>成交供应商应对承接项目的内容予以严格保密</w:t>
            </w:r>
            <w:r>
              <w:rPr>
                <w:sz w:val="24"/>
              </w:rPr>
              <w:t>。</w:t>
            </w:r>
            <w:r>
              <w:rPr>
                <w:sz w:val="24"/>
              </w:rPr>
              <w:t>由采购人收集的、整理的、复制的和准备的与本项目工作有关的所有资料在提供给成交供应商时，均被视为保密的，不得泄露给除采购人或指定的代表之外的任何个人或企业；成交供应商在履行</w:t>
            </w:r>
            <w:r>
              <w:rPr>
                <w:sz w:val="24"/>
              </w:rPr>
              <w:t>合同</w:t>
            </w:r>
            <w:r>
              <w:rPr>
                <w:sz w:val="24"/>
              </w:rPr>
              <w:t>过程中所获得或接触到的任何内部数据资料，未经采购人同意，不得向第三方透露；成交供应商实施项目的一切程序都应符合国家安全、保密的有关规定和</w:t>
            </w:r>
            <w:r>
              <w:rPr>
                <w:sz w:val="24"/>
              </w:rPr>
              <w:t>采购文件</w:t>
            </w:r>
            <w:r>
              <w:rPr>
                <w:sz w:val="24"/>
              </w:rPr>
              <w:t>、成交供应商响应文件、国家和行业有关规范、规程和标准。本项目不论因何种原因终止，本条款一直约束成交供应商。（提供书面承诺函，格式自拟）</w:t>
            </w:r>
          </w:p>
          <w:p>
            <w:pPr>
              <w:pStyle w:val="null3"/>
              <w:jc w:val="both"/>
            </w:pPr>
            <w:r>
              <w:rPr>
                <w:sz w:val="24"/>
              </w:rPr>
              <w:t>（二）成交</w:t>
            </w:r>
            <w:r>
              <w:rPr>
                <w:sz w:val="24"/>
              </w:rPr>
              <w:t>供应商发生涉密资料外传、丢失、被盗或者造成泄密事故的，应采取有效措施，及时补救，并及时向采购人报告；否则所造成的后果均由</w:t>
            </w:r>
            <w:r>
              <w:rPr>
                <w:sz w:val="24"/>
              </w:rPr>
              <w:t>成交</w:t>
            </w:r>
            <w:r>
              <w:rPr>
                <w:sz w:val="24"/>
              </w:rPr>
              <w:t>供应商承担。</w:t>
            </w:r>
          </w:p>
        </w:tc>
      </w:tr>
      <w:tr>
        <w:tc>
          <w:tcPr>
            <w:tcW w:type="dxa" w:w="2076"/>
          </w:tcPr>
          <w:p/>
        </w:tc>
        <w:tc>
          <w:tcPr>
            <w:tcW w:type="dxa" w:w="415"/>
          </w:tcPr>
          <w:p>
            <w:pPr>
              <w:pStyle w:val="null3"/>
            </w:pPr>
            <w:r>
              <w:rPr/>
              <w:t>6</w:t>
            </w:r>
          </w:p>
        </w:tc>
        <w:tc>
          <w:tcPr>
            <w:tcW w:type="dxa" w:w="5814"/>
          </w:tcPr>
          <w:p>
            <w:pPr>
              <w:pStyle w:val="null3"/>
            </w:pPr>
            <w:r>
              <w:rPr>
                <w:sz w:val="24"/>
                <w:b/>
              </w:rPr>
              <w:t>六、知识产权归属</w:t>
            </w:r>
          </w:p>
          <w:p>
            <w:pPr>
              <w:pStyle w:val="null3"/>
            </w:pPr>
            <w:r>
              <w:rPr>
                <w:sz w:val="24"/>
              </w:rPr>
              <w:t>（一）成交供应商交付的本项目下的一切成果的知识产权及其它相关权利归属于由采购人、项目主管部门及供应商三方协商，并保证符合采购人的使用需求，成交供应商不得擅自使用或许可第三方使用。</w:t>
            </w:r>
          </w:p>
          <w:p>
            <w:pPr>
              <w:pStyle w:val="null3"/>
            </w:pPr>
            <w:r>
              <w:rPr>
                <w:sz w:val="24"/>
              </w:rPr>
              <w:t>（二）成交供应商保证其完成本项目成果的知识产权或其他相关权利的合法性，如涉及需向第三人获得授权或支付报酬的，也均已获得权利人授权并已支付了报酬。</w:t>
            </w:r>
          </w:p>
          <w:p>
            <w:pPr>
              <w:pStyle w:val="null3"/>
              <w:jc w:val="both"/>
            </w:pPr>
            <w:r>
              <w:rPr>
                <w:sz w:val="24"/>
              </w:rPr>
              <w:t>（三）采购人使用供应商交付的成果若被第三方追究侵权责任，成交供应商应负责赔偿采购人因此遭受的所有损失，并承担一切责任。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广东乳源大峡谷省级自然保护区管理处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兼投不兼中：已成为采购包1(项目建议书编制、可行性研究报告编制、树木保护专章编制、节能评估报告书编制、社会稳定风险评估)的第一成交候选人不得参与本项目。</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招标代理服务费由成交供应商向采购代理机构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下浮15%后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广东远东招标代理有限公司网（http://www.gdydzb.com）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地质灾害危险性评估、水土保持方案编制)：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采购包1（地质灾害危险性评估、水土保持方案编制）：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采购包1（地质灾害危险性评估、水土保持方案编制）：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经会计师事务所审计的2023年或2024年度财务状况报告；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行政主管部门颁发的《地质灾害防治单位资质证书》，资质类别为地质灾害评估和治理工程勘查设计，资质等级为甲级。(承担本项目“地质灾害危险性评估”服务内容的供应商应当具备特定行业法定准入要求，供应商必须须具有行政主管部门颁发的《地质灾害防治单位资质证书》，资质类别为地质灾害评估和治理工程勘查设计，资质等级为甲级（注：①若独立投标，供应商应具备上述资质；②若联合体投标，多方共同承担“地质灾害危险性评估”工作，则各方均须具备上述资质；③若联合体投标，其中仅一方承担“地质灾害危险性评估”工作，则该方须具备上述资质，另一方未承担“地质灾害危险性评估”工作的无上述资质要求。须在《联合体共同投标协议书》上明确各方承担的工作内容。）)</w:t>
            </w:r>
          </w:p>
        </w:tc>
      </w:tr>
      <w:tr>
        <w:tc>
          <w:tcPr>
            <w:tcW w:type="dxa" w:w="890"/>
          </w:tcPr>
          <w:p>
            <w:pPr>
              <w:pStyle w:val="null3"/>
            </w:pPr>
            <w:r>
              <w:rPr/>
              <w:t>9</w:t>
            </w:r>
          </w:p>
        </w:tc>
        <w:tc>
          <w:tcPr>
            <w:tcW w:type="dxa" w:w="3178"/>
          </w:tcPr>
          <w:p>
            <w:pPr>
              <w:pStyle w:val="null3"/>
            </w:pPr>
            <w:r>
              <w:rPr/>
              <w:t>关于联合体投标的规定</w:t>
            </w:r>
          </w:p>
        </w:tc>
        <w:tc>
          <w:tcPr>
            <w:tcW w:type="dxa" w:w="4238"/>
          </w:tcPr>
          <w:p>
            <w:pPr>
              <w:pStyle w:val="null3"/>
            </w:pPr>
            <w:r>
              <w:rPr/>
              <w:t>本采购包接受联合体投标。联合体以一个供应商的身份共同投标。 ①联合体成员数量不超过2个； ②联合体各方均需满足“1.供应商应具备《中华人民共和国政府采购法》第二十二条规定的条件，提供下列材料”的要求，响应文件中联合体各方分别提供证明材料并分别加盖其单位公章。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采购包1（地质灾害危险性评估、水土保持方案编制）：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响应文件按采购文件要求签署、盖章。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投标函已提交并符合采购文件要求的，且投标有效期不少于采购文件中载明的投标有效期。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确定且是固定唯一值；②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③响应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响应文件完全满足采购文件的实质性条款（即标注★号条款）无负偏离。</w:t>
            </w:r>
          </w:p>
        </w:tc>
      </w:tr>
      <w:tr>
        <w:tc>
          <w:tcPr>
            <w:tcW w:type="dxa" w:w="890"/>
          </w:tcPr>
          <w:p>
            <w:pPr>
              <w:pStyle w:val="null3"/>
            </w:pPr>
            <w:r>
              <w:rPr/>
              <w:t>5</w:t>
            </w:r>
          </w:p>
        </w:tc>
        <w:tc>
          <w:tcPr>
            <w:tcW w:type="dxa" w:w="3178"/>
          </w:tcPr>
          <w:p>
            <w:pPr>
              <w:pStyle w:val="null3"/>
            </w:pPr>
            <w:r>
              <w:rPr/>
              <w:t>其他无效响应情况</w:t>
            </w:r>
          </w:p>
        </w:tc>
        <w:tc>
          <w:tcPr>
            <w:tcW w:type="dxa" w:w="4238"/>
          </w:tcPr>
          <w:p>
            <w:pPr>
              <w:pStyle w:val="null3"/>
            </w:pPr>
            <w:r>
              <w:rPr/>
              <w:t>①响应文件没有采购文件中规定的其他无效响应条款；②响应文件无采购人不能接受的附加条件。</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符合兼投不兼中规则。</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采购包1(地质灾害危险性评估、水土保持方案编制):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现状的认识及分析（一） (5.0分)</w:t>
            </w:r>
          </w:p>
        </w:tc>
        <w:tc>
          <w:tcPr>
            <w:tcW w:type="dxa" w:w="5076"/>
          </w:tcPr>
          <w:p>
            <w:pPr>
              <w:pStyle w:val="null3"/>
              <w:jc w:val="left"/>
            </w:pPr>
            <w:r>
              <w:rPr/>
              <w:t>根据采购需求中项目概况“（三）前期工作概况、（四）实施必要性简要情况、（五）实施可行性简要情况”对供应商提供的现状分析内容进行综合评审： （一）评审内容包括：①对项目背景、意义的解读；②项目现状的了解；③项目范围内现状基础条件；④相关发展条件的特点的认识与分析；⑤项目服务目标。具有上述内容，每项得1分，没有的不得分，最高得5分。</w:t>
            </w:r>
          </w:p>
        </w:tc>
      </w:tr>
      <w:tr>
        <w:tc>
          <w:tcPr>
            <w:tcW w:type="dxa" w:w="922"/>
            <w:gridSpan w:val="2"/>
            <w:vMerge/>
          </w:tcPr>
          <w:p/>
        </w:tc>
        <w:tc>
          <w:tcPr>
            <w:tcW w:type="dxa" w:w="2307"/>
          </w:tcPr>
          <w:p>
            <w:pPr>
              <w:pStyle w:val="null3"/>
              <w:jc w:val="left"/>
            </w:pPr>
            <w:r>
              <w:rPr/>
              <w:t>现状的认识及分析（二） (10.0分)</w:t>
            </w:r>
          </w:p>
        </w:tc>
        <w:tc>
          <w:tcPr>
            <w:tcW w:type="dxa" w:w="5076"/>
          </w:tcPr>
          <w:p>
            <w:pPr>
              <w:pStyle w:val="null3"/>
              <w:jc w:val="left"/>
            </w:pPr>
            <w:r>
              <w:rPr/>
              <w:t>（二）在上述方案基础上，按照下列要求进行加分： 1、方案完全满足或优于项目要求，现状的认识解读深刻，项目现状问题分析全面、透彻且目标明确、具体，得10分； 2、方案较满足项目要求，现状的认识解读较深刻，项目现状问题分析较全面、较透彻且目标较明确、较具体，得7分； 3、方案基本满足项目要求，对现状的认识解读一般，项目现状问题分析基本透彻、目标基本明确，得4分； 4、方案不完全满足项目要求，对项目的理解、现状的认识及分析不够全面，不够明确，得1分； 5、其他情况或未提供方案的不得分。</w:t>
            </w:r>
          </w:p>
        </w:tc>
      </w:tr>
      <w:tr>
        <w:tc>
          <w:tcPr>
            <w:tcW w:type="dxa" w:w="922"/>
            <w:gridSpan w:val="2"/>
            <w:vMerge/>
          </w:tcPr>
          <w:p/>
        </w:tc>
        <w:tc>
          <w:tcPr>
            <w:tcW w:type="dxa" w:w="2307"/>
          </w:tcPr>
          <w:p>
            <w:pPr>
              <w:pStyle w:val="null3"/>
              <w:jc w:val="left"/>
            </w:pPr>
            <w:r>
              <w:rPr/>
              <w:t>地质灾害危险性评估服务方案 (10.0分)</w:t>
            </w:r>
          </w:p>
        </w:tc>
        <w:tc>
          <w:tcPr>
            <w:tcW w:type="dxa" w:w="5076"/>
          </w:tcPr>
          <w:p>
            <w:pPr>
              <w:pStyle w:val="null3"/>
              <w:jc w:val="left"/>
            </w:pPr>
            <w:r>
              <w:rPr/>
              <w:t>根据采购需求中2.技术标准与要求“二、项目研究内容要求”对供应商制定的“地质灾害危险性评估”服务方案进行综合评审（评审内容包括但不限于地质条件调查、灾害危险性评估、防治措施、地质灾害危险性评估咨询）： 1、地质灾害危险性评估服务方案内容完整齐全且有针对性，措施完整、合理，可操作性高，得10分； 2、地质灾害危险性评估服务方案内容较齐全且有针对性，措施较完整、合理，可操作性较高，得7分； 3、地质灾害危险性评估服务方案内容基本完整，有一定针对性，措施基本合理，有一定可操作性，得4分； 4、地质灾害危险性评估服务方案内容粗略，针对性差或没有针对性，措施欠合理、可操作性差，得1分；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水土保持方案编制服务方案 (10.0分)</w:t>
            </w:r>
          </w:p>
        </w:tc>
        <w:tc>
          <w:tcPr>
            <w:tcW w:type="dxa" w:w="5076"/>
          </w:tcPr>
          <w:p>
            <w:pPr>
              <w:pStyle w:val="null3"/>
              <w:jc w:val="left"/>
            </w:pPr>
            <w:r>
              <w:rPr/>
              <w:t>根据采购需求中2.技术标准与要求“二、项目研究内容要求”对供应商制定的“水土保持方案编制”服务方案进行综合评审（评审内容包括但不限于水土流失现状调查、水土保持措施、监测与评估、水土保持方案咨询）： 1、水土保持方案编制服务方案内容完整齐全且有针对性，措施完整、合理，可操作性高，得10分； 2、水土保持方案编制服务方案内容较齐全且有针对性，措施较完整、合理，可操作性较高，得7分； 3、水土保持方案编制服务方案内容基本完整，有一定针对性，措施基本合理，有一定可操作性，得4分； 4、水土保持方案编制服务方案内容粗略，针对性差或没有针对性，措施欠合理、可操作性差，得1分；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项目质量保障措施（一） (3.0分)</w:t>
            </w:r>
          </w:p>
        </w:tc>
        <w:tc>
          <w:tcPr>
            <w:tcW w:type="dxa" w:w="5076"/>
          </w:tcPr>
          <w:p>
            <w:pPr>
              <w:pStyle w:val="null3"/>
              <w:jc w:val="left"/>
            </w:pPr>
            <w:r>
              <w:rPr/>
              <w:t>根据采购需求中2.技术标准与要求“三、项目研究成果要求”对供应商提出的项目质量保障措施进行综合评审：（一）评审内容包括：①服务承诺；②质量保障措施；③岗位工作人数及职责。具有上述内容，每项得1分，没有的不得分，最高得3分。</w:t>
            </w:r>
          </w:p>
        </w:tc>
      </w:tr>
      <w:tr>
        <w:tc>
          <w:tcPr>
            <w:tcW w:type="dxa" w:w="922"/>
            <w:gridSpan w:val="2"/>
            <w:vMerge/>
          </w:tcPr>
          <w:p/>
        </w:tc>
        <w:tc>
          <w:tcPr>
            <w:tcW w:type="dxa" w:w="2307"/>
          </w:tcPr>
          <w:p>
            <w:pPr>
              <w:pStyle w:val="null3"/>
              <w:jc w:val="left"/>
            </w:pPr>
            <w:r>
              <w:rPr/>
              <w:t>项目质量保障措施（二） (7.0分)</w:t>
            </w:r>
          </w:p>
        </w:tc>
        <w:tc>
          <w:tcPr>
            <w:tcW w:type="dxa" w:w="5076"/>
          </w:tcPr>
          <w:p>
            <w:pPr>
              <w:pStyle w:val="null3"/>
              <w:jc w:val="left"/>
            </w:pPr>
            <w:r>
              <w:rPr/>
              <w:t>（二）在上述方案基础上，按照下列要求进行加分： 1、所提供服务承诺完善具体、可行性高，质量保障措施详细清晰，岗位工作人数及职责完善明确、科学合理，得7分； 2、所提供服务承诺完善、可行性较高，质量保障措施清晰具体，岗位工作人数及职责完善、较科学合理，得5分； 3、所提供服务承诺可行性一般，质量保障措施清晰，岗位工作人数及职责完善，得3分； 4、所提供服务承诺符合采购需求，质量保障措施有所欠缺，有岗位工作人数及职责，得1分； 5、其他情况或未提供方案的不得分。</w:t>
            </w:r>
          </w:p>
        </w:tc>
      </w:tr>
      <w:tr>
        <w:tc>
          <w:tcPr>
            <w:tcW w:type="dxa" w:w="922"/>
            <w:gridSpan w:val="2"/>
            <w:vMerge/>
          </w:tcPr>
          <w:p/>
        </w:tc>
        <w:tc>
          <w:tcPr>
            <w:tcW w:type="dxa" w:w="2307"/>
          </w:tcPr>
          <w:p>
            <w:pPr>
              <w:pStyle w:val="null3"/>
              <w:jc w:val="left"/>
            </w:pPr>
            <w:r>
              <w:rPr/>
              <w:t>进度安排及进度保证措施（一） (3.0分)</w:t>
            </w:r>
          </w:p>
        </w:tc>
        <w:tc>
          <w:tcPr>
            <w:tcW w:type="dxa" w:w="5076"/>
          </w:tcPr>
          <w:p>
            <w:pPr>
              <w:pStyle w:val="null3"/>
              <w:jc w:val="left"/>
            </w:pPr>
            <w:r>
              <w:rPr/>
              <w:t>根据采购需求中2.技术标准与要求“四、项目进度安排”对供应商提出的进度安排及进度保证措施进行综合评审：（一）评审内容包括：①工作大纲；②进度计划安排；③进度计划保证措施。具有上述内容，每项得1分，没有的不得分，最高得3分。</w:t>
            </w:r>
          </w:p>
        </w:tc>
      </w:tr>
      <w:tr>
        <w:tc>
          <w:tcPr>
            <w:tcW w:type="dxa" w:w="922"/>
            <w:gridSpan w:val="2"/>
            <w:vMerge/>
          </w:tcPr>
          <w:p/>
        </w:tc>
        <w:tc>
          <w:tcPr>
            <w:tcW w:type="dxa" w:w="2307"/>
          </w:tcPr>
          <w:p>
            <w:pPr>
              <w:pStyle w:val="null3"/>
              <w:jc w:val="left"/>
            </w:pPr>
            <w:r>
              <w:rPr/>
              <w:t>进度安排及进度保证措施（二） (7.0分)</w:t>
            </w:r>
          </w:p>
        </w:tc>
        <w:tc>
          <w:tcPr>
            <w:tcW w:type="dxa" w:w="5076"/>
          </w:tcPr>
          <w:p>
            <w:pPr>
              <w:pStyle w:val="null3"/>
              <w:jc w:val="left"/>
            </w:pPr>
            <w:r>
              <w:rPr/>
              <w:t>（二）在上述方案基础上，按照下列要求进行加分： 1、所提供的工作大纲具体明确，进度计划安排合理，进度计划保证措施可行性高，优于采购需求，得7分； 2、所提供的工作大纲具体、进度计划安排较合理，进度计划保证措施可行性较高，满足采购需求，得5分； 3、所提供的工作大纲内容一般，进度计划安排清晰，进度计划保证措施可行性一般，基本满足采购需求，得3分； 4、所提供的工作大纲内容简单、有进度计划安排，进度计划保证措施有所欠缺，不够符合采购需求，得1分； 5、其他情况或未提供方案的不得分。</w:t>
            </w:r>
          </w:p>
        </w:tc>
      </w:tr>
      <w:tr>
        <w:tc>
          <w:tcPr>
            <w:tcW w:type="dxa" w:w="922"/>
            <w:gridSpan w:val="2"/>
            <w:vMerge/>
          </w:tcPr>
          <w:p/>
        </w:tc>
        <w:tc>
          <w:tcPr>
            <w:tcW w:type="dxa" w:w="2307"/>
          </w:tcPr>
          <w:p>
            <w:pPr>
              <w:pStyle w:val="null3"/>
              <w:jc w:val="left"/>
            </w:pPr>
            <w:r>
              <w:rPr/>
              <w:t>保密措施 (5.0分)</w:t>
            </w:r>
          </w:p>
        </w:tc>
        <w:tc>
          <w:tcPr>
            <w:tcW w:type="dxa" w:w="5076"/>
          </w:tcPr>
          <w:p>
            <w:pPr>
              <w:pStyle w:val="null3"/>
              <w:jc w:val="left"/>
            </w:pPr>
            <w:r>
              <w:rPr/>
              <w:t>根据采购需求中2.技术标准与要求“五、保密要求”对供应商提出的保密措施进行综合评审： 1、所提供的保密制度完善具体，保密措施科学合理，可行性高，优于采购需求，得5分； 2、所提供的保密制度完善，保密措施较科学合理，可行性较高，完全满足采购需求，得3分； 3、所提供的保密制度一般、保密措施合理，可行性一般，得1分； 4、其他情况或未提供方案的不得分。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商务要求响应情况 (8.0分)</w:t>
            </w:r>
          </w:p>
        </w:tc>
        <w:tc>
          <w:tcPr>
            <w:tcW w:type="dxa" w:w="5076"/>
          </w:tcPr>
          <w:p>
            <w:pPr>
              <w:pStyle w:val="null3"/>
              <w:jc w:val="left"/>
            </w:pPr>
            <w:r>
              <w:rPr/>
              <w:t>根据各供应商对本项目“其他商务需求中成交供应商管理要求”的响应情况进行评审：全部正偏离或符合得8分，每负偏离或不响应一项的扣2分，直至扣完该项分值为止。 注：以供应商提供《商务条件响应表》为准，未提供不得分。</w:t>
            </w:r>
          </w:p>
        </w:tc>
      </w:tr>
      <w:tr>
        <w:tc>
          <w:tcPr>
            <w:tcW w:type="dxa" w:w="922"/>
            <w:gridSpan w:val="2"/>
            <w:vMerge/>
          </w:tcPr>
          <w:p/>
        </w:tc>
        <w:tc>
          <w:tcPr>
            <w:tcW w:type="dxa" w:w="2307"/>
          </w:tcPr>
          <w:p>
            <w:pPr>
              <w:pStyle w:val="null3"/>
              <w:jc w:val="left"/>
            </w:pPr>
            <w:r>
              <w:rPr/>
              <w:t>相关认证及证书 (2.0分)</w:t>
            </w:r>
          </w:p>
        </w:tc>
        <w:tc>
          <w:tcPr>
            <w:tcW w:type="dxa" w:w="5076"/>
          </w:tcPr>
          <w:p>
            <w:pPr>
              <w:pStyle w:val="null3"/>
              <w:jc w:val="left"/>
            </w:pPr>
            <w:r>
              <w:rPr/>
              <w:t>供应商具有有效的质量管理体系认证证书的，得2分。 注：（1）提供通过认证或在有效期内的：①组成联合体指联合体牵头人、②认证证书复印件、③在国家认监委网站（网址：http://www.cnca.gov.cn/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同类或类似项目业绩 (10.0分)</w:t>
            </w:r>
          </w:p>
        </w:tc>
        <w:tc>
          <w:tcPr>
            <w:tcW w:type="dxa" w:w="5076"/>
          </w:tcPr>
          <w:p>
            <w:pPr>
              <w:pStyle w:val="null3"/>
              <w:jc w:val="left"/>
            </w:pPr>
            <w:r>
              <w:rPr/>
              <w:t>1、2021年1月1日至今(以合同签订时间为准)，供应商承担过地质灾害危险性评估项目经验的，每提供一项得2分，最高得6分。 2、2021年1月1日至今(以合同签订时间为准)，供应商承担过水土保持方案编制项目经验的，每提供一项得2分，最高得4分。 注：①提供合同关键页复印件并加盖公章，否则不得分；②联合体投标的，上述所有评审内容依据联合体任何一方提供有效文件作为评审依据。</w:t>
            </w:r>
          </w:p>
        </w:tc>
      </w:tr>
      <w:tr>
        <w:tc>
          <w:tcPr>
            <w:tcW w:type="dxa" w:w="922"/>
            <w:gridSpan w:val="2"/>
            <w:vMerge/>
          </w:tcPr>
          <w:p/>
        </w:tc>
        <w:tc>
          <w:tcPr>
            <w:tcW w:type="dxa" w:w="2307"/>
          </w:tcPr>
          <w:p>
            <w:pPr>
              <w:pStyle w:val="null3"/>
              <w:jc w:val="left"/>
            </w:pPr>
            <w:r>
              <w:rPr/>
              <w:t>拟投入项目负责人 (2.0分)</w:t>
            </w:r>
          </w:p>
        </w:tc>
        <w:tc>
          <w:tcPr>
            <w:tcW w:type="dxa" w:w="5076"/>
          </w:tcPr>
          <w:p>
            <w:pPr>
              <w:pStyle w:val="null3"/>
              <w:jc w:val="left"/>
            </w:pPr>
            <w:r>
              <w:rPr/>
              <w:t>项目负责人（1人）综合实力： 具有地质类相关专业的高级工程师或以上职称，得2分；具有中级工程师职称，得1分； 本项最高得2分。 注：以提供的以下证明材料作为评分依据，未提供或不符合要求的不得分：①以上人员相关证书扫描件；②供应商为以上人员于提交文件截止时间前六个月内任意一个月购买的社保证明材料； ③提供证书复印件并加盖公章，未提供或不符合要求的不得分；④以联合体形式参加投标的，联合体牵头单位人员方可得分。</w:t>
            </w:r>
          </w:p>
        </w:tc>
      </w:tr>
      <w:tr>
        <w:tc>
          <w:tcPr>
            <w:tcW w:type="dxa" w:w="922"/>
            <w:gridSpan w:val="2"/>
            <w:vMerge/>
          </w:tcPr>
          <w:p/>
        </w:tc>
        <w:tc>
          <w:tcPr>
            <w:tcW w:type="dxa" w:w="2307"/>
          </w:tcPr>
          <w:p>
            <w:pPr>
              <w:pStyle w:val="null3"/>
              <w:jc w:val="left"/>
            </w:pPr>
            <w:r>
              <w:rPr/>
              <w:t>团队人员（不含项目负责人） (8.0分)</w:t>
            </w:r>
          </w:p>
        </w:tc>
        <w:tc>
          <w:tcPr>
            <w:tcW w:type="dxa" w:w="5076"/>
          </w:tcPr>
          <w:p>
            <w:pPr>
              <w:pStyle w:val="null3"/>
              <w:jc w:val="left"/>
            </w:pPr>
            <w:r>
              <w:rPr/>
              <w:t>团队人员（不含项目负责人）： 具有地质类或林业类或生态类等相关专业的高级工程师或以上职称的，得2分；具有中级工程师职称，得1分； 本项最高得8分。同一人同时具备上述多项证书的，不累计得分。 注：以提供的以下证明材料作为评分依据，未提供或不符合要求的不得分：①以上人员相关证书扫描件；②供应商为以上人员于提交文件截止时间前六个月内任意一个月购买的社保证明材料；③以联合体形式参加投标的，联合体牵头单位和联合体成员方的拟投入团队人员均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sz w:val="28"/>
          <w:color w:val="222222"/>
        </w:rPr>
        <w:t>合同包</w:t>
      </w:r>
      <w:r>
        <w:rPr>
          <w:sz w:val="28"/>
          <w:color w:val="222222"/>
          <w:u w:val="single"/>
        </w:rPr>
        <w:t xml:space="preserve">     </w:t>
      </w:r>
      <w:r>
        <w:rPr>
          <w:sz w:val="28"/>
          <w:color w:val="222222"/>
        </w:rPr>
        <w:t>：</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r>
        <w:rPr>
          <w:sz w:val="24"/>
          <w:b/>
          <w:color w:val="222222"/>
        </w:rPr>
        <w:t>注：服务咨询合同如有国家示范合同文本的执行国家示范文本。</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940"/>
        <w:gridCol w:w="4365"/>
      </w:tblGrid>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甲方（盖章）：</w:t>
            </w: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乙方（盖章）：</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代表：</w:t>
            </w: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代表：</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rPr>
              <w:t>开户名称：</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银行帐号：</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开户行：</w:t>
            </w:r>
          </w:p>
        </w:tc>
      </w:tr>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签订地点：</w:t>
            </w:r>
          </w:p>
        </w:tc>
      </w:tr>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签订日期：　　　年　　月　　日</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440001-2025-18360</w:t>
      </w:r>
    </w:p>
    <w:p>
      <w:pPr>
        <w:pStyle w:val="null3"/>
        <w:jc w:val="center"/>
        <w:outlineLvl w:val="3"/>
      </w:pPr>
      <w:r>
        <w:rPr>
          <w:sz w:val="24"/>
          <w:b/>
        </w:rPr>
        <w:t>采购项目编号：</w:t>
      </w:r>
      <w:r>
        <w:rPr>
          <w:sz w:val="24"/>
          <w:b/>
        </w:rPr>
        <w:t>GDYD250208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南岭国家公园（广东乳源大峡谷省级自然保护区片区）科普教育基地(二次)</w:t>
      </w:r>
      <w:r>
        <w:rPr>
          <w:u w:val="single"/>
        </w:rPr>
        <w:t>”</w:t>
      </w:r>
      <w:r>
        <w:rPr/>
        <w:t>项目的竞争性磋商[采购项目编号为：</w:t>
      </w:r>
      <w:r>
        <w:rPr>
          <w:u w:val="single"/>
        </w:rPr>
        <w:t>GDYD250208</w:t>
      </w:r>
      <w:r>
        <w:rPr/>
        <w:t>]，我方愿参与响应。</w:t>
      </w:r>
    </w:p>
    <w:p>
      <w:pPr>
        <w:pStyle w:val="null3"/>
        <w:ind w:firstLine="480"/>
      </w:pPr>
      <w:r>
        <w:rPr/>
        <w:t>我方确认收到贵方提供的</w:t>
      </w:r>
      <w:r>
        <w:rPr>
          <w:u w:val="single"/>
        </w:rPr>
        <w:t>“</w:t>
      </w:r>
      <w:r>
        <w:rPr>
          <w:u w:val="single"/>
        </w:rPr>
        <w:t>南岭国家公园（广东乳源大峡谷省级自然保护区片区）科普教育基地(二次)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南岭国家公园（广东乳源大峡谷省级自然保护区片区）科普教育基地(二次)</w:t>
      </w:r>
      <w:r>
        <w:rPr/>
        <w:t>”项目采购[采购项目编号为</w:t>
      </w:r>
      <w:r>
        <w:rPr/>
        <w:t>GDYD250208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广东乳源大峡谷省级自然保护区管理处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南岭国家公园（广东乳源大峡谷省级自然保护区片区）科普教育基地(二次)</w:t>
      </w:r>
      <w:r>
        <w:rPr/>
        <w:t>（采购项目编号：</w:t>
      </w:r>
      <w:r>
        <w:rPr/>
        <w:t>GDYD250208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南岭国家公园（广东乳源大峡谷省级自然保护区片区）科普教育基地(二次)</w:t>
      </w:r>
      <w:r>
        <w:rPr/>
        <w:t>”项目（采购项目编号：</w:t>
      </w:r>
      <w:r>
        <w:rPr/>
        <w:t>GDYD250208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