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2E343E">
      <w:pPr>
        <w:widowControl w:val="0"/>
        <w:numPr>
          <w:ilvl w:val="0"/>
          <w:numId w:val="0"/>
        </w:numPr>
        <w:spacing w:beforeLines="0" w:line="360" w:lineRule="auto"/>
        <w:jc w:val="center"/>
        <w:rPr>
          <w:rFonts w:hint="eastAsia" w:ascii="宋体" w:hAnsi="宋体" w:eastAsia="宋体" w:cs="宋体"/>
          <w:b/>
          <w:bCs/>
          <w:color w:val="auto"/>
          <w:kern w:val="0"/>
          <w:sz w:val="36"/>
          <w:szCs w:val="36"/>
          <w:highlight w:val="none"/>
          <w:lang w:val="en-US" w:eastAsia="zh-CN" w:bidi="ar"/>
        </w:rPr>
      </w:pPr>
      <w:r>
        <w:rPr>
          <w:rFonts w:hint="eastAsia" w:ascii="宋体" w:hAnsi="宋体" w:eastAsia="宋体" w:cs="宋体"/>
          <w:b/>
          <w:bCs/>
          <w:color w:val="auto"/>
          <w:kern w:val="0"/>
          <w:sz w:val="36"/>
          <w:szCs w:val="36"/>
          <w:highlight w:val="none"/>
          <w:lang w:val="en-US" w:eastAsia="zh-CN" w:bidi="ar"/>
        </w:rPr>
        <w:t>126数字化X射线系统（DR）机用户需求书</w:t>
      </w:r>
    </w:p>
    <w:p w14:paraId="40134C8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Lines="0" w:beforeAutospacing="0" w:after="0" w:afterAutospacing="0" w:line="360" w:lineRule="auto"/>
        <w:ind w:left="0" w:right="0" w:firstLine="0"/>
        <w:jc w:val="both"/>
        <w:rPr>
          <w:rFonts w:hint="default" w:ascii="宋体" w:hAnsi="宋体" w:eastAsia="宋体" w:cs="宋体"/>
          <w:color w:val="auto"/>
          <w:sz w:val="30"/>
          <w:szCs w:val="30"/>
          <w:highlight w:val="none"/>
          <w:lang w:val="en-US" w:eastAsia="zh-CN"/>
        </w:rPr>
      </w:pPr>
      <w:r>
        <w:rPr>
          <w:rFonts w:hint="eastAsia" w:ascii="宋体" w:hAnsi="宋体" w:eastAsia="宋体" w:cs="宋体"/>
          <w:color w:val="auto"/>
          <w:sz w:val="30"/>
          <w:szCs w:val="30"/>
          <w:highlight w:val="none"/>
          <w:lang w:val="en-US" w:eastAsia="zh-CN"/>
        </w:rPr>
        <w:t>一、总体要求</w:t>
      </w:r>
    </w:p>
    <w:p w14:paraId="52097A40">
      <w:pPr>
        <w:numPr>
          <w:ilvl w:val="0"/>
          <w:numId w:val="1"/>
        </w:numPr>
        <w:spacing w:beforeLines="0" w:line="360" w:lineRule="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标有“★”号条款为实质性条款，若有任何一条负偏离或不满足则导致投标无效。</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2、标有“▲”号条款为重要技术参数，若有部分“▲”条款未响应或不满足，不作为无效投标条款。</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3、投标人必须承诺提供厂商原装、全新的、符合国家及用户提出的有关质量标准的设备。</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4、投标人应对采购需求中的设备性能和技术指标在响应详细内容中列出具体数值。如果投标人只注明“正偏离”或“无偏离”，将可能被视为“负偏离”，从而可能导致严重影响评标结果。</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5、投标人所投产品除项目采购文件中明确规定要求提供彩页或技术规格书或相应检测报告等证明材料以外，所有技术参数描述均以投标文件响应为准（投标文件内制造商提供的技术参数描述与投标人投标技术参数描述不一致时，以制造商提供的技术参数描述为准）。投标人须对所投产品技术参数的真实性承担法律责任。</w:t>
      </w:r>
      <w:r>
        <w:rPr>
          <w:rFonts w:hint="eastAsia" w:ascii="宋体" w:hAnsi="宋体" w:eastAsia="宋体" w:cs="宋体"/>
          <w:b/>
          <w:bCs/>
          <w:color w:val="auto"/>
          <w:kern w:val="0"/>
          <w:sz w:val="24"/>
          <w:szCs w:val="24"/>
          <w:highlight w:val="none"/>
          <w:lang w:val="en-US" w:eastAsia="zh-CN" w:bidi="ar"/>
        </w:rPr>
        <w:t>采购文件中明确规定要求投标人提供证明材料的，应标注证明材料所在的页码范围，证明材料中投标技术参数指标用红色框标记并标注采购需求技术参数对应的序号。</w:t>
      </w:r>
      <w:r>
        <w:rPr>
          <w:rFonts w:hint="eastAsia" w:ascii="宋体" w:hAnsi="宋体" w:eastAsia="宋体" w:cs="宋体"/>
          <w:b w:val="0"/>
          <w:bCs w:val="0"/>
          <w:color w:val="auto"/>
          <w:kern w:val="0"/>
          <w:sz w:val="24"/>
          <w:szCs w:val="24"/>
          <w:highlight w:val="none"/>
          <w:lang w:val="en-US" w:eastAsia="zh-CN" w:bidi="ar"/>
        </w:rPr>
        <w:t>如果因不按要求标注而导致的评审不得分，由投标人自行承担。</w:t>
      </w:r>
      <w:r>
        <w:rPr>
          <w:rFonts w:hint="eastAsia" w:ascii="宋体" w:hAnsi="宋体" w:eastAsia="宋体" w:cs="宋体"/>
          <w:b w:val="0"/>
          <w:bCs w:val="0"/>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6、凡列入《中华人民共和国实施强制性产品认证的产品目录》的产品在验收时必须出具CCC认证证书复印件，并以在产品外部加施认证标志作为验收依据之一。</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7、节能产品的优先采购和强制采购以财政部、发展改革委、生态环境部等部门公布的最新《节能产品政府采购品目清单》中所列产品及相关规定为准。如果涉及到政府强制采购节能，供应商必须在投标文件中明确列明具体产品的名称并提供国家确定的认证机构出具的处于有效期之内的节能产品认证证书。</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8、环境标志产品的优先采购以财政部、发展改革委、生态环境部等部门公布的最新《环境标志产品政府采购品目清单》所列产品为准。投标产品涉及到环境标志产品的，供应商需在投标文件中明确列明具体产品的名称并提供国家确定的认证机构出具的处于有效期之内的环境标志产品认证证书。</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9、涉及到软件产品的，必须采购和使用正版软件，项目中涉及计算机办公产品的，必须预装正版操作系统软件。</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10、投标人没有在投标文件中注明偏离（文字说明或在响应表注明）的参数、配置、条款视为被投标人完全接受。</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11、投标人应保证，采购人在中华人民共和国使用该货物或货物的任何一部分时，免受第三方提出的侵犯其专利权、商标权、著作权或其它知识产权的起诉。</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12、不允许中标供应商转包、分包中标采购包的内容。</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13、小型和微型企业、监狱企业和残疾人福利性单位必须按照投标须知的内容提供相应的资料。</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14、需落实政府采购政策为：促进中小企业发展政策、支持监狱企业发展政策、支持残疾人福利性单位发展政策、优先采购节能产品、环境标志产品相关政策、实施本国产品标准及相关政策等。</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15、单一产品采购项目，提供相同品牌产品且通过资格审查、符合性审查的不同投标人参加同一合同项下投标的，按一家投标人计算；非单一产品采购项目，提供相同品牌核心产品且通过资格审查、符合性审查的不同投标人参加同一合同项下投标的，按一家投标人计算。</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★16、投标产品应具备《医疗器械注册证》（无强制要求的除外，以国家药品监督管理局网上的数据库中查询的数据为准）（须提供证明文件复印件证明）；</w:t>
      </w:r>
      <w:r>
        <w:rPr>
          <w:rFonts w:hint="eastAsia" w:ascii="宋体" w:hAnsi="宋体" w:eastAsia="宋体" w:cs="宋体"/>
          <w:color w:val="auto"/>
          <w:kern w:val="0"/>
          <w:sz w:val="24"/>
          <w:szCs w:val="24"/>
          <w:highlight w:val="none"/>
          <w:lang w:val="en-US" w:eastAsia="zh-CN" w:bidi="ar"/>
        </w:rPr>
        <w:br w:type="textWrapping"/>
      </w:r>
      <w:r>
        <w:rPr>
          <w:rFonts w:hint="eastAsia" w:ascii="宋体" w:hAnsi="宋体" w:eastAsia="宋体" w:cs="宋体"/>
          <w:color w:val="auto"/>
          <w:kern w:val="0"/>
          <w:sz w:val="24"/>
          <w:szCs w:val="24"/>
          <w:highlight w:val="none"/>
          <w:lang w:val="en-US" w:eastAsia="zh-CN" w:bidi="ar"/>
        </w:rPr>
        <w:t>★17、投标人若为经销商须提供第二类医疗器械经营备案凭证（须提供证明文件复印件证明）或承诺签订合同前取得第二类医疗器械经营备案凭证（须提供承诺函），若为制造商则须提供《医疗器械生产许可证》（须提供证明文件复印件证明）。</w:t>
      </w:r>
    </w:p>
    <w:p w14:paraId="34439E7E">
      <w:pPr>
        <w:numPr>
          <w:ilvl w:val="0"/>
          <w:numId w:val="0"/>
        </w:numPr>
        <w:spacing w:beforeLines="0" w:line="360" w:lineRule="auto"/>
        <w:rPr>
          <w:rFonts w:hint="default" w:ascii="宋体" w:hAnsi="宋体" w:eastAsia="微软雅黑"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19、所投产品若属于《放射源分类办法》（国家环境保护总局公告2005年第62号）放射源分类或《关于发布射线装置分类办法的公告》（公告2006年第26号）射线装置分类表设备的需取得《辐射安全许可证》才能进行生产、销售。</w:t>
      </w:r>
    </w:p>
    <w:p w14:paraId="16064BD8">
      <w:pPr>
        <w:numPr>
          <w:ilvl w:val="0"/>
          <w:numId w:val="0"/>
        </w:numPr>
        <w:spacing w:beforeLines="0" w:line="360" w:lineRule="auto"/>
        <w:rPr>
          <w:rFonts w:hint="default"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投标人若为经销商须提供许可范围包含“销售”的《辐射安全许可证》证书，若为制造商则须提供许可范围包含“生产”的《辐射安全许可证》证书。投标人若同为经销商和制造商，则须提供许可范围包含“生产”和“销售”的《辐射安全许可证》证书。</w:t>
      </w:r>
    </w:p>
    <w:p w14:paraId="1BBEEEF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Lines="0" w:beforeAutospacing="0" w:after="0" w:afterAutospacing="0" w:line="360" w:lineRule="auto"/>
        <w:ind w:left="0" w:right="0" w:firstLine="0"/>
        <w:jc w:val="both"/>
        <w:rPr>
          <w:rFonts w:hint="eastAsia"/>
          <w:color w:val="auto"/>
          <w:sz w:val="30"/>
          <w:szCs w:val="30"/>
          <w:highlight w:val="none"/>
          <w:lang w:val="en-US" w:eastAsia="zh-CN"/>
        </w:rPr>
      </w:pPr>
      <w:r>
        <w:rPr>
          <w:rFonts w:hint="eastAsia"/>
          <w:color w:val="auto"/>
          <w:sz w:val="30"/>
          <w:szCs w:val="30"/>
          <w:highlight w:val="none"/>
          <w:lang w:val="en-US" w:eastAsia="zh-CN"/>
        </w:rPr>
        <w:t>二、项目概况</w:t>
      </w:r>
    </w:p>
    <w:p w14:paraId="7F9946D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480" w:firstLineChars="200"/>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采购预算及最高限价或耗材的最高限价:按第二阶段调查后确定</w:t>
      </w:r>
    </w:p>
    <w:p w14:paraId="536C444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480" w:firstLineChars="200"/>
        <w:jc w:val="both"/>
        <w:textAlignment w:val="auto"/>
        <w:rPr>
          <w:rFonts w:hint="eastAsia" w:cs="宋体"/>
          <w:b/>
          <w:bCs/>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项目类型为货物类，采购品目：</w:t>
      </w:r>
      <w:r>
        <w:rPr>
          <w:rFonts w:hint="eastAsia" w:cs="宋体"/>
          <w:b/>
          <w:bCs/>
          <w:color w:val="auto"/>
          <w:sz w:val="24"/>
          <w:szCs w:val="24"/>
          <w:highlight w:val="none"/>
          <w:lang w:val="en-US" w:eastAsia="zh-CN"/>
        </w:rPr>
        <w:t>医用内窥镜（A02320700）</w:t>
      </w:r>
    </w:p>
    <w:p w14:paraId="115DB56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482" w:firstLineChars="200"/>
        <w:jc w:val="both"/>
        <w:textAlignment w:val="auto"/>
        <w:rPr>
          <w:rFonts w:hint="eastAsia" w:cs="宋体"/>
          <w:b/>
          <w:bCs/>
          <w:color w:val="auto"/>
          <w:sz w:val="24"/>
          <w:szCs w:val="24"/>
          <w:highlight w:val="none"/>
          <w:lang w:val="en-US" w:eastAsia="zh-CN"/>
        </w:rPr>
      </w:pPr>
      <w:r>
        <w:rPr>
          <w:rFonts w:hint="eastAsia" w:cs="宋体"/>
          <w:b/>
          <w:bCs/>
          <w:color w:val="auto"/>
          <w:sz w:val="24"/>
          <w:szCs w:val="24"/>
          <w:highlight w:val="none"/>
          <w:lang w:val="en-US" w:eastAsia="zh-CN"/>
        </w:rPr>
        <w:t>本项目采购包采购标的对应的中小企业划分标准所属行业为：工业</w:t>
      </w:r>
    </w:p>
    <w:p w14:paraId="3B63DF2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Lines="0" w:beforeAutospacing="0" w:after="0" w:afterAutospacing="0" w:line="360" w:lineRule="auto"/>
        <w:ind w:left="0" w:right="0" w:firstLine="0"/>
        <w:jc w:val="both"/>
        <w:rPr>
          <w:rFonts w:hint="eastAsia" w:ascii="宋体" w:hAnsi="宋体" w:eastAsia="宋体" w:cs="宋体"/>
          <w:color w:val="auto"/>
          <w:sz w:val="30"/>
          <w:szCs w:val="30"/>
          <w:highlight w:val="none"/>
          <w:lang w:val="en-US" w:eastAsia="zh-CN"/>
        </w:rPr>
      </w:pPr>
      <w:r>
        <w:rPr>
          <w:rFonts w:hint="eastAsia" w:ascii="宋体" w:hAnsi="宋体" w:eastAsia="宋体" w:cs="宋体"/>
          <w:color w:val="auto"/>
          <w:sz w:val="30"/>
          <w:szCs w:val="30"/>
          <w:highlight w:val="none"/>
          <w:lang w:val="en-US" w:eastAsia="zh-CN"/>
        </w:rPr>
        <w:t>三、技术参数</w:t>
      </w:r>
    </w:p>
    <w:p w14:paraId="2A638896">
      <w:pPr>
        <w:rPr>
          <w:rFonts w:ascii="宋体" w:hAnsi="宋体" w:cs="宋体"/>
          <w:bCs/>
          <w:color w:val="auto"/>
          <w:sz w:val="24"/>
          <w:highlight w:val="none"/>
        </w:rPr>
      </w:pPr>
      <w:r>
        <w:rPr>
          <w:rFonts w:hint="eastAsia" w:ascii="宋体" w:hAnsi="宋体" w:cs="宋体"/>
          <w:bCs/>
          <w:color w:val="auto"/>
          <w:sz w:val="24"/>
          <w:highlight w:val="none"/>
        </w:rPr>
        <w:t>1</w:t>
      </w:r>
      <w:r>
        <w:rPr>
          <w:rFonts w:hint="eastAsia" w:ascii="宋体" w:hAnsi="宋体" w:cs="宋体"/>
          <w:bCs/>
          <w:color w:val="auto"/>
          <w:sz w:val="24"/>
          <w:highlight w:val="none"/>
        </w:rPr>
        <w:tab/>
      </w:r>
      <w:r>
        <w:rPr>
          <w:rFonts w:hint="eastAsia" w:ascii="宋体" w:hAnsi="宋体" w:cs="宋体"/>
          <w:bCs/>
          <w:color w:val="auto"/>
          <w:sz w:val="24"/>
          <w:highlight w:val="none"/>
        </w:rPr>
        <w:t>功能及基本情况</w:t>
      </w:r>
    </w:p>
    <w:p w14:paraId="7D3AB2F9">
      <w:pPr>
        <w:rPr>
          <w:rFonts w:ascii="宋体" w:hAnsi="宋体" w:cs="宋体"/>
          <w:bCs/>
          <w:color w:val="auto"/>
          <w:sz w:val="24"/>
          <w:highlight w:val="none"/>
        </w:rPr>
      </w:pPr>
      <w:r>
        <w:rPr>
          <w:rFonts w:hint="eastAsia" w:ascii="宋体" w:hAnsi="宋体" w:cs="宋体"/>
          <w:bCs/>
          <w:color w:val="auto"/>
          <w:sz w:val="24"/>
          <w:highlight w:val="none"/>
        </w:rPr>
        <w:t>1.1</w:t>
      </w:r>
      <w:r>
        <w:rPr>
          <w:rFonts w:hint="eastAsia" w:ascii="宋体" w:hAnsi="宋体" w:cs="宋体"/>
          <w:bCs/>
          <w:color w:val="auto"/>
          <w:sz w:val="24"/>
          <w:highlight w:val="none"/>
        </w:rPr>
        <w:tab/>
      </w:r>
      <w:r>
        <w:rPr>
          <w:rFonts w:hint="eastAsia" w:ascii="宋体" w:hAnsi="宋体" w:cs="宋体"/>
          <w:bCs/>
          <w:color w:val="auto"/>
          <w:sz w:val="24"/>
          <w:highlight w:val="none"/>
        </w:rPr>
        <w:t>设备为落地双立柱+固定床式数字化成像系统，用于完成全身各部位、各体位、各角度的拍片检查,整机具备NMPA注册证。</w:t>
      </w:r>
    </w:p>
    <w:p w14:paraId="4C76F548">
      <w:pPr>
        <w:rPr>
          <w:rFonts w:ascii="宋体" w:hAnsi="宋体" w:cs="宋体"/>
          <w:bCs/>
          <w:color w:val="auto"/>
          <w:sz w:val="24"/>
          <w:highlight w:val="none"/>
        </w:rPr>
      </w:pPr>
      <w:r>
        <w:rPr>
          <w:rFonts w:hint="eastAsia" w:ascii="宋体" w:hAnsi="宋体" w:cs="宋体"/>
          <w:bCs/>
          <w:color w:val="auto"/>
          <w:sz w:val="24"/>
          <w:highlight w:val="none"/>
        </w:rPr>
        <w:t>2</w:t>
      </w:r>
      <w:r>
        <w:rPr>
          <w:rFonts w:hint="eastAsia" w:ascii="宋体" w:hAnsi="宋体" w:cs="宋体"/>
          <w:bCs/>
          <w:color w:val="auto"/>
          <w:sz w:val="24"/>
          <w:highlight w:val="none"/>
        </w:rPr>
        <w:tab/>
      </w:r>
      <w:r>
        <w:rPr>
          <w:rFonts w:hint="eastAsia" w:ascii="宋体" w:hAnsi="宋体" w:cs="宋体"/>
          <w:bCs/>
          <w:color w:val="auto"/>
          <w:sz w:val="24"/>
          <w:highlight w:val="none"/>
        </w:rPr>
        <w:t>主要技术参数</w:t>
      </w:r>
    </w:p>
    <w:p w14:paraId="543C5A7D">
      <w:pPr>
        <w:rPr>
          <w:rFonts w:ascii="宋体" w:hAnsi="宋体" w:cs="宋体"/>
          <w:b/>
          <w:bCs/>
          <w:color w:val="auto"/>
          <w:sz w:val="24"/>
          <w:highlight w:val="none"/>
        </w:rPr>
      </w:pPr>
      <w:r>
        <w:rPr>
          <w:rFonts w:hint="eastAsia" w:ascii="宋体" w:hAnsi="宋体" w:cs="宋体"/>
          <w:b/>
          <w:bCs/>
          <w:color w:val="auto"/>
          <w:sz w:val="24"/>
          <w:highlight w:val="none"/>
        </w:rPr>
        <w:t>2.1</w:t>
      </w:r>
      <w:r>
        <w:rPr>
          <w:rFonts w:hint="eastAsia" w:ascii="宋体" w:hAnsi="宋体" w:cs="宋体"/>
          <w:b/>
          <w:bCs/>
          <w:color w:val="auto"/>
          <w:sz w:val="24"/>
          <w:highlight w:val="none"/>
        </w:rPr>
        <w:tab/>
      </w:r>
      <w:r>
        <w:rPr>
          <w:rFonts w:hint="eastAsia" w:ascii="宋体" w:hAnsi="宋体" w:cs="宋体"/>
          <w:b/>
          <w:bCs/>
          <w:color w:val="auto"/>
          <w:sz w:val="24"/>
          <w:highlight w:val="none"/>
        </w:rPr>
        <w:t>X线球管及支架系统</w:t>
      </w:r>
    </w:p>
    <w:p w14:paraId="45C49899">
      <w:pPr>
        <w:rPr>
          <w:rFonts w:ascii="宋体" w:hAnsi="宋体" w:cs="宋体"/>
          <w:bCs/>
          <w:color w:val="auto"/>
          <w:sz w:val="24"/>
          <w:highlight w:val="none"/>
        </w:rPr>
      </w:pPr>
      <w:r>
        <w:rPr>
          <w:rFonts w:hint="eastAsia" w:ascii="宋体" w:hAnsi="宋体" w:cs="宋体"/>
          <w:bCs/>
          <w:color w:val="auto"/>
          <w:sz w:val="24"/>
          <w:highlight w:val="none"/>
        </w:rPr>
        <w:t>2.1.1</w:t>
      </w:r>
      <w:r>
        <w:rPr>
          <w:rFonts w:hint="eastAsia" w:ascii="宋体" w:hAnsi="宋体" w:cs="宋体"/>
          <w:bCs/>
          <w:color w:val="auto"/>
          <w:sz w:val="24"/>
          <w:highlight w:val="none"/>
        </w:rPr>
        <w:tab/>
      </w:r>
      <w:r>
        <w:rPr>
          <w:rFonts w:hint="eastAsia" w:ascii="宋体" w:hAnsi="宋体" w:cs="宋体"/>
          <w:bCs/>
          <w:color w:val="auto"/>
          <w:sz w:val="24"/>
          <w:highlight w:val="none"/>
        </w:rPr>
        <w:t>落地式X线球管支架，非C形臂或U形臂。</w:t>
      </w:r>
    </w:p>
    <w:p w14:paraId="7F8B786F">
      <w:pPr>
        <w:rPr>
          <w:rFonts w:ascii="宋体" w:hAnsi="宋体" w:cs="宋体"/>
          <w:bCs/>
          <w:color w:val="auto"/>
          <w:sz w:val="24"/>
          <w:highlight w:val="none"/>
        </w:rPr>
      </w:pPr>
      <w:r>
        <w:rPr>
          <w:rFonts w:hint="eastAsia" w:ascii="宋体" w:hAnsi="宋体" w:cs="宋体"/>
          <w:bCs/>
          <w:color w:val="auto"/>
          <w:sz w:val="24"/>
          <w:highlight w:val="none"/>
        </w:rPr>
        <w:t>2.1.2</w:t>
      </w:r>
      <w:r>
        <w:rPr>
          <w:rFonts w:hint="eastAsia" w:ascii="宋体" w:hAnsi="宋体" w:cs="宋体"/>
          <w:bCs/>
          <w:color w:val="auto"/>
          <w:sz w:val="24"/>
          <w:highlight w:val="none"/>
        </w:rPr>
        <w:tab/>
      </w:r>
      <w:r>
        <w:rPr>
          <w:rFonts w:hint="eastAsia" w:ascii="宋体" w:hAnsi="宋体" w:cs="宋体"/>
          <w:bCs/>
          <w:color w:val="auto"/>
          <w:sz w:val="24"/>
          <w:highlight w:val="none"/>
        </w:rPr>
        <w:t>焦点0.6/1.2mm</w:t>
      </w:r>
    </w:p>
    <w:p w14:paraId="30B3EC00">
      <w:pPr>
        <w:rPr>
          <w:rFonts w:ascii="宋体" w:hAnsi="宋体" w:cs="宋体"/>
          <w:bCs/>
          <w:color w:val="auto"/>
          <w:sz w:val="24"/>
          <w:highlight w:val="none"/>
        </w:rPr>
      </w:pPr>
      <w:r>
        <w:rPr>
          <w:color w:val="auto"/>
          <w:highlight w:val="none"/>
        </w:rPr>
        <w:t>▲</w:t>
      </w:r>
      <w:r>
        <w:rPr>
          <w:rFonts w:hint="eastAsia" w:ascii="宋体" w:hAnsi="宋体" w:cs="宋体"/>
          <w:bCs/>
          <w:color w:val="auto"/>
          <w:sz w:val="24"/>
          <w:highlight w:val="none"/>
        </w:rPr>
        <w:t>2.1.3</w:t>
      </w:r>
      <w:r>
        <w:rPr>
          <w:rFonts w:hint="eastAsia" w:ascii="宋体" w:hAnsi="宋体" w:cs="宋体"/>
          <w:bCs/>
          <w:color w:val="auto"/>
          <w:sz w:val="24"/>
          <w:highlight w:val="none"/>
        </w:rPr>
        <w:tab/>
      </w:r>
      <w:r>
        <w:rPr>
          <w:rFonts w:hint="eastAsia" w:ascii="宋体" w:hAnsi="宋体" w:cs="宋体"/>
          <w:bCs/>
          <w:color w:val="auto"/>
          <w:sz w:val="24"/>
          <w:highlight w:val="none"/>
        </w:rPr>
        <w:t>球管功率</w:t>
      </w:r>
      <w:r>
        <w:rPr>
          <w:rFonts w:hint="eastAsia"/>
          <w:b/>
          <w:bCs/>
          <w:color w:val="auto"/>
          <w:highlight w:val="none"/>
        </w:rPr>
        <w:t>≥</w:t>
      </w:r>
      <w:r>
        <w:rPr>
          <w:rFonts w:ascii="宋体" w:hAnsi="宋体" w:cs="宋体"/>
          <w:bCs/>
          <w:color w:val="auto"/>
          <w:sz w:val="24"/>
          <w:highlight w:val="none"/>
        </w:rPr>
        <w:t>7</w:t>
      </w:r>
      <w:r>
        <w:rPr>
          <w:rFonts w:hint="eastAsia" w:ascii="宋体" w:hAnsi="宋体" w:cs="宋体"/>
          <w:bCs/>
          <w:color w:val="auto"/>
          <w:sz w:val="24"/>
          <w:highlight w:val="none"/>
        </w:rPr>
        <w:t>7KW</w:t>
      </w:r>
    </w:p>
    <w:p w14:paraId="1C3239DA">
      <w:pPr>
        <w:rPr>
          <w:rFonts w:ascii="宋体" w:hAnsi="宋体" w:cs="宋体"/>
          <w:bCs/>
          <w:color w:val="auto"/>
          <w:sz w:val="24"/>
          <w:highlight w:val="none"/>
        </w:rPr>
      </w:pPr>
      <w:r>
        <w:rPr>
          <w:rFonts w:hint="eastAsia" w:ascii="宋体" w:hAnsi="宋体" w:cs="宋体"/>
          <w:bCs/>
          <w:color w:val="auto"/>
          <w:sz w:val="24"/>
          <w:highlight w:val="none"/>
        </w:rPr>
        <w:t>2.1.4</w:t>
      </w:r>
      <w:r>
        <w:rPr>
          <w:rFonts w:hint="eastAsia" w:ascii="宋体" w:hAnsi="宋体" w:cs="宋体"/>
          <w:bCs/>
          <w:color w:val="auto"/>
          <w:sz w:val="24"/>
          <w:highlight w:val="none"/>
        </w:rPr>
        <w:tab/>
      </w:r>
      <w:r>
        <w:rPr>
          <w:rFonts w:hint="eastAsia" w:ascii="宋体" w:hAnsi="宋体" w:cs="宋体"/>
          <w:bCs/>
          <w:color w:val="auto"/>
          <w:sz w:val="24"/>
          <w:highlight w:val="none"/>
        </w:rPr>
        <w:t>最大毫安800mA</w:t>
      </w:r>
    </w:p>
    <w:p w14:paraId="1F17C1FD">
      <w:pPr>
        <w:rPr>
          <w:rFonts w:ascii="宋体" w:hAnsi="宋体" w:cs="宋体"/>
          <w:bCs/>
          <w:color w:val="auto"/>
          <w:sz w:val="24"/>
          <w:highlight w:val="none"/>
        </w:rPr>
      </w:pPr>
      <w:r>
        <w:rPr>
          <w:rFonts w:hint="eastAsia" w:ascii="宋体" w:hAnsi="宋体" w:cs="宋体"/>
          <w:bCs/>
          <w:color w:val="auto"/>
          <w:sz w:val="24"/>
          <w:highlight w:val="none"/>
        </w:rPr>
        <w:t>2.1.5</w:t>
      </w:r>
      <w:r>
        <w:rPr>
          <w:rFonts w:hint="eastAsia" w:ascii="宋体" w:hAnsi="宋体" w:cs="宋体"/>
          <w:bCs/>
          <w:color w:val="auto"/>
          <w:sz w:val="24"/>
          <w:highlight w:val="none"/>
        </w:rPr>
        <w:tab/>
      </w:r>
      <w:r>
        <w:rPr>
          <w:rFonts w:hint="eastAsia" w:ascii="宋体" w:hAnsi="宋体" w:cs="宋体"/>
          <w:bCs/>
          <w:color w:val="auto"/>
          <w:sz w:val="24"/>
          <w:highlight w:val="none"/>
        </w:rPr>
        <w:t>阳极热容量</w:t>
      </w:r>
      <w:r>
        <w:rPr>
          <w:rFonts w:hint="eastAsia"/>
          <w:color w:val="auto"/>
          <w:highlight w:val="none"/>
        </w:rPr>
        <w:t>≥</w:t>
      </w:r>
      <w:r>
        <w:rPr>
          <w:rFonts w:ascii="宋体" w:hAnsi="宋体" w:cs="宋体"/>
          <w:bCs/>
          <w:color w:val="auto"/>
          <w:sz w:val="24"/>
          <w:highlight w:val="none"/>
        </w:rPr>
        <w:t>30</w:t>
      </w:r>
      <w:r>
        <w:rPr>
          <w:rFonts w:hint="eastAsia" w:ascii="宋体" w:hAnsi="宋体" w:cs="宋体"/>
          <w:bCs/>
          <w:color w:val="auto"/>
          <w:sz w:val="24"/>
          <w:highlight w:val="none"/>
        </w:rPr>
        <w:t>0KHU</w:t>
      </w:r>
    </w:p>
    <w:p w14:paraId="0479CE52">
      <w:pPr>
        <w:rPr>
          <w:rFonts w:ascii="宋体" w:hAnsi="宋体" w:cs="宋体"/>
          <w:bCs/>
          <w:color w:val="auto"/>
          <w:sz w:val="24"/>
          <w:highlight w:val="none"/>
        </w:rPr>
      </w:pPr>
      <w:r>
        <w:rPr>
          <w:rFonts w:hint="eastAsia" w:ascii="宋体" w:hAnsi="宋体" w:cs="宋体"/>
          <w:bCs/>
          <w:color w:val="auto"/>
          <w:sz w:val="24"/>
          <w:highlight w:val="none"/>
        </w:rPr>
        <w:t>2.1.6</w:t>
      </w:r>
      <w:r>
        <w:rPr>
          <w:rFonts w:hint="eastAsia" w:ascii="宋体" w:hAnsi="宋体" w:cs="宋体"/>
          <w:bCs/>
          <w:color w:val="auto"/>
          <w:sz w:val="24"/>
          <w:highlight w:val="none"/>
        </w:rPr>
        <w:tab/>
      </w:r>
      <w:r>
        <w:rPr>
          <w:rFonts w:hint="eastAsia" w:ascii="宋体" w:hAnsi="宋体" w:cs="宋体"/>
          <w:bCs/>
          <w:color w:val="auto"/>
          <w:sz w:val="24"/>
          <w:highlight w:val="none"/>
        </w:rPr>
        <w:t>球管绕垂直轴旋转-90º— +180º</w:t>
      </w:r>
    </w:p>
    <w:p w14:paraId="7453C922">
      <w:pPr>
        <w:rPr>
          <w:rFonts w:ascii="宋体" w:hAnsi="宋体" w:cs="宋体"/>
          <w:bCs/>
          <w:color w:val="auto"/>
          <w:sz w:val="24"/>
          <w:highlight w:val="none"/>
        </w:rPr>
      </w:pPr>
      <w:r>
        <w:rPr>
          <w:rFonts w:hint="eastAsia" w:ascii="宋体" w:hAnsi="宋体" w:cs="宋体"/>
          <w:bCs/>
          <w:color w:val="auto"/>
          <w:sz w:val="24"/>
          <w:highlight w:val="none"/>
        </w:rPr>
        <w:t>2.1.7</w:t>
      </w:r>
      <w:r>
        <w:rPr>
          <w:rFonts w:hint="eastAsia" w:ascii="宋体" w:hAnsi="宋体" w:cs="宋体"/>
          <w:bCs/>
          <w:color w:val="auto"/>
          <w:sz w:val="24"/>
          <w:highlight w:val="none"/>
        </w:rPr>
        <w:tab/>
      </w:r>
      <w:r>
        <w:rPr>
          <w:rFonts w:hint="eastAsia" w:ascii="宋体" w:hAnsi="宋体" w:cs="宋体"/>
          <w:bCs/>
          <w:color w:val="auto"/>
          <w:sz w:val="24"/>
          <w:highlight w:val="none"/>
        </w:rPr>
        <w:t>球管绕水平轴旋转±120º</w:t>
      </w:r>
    </w:p>
    <w:p w14:paraId="65E6DA92">
      <w:pPr>
        <w:rPr>
          <w:rFonts w:ascii="宋体" w:hAnsi="宋体" w:cs="宋体"/>
          <w:bCs/>
          <w:color w:val="auto"/>
          <w:sz w:val="24"/>
          <w:highlight w:val="none"/>
        </w:rPr>
      </w:pPr>
      <w:r>
        <w:rPr>
          <w:color w:val="auto"/>
          <w:highlight w:val="none"/>
        </w:rPr>
        <w:t>▲</w:t>
      </w:r>
      <w:r>
        <w:rPr>
          <w:rFonts w:hint="eastAsia" w:ascii="宋体" w:hAnsi="宋体" w:cs="宋体"/>
          <w:bCs/>
          <w:color w:val="auto"/>
          <w:sz w:val="24"/>
          <w:highlight w:val="none"/>
        </w:rPr>
        <w:t>2.1.8</w:t>
      </w:r>
      <w:r>
        <w:rPr>
          <w:rFonts w:hint="eastAsia" w:ascii="宋体" w:hAnsi="宋体" w:cs="宋体"/>
          <w:bCs/>
          <w:color w:val="auto"/>
          <w:sz w:val="24"/>
          <w:highlight w:val="none"/>
        </w:rPr>
        <w:tab/>
      </w:r>
      <w:r>
        <w:rPr>
          <w:rFonts w:hint="eastAsia" w:ascii="宋体" w:hAnsi="宋体" w:cs="宋体"/>
          <w:bCs/>
          <w:color w:val="auto"/>
          <w:sz w:val="24"/>
          <w:highlight w:val="none"/>
        </w:rPr>
        <w:t>系统沿摄影床纵向移动距离</w:t>
      </w:r>
      <w:r>
        <w:rPr>
          <w:rFonts w:hint="eastAsia"/>
          <w:b/>
          <w:bCs/>
          <w:color w:val="auto"/>
          <w:highlight w:val="none"/>
        </w:rPr>
        <w:t>≥</w:t>
      </w:r>
      <w:r>
        <w:rPr>
          <w:rFonts w:hint="eastAsia" w:ascii="宋体" w:hAnsi="宋体" w:cs="宋体"/>
          <w:bCs/>
          <w:color w:val="auto"/>
          <w:sz w:val="24"/>
          <w:highlight w:val="none"/>
        </w:rPr>
        <w:t>185cm</w:t>
      </w:r>
    </w:p>
    <w:p w14:paraId="52CBC64F">
      <w:pPr>
        <w:rPr>
          <w:rFonts w:ascii="宋体" w:hAnsi="宋体" w:cs="宋体"/>
          <w:bCs/>
          <w:color w:val="auto"/>
          <w:sz w:val="24"/>
          <w:highlight w:val="none"/>
        </w:rPr>
      </w:pPr>
      <w:r>
        <w:rPr>
          <w:rFonts w:hint="eastAsia" w:ascii="宋体" w:hAnsi="宋体" w:cs="宋体"/>
          <w:bCs/>
          <w:color w:val="auto"/>
          <w:sz w:val="24"/>
          <w:highlight w:val="none"/>
        </w:rPr>
        <w:t>2.1.9</w:t>
      </w:r>
      <w:r>
        <w:rPr>
          <w:rFonts w:hint="eastAsia" w:ascii="宋体" w:hAnsi="宋体" w:cs="宋体"/>
          <w:bCs/>
          <w:color w:val="auto"/>
          <w:sz w:val="24"/>
          <w:highlight w:val="none"/>
        </w:rPr>
        <w:tab/>
      </w:r>
      <w:r>
        <w:rPr>
          <w:rFonts w:hint="eastAsia" w:ascii="宋体" w:hAnsi="宋体" w:cs="宋体"/>
          <w:bCs/>
          <w:color w:val="auto"/>
          <w:sz w:val="24"/>
          <w:highlight w:val="none"/>
        </w:rPr>
        <w:t>束光器具有射野灯光定时控制,自动束光器内射野灯光种类：LED白光显示, 且具备激光定位灯</w:t>
      </w:r>
    </w:p>
    <w:p w14:paraId="458FA93E">
      <w:pPr>
        <w:rPr>
          <w:rFonts w:ascii="宋体" w:hAnsi="宋体" w:cs="宋体"/>
          <w:bCs/>
          <w:color w:val="auto"/>
          <w:sz w:val="24"/>
          <w:highlight w:val="none"/>
        </w:rPr>
      </w:pPr>
      <w:r>
        <w:rPr>
          <w:rFonts w:hint="eastAsia" w:ascii="宋体" w:hAnsi="宋体" w:cs="宋体"/>
          <w:bCs/>
          <w:color w:val="auto"/>
          <w:sz w:val="24"/>
          <w:highlight w:val="none"/>
        </w:rPr>
        <w:t>2.2.1</w:t>
      </w:r>
      <w:r>
        <w:rPr>
          <w:rFonts w:hint="eastAsia" w:ascii="宋体" w:hAnsi="宋体" w:cs="宋体"/>
          <w:bCs/>
          <w:color w:val="auto"/>
          <w:sz w:val="24"/>
          <w:highlight w:val="none"/>
          <w:lang w:val="en-US" w:eastAsia="zh-CN"/>
        </w:rPr>
        <w:t>0</w:t>
      </w:r>
      <w:r>
        <w:rPr>
          <w:rFonts w:hint="eastAsia" w:ascii="宋体" w:hAnsi="宋体" w:cs="宋体"/>
          <w:bCs/>
          <w:color w:val="auto"/>
          <w:sz w:val="24"/>
          <w:highlight w:val="none"/>
        </w:rPr>
        <w:tab/>
      </w:r>
      <w:r>
        <w:rPr>
          <w:rFonts w:hint="eastAsia" w:ascii="宋体" w:hAnsi="宋体" w:cs="宋体"/>
          <w:bCs/>
          <w:color w:val="auto"/>
          <w:sz w:val="24"/>
          <w:highlight w:val="none"/>
        </w:rPr>
        <w:t>为确保散热，球管采用主动被动双模式散热，球管配备风冷风扇</w:t>
      </w:r>
    </w:p>
    <w:p w14:paraId="024749F8">
      <w:pPr>
        <w:rPr>
          <w:rFonts w:ascii="宋体" w:hAnsi="宋体" w:cs="宋体"/>
          <w:b/>
          <w:bCs/>
          <w:color w:val="auto"/>
          <w:sz w:val="24"/>
          <w:highlight w:val="none"/>
        </w:rPr>
      </w:pPr>
      <w:r>
        <w:rPr>
          <w:rFonts w:hint="eastAsia" w:ascii="宋体" w:hAnsi="宋体" w:cs="宋体"/>
          <w:b/>
          <w:bCs/>
          <w:color w:val="auto"/>
          <w:sz w:val="24"/>
          <w:highlight w:val="none"/>
        </w:rPr>
        <w:t>2.2</w:t>
      </w:r>
      <w:r>
        <w:rPr>
          <w:rFonts w:hint="eastAsia" w:ascii="宋体" w:hAnsi="宋体" w:cs="宋体"/>
          <w:b/>
          <w:bCs/>
          <w:color w:val="auto"/>
          <w:sz w:val="24"/>
          <w:highlight w:val="none"/>
        </w:rPr>
        <w:tab/>
      </w:r>
      <w:r>
        <w:rPr>
          <w:rFonts w:hint="eastAsia" w:ascii="宋体" w:hAnsi="宋体" w:cs="宋体"/>
          <w:b/>
          <w:bCs/>
          <w:color w:val="auto"/>
          <w:sz w:val="24"/>
          <w:highlight w:val="none"/>
        </w:rPr>
        <w:t>高压发生器</w:t>
      </w:r>
    </w:p>
    <w:p w14:paraId="1A28F8AC">
      <w:pPr>
        <w:rPr>
          <w:rFonts w:ascii="宋体" w:hAnsi="宋体" w:cs="宋体"/>
          <w:bCs/>
          <w:color w:val="auto"/>
          <w:sz w:val="24"/>
          <w:highlight w:val="none"/>
        </w:rPr>
      </w:pPr>
      <w:r>
        <w:rPr>
          <w:rFonts w:hint="eastAsia" w:ascii="宋体" w:hAnsi="宋体" w:cs="宋体"/>
          <w:bCs/>
          <w:color w:val="auto"/>
          <w:sz w:val="24"/>
          <w:highlight w:val="none"/>
        </w:rPr>
        <w:t>2.2.1</w:t>
      </w:r>
      <w:r>
        <w:rPr>
          <w:rFonts w:hint="eastAsia" w:ascii="宋体" w:hAnsi="宋体" w:cs="宋体"/>
          <w:bCs/>
          <w:color w:val="auto"/>
          <w:sz w:val="24"/>
          <w:highlight w:val="none"/>
        </w:rPr>
        <w:tab/>
      </w:r>
      <w:r>
        <w:rPr>
          <w:rFonts w:hint="eastAsia" w:ascii="宋体" w:hAnsi="宋体" w:cs="宋体"/>
          <w:bCs/>
          <w:color w:val="auto"/>
          <w:sz w:val="24"/>
          <w:highlight w:val="none"/>
        </w:rPr>
        <w:t>输出功率</w:t>
      </w:r>
      <w:r>
        <w:rPr>
          <w:rFonts w:hint="eastAsia"/>
          <w:color w:val="auto"/>
          <w:highlight w:val="none"/>
        </w:rPr>
        <w:t>≥</w:t>
      </w:r>
      <w:r>
        <w:rPr>
          <w:rFonts w:ascii="宋体" w:hAnsi="宋体" w:cs="宋体"/>
          <w:bCs/>
          <w:color w:val="auto"/>
          <w:sz w:val="24"/>
          <w:highlight w:val="none"/>
        </w:rPr>
        <w:t>65</w:t>
      </w:r>
      <w:r>
        <w:rPr>
          <w:rFonts w:hint="eastAsia" w:ascii="宋体" w:hAnsi="宋体" w:cs="宋体"/>
          <w:bCs/>
          <w:color w:val="auto"/>
          <w:sz w:val="24"/>
          <w:highlight w:val="none"/>
        </w:rPr>
        <w:t>KW</w:t>
      </w:r>
    </w:p>
    <w:p w14:paraId="00A71910">
      <w:pPr>
        <w:rPr>
          <w:rFonts w:ascii="宋体" w:hAnsi="宋体" w:cs="宋体"/>
          <w:bCs/>
          <w:color w:val="auto"/>
          <w:sz w:val="24"/>
          <w:highlight w:val="none"/>
        </w:rPr>
      </w:pPr>
      <w:r>
        <w:rPr>
          <w:rFonts w:hint="eastAsia" w:ascii="宋体" w:hAnsi="宋体" w:cs="宋体"/>
          <w:bCs/>
          <w:color w:val="auto"/>
          <w:sz w:val="24"/>
          <w:highlight w:val="none"/>
        </w:rPr>
        <w:t>2.2.2</w:t>
      </w:r>
      <w:r>
        <w:rPr>
          <w:rFonts w:hint="eastAsia" w:ascii="宋体" w:hAnsi="宋体" w:cs="宋体"/>
          <w:bCs/>
          <w:color w:val="auto"/>
          <w:sz w:val="24"/>
          <w:highlight w:val="none"/>
        </w:rPr>
        <w:tab/>
      </w:r>
      <w:r>
        <w:rPr>
          <w:rFonts w:hint="eastAsia" w:ascii="宋体" w:hAnsi="宋体" w:cs="宋体"/>
          <w:bCs/>
          <w:color w:val="auto"/>
          <w:sz w:val="24"/>
          <w:highlight w:val="none"/>
        </w:rPr>
        <w:t>高频逆变式高压发生器频率</w:t>
      </w:r>
      <w:r>
        <w:rPr>
          <w:rFonts w:hint="eastAsia"/>
          <w:color w:val="auto"/>
          <w:highlight w:val="none"/>
        </w:rPr>
        <w:t>≥</w:t>
      </w:r>
      <w:r>
        <w:rPr>
          <w:rFonts w:hint="eastAsia" w:ascii="宋体" w:hAnsi="宋体" w:cs="宋体"/>
          <w:bCs/>
          <w:color w:val="auto"/>
          <w:sz w:val="24"/>
          <w:highlight w:val="none"/>
        </w:rPr>
        <w:t>250kHZ，高压发生器最大输出纹波频率</w:t>
      </w:r>
      <w:r>
        <w:rPr>
          <w:rFonts w:hint="eastAsia"/>
          <w:color w:val="auto"/>
          <w:highlight w:val="none"/>
        </w:rPr>
        <w:t>≥</w:t>
      </w:r>
      <w:r>
        <w:rPr>
          <w:rFonts w:hint="eastAsia" w:ascii="宋体" w:hAnsi="宋体" w:cs="宋体"/>
          <w:bCs/>
          <w:color w:val="auto"/>
          <w:sz w:val="24"/>
          <w:highlight w:val="none"/>
        </w:rPr>
        <w:t>500kHz。</w:t>
      </w:r>
    </w:p>
    <w:p w14:paraId="40F9F7D5">
      <w:pPr>
        <w:rPr>
          <w:rFonts w:ascii="宋体" w:hAnsi="宋体" w:cs="宋体"/>
          <w:bCs/>
          <w:color w:val="auto"/>
          <w:sz w:val="24"/>
          <w:highlight w:val="none"/>
        </w:rPr>
      </w:pPr>
      <w:r>
        <w:rPr>
          <w:rFonts w:hint="eastAsia" w:ascii="宋体" w:hAnsi="宋体" w:cs="宋体"/>
          <w:bCs/>
          <w:color w:val="auto"/>
          <w:sz w:val="24"/>
          <w:highlight w:val="none"/>
        </w:rPr>
        <w:t>2.2.3</w:t>
      </w:r>
      <w:r>
        <w:rPr>
          <w:rFonts w:hint="eastAsia" w:ascii="宋体" w:hAnsi="宋体" w:cs="宋体"/>
          <w:bCs/>
          <w:color w:val="auto"/>
          <w:sz w:val="24"/>
          <w:highlight w:val="none"/>
        </w:rPr>
        <w:tab/>
      </w:r>
      <w:r>
        <w:rPr>
          <w:rFonts w:hint="eastAsia" w:ascii="宋体" w:hAnsi="宋体" w:cs="宋体"/>
          <w:bCs/>
          <w:color w:val="auto"/>
          <w:sz w:val="24"/>
          <w:highlight w:val="none"/>
        </w:rPr>
        <w:t>输出电压范围：40—150KV</w:t>
      </w:r>
    </w:p>
    <w:p w14:paraId="59275657">
      <w:pPr>
        <w:rPr>
          <w:rFonts w:ascii="宋体" w:hAnsi="宋体" w:cs="宋体"/>
          <w:bCs/>
          <w:color w:val="auto"/>
          <w:sz w:val="24"/>
          <w:highlight w:val="none"/>
        </w:rPr>
      </w:pPr>
      <w:r>
        <w:rPr>
          <w:rFonts w:hint="eastAsia" w:ascii="宋体" w:hAnsi="宋体" w:cs="宋体"/>
          <w:bCs/>
          <w:color w:val="auto"/>
          <w:sz w:val="24"/>
          <w:highlight w:val="none"/>
        </w:rPr>
        <w:t>2.2.4</w:t>
      </w:r>
      <w:r>
        <w:rPr>
          <w:rFonts w:hint="eastAsia" w:ascii="宋体" w:hAnsi="宋体" w:cs="宋体"/>
          <w:bCs/>
          <w:color w:val="auto"/>
          <w:sz w:val="24"/>
          <w:highlight w:val="none"/>
        </w:rPr>
        <w:tab/>
      </w:r>
      <w:r>
        <w:rPr>
          <w:rFonts w:hint="eastAsia" w:ascii="宋体" w:hAnsi="宋体" w:cs="宋体"/>
          <w:bCs/>
          <w:color w:val="auto"/>
          <w:sz w:val="24"/>
          <w:highlight w:val="none"/>
        </w:rPr>
        <w:t>自动曝光功能及手动调节设置</w:t>
      </w:r>
    </w:p>
    <w:p w14:paraId="7C968CEC">
      <w:pPr>
        <w:rPr>
          <w:rFonts w:ascii="宋体" w:hAnsi="宋体" w:cs="宋体"/>
          <w:bCs/>
          <w:color w:val="auto"/>
          <w:sz w:val="24"/>
          <w:highlight w:val="none"/>
        </w:rPr>
      </w:pPr>
      <w:r>
        <w:rPr>
          <w:color w:val="auto"/>
          <w:highlight w:val="none"/>
        </w:rPr>
        <w:t>▲</w:t>
      </w:r>
      <w:r>
        <w:rPr>
          <w:rFonts w:hint="eastAsia" w:ascii="宋体" w:hAnsi="宋体" w:cs="宋体"/>
          <w:bCs/>
          <w:color w:val="auto"/>
          <w:sz w:val="24"/>
          <w:highlight w:val="none"/>
        </w:rPr>
        <w:t>2.5</w:t>
      </w:r>
      <w:r>
        <w:rPr>
          <w:rFonts w:hint="eastAsia" w:ascii="宋体" w:hAnsi="宋体" w:cs="宋体"/>
          <w:bCs/>
          <w:color w:val="auto"/>
          <w:sz w:val="24"/>
          <w:highlight w:val="none"/>
        </w:rPr>
        <w:tab/>
      </w:r>
      <w:r>
        <w:rPr>
          <w:rFonts w:hint="eastAsia" w:ascii="宋体" w:hAnsi="宋体" w:cs="宋体"/>
          <w:bCs/>
          <w:color w:val="auto"/>
          <w:sz w:val="24"/>
          <w:highlight w:val="none"/>
        </w:rPr>
        <w:t>最短曝光时间≤1ms，最长系统曝光时间</w:t>
      </w:r>
      <w:r>
        <w:rPr>
          <w:rFonts w:hint="eastAsia"/>
          <w:color w:val="auto"/>
          <w:highlight w:val="none"/>
        </w:rPr>
        <w:t>≥</w:t>
      </w:r>
      <w:r>
        <w:rPr>
          <w:rFonts w:hint="eastAsia" w:ascii="宋体" w:hAnsi="宋体" w:cs="宋体"/>
          <w:bCs/>
          <w:color w:val="auto"/>
          <w:sz w:val="24"/>
          <w:highlight w:val="none"/>
        </w:rPr>
        <w:t>10s，最小电流时间积0.</w:t>
      </w:r>
      <w:r>
        <w:rPr>
          <w:rFonts w:ascii="宋体" w:hAnsi="宋体" w:cs="宋体"/>
          <w:bCs/>
          <w:color w:val="auto"/>
          <w:sz w:val="24"/>
          <w:highlight w:val="none"/>
        </w:rPr>
        <w:t>4</w:t>
      </w:r>
      <w:r>
        <w:rPr>
          <w:rFonts w:hint="eastAsia" w:ascii="宋体" w:hAnsi="宋体" w:cs="宋体"/>
          <w:bCs/>
          <w:color w:val="auto"/>
          <w:sz w:val="24"/>
          <w:highlight w:val="none"/>
        </w:rPr>
        <w:t>mAs，最大电流时间积</w:t>
      </w:r>
      <w:r>
        <w:rPr>
          <w:rFonts w:hint="eastAsia"/>
          <w:color w:val="auto"/>
          <w:highlight w:val="none"/>
        </w:rPr>
        <w:t>≥</w:t>
      </w:r>
      <w:r>
        <w:rPr>
          <w:rFonts w:hint="eastAsia" w:ascii="宋体" w:hAnsi="宋体" w:cs="宋体"/>
          <w:bCs/>
          <w:color w:val="auto"/>
          <w:sz w:val="24"/>
          <w:highlight w:val="none"/>
        </w:rPr>
        <w:t>1000mAs</w:t>
      </w:r>
    </w:p>
    <w:p w14:paraId="23B6E28A">
      <w:pPr>
        <w:rPr>
          <w:rFonts w:ascii="宋体" w:hAnsi="宋体" w:cs="宋体"/>
          <w:b/>
          <w:bCs/>
          <w:color w:val="auto"/>
          <w:sz w:val="24"/>
          <w:highlight w:val="none"/>
        </w:rPr>
      </w:pPr>
      <w:r>
        <w:rPr>
          <w:rFonts w:hint="eastAsia" w:ascii="宋体" w:hAnsi="宋体" w:cs="宋体"/>
          <w:b/>
          <w:bCs/>
          <w:color w:val="auto"/>
          <w:sz w:val="24"/>
          <w:highlight w:val="none"/>
        </w:rPr>
        <w:t>2.3</w:t>
      </w:r>
      <w:r>
        <w:rPr>
          <w:rFonts w:hint="eastAsia" w:ascii="宋体" w:hAnsi="宋体" w:cs="宋体"/>
          <w:b/>
          <w:bCs/>
          <w:color w:val="auto"/>
          <w:sz w:val="24"/>
          <w:highlight w:val="none"/>
        </w:rPr>
        <w:tab/>
      </w:r>
      <w:r>
        <w:rPr>
          <w:rFonts w:hint="eastAsia" w:ascii="宋体" w:hAnsi="宋体" w:cs="宋体"/>
          <w:b/>
          <w:bCs/>
          <w:color w:val="auto"/>
          <w:sz w:val="24"/>
          <w:highlight w:val="none"/>
        </w:rPr>
        <w:t>无线移动式平板探测器</w:t>
      </w:r>
    </w:p>
    <w:p w14:paraId="251713DE">
      <w:pPr>
        <w:rPr>
          <w:rFonts w:ascii="宋体" w:hAnsi="宋体" w:cs="宋体"/>
          <w:bCs/>
          <w:color w:val="auto"/>
          <w:sz w:val="24"/>
          <w:highlight w:val="none"/>
        </w:rPr>
      </w:pPr>
      <w:r>
        <w:rPr>
          <w:color w:val="auto"/>
          <w:highlight w:val="none"/>
        </w:rPr>
        <w:t>▲</w:t>
      </w:r>
      <w:r>
        <w:rPr>
          <w:rFonts w:hint="eastAsia" w:ascii="宋体" w:hAnsi="宋体" w:cs="宋体"/>
          <w:bCs/>
          <w:color w:val="auto"/>
          <w:sz w:val="24"/>
          <w:highlight w:val="none"/>
        </w:rPr>
        <w:t>2.3.1</w:t>
      </w:r>
      <w:r>
        <w:rPr>
          <w:rFonts w:hint="eastAsia" w:ascii="宋体" w:hAnsi="宋体" w:cs="宋体"/>
          <w:bCs/>
          <w:color w:val="auto"/>
          <w:sz w:val="24"/>
          <w:highlight w:val="none"/>
        </w:rPr>
        <w:tab/>
      </w:r>
      <w:r>
        <w:rPr>
          <w:rFonts w:hint="eastAsia" w:ascii="宋体" w:hAnsi="宋体" w:cs="宋体"/>
          <w:bCs/>
          <w:color w:val="auto"/>
          <w:sz w:val="24"/>
          <w:highlight w:val="none"/>
        </w:rPr>
        <w:t>配备2块无线平板探测器，平板可在胸片架或摄影床任意使用。</w:t>
      </w:r>
    </w:p>
    <w:p w14:paraId="3449A299">
      <w:pPr>
        <w:rPr>
          <w:rFonts w:ascii="宋体" w:hAnsi="宋体" w:cs="宋体"/>
          <w:bCs/>
          <w:color w:val="auto"/>
          <w:sz w:val="24"/>
          <w:highlight w:val="none"/>
        </w:rPr>
      </w:pPr>
      <w:r>
        <w:rPr>
          <w:rFonts w:hint="eastAsia" w:ascii="宋体" w:hAnsi="宋体" w:eastAsia="宋体" w:cs="宋体"/>
          <w:bCs/>
          <w:color w:val="auto"/>
          <w:sz w:val="24"/>
          <w:highlight w:val="none"/>
        </w:rPr>
        <w:t>2.3.2</w:t>
      </w:r>
      <w:r>
        <w:rPr>
          <w:rFonts w:hint="eastAsia" w:ascii="宋体" w:hAnsi="宋体" w:eastAsia="宋体" w:cs="宋体"/>
          <w:bCs/>
          <w:color w:val="auto"/>
          <w:sz w:val="24"/>
          <w:highlight w:val="none"/>
        </w:rPr>
        <w:tab/>
      </w:r>
      <w:r>
        <w:rPr>
          <w:rFonts w:hint="eastAsia" w:ascii="宋体" w:hAnsi="宋体" w:eastAsia="宋体" w:cs="宋体"/>
          <w:bCs/>
          <w:color w:val="auto"/>
          <w:sz w:val="24"/>
          <w:highlight w:val="none"/>
        </w:rPr>
        <w:t>像素尺寸</w:t>
      </w:r>
      <w:r>
        <w:rPr>
          <w:rFonts w:hint="eastAsia" w:ascii="宋体" w:hAnsi="宋体" w:cs="宋体"/>
          <w:bCs/>
          <w:color w:val="auto"/>
          <w:sz w:val="24"/>
          <w:highlight w:val="none"/>
        </w:rPr>
        <w:t>≤</w:t>
      </w:r>
      <w:r>
        <w:rPr>
          <w:rFonts w:hint="eastAsia" w:ascii="宋体" w:hAnsi="宋体" w:eastAsia="宋体" w:cs="宋体"/>
          <w:bCs/>
          <w:color w:val="auto"/>
          <w:sz w:val="24"/>
          <w:highlight w:val="none"/>
        </w:rPr>
        <w:t>139 um，</w:t>
      </w:r>
      <w:r>
        <w:rPr>
          <w:rFonts w:hint="eastAsia" w:ascii="宋体" w:hAnsi="宋体" w:eastAsia="宋体" w:cs="宋体"/>
          <w:color w:val="auto"/>
          <w:sz w:val="24"/>
          <w:highlight w:val="none"/>
        </w:rPr>
        <w:t>采集灰阶度≥16bits</w:t>
      </w:r>
      <w:r>
        <w:rPr>
          <w:rFonts w:hint="eastAsia" w:ascii="宋体" w:hAnsi="宋体" w:eastAsia="宋体" w:cs="宋体"/>
          <w:bCs/>
          <w:color w:val="auto"/>
          <w:sz w:val="24"/>
          <w:highlight w:val="none"/>
        </w:rPr>
        <w:t>，空间分辨率</w:t>
      </w:r>
      <w:r>
        <w:rPr>
          <w:rFonts w:hint="eastAsia" w:ascii="宋体" w:hAnsi="宋体" w:eastAsia="宋体" w:cs="宋体"/>
          <w:color w:val="auto"/>
          <w:sz w:val="24"/>
          <w:highlight w:val="none"/>
        </w:rPr>
        <w:t>≥</w:t>
      </w:r>
      <w:r>
        <w:rPr>
          <w:rFonts w:hint="eastAsia" w:ascii="宋体" w:hAnsi="宋体" w:eastAsia="宋体" w:cs="宋体"/>
          <w:bCs/>
          <w:color w:val="auto"/>
          <w:sz w:val="24"/>
          <w:highlight w:val="none"/>
        </w:rPr>
        <w:t>3.6 LP/mm，尺寸</w:t>
      </w:r>
      <w:r>
        <w:rPr>
          <w:rFonts w:hint="eastAsia" w:ascii="宋体" w:hAnsi="宋体" w:eastAsia="宋体" w:cs="宋体"/>
          <w:color w:val="auto"/>
          <w:sz w:val="24"/>
          <w:highlight w:val="none"/>
        </w:rPr>
        <w:t>≥</w:t>
      </w:r>
      <w:r>
        <w:rPr>
          <w:rFonts w:hint="eastAsia" w:ascii="宋体" w:hAnsi="宋体" w:eastAsia="宋体" w:cs="宋体"/>
          <w:bCs/>
          <w:color w:val="auto"/>
          <w:sz w:val="24"/>
          <w:highlight w:val="none"/>
        </w:rPr>
        <w:t>17</w:t>
      </w:r>
      <w:r>
        <w:rPr>
          <w:rFonts w:hint="eastAsia" w:ascii="宋体" w:hAnsi="宋体" w:cs="宋体"/>
          <w:bCs/>
          <w:color w:val="auto"/>
          <w:sz w:val="24"/>
          <w:highlight w:val="none"/>
        </w:rPr>
        <w:t>×17英寸，材料组成为非晶硅碘化铯，</w:t>
      </w:r>
    </w:p>
    <w:p w14:paraId="1F36E3B4">
      <w:pPr>
        <w:rPr>
          <w:rFonts w:ascii="宋体" w:hAnsi="宋体" w:cs="宋体"/>
          <w:bCs/>
          <w:color w:val="auto"/>
          <w:sz w:val="24"/>
          <w:highlight w:val="none"/>
        </w:rPr>
      </w:pPr>
      <w:r>
        <w:rPr>
          <w:rFonts w:hint="eastAsia" w:ascii="宋体" w:hAnsi="宋体" w:cs="宋体"/>
          <w:bCs/>
          <w:color w:val="auto"/>
          <w:sz w:val="24"/>
          <w:highlight w:val="none"/>
        </w:rPr>
        <w:t>2.3.3</w:t>
      </w:r>
      <w:r>
        <w:rPr>
          <w:rFonts w:hint="eastAsia" w:ascii="宋体" w:hAnsi="宋体" w:cs="宋体"/>
          <w:bCs/>
          <w:color w:val="auto"/>
          <w:sz w:val="24"/>
          <w:highlight w:val="none"/>
        </w:rPr>
        <w:tab/>
      </w:r>
      <w:r>
        <w:rPr>
          <w:rFonts w:hint="eastAsia" w:ascii="宋体" w:hAnsi="宋体" w:cs="宋体"/>
          <w:bCs/>
          <w:color w:val="auto"/>
          <w:sz w:val="24"/>
          <w:highlight w:val="none"/>
        </w:rPr>
        <w:t>数据传输方式：无线，无线模式图像预览时间≤3秒，无线模式完整成像时间≤5秒</w:t>
      </w:r>
    </w:p>
    <w:p w14:paraId="2869F15D">
      <w:pPr>
        <w:rPr>
          <w:rFonts w:ascii="宋体" w:hAnsi="宋体" w:cs="宋体"/>
          <w:bCs/>
          <w:color w:val="auto"/>
          <w:sz w:val="24"/>
          <w:highlight w:val="none"/>
        </w:rPr>
      </w:pPr>
      <w:r>
        <w:rPr>
          <w:rFonts w:hint="eastAsia" w:ascii="宋体" w:hAnsi="宋体" w:cs="宋体"/>
          <w:bCs/>
          <w:color w:val="auto"/>
          <w:sz w:val="24"/>
          <w:highlight w:val="none"/>
        </w:rPr>
        <w:t>2.3.4</w:t>
      </w:r>
      <w:r>
        <w:rPr>
          <w:rFonts w:hint="eastAsia" w:ascii="宋体" w:hAnsi="宋体" w:cs="宋体"/>
          <w:bCs/>
          <w:color w:val="auto"/>
          <w:sz w:val="24"/>
          <w:highlight w:val="none"/>
        </w:rPr>
        <w:tab/>
      </w:r>
      <w:r>
        <w:rPr>
          <w:rFonts w:hint="eastAsia" w:ascii="宋体" w:hAnsi="宋体" w:cs="宋体"/>
          <w:bCs/>
          <w:color w:val="auto"/>
          <w:sz w:val="24"/>
          <w:highlight w:val="none"/>
        </w:rPr>
        <w:t xml:space="preserve">探测器供电方式：放入胸片架片盒和摄影床下片盒内即可实现充电，无需拆卸、更换电池，充电方式为直接接触式，无需单独插拔线缆，充电接触点在平板探测器侧面设计，非背面设计 </w:t>
      </w:r>
    </w:p>
    <w:p w14:paraId="27916D7A">
      <w:pPr>
        <w:rPr>
          <w:rFonts w:ascii="宋体" w:hAnsi="宋体" w:cs="宋体"/>
          <w:bCs/>
          <w:color w:val="auto"/>
          <w:sz w:val="24"/>
          <w:highlight w:val="none"/>
        </w:rPr>
      </w:pPr>
      <w:r>
        <w:rPr>
          <w:rFonts w:hint="eastAsia" w:ascii="宋体" w:hAnsi="宋体" w:cs="宋体"/>
          <w:bCs/>
          <w:color w:val="auto"/>
          <w:sz w:val="24"/>
          <w:highlight w:val="none"/>
        </w:rPr>
        <w:t>2.3.5</w:t>
      </w:r>
      <w:r>
        <w:rPr>
          <w:rFonts w:hint="eastAsia" w:ascii="宋体" w:hAnsi="宋体" w:cs="宋体"/>
          <w:bCs/>
          <w:color w:val="auto"/>
          <w:sz w:val="24"/>
          <w:highlight w:val="none"/>
        </w:rPr>
        <w:tab/>
      </w:r>
      <w:r>
        <w:rPr>
          <w:rFonts w:hint="eastAsia" w:ascii="宋体" w:hAnsi="宋体" w:cs="宋体"/>
          <w:bCs/>
          <w:color w:val="auto"/>
          <w:sz w:val="24"/>
          <w:highlight w:val="none"/>
        </w:rPr>
        <w:t>探测器承重</w:t>
      </w:r>
      <w:r>
        <w:rPr>
          <w:rFonts w:hint="eastAsia" w:ascii="宋体" w:hAnsi="宋体" w:eastAsia="宋体" w:cs="宋体"/>
          <w:color w:val="auto"/>
          <w:sz w:val="24"/>
          <w:highlight w:val="none"/>
        </w:rPr>
        <w:t>≥</w:t>
      </w:r>
      <w:r>
        <w:rPr>
          <w:rFonts w:hint="eastAsia" w:ascii="宋体" w:hAnsi="宋体" w:cs="宋体"/>
          <w:bCs/>
          <w:color w:val="auto"/>
          <w:sz w:val="24"/>
          <w:highlight w:val="none"/>
        </w:rPr>
        <w:t>135kg以上</w:t>
      </w:r>
    </w:p>
    <w:p w14:paraId="1F632E8D">
      <w:pPr>
        <w:rPr>
          <w:rFonts w:ascii="宋体" w:hAnsi="宋体" w:cs="宋体"/>
          <w:bCs/>
          <w:color w:val="auto"/>
          <w:sz w:val="24"/>
          <w:highlight w:val="none"/>
        </w:rPr>
      </w:pPr>
      <w:r>
        <w:rPr>
          <w:rFonts w:hint="eastAsia" w:ascii="宋体" w:hAnsi="宋体" w:cs="宋体"/>
          <w:bCs/>
          <w:color w:val="auto"/>
          <w:sz w:val="24"/>
          <w:highlight w:val="none"/>
        </w:rPr>
        <w:t>2.3.6</w:t>
      </w:r>
      <w:r>
        <w:rPr>
          <w:rFonts w:hint="eastAsia" w:ascii="宋体" w:hAnsi="宋体" w:cs="宋体"/>
          <w:bCs/>
          <w:color w:val="auto"/>
          <w:sz w:val="24"/>
          <w:highlight w:val="none"/>
        </w:rPr>
        <w:tab/>
      </w:r>
      <w:r>
        <w:rPr>
          <w:rFonts w:hint="eastAsia" w:ascii="宋体" w:hAnsi="宋体" w:cs="宋体"/>
          <w:bCs/>
          <w:color w:val="auto"/>
          <w:sz w:val="24"/>
          <w:highlight w:val="none"/>
        </w:rPr>
        <w:t>平板探测器片盒推入胸片架或摄影床内时，具备磁吸式安全设计，自动吸入，自动检查平板到位</w:t>
      </w:r>
    </w:p>
    <w:p w14:paraId="2F6ABD1B">
      <w:pPr>
        <w:rPr>
          <w:rFonts w:ascii="宋体" w:hAnsi="宋体" w:cs="宋体"/>
          <w:b/>
          <w:bCs/>
          <w:color w:val="auto"/>
          <w:sz w:val="24"/>
          <w:highlight w:val="none"/>
        </w:rPr>
      </w:pPr>
      <w:r>
        <w:rPr>
          <w:rFonts w:hint="eastAsia" w:ascii="宋体" w:hAnsi="宋体" w:cs="宋体"/>
          <w:b/>
          <w:bCs/>
          <w:color w:val="auto"/>
          <w:sz w:val="24"/>
          <w:highlight w:val="none"/>
        </w:rPr>
        <w:t>2.4</w:t>
      </w:r>
      <w:r>
        <w:rPr>
          <w:rFonts w:hint="eastAsia" w:ascii="宋体" w:hAnsi="宋体" w:cs="宋体"/>
          <w:b/>
          <w:bCs/>
          <w:color w:val="auto"/>
          <w:sz w:val="24"/>
          <w:highlight w:val="none"/>
        </w:rPr>
        <w:tab/>
      </w:r>
      <w:r>
        <w:rPr>
          <w:rFonts w:hint="eastAsia" w:ascii="宋体" w:hAnsi="宋体" w:cs="宋体"/>
          <w:b/>
          <w:bCs/>
          <w:color w:val="auto"/>
          <w:sz w:val="24"/>
          <w:highlight w:val="none"/>
        </w:rPr>
        <w:t xml:space="preserve"> 胸片架</w:t>
      </w:r>
    </w:p>
    <w:p w14:paraId="4A77BA58">
      <w:pPr>
        <w:rPr>
          <w:rFonts w:ascii="宋体" w:hAnsi="宋体" w:cs="宋体"/>
          <w:bCs/>
          <w:color w:val="auto"/>
          <w:sz w:val="24"/>
          <w:highlight w:val="none"/>
        </w:rPr>
      </w:pPr>
      <w:r>
        <w:rPr>
          <w:rFonts w:hint="eastAsia" w:ascii="宋体" w:hAnsi="宋体" w:cs="宋体"/>
          <w:bCs/>
          <w:color w:val="auto"/>
          <w:sz w:val="24"/>
          <w:highlight w:val="none"/>
        </w:rPr>
        <w:t xml:space="preserve">2.4.1 </w:t>
      </w:r>
      <w:r>
        <w:rPr>
          <w:rFonts w:hint="eastAsia" w:ascii="宋体" w:hAnsi="宋体" w:cs="宋体"/>
          <w:bCs/>
          <w:color w:val="auto"/>
          <w:sz w:val="24"/>
          <w:highlight w:val="none"/>
        </w:rPr>
        <w:tab/>
      </w:r>
      <w:r>
        <w:rPr>
          <w:rFonts w:hint="eastAsia" w:ascii="宋体" w:hAnsi="宋体" w:cs="宋体"/>
          <w:bCs/>
          <w:color w:val="auto"/>
          <w:sz w:val="24"/>
          <w:highlight w:val="none"/>
        </w:rPr>
        <w:t>胸片架的操作方式为手动+电动双模式，即胸片架每侧均须同时具备独立的电动控制按钮和手动控制按钮以控制胸片架的升降，须提供相关按钮照片证明。</w:t>
      </w:r>
    </w:p>
    <w:p w14:paraId="29E33562">
      <w:pPr>
        <w:rPr>
          <w:rFonts w:ascii="宋体" w:hAnsi="宋体" w:cs="宋体"/>
          <w:bCs/>
          <w:color w:val="auto"/>
          <w:sz w:val="24"/>
          <w:highlight w:val="none"/>
        </w:rPr>
      </w:pPr>
      <w:r>
        <w:rPr>
          <w:rFonts w:hint="eastAsia" w:ascii="宋体" w:hAnsi="宋体" w:cs="宋体"/>
          <w:bCs/>
          <w:color w:val="auto"/>
          <w:sz w:val="24"/>
          <w:highlight w:val="none"/>
        </w:rPr>
        <w:t>2.4.2</w:t>
      </w:r>
      <w:r>
        <w:rPr>
          <w:rFonts w:hint="eastAsia" w:ascii="宋体" w:hAnsi="宋体" w:cs="宋体"/>
          <w:bCs/>
          <w:color w:val="auto"/>
          <w:sz w:val="24"/>
          <w:highlight w:val="none"/>
        </w:rPr>
        <w:tab/>
      </w:r>
      <w:r>
        <w:rPr>
          <w:rFonts w:hint="eastAsia" w:ascii="宋体" w:hAnsi="宋体" w:cs="宋体"/>
          <w:bCs/>
          <w:color w:val="auto"/>
          <w:sz w:val="24"/>
          <w:highlight w:val="none"/>
        </w:rPr>
        <w:t>具备物理三野物理电离室，非软件电离室</w:t>
      </w:r>
    </w:p>
    <w:p w14:paraId="5B697618">
      <w:pPr>
        <w:rPr>
          <w:rFonts w:ascii="宋体" w:hAnsi="宋体" w:cs="宋体"/>
          <w:bCs/>
          <w:color w:val="auto"/>
          <w:sz w:val="24"/>
          <w:highlight w:val="none"/>
        </w:rPr>
      </w:pPr>
      <w:r>
        <w:rPr>
          <w:color w:val="auto"/>
          <w:highlight w:val="none"/>
        </w:rPr>
        <w:t>▲</w:t>
      </w:r>
      <w:r>
        <w:rPr>
          <w:rFonts w:hint="eastAsia" w:ascii="宋体" w:hAnsi="宋体" w:cs="宋体"/>
          <w:bCs/>
          <w:color w:val="auto"/>
          <w:sz w:val="24"/>
          <w:highlight w:val="none"/>
        </w:rPr>
        <w:t>2.4.3</w:t>
      </w:r>
      <w:r>
        <w:rPr>
          <w:rFonts w:hint="eastAsia" w:ascii="宋体" w:hAnsi="宋体" w:cs="宋体"/>
          <w:bCs/>
          <w:color w:val="auto"/>
          <w:sz w:val="24"/>
          <w:highlight w:val="none"/>
        </w:rPr>
        <w:tab/>
      </w:r>
      <w:r>
        <w:rPr>
          <w:rFonts w:hint="eastAsia" w:ascii="宋体" w:hAnsi="宋体" w:cs="宋体"/>
          <w:bCs/>
          <w:color w:val="auto"/>
          <w:sz w:val="24"/>
          <w:highlight w:val="none"/>
        </w:rPr>
        <w:t>垂直升降范围</w:t>
      </w:r>
      <w:r>
        <w:rPr>
          <w:rFonts w:hint="eastAsia" w:ascii="宋体" w:hAnsi="宋体" w:eastAsia="宋体" w:cs="宋体"/>
          <w:color w:val="auto"/>
          <w:sz w:val="24"/>
          <w:highlight w:val="none"/>
        </w:rPr>
        <w:t>≥</w:t>
      </w:r>
      <w:r>
        <w:rPr>
          <w:rFonts w:hint="eastAsia" w:ascii="宋体" w:hAnsi="宋体" w:cs="宋体"/>
          <w:bCs/>
          <w:color w:val="auto"/>
          <w:sz w:val="24"/>
          <w:highlight w:val="none"/>
        </w:rPr>
        <w:t>150cm，且胸片架上探测器盒中心距离地面最小高度≤340mm</w:t>
      </w:r>
    </w:p>
    <w:p w14:paraId="56A117CB">
      <w:pPr>
        <w:rPr>
          <w:rFonts w:ascii="宋体" w:hAnsi="宋体" w:cs="宋体"/>
          <w:bCs/>
          <w:color w:val="auto"/>
          <w:sz w:val="24"/>
          <w:highlight w:val="none"/>
        </w:rPr>
      </w:pPr>
      <w:r>
        <w:rPr>
          <w:rFonts w:hint="eastAsia" w:ascii="宋体" w:hAnsi="宋体" w:cs="宋体"/>
          <w:bCs/>
          <w:color w:val="auto"/>
          <w:sz w:val="24"/>
          <w:highlight w:val="none"/>
        </w:rPr>
        <w:t>2.4.4</w:t>
      </w:r>
      <w:r>
        <w:rPr>
          <w:rFonts w:hint="eastAsia" w:ascii="宋体" w:hAnsi="宋体" w:cs="宋体"/>
          <w:bCs/>
          <w:color w:val="auto"/>
          <w:sz w:val="24"/>
          <w:highlight w:val="none"/>
        </w:rPr>
        <w:tab/>
      </w:r>
      <w:r>
        <w:rPr>
          <w:rFonts w:hint="eastAsia" w:ascii="宋体" w:hAnsi="宋体" w:cs="宋体"/>
          <w:bCs/>
          <w:color w:val="auto"/>
          <w:sz w:val="24"/>
          <w:highlight w:val="none"/>
        </w:rPr>
        <w:t>具有自动跟踪定位功能，球管和胸片盒可实现双向对中随动</w:t>
      </w:r>
    </w:p>
    <w:p w14:paraId="77333912">
      <w:pPr>
        <w:rPr>
          <w:rFonts w:ascii="宋体" w:hAnsi="宋体" w:cs="宋体"/>
          <w:bCs/>
          <w:color w:val="auto"/>
          <w:sz w:val="24"/>
          <w:highlight w:val="none"/>
        </w:rPr>
      </w:pPr>
      <w:r>
        <w:rPr>
          <w:rFonts w:hint="eastAsia" w:ascii="宋体" w:hAnsi="宋体" w:cs="宋体"/>
          <w:bCs/>
          <w:color w:val="auto"/>
          <w:sz w:val="24"/>
          <w:highlight w:val="none"/>
        </w:rPr>
        <w:t>2.4.5</w:t>
      </w:r>
      <w:r>
        <w:rPr>
          <w:rFonts w:hint="eastAsia" w:ascii="宋体" w:hAnsi="宋体" w:cs="宋体"/>
          <w:bCs/>
          <w:color w:val="auto"/>
          <w:sz w:val="24"/>
          <w:highlight w:val="none"/>
        </w:rPr>
        <w:tab/>
      </w:r>
      <w:r>
        <w:rPr>
          <w:rFonts w:hint="eastAsia" w:ascii="宋体" w:hAnsi="宋体" w:cs="宋体"/>
          <w:bCs/>
          <w:color w:val="auto"/>
          <w:sz w:val="24"/>
          <w:highlight w:val="none"/>
        </w:rPr>
        <w:t>胸片架立柱采用内置式运动导轨，非开放式导轨设计，胸片架侧面缝隙15mm，以防夹手和其他物体进入，须提供实测照片证明</w:t>
      </w:r>
    </w:p>
    <w:p w14:paraId="20362ABB">
      <w:pPr>
        <w:rPr>
          <w:rFonts w:ascii="宋体" w:hAnsi="宋体" w:cs="宋体"/>
          <w:bCs/>
          <w:color w:val="auto"/>
          <w:sz w:val="24"/>
          <w:highlight w:val="none"/>
        </w:rPr>
      </w:pPr>
      <w:r>
        <w:rPr>
          <w:rFonts w:hint="eastAsia" w:ascii="宋体" w:hAnsi="宋体" w:cs="宋体"/>
          <w:bCs/>
          <w:color w:val="auto"/>
          <w:sz w:val="24"/>
          <w:highlight w:val="none"/>
        </w:rPr>
        <w:t xml:space="preserve">2.4.6 </w:t>
      </w:r>
      <w:r>
        <w:rPr>
          <w:rFonts w:hint="eastAsia" w:ascii="宋体" w:hAnsi="宋体" w:cs="宋体"/>
          <w:bCs/>
          <w:color w:val="auto"/>
          <w:sz w:val="24"/>
          <w:highlight w:val="none"/>
        </w:rPr>
        <w:tab/>
      </w:r>
      <w:r>
        <w:rPr>
          <w:rFonts w:hint="eastAsia" w:ascii="宋体" w:hAnsi="宋体" w:cs="宋体"/>
          <w:bCs/>
          <w:color w:val="auto"/>
          <w:sz w:val="24"/>
          <w:highlight w:val="none"/>
        </w:rPr>
        <w:t xml:space="preserve"> 支持一键隔室遥控，实现胸片架探测器片盒与球管支架沿垂直方向运动，具备球管下降防碰撞功能</w:t>
      </w:r>
    </w:p>
    <w:p w14:paraId="0D504818">
      <w:pPr>
        <w:rPr>
          <w:rFonts w:ascii="宋体" w:hAnsi="宋体" w:cs="宋体"/>
          <w:b/>
          <w:bCs/>
          <w:color w:val="auto"/>
          <w:sz w:val="24"/>
          <w:highlight w:val="none"/>
        </w:rPr>
      </w:pPr>
      <w:r>
        <w:rPr>
          <w:rFonts w:hint="eastAsia" w:ascii="宋体" w:hAnsi="宋体" w:cs="宋体"/>
          <w:b/>
          <w:bCs/>
          <w:color w:val="auto"/>
          <w:sz w:val="24"/>
          <w:highlight w:val="none"/>
        </w:rPr>
        <w:t>2.5</w:t>
      </w:r>
      <w:r>
        <w:rPr>
          <w:rFonts w:hint="eastAsia" w:ascii="宋体" w:hAnsi="宋体" w:cs="宋体"/>
          <w:b/>
          <w:bCs/>
          <w:color w:val="auto"/>
          <w:sz w:val="24"/>
          <w:highlight w:val="none"/>
        </w:rPr>
        <w:tab/>
      </w:r>
      <w:r>
        <w:rPr>
          <w:rFonts w:hint="eastAsia" w:ascii="宋体" w:hAnsi="宋体" w:cs="宋体"/>
          <w:b/>
          <w:bCs/>
          <w:color w:val="auto"/>
          <w:sz w:val="24"/>
          <w:highlight w:val="none"/>
        </w:rPr>
        <w:t>摄影床</w:t>
      </w:r>
    </w:p>
    <w:p w14:paraId="5EE5D06F">
      <w:pPr>
        <w:rPr>
          <w:rFonts w:ascii="宋体" w:hAnsi="宋体" w:cs="宋体"/>
          <w:bCs/>
          <w:color w:val="auto"/>
          <w:sz w:val="24"/>
          <w:highlight w:val="none"/>
        </w:rPr>
      </w:pPr>
      <w:r>
        <w:rPr>
          <w:rFonts w:hint="eastAsia" w:ascii="宋体" w:hAnsi="宋体" w:cs="宋体"/>
          <w:bCs/>
          <w:color w:val="auto"/>
          <w:sz w:val="24"/>
          <w:highlight w:val="none"/>
        </w:rPr>
        <w:t>2.5.1</w:t>
      </w:r>
      <w:r>
        <w:rPr>
          <w:rFonts w:hint="eastAsia" w:ascii="宋体" w:hAnsi="宋体" w:cs="宋体"/>
          <w:bCs/>
          <w:color w:val="auto"/>
          <w:sz w:val="24"/>
          <w:highlight w:val="none"/>
        </w:rPr>
        <w:tab/>
      </w:r>
      <w:r>
        <w:rPr>
          <w:rFonts w:hint="eastAsia" w:ascii="宋体" w:hAnsi="宋体" w:cs="宋体"/>
          <w:bCs/>
          <w:color w:val="auto"/>
          <w:sz w:val="24"/>
          <w:highlight w:val="none"/>
        </w:rPr>
        <w:t>四向浮动摄影床，床面移动范围：纵向1000 mm ，横向240mm。</w:t>
      </w:r>
    </w:p>
    <w:p w14:paraId="22922116">
      <w:pPr>
        <w:rPr>
          <w:rFonts w:ascii="宋体" w:hAnsi="宋体" w:cs="宋体"/>
          <w:bCs/>
          <w:color w:val="auto"/>
          <w:sz w:val="24"/>
          <w:highlight w:val="none"/>
        </w:rPr>
      </w:pPr>
      <w:r>
        <w:rPr>
          <w:rFonts w:hint="eastAsia" w:ascii="宋体" w:hAnsi="宋体" w:cs="宋体"/>
          <w:bCs/>
          <w:color w:val="auto"/>
          <w:sz w:val="24"/>
          <w:highlight w:val="none"/>
        </w:rPr>
        <w:t>2.5.2</w:t>
      </w:r>
      <w:r>
        <w:rPr>
          <w:rFonts w:hint="eastAsia" w:ascii="宋体" w:hAnsi="宋体" w:cs="宋体"/>
          <w:bCs/>
          <w:color w:val="auto"/>
          <w:sz w:val="24"/>
          <w:highlight w:val="none"/>
        </w:rPr>
        <w:tab/>
      </w:r>
      <w:r>
        <w:rPr>
          <w:rFonts w:hint="eastAsia" w:ascii="宋体" w:hAnsi="宋体" w:cs="宋体"/>
          <w:bCs/>
          <w:color w:val="auto"/>
          <w:sz w:val="24"/>
          <w:highlight w:val="none"/>
        </w:rPr>
        <w:t>床面承重能力</w:t>
      </w:r>
      <w:r>
        <w:rPr>
          <w:rFonts w:hint="eastAsia" w:ascii="宋体" w:hAnsi="宋体" w:eastAsia="宋体" w:cs="宋体"/>
          <w:color w:val="auto"/>
          <w:sz w:val="24"/>
          <w:highlight w:val="none"/>
        </w:rPr>
        <w:t>≥</w:t>
      </w:r>
      <w:r>
        <w:rPr>
          <w:rFonts w:hint="eastAsia" w:ascii="宋体" w:hAnsi="宋体" w:cs="宋体"/>
          <w:bCs/>
          <w:color w:val="auto"/>
          <w:sz w:val="24"/>
          <w:highlight w:val="none"/>
        </w:rPr>
        <w:t>250kg，探测器托架纵向移动</w:t>
      </w:r>
      <w:r>
        <w:rPr>
          <w:rFonts w:hint="eastAsia" w:ascii="宋体" w:hAnsi="宋体" w:eastAsia="宋体" w:cs="宋体"/>
          <w:color w:val="auto"/>
          <w:sz w:val="24"/>
          <w:highlight w:val="none"/>
        </w:rPr>
        <w:t>≥</w:t>
      </w:r>
      <w:r>
        <w:rPr>
          <w:rFonts w:hint="eastAsia" w:ascii="宋体" w:hAnsi="宋体" w:cs="宋体"/>
          <w:bCs/>
          <w:color w:val="auto"/>
          <w:sz w:val="24"/>
          <w:highlight w:val="none"/>
        </w:rPr>
        <w:t xml:space="preserve">52cm </w:t>
      </w:r>
    </w:p>
    <w:p w14:paraId="42300E3A">
      <w:pPr>
        <w:rPr>
          <w:rFonts w:ascii="宋体" w:hAnsi="宋体" w:cs="宋体"/>
          <w:bCs/>
          <w:color w:val="auto"/>
          <w:sz w:val="24"/>
          <w:highlight w:val="none"/>
        </w:rPr>
      </w:pPr>
      <w:r>
        <w:rPr>
          <w:rFonts w:hint="eastAsia" w:ascii="宋体" w:hAnsi="宋体" w:cs="宋体"/>
          <w:bCs/>
          <w:color w:val="auto"/>
          <w:sz w:val="24"/>
          <w:highlight w:val="none"/>
        </w:rPr>
        <w:t>2.5.3</w:t>
      </w:r>
      <w:r>
        <w:rPr>
          <w:rFonts w:hint="eastAsia" w:ascii="宋体" w:hAnsi="宋体" w:cs="宋体"/>
          <w:bCs/>
          <w:color w:val="auto"/>
          <w:sz w:val="24"/>
          <w:highlight w:val="none"/>
        </w:rPr>
        <w:tab/>
      </w:r>
      <w:r>
        <w:rPr>
          <w:rFonts w:hint="eastAsia" w:ascii="宋体" w:hAnsi="宋体" w:cs="宋体"/>
          <w:bCs/>
          <w:color w:val="auto"/>
          <w:sz w:val="24"/>
          <w:highlight w:val="none"/>
        </w:rPr>
        <w:t>床面尺寸</w:t>
      </w:r>
      <w:r>
        <w:rPr>
          <w:rFonts w:hint="eastAsia" w:ascii="宋体" w:hAnsi="宋体" w:eastAsia="宋体" w:cs="宋体"/>
          <w:color w:val="auto"/>
          <w:sz w:val="24"/>
          <w:highlight w:val="none"/>
        </w:rPr>
        <w:t>≥</w:t>
      </w:r>
      <w:r>
        <w:rPr>
          <w:rFonts w:hint="eastAsia" w:ascii="宋体" w:hAnsi="宋体" w:cs="宋体"/>
          <w:bCs/>
          <w:color w:val="auto"/>
          <w:sz w:val="24"/>
          <w:highlight w:val="none"/>
        </w:rPr>
        <w:t>230×84cm，床面高度≤68cm</w:t>
      </w:r>
    </w:p>
    <w:p w14:paraId="49843A50">
      <w:pPr>
        <w:rPr>
          <w:rFonts w:ascii="宋体" w:hAnsi="宋体" w:cs="宋体"/>
          <w:bCs/>
          <w:color w:val="auto"/>
          <w:sz w:val="24"/>
          <w:highlight w:val="none"/>
        </w:rPr>
      </w:pPr>
      <w:r>
        <w:rPr>
          <w:rFonts w:hint="eastAsia" w:ascii="宋体" w:hAnsi="宋体" w:cs="宋体"/>
          <w:bCs/>
          <w:color w:val="auto"/>
          <w:sz w:val="24"/>
          <w:highlight w:val="none"/>
        </w:rPr>
        <w:t>2.5.4</w:t>
      </w:r>
      <w:r>
        <w:rPr>
          <w:rFonts w:hint="eastAsia" w:ascii="宋体" w:hAnsi="宋体" w:cs="宋体"/>
          <w:bCs/>
          <w:color w:val="auto"/>
          <w:sz w:val="24"/>
          <w:highlight w:val="none"/>
        </w:rPr>
        <w:tab/>
      </w:r>
      <w:r>
        <w:rPr>
          <w:rFonts w:hint="eastAsia" w:ascii="宋体" w:hAnsi="宋体" w:cs="宋体"/>
          <w:bCs/>
          <w:color w:val="auto"/>
          <w:sz w:val="24"/>
          <w:highlight w:val="none"/>
        </w:rPr>
        <w:t>具备物理三野物理电离室，非软件电离室</w:t>
      </w:r>
    </w:p>
    <w:p w14:paraId="554A81FF">
      <w:pPr>
        <w:rPr>
          <w:rFonts w:ascii="宋体" w:hAnsi="宋体" w:cs="宋体"/>
          <w:bCs/>
          <w:color w:val="auto"/>
          <w:sz w:val="24"/>
          <w:highlight w:val="none"/>
        </w:rPr>
      </w:pPr>
      <w:r>
        <w:rPr>
          <w:rFonts w:hint="eastAsia" w:ascii="宋体" w:hAnsi="宋体" w:cs="宋体"/>
          <w:bCs/>
          <w:color w:val="auto"/>
          <w:sz w:val="24"/>
          <w:highlight w:val="none"/>
        </w:rPr>
        <w:t>2.5.5</w:t>
      </w:r>
      <w:r>
        <w:rPr>
          <w:rFonts w:hint="eastAsia" w:ascii="宋体" w:hAnsi="宋体" w:cs="宋体"/>
          <w:bCs/>
          <w:color w:val="auto"/>
          <w:sz w:val="24"/>
          <w:highlight w:val="none"/>
        </w:rPr>
        <w:tab/>
      </w:r>
      <w:r>
        <w:rPr>
          <w:rFonts w:hint="eastAsia" w:ascii="宋体" w:hAnsi="宋体" w:cs="宋体"/>
          <w:bCs/>
          <w:color w:val="auto"/>
          <w:sz w:val="24"/>
          <w:highlight w:val="none"/>
        </w:rPr>
        <w:t xml:space="preserve">因安装场地限制，要求高压发生器装置放置在固定摄影床下2.5.6 </w:t>
      </w:r>
      <w:r>
        <w:rPr>
          <w:rFonts w:hint="eastAsia" w:ascii="宋体" w:hAnsi="宋体" w:cs="宋体"/>
          <w:bCs/>
          <w:color w:val="auto"/>
          <w:sz w:val="24"/>
          <w:highlight w:val="none"/>
        </w:rPr>
        <w:tab/>
      </w:r>
      <w:r>
        <w:rPr>
          <w:rFonts w:hint="eastAsia" w:ascii="宋体" w:hAnsi="宋体" w:cs="宋体"/>
          <w:bCs/>
          <w:color w:val="auto"/>
          <w:sz w:val="24"/>
          <w:highlight w:val="none"/>
        </w:rPr>
        <w:t>为防止误踩操作，床面运动控制开关采用内踢式设计，非脚踏式开关，须提供相关照片证明</w:t>
      </w:r>
    </w:p>
    <w:p w14:paraId="0EF3ECB2">
      <w:pPr>
        <w:rPr>
          <w:rFonts w:ascii="宋体" w:hAnsi="宋体" w:cs="宋体"/>
          <w:b/>
          <w:bCs/>
          <w:color w:val="auto"/>
          <w:sz w:val="24"/>
          <w:highlight w:val="none"/>
        </w:rPr>
      </w:pPr>
      <w:r>
        <w:rPr>
          <w:rFonts w:hint="eastAsia" w:ascii="宋体" w:hAnsi="宋体" w:cs="宋体"/>
          <w:b/>
          <w:bCs/>
          <w:color w:val="auto"/>
          <w:sz w:val="24"/>
          <w:highlight w:val="none"/>
        </w:rPr>
        <w:t>2.6</w:t>
      </w:r>
      <w:r>
        <w:rPr>
          <w:rFonts w:hint="eastAsia" w:ascii="宋体" w:hAnsi="宋体" w:cs="宋体"/>
          <w:b/>
          <w:bCs/>
          <w:color w:val="auto"/>
          <w:sz w:val="24"/>
          <w:highlight w:val="none"/>
        </w:rPr>
        <w:tab/>
      </w:r>
      <w:r>
        <w:rPr>
          <w:rFonts w:hint="eastAsia" w:ascii="宋体" w:hAnsi="宋体" w:cs="宋体"/>
          <w:b/>
          <w:bCs/>
          <w:color w:val="auto"/>
          <w:sz w:val="24"/>
          <w:highlight w:val="none"/>
        </w:rPr>
        <w:t>图像采集工作站</w:t>
      </w:r>
    </w:p>
    <w:p w14:paraId="3F3A2D20">
      <w:pPr>
        <w:rPr>
          <w:rFonts w:ascii="宋体" w:hAnsi="宋体" w:cs="宋体"/>
          <w:bCs/>
          <w:color w:val="auto"/>
          <w:sz w:val="24"/>
          <w:highlight w:val="none"/>
        </w:rPr>
      </w:pPr>
      <w:r>
        <w:rPr>
          <w:rFonts w:hint="eastAsia" w:ascii="宋体" w:hAnsi="宋体" w:cs="宋体"/>
          <w:bCs/>
          <w:color w:val="auto"/>
          <w:sz w:val="24"/>
          <w:highlight w:val="none"/>
        </w:rPr>
        <w:t>2.6.1  操作系统：windows 10以上，硬盘存储1TB，内存8G</w:t>
      </w:r>
      <w:r>
        <w:rPr>
          <w:rFonts w:hint="eastAsia" w:ascii="宋体" w:hAnsi="宋体" w:eastAsia="宋体" w:cs="宋体"/>
          <w:bCs/>
          <w:color w:val="auto"/>
          <w:sz w:val="24"/>
          <w:highlight w:val="none"/>
        </w:rPr>
        <w:t>（</w:t>
      </w:r>
      <w:r>
        <w:rPr>
          <w:rFonts w:hint="eastAsia" w:ascii="宋体" w:hAnsi="宋体" w:eastAsia="宋体" w:cs="宋体"/>
          <w:color w:val="auto"/>
          <w:sz w:val="24"/>
          <w:highlight w:val="none"/>
        </w:rPr>
        <w:t>≥16GB</w:t>
      </w:r>
      <w:r>
        <w:rPr>
          <w:rFonts w:hint="eastAsia" w:ascii="宋体" w:hAnsi="宋体" w:eastAsia="宋体" w:cs="宋体"/>
          <w:bCs/>
          <w:color w:val="auto"/>
          <w:sz w:val="24"/>
          <w:highlight w:val="none"/>
        </w:rPr>
        <w:t>）</w:t>
      </w:r>
      <w:r>
        <w:rPr>
          <w:rFonts w:hint="eastAsia" w:ascii="宋体" w:hAnsi="宋体" w:cs="宋体"/>
          <w:bCs/>
          <w:color w:val="auto"/>
          <w:sz w:val="24"/>
          <w:highlight w:val="none"/>
        </w:rPr>
        <w:t>，独立显卡，显存6GB</w:t>
      </w:r>
    </w:p>
    <w:p w14:paraId="04164A1D">
      <w:pPr>
        <w:rPr>
          <w:rFonts w:ascii="宋体" w:hAnsi="宋体" w:cs="宋体"/>
          <w:bCs/>
          <w:color w:val="auto"/>
          <w:sz w:val="24"/>
          <w:highlight w:val="none"/>
        </w:rPr>
      </w:pPr>
      <w:r>
        <w:rPr>
          <w:rFonts w:hint="eastAsia" w:ascii="宋体" w:hAnsi="宋体" w:cs="宋体"/>
          <w:bCs/>
          <w:color w:val="auto"/>
          <w:sz w:val="24"/>
          <w:highlight w:val="none"/>
        </w:rPr>
        <w:t>2.6.2  监视器23英寸，显示器分辨率</w:t>
      </w:r>
      <w:r>
        <w:rPr>
          <w:rFonts w:hint="eastAsia" w:ascii="宋体" w:hAnsi="宋体" w:eastAsia="宋体" w:cs="宋体"/>
          <w:color w:val="auto"/>
          <w:sz w:val="24"/>
          <w:highlight w:val="none"/>
        </w:rPr>
        <w:t>≥</w:t>
      </w:r>
      <w:r>
        <w:rPr>
          <w:rFonts w:hint="eastAsia" w:ascii="宋体" w:hAnsi="宋体" w:cs="宋体"/>
          <w:bCs/>
          <w:color w:val="auto"/>
          <w:sz w:val="24"/>
          <w:highlight w:val="none"/>
        </w:rPr>
        <w:t xml:space="preserve">1920×1080 </w:t>
      </w:r>
    </w:p>
    <w:p w14:paraId="73C7A767">
      <w:pPr>
        <w:rPr>
          <w:rFonts w:ascii="宋体" w:hAnsi="宋体" w:cs="宋体"/>
          <w:bCs/>
          <w:color w:val="auto"/>
          <w:sz w:val="24"/>
          <w:highlight w:val="none"/>
        </w:rPr>
      </w:pPr>
      <w:r>
        <w:rPr>
          <w:rFonts w:hint="eastAsia" w:ascii="宋体" w:hAnsi="宋体" w:cs="宋体"/>
          <w:bCs/>
          <w:color w:val="auto"/>
          <w:sz w:val="24"/>
          <w:highlight w:val="none"/>
        </w:rPr>
        <w:t xml:space="preserve">2.6.3 </w:t>
      </w:r>
      <w:r>
        <w:rPr>
          <w:rFonts w:hint="eastAsia" w:ascii="宋体" w:hAnsi="宋体" w:cs="宋体"/>
          <w:bCs/>
          <w:color w:val="auto"/>
          <w:sz w:val="24"/>
          <w:highlight w:val="none"/>
        </w:rPr>
        <w:tab/>
      </w:r>
      <w:r>
        <w:rPr>
          <w:rFonts w:hint="eastAsia" w:ascii="宋体" w:hAnsi="宋体" w:cs="宋体"/>
          <w:bCs/>
          <w:color w:val="auto"/>
          <w:sz w:val="24"/>
          <w:highlight w:val="none"/>
        </w:rPr>
        <w:t>标配DAP软件功能包</w:t>
      </w:r>
    </w:p>
    <w:p w14:paraId="609C3F36">
      <w:pPr>
        <w:rPr>
          <w:rFonts w:ascii="宋体" w:hAnsi="宋体" w:cs="宋体"/>
          <w:bCs/>
          <w:color w:val="auto"/>
          <w:sz w:val="24"/>
          <w:highlight w:val="none"/>
        </w:rPr>
      </w:pPr>
      <w:r>
        <w:rPr>
          <w:rFonts w:hint="eastAsia" w:ascii="宋体" w:hAnsi="宋体" w:cs="宋体"/>
          <w:bCs/>
          <w:color w:val="auto"/>
          <w:sz w:val="24"/>
          <w:highlight w:val="none"/>
        </w:rPr>
        <w:t xml:space="preserve">2.6.4 </w:t>
      </w:r>
      <w:r>
        <w:rPr>
          <w:rFonts w:hint="eastAsia" w:ascii="宋体" w:hAnsi="宋体" w:cs="宋体"/>
          <w:bCs/>
          <w:color w:val="auto"/>
          <w:sz w:val="24"/>
          <w:highlight w:val="none"/>
        </w:rPr>
        <w:tab/>
      </w:r>
      <w:r>
        <w:rPr>
          <w:rFonts w:hint="eastAsia" w:ascii="宋体" w:hAnsi="宋体" w:cs="宋体"/>
          <w:bCs/>
          <w:color w:val="auto"/>
          <w:sz w:val="24"/>
          <w:highlight w:val="none"/>
        </w:rPr>
        <w:t>具备一键整机开/关机功能（只需通过一键即可控制整机及各部件开机或关机，包括一键可完成采集工作站、高压发生器、机械系统等设备所有部件的开关机）</w:t>
      </w:r>
    </w:p>
    <w:p w14:paraId="39735588">
      <w:pPr>
        <w:rPr>
          <w:rFonts w:ascii="宋体" w:hAnsi="宋体" w:cs="宋体"/>
          <w:bCs/>
          <w:color w:val="auto"/>
          <w:sz w:val="24"/>
          <w:highlight w:val="none"/>
        </w:rPr>
      </w:pPr>
      <w:r>
        <w:rPr>
          <w:rFonts w:hint="eastAsia" w:ascii="宋体" w:hAnsi="宋体" w:cs="宋体"/>
          <w:bCs/>
          <w:color w:val="auto"/>
          <w:sz w:val="24"/>
          <w:highlight w:val="none"/>
        </w:rPr>
        <w:t>2.6.</w:t>
      </w:r>
      <w:r>
        <w:rPr>
          <w:rFonts w:hint="eastAsia" w:ascii="宋体" w:hAnsi="宋体" w:cs="宋体"/>
          <w:bCs/>
          <w:color w:val="auto"/>
          <w:sz w:val="24"/>
          <w:highlight w:val="none"/>
          <w:lang w:val="en-US" w:eastAsia="zh-CN"/>
        </w:rPr>
        <w:t>5</w:t>
      </w:r>
      <w:r>
        <w:rPr>
          <w:rFonts w:hint="eastAsia" w:ascii="宋体" w:hAnsi="宋体" w:cs="宋体"/>
          <w:bCs/>
          <w:color w:val="auto"/>
          <w:sz w:val="24"/>
          <w:highlight w:val="none"/>
        </w:rPr>
        <w:t xml:space="preserve">  为保证系统与球管高度集成，要求图像采集工作站可检测球管热容量使用情况并具备显示功能</w:t>
      </w:r>
    </w:p>
    <w:p w14:paraId="0B262F0A">
      <w:pPr>
        <w:rPr>
          <w:rFonts w:ascii="宋体" w:hAnsi="宋体" w:cs="宋体"/>
          <w:bCs/>
          <w:color w:val="auto"/>
          <w:sz w:val="24"/>
          <w:highlight w:val="none"/>
        </w:rPr>
      </w:pPr>
      <w:r>
        <w:rPr>
          <w:rFonts w:hint="eastAsia" w:ascii="宋体" w:hAnsi="宋体" w:cs="宋体"/>
          <w:bCs/>
          <w:color w:val="auto"/>
          <w:sz w:val="24"/>
          <w:highlight w:val="none"/>
        </w:rPr>
        <w:t>2.6.</w:t>
      </w:r>
      <w:r>
        <w:rPr>
          <w:rFonts w:hint="eastAsia" w:ascii="宋体" w:hAnsi="宋体" w:cs="宋体"/>
          <w:bCs/>
          <w:color w:val="auto"/>
          <w:sz w:val="24"/>
          <w:highlight w:val="none"/>
          <w:lang w:val="en-US" w:eastAsia="zh-CN"/>
        </w:rPr>
        <w:t>6</w:t>
      </w:r>
      <w:r>
        <w:rPr>
          <w:rFonts w:hint="eastAsia" w:ascii="宋体" w:hAnsi="宋体" w:cs="宋体"/>
          <w:bCs/>
          <w:color w:val="auto"/>
          <w:sz w:val="24"/>
          <w:highlight w:val="none"/>
        </w:rPr>
        <w:t xml:space="preserve">  为保证系统与平板探测器高度集成，要求图像采集工作站可检测平板探测器电量及无线信号并具备显示功能（提供功能截图照片证明）</w:t>
      </w:r>
    </w:p>
    <w:p w14:paraId="123941C4">
      <w:pPr>
        <w:rPr>
          <w:rFonts w:ascii="宋体" w:hAnsi="宋体" w:cs="宋体"/>
          <w:bCs/>
          <w:color w:val="auto"/>
          <w:sz w:val="24"/>
          <w:highlight w:val="none"/>
        </w:rPr>
      </w:pPr>
      <w:r>
        <w:rPr>
          <w:rFonts w:hint="eastAsia" w:ascii="宋体" w:hAnsi="宋体" w:cs="宋体"/>
          <w:bCs/>
          <w:color w:val="auto"/>
          <w:sz w:val="24"/>
          <w:highlight w:val="none"/>
        </w:rPr>
        <w:t>2.6.</w:t>
      </w:r>
      <w:r>
        <w:rPr>
          <w:rFonts w:hint="eastAsia" w:ascii="宋体" w:hAnsi="宋体" w:cs="宋体"/>
          <w:bCs/>
          <w:color w:val="auto"/>
          <w:sz w:val="24"/>
          <w:highlight w:val="none"/>
          <w:lang w:val="en-US" w:eastAsia="zh-CN"/>
        </w:rPr>
        <w:t>7</w:t>
      </w:r>
      <w:r>
        <w:rPr>
          <w:rFonts w:hint="eastAsia" w:ascii="宋体" w:hAnsi="宋体" w:cs="宋体"/>
          <w:bCs/>
          <w:color w:val="auto"/>
          <w:sz w:val="24"/>
          <w:highlight w:val="none"/>
        </w:rPr>
        <w:t xml:space="preserve">  为保证系统整体各部件高度集成，要求图像采集工作站具备整机故障预判功能，可精准定位系统故障</w:t>
      </w:r>
    </w:p>
    <w:p w14:paraId="31948C97">
      <w:pPr>
        <w:rPr>
          <w:rFonts w:ascii="宋体" w:hAnsi="宋体" w:cs="宋体"/>
          <w:bCs/>
          <w:color w:val="auto"/>
          <w:sz w:val="24"/>
          <w:highlight w:val="none"/>
        </w:rPr>
      </w:pPr>
      <w:r>
        <w:rPr>
          <w:rFonts w:hint="eastAsia" w:ascii="宋体" w:hAnsi="宋体" w:cs="宋体"/>
          <w:bCs/>
          <w:color w:val="auto"/>
          <w:sz w:val="24"/>
          <w:highlight w:val="none"/>
        </w:rPr>
        <w:t>2.6.</w:t>
      </w:r>
      <w:r>
        <w:rPr>
          <w:rFonts w:hint="eastAsia" w:ascii="宋体" w:hAnsi="宋体" w:cs="宋体"/>
          <w:bCs/>
          <w:color w:val="auto"/>
          <w:sz w:val="24"/>
          <w:highlight w:val="none"/>
          <w:lang w:val="en-US" w:eastAsia="zh-CN"/>
        </w:rPr>
        <w:t>8</w:t>
      </w:r>
      <w:r>
        <w:rPr>
          <w:rFonts w:hint="eastAsia" w:ascii="宋体" w:hAnsi="宋体" w:cs="宋体"/>
          <w:bCs/>
          <w:color w:val="auto"/>
          <w:sz w:val="24"/>
          <w:highlight w:val="none"/>
        </w:rPr>
        <w:t xml:space="preserve">  系统可根据不同患者的年龄信息，自动调节到对应的患者曝光模式，例如：婴儿拍摄模式、儿童拍摄模式、成人拍摄模式</w:t>
      </w:r>
    </w:p>
    <w:p w14:paraId="10B48CE8">
      <w:pPr>
        <w:rPr>
          <w:rFonts w:ascii="宋体" w:hAnsi="宋体" w:cs="宋体"/>
          <w:bCs/>
          <w:color w:val="auto"/>
          <w:sz w:val="24"/>
          <w:highlight w:val="none"/>
        </w:rPr>
      </w:pPr>
      <w:r>
        <w:rPr>
          <w:rFonts w:hint="eastAsia" w:ascii="宋体" w:hAnsi="宋体" w:cs="宋体"/>
          <w:bCs/>
          <w:color w:val="auto"/>
          <w:sz w:val="24"/>
          <w:highlight w:val="none"/>
        </w:rPr>
        <w:t>2.6.</w:t>
      </w:r>
      <w:r>
        <w:rPr>
          <w:rFonts w:hint="eastAsia" w:ascii="宋体" w:hAnsi="宋体" w:cs="宋体"/>
          <w:bCs/>
          <w:color w:val="auto"/>
          <w:sz w:val="24"/>
          <w:highlight w:val="none"/>
          <w:lang w:val="en-US" w:eastAsia="zh-CN"/>
        </w:rPr>
        <w:t>9</w:t>
      </w:r>
      <w:r>
        <w:rPr>
          <w:rFonts w:hint="eastAsia" w:ascii="宋体" w:hAnsi="宋体" w:cs="宋体"/>
          <w:bCs/>
          <w:color w:val="auto"/>
          <w:sz w:val="24"/>
          <w:highlight w:val="none"/>
        </w:rPr>
        <w:t xml:space="preserve">  为保证更高效拍摄效率，图像采集工作站可同时进行多患者管理，例如：待检查、正在检查、检查完成患者的多患者同时管理</w:t>
      </w:r>
    </w:p>
    <w:p w14:paraId="742B7758">
      <w:pPr>
        <w:rPr>
          <w:rFonts w:ascii="宋体" w:hAnsi="宋体" w:cs="宋体"/>
          <w:bCs/>
          <w:color w:val="auto"/>
          <w:sz w:val="24"/>
          <w:highlight w:val="none"/>
        </w:rPr>
      </w:pPr>
      <w:r>
        <w:rPr>
          <w:rFonts w:hint="eastAsia" w:ascii="宋体" w:hAnsi="宋体" w:cs="宋体"/>
          <w:bCs/>
          <w:color w:val="auto"/>
          <w:sz w:val="24"/>
          <w:highlight w:val="none"/>
        </w:rPr>
        <w:t>2.6.</w:t>
      </w:r>
      <w:r>
        <w:rPr>
          <w:rFonts w:hint="eastAsia" w:ascii="宋体" w:hAnsi="宋体" w:cs="宋体"/>
          <w:bCs/>
          <w:color w:val="auto"/>
          <w:sz w:val="24"/>
          <w:highlight w:val="none"/>
          <w:lang w:val="en-US" w:eastAsia="zh-CN"/>
        </w:rPr>
        <w:t>10</w:t>
      </w:r>
      <w:r>
        <w:rPr>
          <w:rFonts w:hint="eastAsia" w:ascii="宋体" w:hAnsi="宋体" w:cs="宋体"/>
          <w:bCs/>
          <w:color w:val="auto"/>
          <w:sz w:val="24"/>
          <w:highlight w:val="none"/>
        </w:rPr>
        <w:t xml:space="preserve"> DICOM网络接口：Dicom print、Dicom worklist、Dicom storage and export</w:t>
      </w:r>
    </w:p>
    <w:p w14:paraId="1FC470DA">
      <w:pPr>
        <w:rPr>
          <w:rFonts w:ascii="宋体" w:hAnsi="宋体" w:cs="宋体"/>
          <w:b/>
          <w:bCs/>
          <w:color w:val="auto"/>
          <w:sz w:val="24"/>
          <w:highlight w:val="none"/>
        </w:rPr>
      </w:pPr>
      <w:r>
        <w:rPr>
          <w:rFonts w:hint="eastAsia" w:ascii="宋体" w:hAnsi="宋体" w:cs="宋体"/>
          <w:b/>
          <w:bCs/>
          <w:color w:val="auto"/>
          <w:sz w:val="24"/>
          <w:highlight w:val="none"/>
        </w:rPr>
        <w:t>2.7 滤线栅</w:t>
      </w:r>
      <w:r>
        <w:rPr>
          <w:rFonts w:hint="eastAsia" w:ascii="宋体" w:hAnsi="宋体" w:cs="宋体"/>
          <w:b/>
          <w:bCs/>
          <w:color w:val="auto"/>
          <w:sz w:val="24"/>
          <w:highlight w:val="none"/>
        </w:rPr>
        <w:tab/>
      </w:r>
    </w:p>
    <w:p w14:paraId="491D4BF5">
      <w:pPr>
        <w:rPr>
          <w:rFonts w:ascii="宋体" w:hAnsi="宋体" w:cs="宋体"/>
          <w:bCs/>
          <w:color w:val="auto"/>
          <w:sz w:val="24"/>
          <w:highlight w:val="none"/>
        </w:rPr>
      </w:pPr>
      <w:r>
        <w:rPr>
          <w:rFonts w:hint="eastAsia" w:ascii="宋体" w:hAnsi="宋体" w:cs="宋体"/>
          <w:bCs/>
          <w:color w:val="auto"/>
          <w:sz w:val="24"/>
          <w:highlight w:val="none"/>
        </w:rPr>
        <w:t>2.7.1 胸片架内和摄影床内均具备可插拔式滤线栅2块滤线栅，无需工具即可实现滤线栅拆卸；</w:t>
      </w:r>
    </w:p>
    <w:p w14:paraId="512DE79A">
      <w:pPr>
        <w:rPr>
          <w:rFonts w:ascii="宋体" w:hAnsi="宋体" w:cs="宋体"/>
          <w:bCs/>
          <w:color w:val="auto"/>
          <w:sz w:val="24"/>
          <w:highlight w:val="none"/>
        </w:rPr>
      </w:pPr>
      <w:r>
        <w:rPr>
          <w:rFonts w:hint="eastAsia" w:ascii="宋体" w:hAnsi="宋体" w:cs="宋体"/>
          <w:bCs/>
          <w:color w:val="auto"/>
          <w:sz w:val="24"/>
          <w:highlight w:val="none"/>
        </w:rPr>
        <w:t xml:space="preserve">2.7.2 </w:t>
      </w:r>
      <w:r>
        <w:rPr>
          <w:rFonts w:hint="eastAsia" w:ascii="宋体" w:hAnsi="宋体" w:cs="宋体"/>
          <w:bCs/>
          <w:color w:val="auto"/>
          <w:sz w:val="24"/>
          <w:highlight w:val="none"/>
        </w:rPr>
        <w:tab/>
      </w:r>
      <w:r>
        <w:rPr>
          <w:rFonts w:hint="eastAsia" w:ascii="宋体" w:hAnsi="宋体" w:cs="宋体"/>
          <w:bCs/>
          <w:color w:val="auto"/>
          <w:sz w:val="24"/>
          <w:highlight w:val="none"/>
        </w:rPr>
        <w:t>胸片架内和摄影床内滤线栅均满足：栅比</w:t>
      </w:r>
      <w:r>
        <w:rPr>
          <w:rFonts w:hint="eastAsia" w:ascii="宋体" w:hAnsi="宋体" w:eastAsia="宋体" w:cs="宋体"/>
          <w:color w:val="auto"/>
          <w:sz w:val="24"/>
          <w:highlight w:val="none"/>
        </w:rPr>
        <w:t>≥</w:t>
      </w:r>
      <w:r>
        <w:rPr>
          <w:rFonts w:hint="eastAsia" w:ascii="宋体" w:hAnsi="宋体" w:cs="宋体"/>
          <w:bCs/>
          <w:color w:val="auto"/>
          <w:sz w:val="24"/>
          <w:highlight w:val="none"/>
        </w:rPr>
        <w:t>10:1，栅密度</w:t>
      </w:r>
      <w:r>
        <w:rPr>
          <w:rFonts w:hint="eastAsia" w:ascii="宋体" w:hAnsi="宋体" w:eastAsia="宋体" w:cs="宋体"/>
          <w:color w:val="auto"/>
          <w:sz w:val="24"/>
          <w:highlight w:val="none"/>
        </w:rPr>
        <w:t>≥</w:t>
      </w:r>
      <w:r>
        <w:rPr>
          <w:rFonts w:hint="eastAsia" w:ascii="宋体" w:hAnsi="宋体" w:cs="宋体"/>
          <w:bCs/>
          <w:color w:val="auto"/>
          <w:sz w:val="24"/>
          <w:highlight w:val="none"/>
        </w:rPr>
        <w:t>40线对/厘米，</w:t>
      </w:r>
    </w:p>
    <w:p w14:paraId="5A944E06">
      <w:pPr>
        <w:rPr>
          <w:rFonts w:ascii="宋体" w:hAnsi="宋体" w:cs="宋体"/>
          <w:b/>
          <w:bCs/>
          <w:color w:val="auto"/>
          <w:sz w:val="24"/>
          <w:highlight w:val="none"/>
        </w:rPr>
      </w:pPr>
      <w:r>
        <w:rPr>
          <w:rFonts w:hint="eastAsia" w:ascii="宋体" w:hAnsi="宋体" w:cs="宋体"/>
          <w:b/>
          <w:bCs/>
          <w:color w:val="auto"/>
          <w:sz w:val="24"/>
          <w:highlight w:val="none"/>
        </w:rPr>
        <w:t>2.8</w:t>
      </w:r>
      <w:r>
        <w:rPr>
          <w:rFonts w:hint="eastAsia" w:ascii="宋体" w:hAnsi="宋体" w:cs="宋体"/>
          <w:b/>
          <w:bCs/>
          <w:color w:val="auto"/>
          <w:sz w:val="24"/>
          <w:highlight w:val="none"/>
        </w:rPr>
        <w:tab/>
      </w:r>
      <w:r>
        <w:rPr>
          <w:rFonts w:hint="eastAsia" w:ascii="宋体" w:hAnsi="宋体" w:cs="宋体"/>
          <w:b/>
          <w:bCs/>
          <w:color w:val="auto"/>
          <w:sz w:val="24"/>
          <w:highlight w:val="none"/>
        </w:rPr>
        <w:t>智能胸片质控</w:t>
      </w:r>
    </w:p>
    <w:p w14:paraId="40A646D2">
      <w:pPr>
        <w:rPr>
          <w:rFonts w:ascii="宋体" w:hAnsi="宋体" w:cs="宋体"/>
          <w:bCs/>
          <w:color w:val="auto"/>
          <w:sz w:val="24"/>
          <w:highlight w:val="none"/>
        </w:rPr>
      </w:pPr>
      <w:r>
        <w:rPr>
          <w:color w:val="auto"/>
          <w:highlight w:val="none"/>
        </w:rPr>
        <w:t>▲</w:t>
      </w:r>
      <w:r>
        <w:rPr>
          <w:rFonts w:hint="eastAsia" w:ascii="宋体" w:hAnsi="宋体" w:cs="宋体"/>
          <w:bCs/>
          <w:color w:val="auto"/>
          <w:sz w:val="24"/>
          <w:highlight w:val="none"/>
        </w:rPr>
        <w:t>2.8.1</w:t>
      </w:r>
      <w:r>
        <w:rPr>
          <w:rFonts w:hint="eastAsia" w:ascii="宋体" w:hAnsi="宋体" w:cs="宋体"/>
          <w:bCs/>
          <w:color w:val="auto"/>
          <w:sz w:val="24"/>
          <w:highlight w:val="none"/>
        </w:rPr>
        <w:tab/>
      </w:r>
      <w:r>
        <w:rPr>
          <w:rFonts w:hint="eastAsia" w:ascii="宋体" w:hAnsi="宋体" w:cs="宋体"/>
          <w:bCs/>
          <w:color w:val="auto"/>
          <w:sz w:val="24"/>
          <w:highlight w:val="none"/>
        </w:rPr>
        <w:t>具备胸部正位片智能质控分析软件包，质控项目</w:t>
      </w:r>
      <w:r>
        <w:rPr>
          <w:rFonts w:hint="eastAsia" w:ascii="宋体" w:hAnsi="宋体" w:eastAsia="宋体" w:cs="宋体"/>
          <w:color w:val="auto"/>
          <w:sz w:val="24"/>
          <w:highlight w:val="none"/>
        </w:rPr>
        <w:t>≥</w:t>
      </w:r>
      <w:r>
        <w:rPr>
          <w:rFonts w:hint="eastAsia" w:ascii="宋体" w:hAnsi="宋体" w:cs="宋体"/>
          <w:bCs/>
          <w:color w:val="auto"/>
          <w:sz w:val="24"/>
          <w:highlight w:val="none"/>
        </w:rPr>
        <w:t>4项，可对肺野不全，中线偏移，肩胛骨未打开，识别非医源性异物等进行智能识别和提示。</w:t>
      </w:r>
    </w:p>
    <w:p w14:paraId="799F8912">
      <w:pPr>
        <w:rPr>
          <w:rFonts w:ascii="宋体" w:hAnsi="宋体" w:cs="宋体"/>
          <w:bCs/>
          <w:color w:val="auto"/>
          <w:sz w:val="24"/>
          <w:highlight w:val="none"/>
        </w:rPr>
      </w:pPr>
      <w:r>
        <w:rPr>
          <w:rFonts w:hint="eastAsia" w:ascii="宋体" w:hAnsi="宋体" w:cs="宋体"/>
          <w:bCs/>
          <w:color w:val="auto"/>
          <w:sz w:val="24"/>
          <w:highlight w:val="none"/>
        </w:rPr>
        <w:t>2.8.2</w:t>
      </w:r>
      <w:r>
        <w:rPr>
          <w:rFonts w:hint="eastAsia" w:ascii="宋体" w:hAnsi="宋体" w:cs="宋体"/>
          <w:bCs/>
          <w:color w:val="auto"/>
          <w:sz w:val="24"/>
          <w:highlight w:val="none"/>
        </w:rPr>
        <w:tab/>
      </w:r>
      <w:r>
        <w:rPr>
          <w:rFonts w:hint="eastAsia" w:ascii="宋体" w:hAnsi="宋体" w:cs="宋体"/>
          <w:bCs/>
          <w:color w:val="auto"/>
          <w:sz w:val="24"/>
          <w:highlight w:val="none"/>
        </w:rPr>
        <w:t>智能质控模块会自动根据图像特征来判读，对图像进行质控分析，并及时提示操作人员及时干预处理，以提高拍摄图像质量，</w:t>
      </w:r>
    </w:p>
    <w:p w14:paraId="03C46734">
      <w:pPr>
        <w:rPr>
          <w:rFonts w:ascii="宋体" w:hAnsi="宋体" w:cs="宋体"/>
          <w:bCs/>
          <w:color w:val="auto"/>
          <w:sz w:val="24"/>
          <w:highlight w:val="none"/>
        </w:rPr>
      </w:pPr>
      <w:r>
        <w:rPr>
          <w:color w:val="auto"/>
          <w:highlight w:val="none"/>
        </w:rPr>
        <w:t>▲</w:t>
      </w:r>
      <w:r>
        <w:rPr>
          <w:rFonts w:hint="eastAsia" w:ascii="宋体" w:hAnsi="宋体" w:cs="宋体"/>
          <w:bCs/>
          <w:color w:val="auto"/>
          <w:sz w:val="24"/>
          <w:highlight w:val="none"/>
        </w:rPr>
        <w:t>2.8.3</w:t>
      </w:r>
      <w:r>
        <w:rPr>
          <w:rFonts w:hint="eastAsia" w:ascii="宋体" w:hAnsi="宋体" w:cs="宋体"/>
          <w:bCs/>
          <w:color w:val="auto"/>
          <w:sz w:val="24"/>
          <w:highlight w:val="none"/>
        </w:rPr>
        <w:tab/>
      </w:r>
      <w:r>
        <w:rPr>
          <w:rFonts w:hint="eastAsia" w:ascii="宋体" w:hAnsi="宋体" w:cs="宋体"/>
          <w:bCs/>
          <w:color w:val="auto"/>
          <w:sz w:val="24"/>
          <w:highlight w:val="none"/>
        </w:rPr>
        <w:t>可对整体拍片质量进行系统分析质控问题，提供回顾式质控管理工具，自动输出质控报告，按人员分析质控结果，支持对科室人员操作进行分析管理。便于科室管理人员更全面了解拍片质量（提供厂家出具盖章版证明文件）</w:t>
      </w:r>
    </w:p>
    <w:p w14:paraId="6DAE5A13">
      <w:pPr>
        <w:rPr>
          <w:rFonts w:ascii="宋体" w:hAnsi="宋体" w:cs="宋体"/>
          <w:b/>
          <w:bCs/>
          <w:color w:val="auto"/>
          <w:sz w:val="24"/>
          <w:highlight w:val="none"/>
        </w:rPr>
      </w:pPr>
      <w:r>
        <w:rPr>
          <w:rFonts w:hint="eastAsia" w:ascii="宋体" w:hAnsi="宋体" w:cs="宋体"/>
          <w:b/>
          <w:bCs/>
          <w:color w:val="auto"/>
          <w:sz w:val="24"/>
          <w:highlight w:val="none"/>
        </w:rPr>
        <w:t>2.9</w:t>
      </w:r>
      <w:r>
        <w:rPr>
          <w:rFonts w:hint="eastAsia" w:ascii="宋体" w:hAnsi="宋体" w:cs="宋体"/>
          <w:b/>
          <w:bCs/>
          <w:color w:val="auto"/>
          <w:sz w:val="24"/>
          <w:highlight w:val="none"/>
        </w:rPr>
        <w:tab/>
      </w:r>
      <w:r>
        <w:rPr>
          <w:rFonts w:hint="eastAsia" w:ascii="宋体" w:hAnsi="宋体" w:cs="宋体"/>
          <w:b/>
          <w:bCs/>
          <w:color w:val="auto"/>
          <w:sz w:val="24"/>
          <w:highlight w:val="none"/>
        </w:rPr>
        <w:t>球管侧近台操控系统</w:t>
      </w:r>
    </w:p>
    <w:p w14:paraId="09C73B9A">
      <w:pPr>
        <w:rPr>
          <w:rFonts w:ascii="宋体" w:hAnsi="宋体" w:cs="宋体"/>
          <w:bCs/>
          <w:color w:val="auto"/>
          <w:sz w:val="24"/>
          <w:highlight w:val="none"/>
        </w:rPr>
      </w:pPr>
      <w:r>
        <w:rPr>
          <w:rFonts w:hint="eastAsia" w:ascii="宋体" w:hAnsi="宋体" w:cs="宋体"/>
          <w:bCs/>
          <w:color w:val="auto"/>
          <w:sz w:val="24"/>
          <w:highlight w:val="none"/>
        </w:rPr>
        <w:t>2.9.1</w:t>
      </w:r>
      <w:r>
        <w:rPr>
          <w:rFonts w:hint="eastAsia" w:ascii="宋体" w:hAnsi="宋体" w:cs="宋体"/>
          <w:bCs/>
          <w:color w:val="auto"/>
          <w:sz w:val="24"/>
          <w:highlight w:val="none"/>
        </w:rPr>
        <w:tab/>
      </w:r>
      <w:r>
        <w:rPr>
          <w:rFonts w:hint="eastAsia" w:ascii="宋体" w:hAnsi="宋体" w:cs="宋体"/>
          <w:bCs/>
          <w:color w:val="auto"/>
          <w:sz w:val="24"/>
          <w:highlight w:val="none"/>
        </w:rPr>
        <w:t>操控方式：电容式触摸屏</w:t>
      </w:r>
    </w:p>
    <w:p w14:paraId="2F1076F3">
      <w:pPr>
        <w:rPr>
          <w:rFonts w:ascii="宋体" w:hAnsi="宋体" w:cs="宋体"/>
          <w:bCs/>
          <w:color w:val="auto"/>
          <w:sz w:val="24"/>
          <w:highlight w:val="none"/>
        </w:rPr>
      </w:pPr>
      <w:r>
        <w:rPr>
          <w:rFonts w:hint="eastAsia" w:ascii="宋体" w:hAnsi="宋体" w:cs="宋体"/>
          <w:bCs/>
          <w:color w:val="auto"/>
          <w:sz w:val="24"/>
          <w:highlight w:val="none"/>
        </w:rPr>
        <w:t>2.9.2</w:t>
      </w:r>
      <w:r>
        <w:rPr>
          <w:rFonts w:hint="eastAsia" w:ascii="宋体" w:hAnsi="宋体" w:cs="宋体"/>
          <w:bCs/>
          <w:color w:val="auto"/>
          <w:sz w:val="24"/>
          <w:highlight w:val="none"/>
        </w:rPr>
        <w:tab/>
      </w:r>
      <w:r>
        <w:rPr>
          <w:rFonts w:hint="eastAsia" w:ascii="宋体" w:hAnsi="宋体" w:cs="宋体"/>
          <w:bCs/>
          <w:color w:val="auto"/>
          <w:sz w:val="24"/>
          <w:highlight w:val="none"/>
        </w:rPr>
        <w:t>屏幕尺寸&gt;9.5英寸</w:t>
      </w:r>
    </w:p>
    <w:p w14:paraId="6C4043FD">
      <w:pPr>
        <w:rPr>
          <w:rFonts w:ascii="宋体" w:hAnsi="宋体" w:cs="宋体"/>
          <w:bCs/>
          <w:color w:val="auto"/>
          <w:sz w:val="24"/>
          <w:highlight w:val="none"/>
        </w:rPr>
      </w:pPr>
      <w:r>
        <w:rPr>
          <w:rFonts w:hint="eastAsia" w:ascii="宋体" w:hAnsi="宋体" w:cs="宋体"/>
          <w:bCs/>
          <w:color w:val="auto"/>
          <w:sz w:val="24"/>
          <w:highlight w:val="none"/>
        </w:rPr>
        <w:t>2.9.3</w:t>
      </w:r>
      <w:r>
        <w:rPr>
          <w:rFonts w:hint="eastAsia" w:ascii="宋体" w:hAnsi="宋体" w:cs="宋体"/>
          <w:bCs/>
          <w:color w:val="auto"/>
          <w:sz w:val="24"/>
          <w:highlight w:val="none"/>
        </w:rPr>
        <w:tab/>
      </w:r>
      <w:r>
        <w:rPr>
          <w:rFonts w:hint="eastAsia" w:ascii="宋体" w:hAnsi="宋体" w:cs="宋体"/>
          <w:bCs/>
          <w:color w:val="auto"/>
          <w:sz w:val="24"/>
          <w:highlight w:val="none"/>
        </w:rPr>
        <w:t>可显示患者姓名、患者编号</w:t>
      </w:r>
    </w:p>
    <w:p w14:paraId="0F5A8335">
      <w:pPr>
        <w:rPr>
          <w:rFonts w:ascii="宋体" w:hAnsi="宋体" w:cs="宋体"/>
          <w:bCs/>
          <w:color w:val="auto"/>
          <w:sz w:val="24"/>
          <w:highlight w:val="none"/>
        </w:rPr>
      </w:pPr>
      <w:r>
        <w:rPr>
          <w:rFonts w:hint="eastAsia" w:ascii="宋体" w:hAnsi="宋体" w:cs="宋体"/>
          <w:bCs/>
          <w:color w:val="auto"/>
          <w:sz w:val="24"/>
          <w:highlight w:val="none"/>
        </w:rPr>
        <w:t>2.9.4</w:t>
      </w:r>
      <w:r>
        <w:rPr>
          <w:rFonts w:hint="eastAsia" w:ascii="宋体" w:hAnsi="宋体" w:cs="宋体"/>
          <w:bCs/>
          <w:color w:val="auto"/>
          <w:sz w:val="24"/>
          <w:highlight w:val="none"/>
        </w:rPr>
        <w:tab/>
      </w:r>
      <w:r>
        <w:rPr>
          <w:rFonts w:hint="eastAsia" w:ascii="宋体" w:hAnsi="宋体" w:cs="宋体"/>
          <w:bCs/>
          <w:color w:val="auto"/>
          <w:sz w:val="24"/>
          <w:highlight w:val="none"/>
        </w:rPr>
        <w:t>屏幕显示可依据重力方向自动调整显示的方向</w:t>
      </w:r>
    </w:p>
    <w:p w14:paraId="31065323">
      <w:pPr>
        <w:rPr>
          <w:rFonts w:ascii="宋体" w:hAnsi="宋体" w:cs="宋体"/>
          <w:bCs/>
          <w:color w:val="auto"/>
          <w:sz w:val="24"/>
          <w:highlight w:val="none"/>
        </w:rPr>
      </w:pPr>
      <w:r>
        <w:rPr>
          <w:rFonts w:hint="eastAsia" w:ascii="宋体" w:hAnsi="宋体" w:cs="宋体"/>
          <w:bCs/>
          <w:color w:val="auto"/>
          <w:sz w:val="24"/>
          <w:highlight w:val="none"/>
        </w:rPr>
        <w:t>2.9.5</w:t>
      </w:r>
      <w:r>
        <w:rPr>
          <w:rFonts w:hint="eastAsia" w:ascii="宋体" w:hAnsi="宋体" w:cs="宋体"/>
          <w:bCs/>
          <w:color w:val="auto"/>
          <w:sz w:val="24"/>
          <w:highlight w:val="none"/>
        </w:rPr>
        <w:tab/>
      </w:r>
      <w:r>
        <w:rPr>
          <w:rFonts w:hint="eastAsia" w:ascii="宋体" w:hAnsi="宋体" w:cs="宋体"/>
          <w:bCs/>
          <w:color w:val="auto"/>
          <w:sz w:val="24"/>
          <w:highlight w:val="none"/>
        </w:rPr>
        <w:t>具备曝光参数调整</w:t>
      </w:r>
    </w:p>
    <w:p w14:paraId="167AADEE">
      <w:pPr>
        <w:rPr>
          <w:rFonts w:ascii="宋体" w:hAnsi="宋体" w:cs="宋体"/>
          <w:bCs/>
          <w:color w:val="auto"/>
          <w:sz w:val="24"/>
          <w:highlight w:val="none"/>
        </w:rPr>
      </w:pPr>
      <w:r>
        <w:rPr>
          <w:rFonts w:hint="eastAsia" w:ascii="宋体" w:hAnsi="宋体" w:cs="宋体"/>
          <w:bCs/>
          <w:color w:val="auto"/>
          <w:sz w:val="24"/>
          <w:highlight w:val="none"/>
        </w:rPr>
        <w:t>2.9.6</w:t>
      </w:r>
      <w:r>
        <w:rPr>
          <w:rFonts w:hint="eastAsia" w:ascii="宋体" w:hAnsi="宋体" w:cs="宋体"/>
          <w:bCs/>
          <w:color w:val="auto"/>
          <w:sz w:val="24"/>
          <w:highlight w:val="none"/>
        </w:rPr>
        <w:tab/>
      </w:r>
      <w:r>
        <w:rPr>
          <w:rFonts w:hint="eastAsia" w:ascii="宋体" w:hAnsi="宋体" w:cs="宋体"/>
          <w:bCs/>
          <w:color w:val="auto"/>
          <w:sz w:val="24"/>
          <w:highlight w:val="none"/>
        </w:rPr>
        <w:t>触摸屏具备摆位图示化引导提示</w:t>
      </w:r>
    </w:p>
    <w:p w14:paraId="0BBE9A73">
      <w:pPr>
        <w:rPr>
          <w:rFonts w:ascii="宋体" w:hAnsi="宋体" w:cs="宋体"/>
          <w:bCs/>
          <w:color w:val="auto"/>
          <w:sz w:val="24"/>
          <w:highlight w:val="none"/>
        </w:rPr>
      </w:pPr>
      <w:r>
        <w:rPr>
          <w:rFonts w:hint="eastAsia" w:ascii="宋体" w:hAnsi="宋体" w:cs="宋体"/>
          <w:bCs/>
          <w:color w:val="auto"/>
          <w:sz w:val="24"/>
          <w:highlight w:val="none"/>
        </w:rPr>
        <w:t>2.9.7</w:t>
      </w:r>
      <w:r>
        <w:rPr>
          <w:rFonts w:hint="eastAsia" w:ascii="宋体" w:hAnsi="宋体" w:cs="宋体"/>
          <w:bCs/>
          <w:color w:val="auto"/>
          <w:sz w:val="24"/>
          <w:highlight w:val="none"/>
        </w:rPr>
        <w:tab/>
      </w:r>
      <w:r>
        <w:rPr>
          <w:rFonts w:hint="eastAsia" w:ascii="宋体" w:hAnsi="宋体" w:cs="宋体"/>
          <w:bCs/>
          <w:color w:val="auto"/>
          <w:sz w:val="24"/>
          <w:highlight w:val="none"/>
        </w:rPr>
        <w:t>支持患者体型选择</w:t>
      </w:r>
    </w:p>
    <w:p w14:paraId="09296934">
      <w:pPr>
        <w:rPr>
          <w:rFonts w:ascii="宋体" w:hAnsi="宋体" w:cs="宋体"/>
          <w:bCs/>
          <w:color w:val="auto"/>
          <w:sz w:val="24"/>
          <w:highlight w:val="none"/>
        </w:rPr>
      </w:pPr>
      <w:r>
        <w:rPr>
          <w:rFonts w:hint="eastAsia" w:ascii="宋体" w:hAnsi="宋体" w:cs="宋体"/>
          <w:bCs/>
          <w:color w:val="auto"/>
          <w:sz w:val="24"/>
          <w:highlight w:val="none"/>
        </w:rPr>
        <w:t>2.9.8</w:t>
      </w:r>
      <w:r>
        <w:rPr>
          <w:rFonts w:hint="eastAsia" w:ascii="宋体" w:hAnsi="宋体" w:cs="宋体"/>
          <w:bCs/>
          <w:color w:val="auto"/>
          <w:sz w:val="24"/>
          <w:highlight w:val="none"/>
        </w:rPr>
        <w:tab/>
      </w:r>
      <w:r>
        <w:rPr>
          <w:rFonts w:hint="eastAsia" w:ascii="宋体" w:hAnsi="宋体" w:cs="宋体"/>
          <w:bCs/>
          <w:color w:val="auto"/>
          <w:sz w:val="24"/>
          <w:highlight w:val="none"/>
        </w:rPr>
        <w:t>支持大小焦点快速切换</w:t>
      </w:r>
    </w:p>
    <w:p w14:paraId="5CDF2B9A">
      <w:pPr>
        <w:rPr>
          <w:rFonts w:ascii="宋体" w:hAnsi="宋体" w:cs="宋体"/>
          <w:bCs/>
          <w:color w:val="auto"/>
          <w:sz w:val="24"/>
          <w:highlight w:val="none"/>
        </w:rPr>
      </w:pPr>
      <w:r>
        <w:rPr>
          <w:rFonts w:hint="eastAsia" w:ascii="宋体" w:hAnsi="宋体" w:cs="宋体"/>
          <w:bCs/>
          <w:color w:val="auto"/>
          <w:sz w:val="24"/>
          <w:highlight w:val="none"/>
        </w:rPr>
        <w:t>2.9.9</w:t>
      </w:r>
      <w:r>
        <w:rPr>
          <w:rFonts w:hint="eastAsia" w:ascii="宋体" w:hAnsi="宋体" w:cs="宋体"/>
          <w:bCs/>
          <w:color w:val="auto"/>
          <w:sz w:val="24"/>
          <w:highlight w:val="none"/>
        </w:rPr>
        <w:tab/>
      </w:r>
      <w:r>
        <w:rPr>
          <w:rFonts w:hint="eastAsia" w:ascii="宋体" w:hAnsi="宋体" w:cs="宋体"/>
          <w:bCs/>
          <w:color w:val="auto"/>
          <w:sz w:val="24"/>
          <w:highlight w:val="none"/>
        </w:rPr>
        <w:t>支持曝光技术快速选择</w:t>
      </w:r>
    </w:p>
    <w:p w14:paraId="3AFC57A0">
      <w:pPr>
        <w:rPr>
          <w:rFonts w:ascii="宋体" w:hAnsi="宋体" w:cs="宋体"/>
          <w:bCs/>
          <w:color w:val="auto"/>
          <w:sz w:val="24"/>
          <w:highlight w:val="none"/>
        </w:rPr>
      </w:pPr>
      <w:r>
        <w:rPr>
          <w:rFonts w:hint="eastAsia" w:ascii="宋体" w:hAnsi="宋体" w:cs="宋体"/>
          <w:bCs/>
          <w:color w:val="auto"/>
          <w:sz w:val="24"/>
          <w:highlight w:val="none"/>
        </w:rPr>
        <w:t>2.9.10</w:t>
      </w:r>
      <w:r>
        <w:rPr>
          <w:rFonts w:hint="eastAsia" w:ascii="宋体" w:hAnsi="宋体" w:cs="宋体"/>
          <w:bCs/>
          <w:color w:val="auto"/>
          <w:sz w:val="24"/>
          <w:highlight w:val="none"/>
        </w:rPr>
        <w:tab/>
      </w:r>
      <w:r>
        <w:rPr>
          <w:rFonts w:hint="eastAsia" w:ascii="宋体" w:hAnsi="宋体" w:cs="宋体"/>
          <w:bCs/>
          <w:color w:val="auto"/>
          <w:sz w:val="24"/>
          <w:highlight w:val="none"/>
        </w:rPr>
        <w:t>支持系统状态消息提示</w:t>
      </w:r>
    </w:p>
    <w:p w14:paraId="76089660">
      <w:pPr>
        <w:rPr>
          <w:rFonts w:ascii="宋体" w:hAnsi="宋体" w:cs="宋体"/>
          <w:bCs/>
          <w:color w:val="auto"/>
          <w:sz w:val="24"/>
          <w:highlight w:val="none"/>
        </w:rPr>
      </w:pPr>
      <w:r>
        <w:rPr>
          <w:rFonts w:hint="eastAsia" w:ascii="宋体" w:hAnsi="宋体" w:cs="宋体"/>
          <w:bCs/>
          <w:color w:val="auto"/>
          <w:sz w:val="24"/>
          <w:highlight w:val="none"/>
        </w:rPr>
        <w:t>2.9.11</w:t>
      </w:r>
      <w:r>
        <w:rPr>
          <w:rFonts w:hint="eastAsia" w:ascii="宋体" w:hAnsi="宋体" w:cs="宋体"/>
          <w:bCs/>
          <w:color w:val="auto"/>
          <w:sz w:val="24"/>
          <w:highlight w:val="none"/>
        </w:rPr>
        <w:tab/>
      </w:r>
      <w:r>
        <w:rPr>
          <w:rFonts w:hint="eastAsia" w:ascii="宋体" w:hAnsi="宋体" w:cs="宋体"/>
          <w:bCs/>
          <w:color w:val="auto"/>
          <w:sz w:val="24"/>
          <w:highlight w:val="none"/>
        </w:rPr>
        <w:t>支持滤线栅状态提示（滤线栅有无，以及与当前APR是否匹配）</w:t>
      </w:r>
    </w:p>
    <w:p w14:paraId="5B6AD59E">
      <w:pPr>
        <w:rPr>
          <w:rFonts w:ascii="宋体" w:hAnsi="宋体" w:cs="宋体"/>
          <w:bCs/>
          <w:color w:val="auto"/>
          <w:sz w:val="24"/>
          <w:highlight w:val="none"/>
        </w:rPr>
      </w:pPr>
      <w:r>
        <w:rPr>
          <w:rFonts w:hint="eastAsia" w:ascii="宋体" w:hAnsi="宋体" w:cs="宋体"/>
          <w:bCs/>
          <w:color w:val="auto"/>
          <w:sz w:val="24"/>
          <w:highlight w:val="none"/>
        </w:rPr>
        <w:t>2.9.12</w:t>
      </w:r>
      <w:r>
        <w:rPr>
          <w:rFonts w:hint="eastAsia" w:ascii="宋体" w:hAnsi="宋体" w:cs="宋体"/>
          <w:bCs/>
          <w:color w:val="auto"/>
          <w:sz w:val="24"/>
          <w:highlight w:val="none"/>
        </w:rPr>
        <w:tab/>
      </w:r>
      <w:r>
        <w:rPr>
          <w:rFonts w:hint="eastAsia" w:ascii="宋体" w:hAnsi="宋体" w:cs="宋体"/>
          <w:bCs/>
          <w:color w:val="auto"/>
          <w:sz w:val="24"/>
          <w:highlight w:val="none"/>
        </w:rPr>
        <w:t>可以显示球管组件绕水平轴旋转角度</w:t>
      </w:r>
    </w:p>
    <w:p w14:paraId="167F36CF">
      <w:pPr>
        <w:rPr>
          <w:rFonts w:ascii="宋体" w:hAnsi="宋体" w:cs="宋体"/>
          <w:b/>
          <w:bCs/>
          <w:color w:val="auto"/>
          <w:sz w:val="24"/>
          <w:highlight w:val="none"/>
        </w:rPr>
      </w:pPr>
      <w:r>
        <w:rPr>
          <w:rFonts w:hint="eastAsia" w:ascii="宋体" w:hAnsi="宋体" w:cs="宋体"/>
          <w:b/>
          <w:bCs/>
          <w:color w:val="auto"/>
          <w:sz w:val="24"/>
          <w:highlight w:val="none"/>
        </w:rPr>
        <w:t>2.10</w:t>
      </w:r>
      <w:r>
        <w:rPr>
          <w:rFonts w:hint="eastAsia" w:ascii="宋体" w:hAnsi="宋体" w:cs="宋体"/>
          <w:b/>
          <w:bCs/>
          <w:color w:val="auto"/>
          <w:sz w:val="24"/>
          <w:highlight w:val="none"/>
        </w:rPr>
        <w:tab/>
      </w:r>
      <w:r>
        <w:rPr>
          <w:rFonts w:hint="eastAsia" w:ascii="宋体" w:hAnsi="宋体" w:cs="宋体"/>
          <w:b/>
          <w:bCs/>
          <w:color w:val="auto"/>
          <w:sz w:val="24"/>
          <w:highlight w:val="none"/>
        </w:rPr>
        <w:t>长骨拼接功能</w:t>
      </w:r>
    </w:p>
    <w:p w14:paraId="256F5524">
      <w:pPr>
        <w:rPr>
          <w:rFonts w:ascii="宋体" w:hAnsi="宋体" w:cs="宋体"/>
          <w:bCs/>
          <w:color w:val="auto"/>
          <w:sz w:val="24"/>
          <w:highlight w:val="none"/>
        </w:rPr>
      </w:pPr>
      <w:r>
        <w:rPr>
          <w:rFonts w:hint="eastAsia" w:ascii="宋体" w:hAnsi="宋体" w:cs="宋体"/>
          <w:bCs/>
          <w:color w:val="auto"/>
          <w:sz w:val="24"/>
          <w:highlight w:val="none"/>
        </w:rPr>
        <w:t>2.10.1</w:t>
      </w:r>
      <w:r>
        <w:rPr>
          <w:rFonts w:hint="eastAsia" w:ascii="宋体" w:hAnsi="宋体" w:cs="宋体"/>
          <w:bCs/>
          <w:color w:val="auto"/>
          <w:sz w:val="24"/>
          <w:highlight w:val="none"/>
        </w:rPr>
        <w:tab/>
      </w:r>
      <w:r>
        <w:rPr>
          <w:rFonts w:hint="eastAsia" w:ascii="宋体" w:hAnsi="宋体" w:cs="宋体"/>
          <w:bCs/>
          <w:color w:val="auto"/>
          <w:sz w:val="24"/>
          <w:highlight w:val="none"/>
        </w:rPr>
        <w:t>具备全自动长骨拼接功能（非手动拼接，无需多次进入检查室）</w:t>
      </w:r>
    </w:p>
    <w:p w14:paraId="045A8D55">
      <w:pPr>
        <w:rPr>
          <w:rFonts w:ascii="宋体" w:hAnsi="宋体" w:cs="宋体"/>
          <w:bCs/>
          <w:color w:val="auto"/>
          <w:sz w:val="24"/>
          <w:highlight w:val="none"/>
        </w:rPr>
      </w:pPr>
      <w:r>
        <w:rPr>
          <w:rFonts w:hint="eastAsia" w:ascii="宋体" w:hAnsi="宋体" w:cs="宋体"/>
          <w:bCs/>
          <w:color w:val="auto"/>
          <w:sz w:val="24"/>
          <w:highlight w:val="none"/>
        </w:rPr>
        <w:t>2.10.2</w:t>
      </w:r>
      <w:r>
        <w:rPr>
          <w:rFonts w:hint="eastAsia" w:ascii="宋体" w:hAnsi="宋体" w:cs="宋体"/>
          <w:bCs/>
          <w:color w:val="auto"/>
          <w:sz w:val="24"/>
          <w:highlight w:val="none"/>
        </w:rPr>
        <w:tab/>
      </w:r>
      <w:r>
        <w:rPr>
          <w:rFonts w:hint="eastAsia" w:ascii="宋体" w:hAnsi="宋体" w:cs="宋体"/>
          <w:bCs/>
          <w:color w:val="auto"/>
          <w:sz w:val="24"/>
          <w:highlight w:val="none"/>
        </w:rPr>
        <w:t>全自动长骨拼接摄影采用球管旋转式单焦点采集模式(非球管平板平行移动采集模式)</w:t>
      </w:r>
    </w:p>
    <w:p w14:paraId="305BB73A">
      <w:pPr>
        <w:rPr>
          <w:rFonts w:ascii="宋体" w:hAnsi="宋体" w:cs="宋体"/>
          <w:bCs/>
          <w:color w:val="auto"/>
          <w:sz w:val="24"/>
          <w:highlight w:val="none"/>
        </w:rPr>
      </w:pPr>
      <w:r>
        <w:rPr>
          <w:rFonts w:hint="eastAsia" w:ascii="宋体" w:hAnsi="宋体" w:cs="宋体"/>
          <w:bCs/>
          <w:color w:val="auto"/>
          <w:sz w:val="24"/>
          <w:highlight w:val="none"/>
        </w:rPr>
        <w:t>2.10.3</w:t>
      </w:r>
      <w:r>
        <w:rPr>
          <w:rFonts w:hint="eastAsia" w:ascii="宋体" w:hAnsi="宋体" w:cs="宋体"/>
          <w:bCs/>
          <w:color w:val="auto"/>
          <w:sz w:val="24"/>
          <w:highlight w:val="none"/>
        </w:rPr>
        <w:tab/>
      </w:r>
      <w:r>
        <w:rPr>
          <w:rFonts w:hint="eastAsia" w:ascii="宋体" w:hAnsi="宋体" w:cs="宋体"/>
          <w:bCs/>
          <w:color w:val="auto"/>
          <w:sz w:val="24"/>
          <w:highlight w:val="none"/>
        </w:rPr>
        <w:t>配备全长拼接站立支架</w:t>
      </w:r>
    </w:p>
    <w:p w14:paraId="08E4F84F">
      <w:pPr>
        <w:rPr>
          <w:rFonts w:ascii="宋体" w:hAnsi="宋体" w:cs="宋体"/>
          <w:bCs/>
          <w:color w:val="auto"/>
          <w:sz w:val="24"/>
          <w:highlight w:val="none"/>
        </w:rPr>
      </w:pPr>
      <w:r>
        <w:rPr>
          <w:rFonts w:hint="eastAsia" w:ascii="宋体" w:hAnsi="宋体" w:cs="宋体"/>
          <w:bCs/>
          <w:color w:val="auto"/>
          <w:sz w:val="24"/>
          <w:highlight w:val="none"/>
        </w:rPr>
        <w:t>2.10.4</w:t>
      </w:r>
      <w:r>
        <w:rPr>
          <w:rFonts w:hint="eastAsia" w:ascii="宋体" w:hAnsi="宋体" w:cs="宋体"/>
          <w:bCs/>
          <w:color w:val="auto"/>
          <w:sz w:val="24"/>
          <w:highlight w:val="none"/>
        </w:rPr>
        <w:tab/>
      </w:r>
      <w:r>
        <w:rPr>
          <w:rFonts w:hint="eastAsia" w:ascii="宋体" w:hAnsi="宋体" w:cs="宋体"/>
          <w:bCs/>
          <w:color w:val="auto"/>
          <w:sz w:val="24"/>
          <w:highlight w:val="none"/>
        </w:rPr>
        <w:t>全长拍摄范围140cm</w:t>
      </w:r>
    </w:p>
    <w:p w14:paraId="1E1A6CC9">
      <w:pPr>
        <w:rPr>
          <w:rFonts w:ascii="宋体" w:hAnsi="宋体" w:cs="宋体"/>
          <w:bCs/>
          <w:color w:val="auto"/>
          <w:sz w:val="24"/>
          <w:highlight w:val="none"/>
        </w:rPr>
      </w:pPr>
      <w:r>
        <w:rPr>
          <w:rFonts w:hint="eastAsia" w:ascii="宋体" w:hAnsi="宋体" w:cs="宋体"/>
          <w:bCs/>
          <w:color w:val="auto"/>
          <w:sz w:val="24"/>
          <w:highlight w:val="none"/>
        </w:rPr>
        <w:t>2.10.5</w:t>
      </w:r>
      <w:r>
        <w:rPr>
          <w:rFonts w:hint="eastAsia" w:ascii="宋体" w:hAnsi="宋体" w:cs="宋体"/>
          <w:bCs/>
          <w:color w:val="auto"/>
          <w:sz w:val="24"/>
          <w:highlight w:val="none"/>
        </w:rPr>
        <w:tab/>
      </w:r>
      <w:r>
        <w:rPr>
          <w:rFonts w:hint="eastAsia" w:ascii="宋体" w:hAnsi="宋体" w:cs="宋体"/>
          <w:bCs/>
          <w:color w:val="auto"/>
          <w:sz w:val="24"/>
          <w:highlight w:val="none"/>
        </w:rPr>
        <w:t xml:space="preserve"> 配备患者站立支架与胸片盒相对位置，定位机构</w:t>
      </w:r>
    </w:p>
    <w:p w14:paraId="60E07CD1">
      <w:pPr>
        <w:rPr>
          <w:rFonts w:hint="eastAsia" w:ascii="宋体" w:hAnsi="宋体" w:cs="宋体"/>
          <w:bCs/>
          <w:color w:val="auto"/>
          <w:sz w:val="24"/>
          <w:highlight w:val="none"/>
        </w:rPr>
      </w:pPr>
      <w:r>
        <w:rPr>
          <w:rFonts w:hint="eastAsia" w:ascii="宋体" w:hAnsi="宋体" w:cs="宋体"/>
          <w:bCs/>
          <w:color w:val="auto"/>
          <w:sz w:val="24"/>
          <w:highlight w:val="none"/>
        </w:rPr>
        <w:t>2.10.6</w:t>
      </w:r>
      <w:r>
        <w:rPr>
          <w:rFonts w:hint="eastAsia" w:ascii="宋体" w:hAnsi="宋体" w:cs="宋体"/>
          <w:bCs/>
          <w:color w:val="auto"/>
          <w:sz w:val="24"/>
          <w:highlight w:val="none"/>
        </w:rPr>
        <w:tab/>
      </w:r>
      <w:r>
        <w:rPr>
          <w:rFonts w:hint="eastAsia" w:ascii="宋体" w:hAnsi="宋体" w:cs="宋体"/>
          <w:bCs/>
          <w:color w:val="auto"/>
          <w:sz w:val="24"/>
          <w:highlight w:val="none"/>
        </w:rPr>
        <w:t>最大拼接拍摄张数4张</w:t>
      </w:r>
    </w:p>
    <w:p w14:paraId="4FF43979">
      <w:pPr>
        <w:rPr>
          <w:rFonts w:hint="eastAsia" w:ascii="宋体" w:hAnsi="宋体" w:cs="宋体"/>
          <w:b/>
          <w:bCs w:val="0"/>
          <w:color w:val="auto"/>
          <w:sz w:val="24"/>
          <w:highlight w:val="none"/>
          <w:lang w:eastAsia="zh-CN"/>
        </w:rPr>
      </w:pPr>
      <w:r>
        <w:rPr>
          <w:rFonts w:hint="eastAsia" w:ascii="宋体" w:hAnsi="宋体" w:cs="宋体"/>
          <w:b/>
          <w:bCs w:val="0"/>
          <w:color w:val="auto"/>
          <w:sz w:val="24"/>
          <w:highlight w:val="none"/>
          <w:lang w:val="en-US" w:eastAsia="zh-CN"/>
        </w:rPr>
        <w:t>2.11配备不少于以下的</w:t>
      </w:r>
      <w:r>
        <w:rPr>
          <w:rFonts w:hint="eastAsia" w:ascii="宋体" w:hAnsi="宋体" w:cs="宋体"/>
          <w:b/>
          <w:bCs w:val="0"/>
          <w:color w:val="auto"/>
          <w:sz w:val="24"/>
          <w:highlight w:val="none"/>
        </w:rPr>
        <w:t>AI功能模块</w:t>
      </w:r>
      <w:r>
        <w:rPr>
          <w:rFonts w:hint="eastAsia" w:ascii="宋体" w:hAnsi="宋体" w:cs="宋体"/>
          <w:b/>
          <w:bCs w:val="0"/>
          <w:color w:val="auto"/>
          <w:sz w:val="24"/>
          <w:highlight w:val="none"/>
          <w:lang w:eastAsia="zh-CN"/>
        </w:rPr>
        <w:t>：</w:t>
      </w:r>
      <w:r>
        <w:rPr>
          <w:rFonts w:hint="eastAsia" w:ascii="宋体" w:hAnsi="宋体" w:cs="宋体"/>
          <w:b/>
          <w:bCs w:val="0"/>
          <w:color w:val="auto"/>
          <w:sz w:val="24"/>
          <w:highlight w:val="none"/>
        </w:rPr>
        <w:t>肺结节分析、骨折智能分析、冠脉智能分析、乳腺结节分析、骨龄分析等</w:t>
      </w:r>
      <w:r>
        <w:rPr>
          <w:rFonts w:hint="eastAsia" w:ascii="宋体" w:hAnsi="宋体" w:cs="宋体"/>
          <w:b/>
          <w:bCs w:val="0"/>
          <w:color w:val="auto"/>
          <w:sz w:val="24"/>
          <w:highlight w:val="none"/>
          <w:lang w:eastAsia="zh-CN"/>
        </w:rPr>
        <w:t>。</w:t>
      </w:r>
    </w:p>
    <w:p w14:paraId="01060FBA">
      <w:pPr>
        <w:rPr>
          <w:rFonts w:hint="default" w:ascii="宋体" w:hAnsi="宋体" w:cs="宋体"/>
          <w:bCs/>
          <w:color w:val="auto"/>
          <w:sz w:val="24"/>
          <w:highlight w:val="none"/>
          <w:lang w:val="en-US" w:eastAsia="zh-CN"/>
        </w:rPr>
      </w:pPr>
      <w:r>
        <w:rPr>
          <w:rFonts w:hint="eastAsia" w:ascii="宋体" w:hAnsi="宋体" w:cs="宋体"/>
          <w:bCs/>
          <w:color w:val="auto"/>
          <w:sz w:val="24"/>
          <w:highlight w:val="none"/>
          <w:lang w:val="en-US" w:eastAsia="zh-CN"/>
        </w:rPr>
        <w:t>3 设备应</w:t>
      </w:r>
      <w:r>
        <w:rPr>
          <w:rFonts w:hint="eastAsia" w:ascii="宋体" w:hAnsi="宋体" w:cs="宋体"/>
          <w:bCs/>
          <w:color w:val="auto"/>
          <w:sz w:val="24"/>
          <w:highlight w:val="none"/>
        </w:rPr>
        <w:t>接入医院网</w:t>
      </w:r>
      <w:r>
        <w:rPr>
          <w:rFonts w:hint="eastAsia" w:ascii="宋体" w:hAnsi="宋体" w:cs="宋体"/>
          <w:bCs/>
          <w:color w:val="auto"/>
          <w:sz w:val="24"/>
          <w:highlight w:val="none"/>
          <w:lang w:val="en-US" w:eastAsia="zh-CN"/>
        </w:rPr>
        <w:t>络实现互联互通</w:t>
      </w:r>
      <w:r>
        <w:rPr>
          <w:rFonts w:hint="eastAsia" w:ascii="宋体" w:hAnsi="宋体" w:cs="宋体"/>
          <w:bCs/>
          <w:color w:val="auto"/>
          <w:sz w:val="24"/>
          <w:highlight w:val="none"/>
          <w:lang w:eastAsia="zh-CN"/>
        </w:rPr>
        <w:t>，</w:t>
      </w:r>
      <w:r>
        <w:rPr>
          <w:rFonts w:hint="eastAsia" w:ascii="宋体" w:hAnsi="宋体" w:cs="宋体"/>
          <w:bCs/>
          <w:color w:val="auto"/>
          <w:sz w:val="24"/>
          <w:highlight w:val="none"/>
          <w:lang w:val="en-US" w:eastAsia="zh-CN"/>
        </w:rPr>
        <w:t>报价应</w:t>
      </w:r>
      <w:r>
        <w:rPr>
          <w:rFonts w:hint="eastAsia" w:ascii="宋体" w:hAnsi="宋体" w:cs="宋体"/>
          <w:bCs/>
          <w:color w:val="auto"/>
          <w:sz w:val="24"/>
          <w:highlight w:val="none"/>
        </w:rPr>
        <w:t>含工作站、接口费</w:t>
      </w:r>
      <w:r>
        <w:rPr>
          <w:rFonts w:hint="eastAsia" w:ascii="宋体" w:hAnsi="宋体" w:cs="宋体"/>
          <w:bCs/>
          <w:color w:val="auto"/>
          <w:sz w:val="24"/>
          <w:highlight w:val="none"/>
          <w:lang w:val="en-US" w:eastAsia="zh-CN"/>
        </w:rPr>
        <w:t>等费用。中标人</w:t>
      </w:r>
      <w:r>
        <w:rPr>
          <w:rFonts w:hint="eastAsia" w:ascii="宋体" w:hAnsi="宋体" w:cs="宋体"/>
          <w:bCs/>
          <w:color w:val="auto"/>
          <w:sz w:val="24"/>
          <w:highlight w:val="none"/>
        </w:rPr>
        <w:t>负责机房改造，</w:t>
      </w:r>
      <w:r>
        <w:rPr>
          <w:rFonts w:hint="eastAsia" w:ascii="宋体" w:hAnsi="宋体" w:cs="宋体"/>
          <w:bCs/>
          <w:color w:val="auto"/>
          <w:sz w:val="24"/>
          <w:highlight w:val="none"/>
          <w:lang w:val="en-US" w:eastAsia="zh-CN"/>
        </w:rPr>
        <w:t>并</w:t>
      </w:r>
      <w:r>
        <w:rPr>
          <w:rFonts w:hint="eastAsia" w:ascii="宋体" w:hAnsi="宋体" w:cs="宋体"/>
          <w:bCs/>
          <w:color w:val="auto"/>
          <w:sz w:val="24"/>
          <w:highlight w:val="none"/>
        </w:rPr>
        <w:t>办理</w:t>
      </w:r>
      <w:r>
        <w:rPr>
          <w:rFonts w:hint="eastAsia" w:ascii="宋体" w:hAnsi="宋体" w:cs="宋体"/>
          <w:bCs/>
          <w:color w:val="auto"/>
          <w:sz w:val="24"/>
          <w:highlight w:val="none"/>
          <w:lang w:val="en-US" w:eastAsia="zh-CN"/>
        </w:rPr>
        <w:t>和取得</w:t>
      </w:r>
      <w:r>
        <w:rPr>
          <w:rFonts w:hint="eastAsia" w:ascii="宋体" w:hAnsi="宋体" w:cs="宋体"/>
          <w:bCs/>
          <w:color w:val="auto"/>
          <w:sz w:val="24"/>
          <w:highlight w:val="none"/>
        </w:rPr>
        <w:t>《辐射安全许可证》</w:t>
      </w:r>
      <w:r>
        <w:rPr>
          <w:rFonts w:hint="eastAsia" w:ascii="宋体" w:hAnsi="宋体" w:cs="宋体"/>
          <w:bCs/>
          <w:color w:val="auto"/>
          <w:sz w:val="24"/>
          <w:highlight w:val="none"/>
          <w:lang w:eastAsia="zh-CN"/>
        </w:rPr>
        <w:t>、《</w:t>
      </w:r>
      <w:r>
        <w:rPr>
          <w:rFonts w:hint="eastAsia" w:ascii="宋体" w:hAnsi="宋体" w:cs="宋体"/>
          <w:bCs/>
          <w:color w:val="auto"/>
          <w:sz w:val="24"/>
          <w:highlight w:val="none"/>
        </w:rPr>
        <w:t>放射诊疗许可证</w:t>
      </w:r>
      <w:r>
        <w:rPr>
          <w:rFonts w:hint="eastAsia" w:ascii="宋体" w:hAnsi="宋体" w:cs="宋体"/>
          <w:bCs/>
          <w:color w:val="auto"/>
          <w:sz w:val="24"/>
          <w:highlight w:val="none"/>
          <w:lang w:eastAsia="zh-CN"/>
        </w:rPr>
        <w:t>》。</w:t>
      </w:r>
    </w:p>
    <w:p w14:paraId="52F85817">
      <w:pPr>
        <w:rPr>
          <w:rFonts w:hint="default"/>
          <w:color w:val="auto"/>
          <w:highlight w:val="none"/>
          <w:lang w:val="en-US" w:eastAsia="zh-CN"/>
        </w:rPr>
      </w:pPr>
    </w:p>
    <w:p w14:paraId="5961513C">
      <w:pPr>
        <w:rPr>
          <w:rFonts w:ascii="宋体" w:hAnsi="宋体" w:cs="宋体"/>
          <w:bCs/>
          <w:color w:val="auto"/>
          <w:sz w:val="24"/>
          <w:highlight w:val="none"/>
        </w:rPr>
      </w:pPr>
    </w:p>
    <w:p w14:paraId="44CF87C6">
      <w:pPr>
        <w:rPr>
          <w:rFonts w:ascii="宋体" w:hAnsi="宋体" w:eastAsia="宋体" w:cs="宋体"/>
          <w:b/>
          <w:bCs/>
          <w:color w:val="auto"/>
          <w:sz w:val="24"/>
          <w:szCs w:val="32"/>
          <w:highlight w:val="none"/>
        </w:rPr>
      </w:pPr>
      <w:r>
        <w:rPr>
          <w:rFonts w:hint="eastAsia" w:ascii="宋体" w:hAnsi="宋体" w:eastAsia="宋体" w:cs="宋体"/>
          <w:b/>
          <w:bCs/>
          <w:color w:val="auto"/>
          <w:sz w:val="24"/>
          <w:szCs w:val="32"/>
          <w:highlight w:val="none"/>
        </w:rPr>
        <w:t>3  配置需求（清单及数量）：</w:t>
      </w:r>
    </w:p>
    <w:tbl>
      <w:tblPr>
        <w:tblStyle w:val="7"/>
        <w:tblW w:w="7279" w:type="dxa"/>
        <w:tblInd w:w="113" w:type="dxa"/>
        <w:tblLayout w:type="fixed"/>
        <w:tblCellMar>
          <w:top w:w="0" w:type="dxa"/>
          <w:left w:w="108" w:type="dxa"/>
          <w:bottom w:w="0" w:type="dxa"/>
          <w:right w:w="108" w:type="dxa"/>
        </w:tblCellMar>
      </w:tblPr>
      <w:tblGrid>
        <w:gridCol w:w="860"/>
        <w:gridCol w:w="4127"/>
        <w:gridCol w:w="1140"/>
        <w:gridCol w:w="1152"/>
      </w:tblGrid>
      <w:tr w14:paraId="35180E7B">
        <w:tblPrEx>
          <w:tblCellMar>
            <w:top w:w="0" w:type="dxa"/>
            <w:left w:w="108" w:type="dxa"/>
            <w:bottom w:w="0" w:type="dxa"/>
            <w:right w:w="108" w:type="dxa"/>
          </w:tblCellMar>
        </w:tblPrEx>
        <w:trPr>
          <w:trHeight w:val="575" w:hRule="atLeast"/>
        </w:trPr>
        <w:tc>
          <w:tcPr>
            <w:tcW w:w="860" w:type="dxa"/>
            <w:tcBorders>
              <w:top w:val="single" w:color="auto" w:sz="4" w:space="0"/>
              <w:left w:val="single" w:color="auto" w:sz="4" w:space="0"/>
              <w:bottom w:val="single" w:color="auto" w:sz="4" w:space="0"/>
              <w:right w:val="single" w:color="auto" w:sz="4" w:space="0"/>
            </w:tcBorders>
            <w:vAlign w:val="center"/>
          </w:tcPr>
          <w:p w14:paraId="7E47B0C4">
            <w:pPr>
              <w:widowControl/>
              <w:spacing w:line="360" w:lineRule="auto"/>
              <w:jc w:val="center"/>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序号</w:t>
            </w:r>
          </w:p>
        </w:tc>
        <w:tc>
          <w:tcPr>
            <w:tcW w:w="4127" w:type="dxa"/>
            <w:tcBorders>
              <w:top w:val="single" w:color="auto" w:sz="4" w:space="0"/>
              <w:left w:val="nil"/>
              <w:bottom w:val="single" w:color="auto" w:sz="4" w:space="0"/>
              <w:right w:val="single" w:color="auto" w:sz="4" w:space="0"/>
            </w:tcBorders>
            <w:vAlign w:val="center"/>
          </w:tcPr>
          <w:p w14:paraId="207218D2">
            <w:pPr>
              <w:widowControl/>
              <w:spacing w:line="360" w:lineRule="auto"/>
              <w:jc w:val="center"/>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配置名称</w:t>
            </w:r>
          </w:p>
        </w:tc>
        <w:tc>
          <w:tcPr>
            <w:tcW w:w="1140" w:type="dxa"/>
            <w:tcBorders>
              <w:top w:val="single" w:color="auto" w:sz="4" w:space="0"/>
              <w:left w:val="nil"/>
              <w:bottom w:val="single" w:color="auto" w:sz="4" w:space="0"/>
              <w:right w:val="single" w:color="auto" w:sz="4" w:space="0"/>
            </w:tcBorders>
            <w:vAlign w:val="center"/>
          </w:tcPr>
          <w:p w14:paraId="291B896D">
            <w:pPr>
              <w:widowControl/>
              <w:spacing w:line="360" w:lineRule="auto"/>
              <w:jc w:val="center"/>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数量</w:t>
            </w:r>
          </w:p>
        </w:tc>
        <w:tc>
          <w:tcPr>
            <w:tcW w:w="1152" w:type="dxa"/>
            <w:tcBorders>
              <w:top w:val="single" w:color="auto" w:sz="4" w:space="0"/>
              <w:left w:val="nil"/>
              <w:bottom w:val="single" w:color="auto" w:sz="4" w:space="0"/>
              <w:right w:val="single" w:color="auto" w:sz="4" w:space="0"/>
            </w:tcBorders>
            <w:vAlign w:val="center"/>
          </w:tcPr>
          <w:p w14:paraId="25347EAD">
            <w:pPr>
              <w:widowControl/>
              <w:spacing w:line="360" w:lineRule="auto"/>
              <w:jc w:val="center"/>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单位</w:t>
            </w:r>
          </w:p>
        </w:tc>
      </w:tr>
      <w:tr w14:paraId="4577B8D1">
        <w:tblPrEx>
          <w:tblCellMar>
            <w:top w:w="0" w:type="dxa"/>
            <w:left w:w="108" w:type="dxa"/>
            <w:bottom w:w="0" w:type="dxa"/>
            <w:right w:w="108" w:type="dxa"/>
          </w:tblCellMar>
        </w:tblPrEx>
        <w:trPr>
          <w:trHeight w:val="462" w:hRule="atLeast"/>
        </w:trPr>
        <w:tc>
          <w:tcPr>
            <w:tcW w:w="860" w:type="dxa"/>
            <w:tcBorders>
              <w:top w:val="nil"/>
              <w:left w:val="single" w:color="auto" w:sz="4" w:space="0"/>
              <w:bottom w:val="single" w:color="auto" w:sz="4" w:space="0"/>
              <w:right w:val="single" w:color="auto" w:sz="4" w:space="0"/>
            </w:tcBorders>
            <w:vAlign w:val="center"/>
          </w:tcPr>
          <w:p w14:paraId="0CEB2910">
            <w:pPr>
              <w:spacing w:line="360" w:lineRule="auto"/>
              <w:jc w:val="center"/>
              <w:outlineLvl w:val="2"/>
              <w:rPr>
                <w:rFonts w:ascii="宋体" w:hAnsi="宋体" w:eastAsia="宋体" w:cs="宋体"/>
                <w:color w:val="auto"/>
                <w:sz w:val="24"/>
                <w:highlight w:val="none"/>
              </w:rPr>
            </w:pPr>
            <w:r>
              <w:rPr>
                <w:rFonts w:hint="eastAsia" w:ascii="宋体" w:hAnsi="宋体" w:eastAsia="宋体" w:cs="宋体"/>
                <w:color w:val="auto"/>
                <w:sz w:val="24"/>
                <w:highlight w:val="none"/>
              </w:rPr>
              <w:t>1</w:t>
            </w:r>
          </w:p>
        </w:tc>
        <w:tc>
          <w:tcPr>
            <w:tcW w:w="4127" w:type="dxa"/>
            <w:tcBorders>
              <w:top w:val="nil"/>
              <w:left w:val="nil"/>
              <w:bottom w:val="single" w:color="auto" w:sz="4" w:space="0"/>
              <w:right w:val="single" w:color="auto" w:sz="4" w:space="0"/>
            </w:tcBorders>
            <w:vAlign w:val="center"/>
          </w:tcPr>
          <w:p w14:paraId="4675577A">
            <w:pPr>
              <w:rPr>
                <w:rFonts w:ascii="宋体" w:hAnsi="宋体" w:eastAsia="宋体" w:cs="宋体"/>
                <w:color w:val="auto"/>
                <w:sz w:val="24"/>
                <w:highlight w:val="none"/>
              </w:rPr>
            </w:pPr>
            <w:r>
              <w:rPr>
                <w:rFonts w:hint="eastAsia" w:ascii="宋体" w:hAnsi="宋体" w:eastAsia="宋体" w:cs="宋体"/>
                <w:color w:val="auto"/>
                <w:sz w:val="24"/>
                <w:highlight w:val="none"/>
              </w:rPr>
              <w:t>无线移动式平板探测器</w:t>
            </w:r>
          </w:p>
        </w:tc>
        <w:tc>
          <w:tcPr>
            <w:tcW w:w="1140" w:type="dxa"/>
            <w:tcBorders>
              <w:top w:val="nil"/>
              <w:left w:val="nil"/>
              <w:bottom w:val="single" w:color="auto" w:sz="4" w:space="0"/>
              <w:right w:val="single" w:color="auto" w:sz="4" w:space="0"/>
            </w:tcBorders>
            <w:noWrap/>
            <w:vAlign w:val="center"/>
          </w:tcPr>
          <w:p w14:paraId="0D0D8EEB">
            <w:pPr>
              <w:spacing w:line="360" w:lineRule="auto"/>
              <w:jc w:val="center"/>
              <w:outlineLvl w:val="2"/>
              <w:rPr>
                <w:rFonts w:ascii="宋体" w:hAnsi="宋体" w:eastAsia="宋体" w:cs="宋体"/>
                <w:color w:val="auto"/>
                <w:sz w:val="24"/>
                <w:highlight w:val="none"/>
              </w:rPr>
            </w:pPr>
            <w:r>
              <w:rPr>
                <w:rFonts w:hint="eastAsia" w:ascii="宋体" w:hAnsi="宋体" w:eastAsia="宋体" w:cs="宋体"/>
                <w:color w:val="auto"/>
                <w:sz w:val="24"/>
                <w:highlight w:val="none"/>
              </w:rPr>
              <w:t>2</w:t>
            </w:r>
          </w:p>
        </w:tc>
        <w:tc>
          <w:tcPr>
            <w:tcW w:w="1152" w:type="dxa"/>
            <w:tcBorders>
              <w:top w:val="nil"/>
              <w:left w:val="nil"/>
              <w:bottom w:val="single" w:color="auto" w:sz="4" w:space="0"/>
              <w:right w:val="single" w:color="auto" w:sz="4" w:space="0"/>
            </w:tcBorders>
            <w:noWrap/>
            <w:vAlign w:val="center"/>
          </w:tcPr>
          <w:p w14:paraId="16F8D002">
            <w:pPr>
              <w:spacing w:line="360" w:lineRule="auto"/>
              <w:jc w:val="center"/>
              <w:outlineLvl w:val="2"/>
              <w:rPr>
                <w:rFonts w:ascii="宋体" w:hAnsi="宋体" w:eastAsia="宋体" w:cs="宋体"/>
                <w:color w:val="auto"/>
                <w:sz w:val="24"/>
                <w:highlight w:val="none"/>
              </w:rPr>
            </w:pPr>
            <w:r>
              <w:rPr>
                <w:rFonts w:hint="eastAsia" w:ascii="宋体" w:hAnsi="宋体" w:eastAsia="宋体" w:cs="宋体"/>
                <w:color w:val="auto"/>
                <w:sz w:val="24"/>
                <w:highlight w:val="none"/>
              </w:rPr>
              <w:t>套</w:t>
            </w:r>
          </w:p>
        </w:tc>
      </w:tr>
      <w:tr w14:paraId="74899198">
        <w:tblPrEx>
          <w:tblCellMar>
            <w:top w:w="0" w:type="dxa"/>
            <w:left w:w="108" w:type="dxa"/>
            <w:bottom w:w="0" w:type="dxa"/>
            <w:right w:w="108" w:type="dxa"/>
          </w:tblCellMar>
        </w:tblPrEx>
        <w:trPr>
          <w:trHeight w:val="462" w:hRule="atLeast"/>
        </w:trPr>
        <w:tc>
          <w:tcPr>
            <w:tcW w:w="860" w:type="dxa"/>
            <w:tcBorders>
              <w:top w:val="nil"/>
              <w:left w:val="single" w:color="auto" w:sz="4" w:space="0"/>
              <w:bottom w:val="single" w:color="auto" w:sz="4" w:space="0"/>
              <w:right w:val="single" w:color="auto" w:sz="4" w:space="0"/>
            </w:tcBorders>
            <w:vAlign w:val="center"/>
          </w:tcPr>
          <w:p w14:paraId="71A7C47F">
            <w:pPr>
              <w:spacing w:line="360" w:lineRule="auto"/>
              <w:jc w:val="center"/>
              <w:outlineLvl w:val="2"/>
              <w:rPr>
                <w:rFonts w:ascii="宋体" w:hAnsi="宋体" w:eastAsia="宋体" w:cs="宋体"/>
                <w:color w:val="auto"/>
                <w:sz w:val="24"/>
                <w:highlight w:val="none"/>
              </w:rPr>
            </w:pPr>
            <w:r>
              <w:rPr>
                <w:rFonts w:hint="eastAsia" w:ascii="宋体" w:hAnsi="宋体" w:eastAsia="宋体" w:cs="宋体"/>
                <w:color w:val="auto"/>
                <w:sz w:val="24"/>
                <w:highlight w:val="none"/>
              </w:rPr>
              <w:t>2</w:t>
            </w:r>
          </w:p>
        </w:tc>
        <w:tc>
          <w:tcPr>
            <w:tcW w:w="4127" w:type="dxa"/>
            <w:tcBorders>
              <w:top w:val="nil"/>
              <w:left w:val="nil"/>
              <w:bottom w:val="single" w:color="auto" w:sz="4" w:space="0"/>
              <w:right w:val="single" w:color="auto" w:sz="4" w:space="0"/>
            </w:tcBorders>
            <w:vAlign w:val="center"/>
          </w:tcPr>
          <w:p w14:paraId="4F81B2F3">
            <w:pPr>
              <w:rPr>
                <w:rFonts w:ascii="宋体" w:hAnsi="宋体" w:eastAsia="宋体" w:cs="宋体"/>
                <w:color w:val="auto"/>
                <w:sz w:val="24"/>
                <w:highlight w:val="none"/>
              </w:rPr>
            </w:pPr>
            <w:r>
              <w:rPr>
                <w:rFonts w:hint="eastAsia" w:ascii="宋体" w:hAnsi="宋体" w:eastAsia="宋体" w:cs="宋体"/>
                <w:color w:val="auto"/>
                <w:sz w:val="24"/>
                <w:highlight w:val="none"/>
              </w:rPr>
              <w:t>X线球管系统</w:t>
            </w:r>
          </w:p>
        </w:tc>
        <w:tc>
          <w:tcPr>
            <w:tcW w:w="1140" w:type="dxa"/>
            <w:tcBorders>
              <w:top w:val="nil"/>
              <w:left w:val="nil"/>
              <w:bottom w:val="single" w:color="auto" w:sz="4" w:space="0"/>
              <w:right w:val="single" w:color="auto" w:sz="4" w:space="0"/>
            </w:tcBorders>
            <w:noWrap/>
            <w:vAlign w:val="center"/>
          </w:tcPr>
          <w:p w14:paraId="6F3DBF1E">
            <w:pPr>
              <w:spacing w:line="360" w:lineRule="auto"/>
              <w:jc w:val="center"/>
              <w:outlineLvl w:val="2"/>
              <w:rPr>
                <w:rFonts w:ascii="宋体" w:hAnsi="宋体" w:eastAsia="宋体" w:cs="宋体"/>
                <w:color w:val="auto"/>
                <w:sz w:val="24"/>
                <w:highlight w:val="none"/>
              </w:rPr>
            </w:pPr>
            <w:r>
              <w:rPr>
                <w:rFonts w:hint="eastAsia" w:ascii="宋体" w:hAnsi="宋体" w:eastAsia="宋体" w:cs="宋体"/>
                <w:color w:val="auto"/>
                <w:sz w:val="24"/>
                <w:highlight w:val="none"/>
              </w:rPr>
              <w:t>1</w:t>
            </w:r>
          </w:p>
        </w:tc>
        <w:tc>
          <w:tcPr>
            <w:tcW w:w="1152" w:type="dxa"/>
            <w:tcBorders>
              <w:top w:val="nil"/>
              <w:left w:val="nil"/>
              <w:bottom w:val="single" w:color="auto" w:sz="4" w:space="0"/>
              <w:right w:val="single" w:color="auto" w:sz="4" w:space="0"/>
            </w:tcBorders>
            <w:noWrap/>
            <w:vAlign w:val="center"/>
          </w:tcPr>
          <w:p w14:paraId="77254131">
            <w:pPr>
              <w:jc w:val="center"/>
              <w:rPr>
                <w:rFonts w:ascii="宋体" w:hAnsi="宋体" w:eastAsia="宋体" w:cs="宋体"/>
                <w:color w:val="auto"/>
                <w:sz w:val="24"/>
                <w:highlight w:val="none"/>
              </w:rPr>
            </w:pPr>
            <w:r>
              <w:rPr>
                <w:rFonts w:hint="eastAsia" w:ascii="宋体" w:hAnsi="宋体" w:eastAsia="宋体" w:cs="宋体"/>
                <w:color w:val="auto"/>
                <w:sz w:val="24"/>
                <w:highlight w:val="none"/>
              </w:rPr>
              <w:t>套</w:t>
            </w:r>
          </w:p>
        </w:tc>
      </w:tr>
      <w:tr w14:paraId="7823A0B8">
        <w:tblPrEx>
          <w:tblCellMar>
            <w:top w:w="0" w:type="dxa"/>
            <w:left w:w="108" w:type="dxa"/>
            <w:bottom w:w="0" w:type="dxa"/>
            <w:right w:w="108" w:type="dxa"/>
          </w:tblCellMar>
        </w:tblPrEx>
        <w:trPr>
          <w:trHeight w:val="462" w:hRule="atLeast"/>
        </w:trPr>
        <w:tc>
          <w:tcPr>
            <w:tcW w:w="860" w:type="dxa"/>
            <w:tcBorders>
              <w:top w:val="nil"/>
              <w:left w:val="single" w:color="auto" w:sz="4" w:space="0"/>
              <w:bottom w:val="single" w:color="auto" w:sz="4" w:space="0"/>
              <w:right w:val="single" w:color="auto" w:sz="4" w:space="0"/>
            </w:tcBorders>
            <w:vAlign w:val="center"/>
          </w:tcPr>
          <w:p w14:paraId="5962FAAD">
            <w:pPr>
              <w:spacing w:line="360" w:lineRule="auto"/>
              <w:jc w:val="center"/>
              <w:outlineLvl w:val="2"/>
              <w:rPr>
                <w:rFonts w:ascii="宋体" w:hAnsi="宋体" w:eastAsia="宋体" w:cs="宋体"/>
                <w:color w:val="auto"/>
                <w:sz w:val="24"/>
                <w:highlight w:val="none"/>
              </w:rPr>
            </w:pPr>
            <w:r>
              <w:rPr>
                <w:rFonts w:hint="eastAsia" w:ascii="宋体" w:hAnsi="宋体" w:eastAsia="宋体" w:cs="宋体"/>
                <w:color w:val="auto"/>
                <w:sz w:val="24"/>
                <w:highlight w:val="none"/>
              </w:rPr>
              <w:t>3</w:t>
            </w:r>
          </w:p>
        </w:tc>
        <w:tc>
          <w:tcPr>
            <w:tcW w:w="4127" w:type="dxa"/>
            <w:tcBorders>
              <w:top w:val="nil"/>
              <w:left w:val="nil"/>
              <w:bottom w:val="single" w:color="auto" w:sz="4" w:space="0"/>
              <w:right w:val="single" w:color="auto" w:sz="4" w:space="0"/>
            </w:tcBorders>
            <w:vAlign w:val="center"/>
          </w:tcPr>
          <w:p w14:paraId="3D594E34">
            <w:pPr>
              <w:rPr>
                <w:rFonts w:ascii="宋体" w:hAnsi="宋体" w:eastAsia="宋体" w:cs="宋体"/>
                <w:color w:val="auto"/>
                <w:sz w:val="24"/>
                <w:highlight w:val="none"/>
              </w:rPr>
            </w:pPr>
            <w:r>
              <w:rPr>
                <w:rFonts w:hint="eastAsia" w:ascii="宋体" w:hAnsi="宋体" w:eastAsia="宋体" w:cs="宋体"/>
                <w:color w:val="auto"/>
                <w:sz w:val="24"/>
                <w:highlight w:val="none"/>
              </w:rPr>
              <w:t>束光器</w:t>
            </w:r>
          </w:p>
        </w:tc>
        <w:tc>
          <w:tcPr>
            <w:tcW w:w="1140" w:type="dxa"/>
            <w:tcBorders>
              <w:top w:val="nil"/>
              <w:left w:val="nil"/>
              <w:bottom w:val="single" w:color="auto" w:sz="4" w:space="0"/>
              <w:right w:val="single" w:color="auto" w:sz="4" w:space="0"/>
            </w:tcBorders>
            <w:noWrap/>
            <w:vAlign w:val="center"/>
          </w:tcPr>
          <w:p w14:paraId="4217CE63">
            <w:pPr>
              <w:spacing w:line="360" w:lineRule="auto"/>
              <w:jc w:val="center"/>
              <w:outlineLvl w:val="2"/>
              <w:rPr>
                <w:rFonts w:ascii="宋体" w:hAnsi="宋体" w:eastAsia="宋体" w:cs="宋体"/>
                <w:color w:val="auto"/>
                <w:sz w:val="24"/>
                <w:highlight w:val="none"/>
              </w:rPr>
            </w:pPr>
            <w:r>
              <w:rPr>
                <w:rFonts w:hint="eastAsia" w:ascii="宋体" w:hAnsi="宋体" w:eastAsia="宋体" w:cs="宋体"/>
                <w:color w:val="auto"/>
                <w:sz w:val="24"/>
                <w:highlight w:val="none"/>
              </w:rPr>
              <w:t>1</w:t>
            </w:r>
          </w:p>
        </w:tc>
        <w:tc>
          <w:tcPr>
            <w:tcW w:w="1152" w:type="dxa"/>
            <w:tcBorders>
              <w:top w:val="nil"/>
              <w:left w:val="nil"/>
              <w:bottom w:val="single" w:color="auto" w:sz="4" w:space="0"/>
              <w:right w:val="single" w:color="auto" w:sz="4" w:space="0"/>
            </w:tcBorders>
            <w:noWrap/>
            <w:vAlign w:val="center"/>
          </w:tcPr>
          <w:p w14:paraId="39EED630">
            <w:pPr>
              <w:jc w:val="center"/>
              <w:rPr>
                <w:rFonts w:ascii="宋体" w:hAnsi="宋体" w:eastAsia="宋体" w:cs="宋体"/>
                <w:color w:val="auto"/>
                <w:sz w:val="24"/>
                <w:highlight w:val="none"/>
              </w:rPr>
            </w:pPr>
            <w:r>
              <w:rPr>
                <w:rFonts w:hint="eastAsia" w:ascii="宋体" w:hAnsi="宋体" w:eastAsia="宋体" w:cs="宋体"/>
                <w:color w:val="auto"/>
                <w:sz w:val="24"/>
                <w:highlight w:val="none"/>
              </w:rPr>
              <w:t>套</w:t>
            </w:r>
          </w:p>
        </w:tc>
      </w:tr>
      <w:tr w14:paraId="6F08657B">
        <w:tblPrEx>
          <w:tblCellMar>
            <w:top w:w="0" w:type="dxa"/>
            <w:left w:w="108" w:type="dxa"/>
            <w:bottom w:w="0" w:type="dxa"/>
            <w:right w:w="108" w:type="dxa"/>
          </w:tblCellMar>
        </w:tblPrEx>
        <w:trPr>
          <w:trHeight w:val="462" w:hRule="atLeast"/>
        </w:trPr>
        <w:tc>
          <w:tcPr>
            <w:tcW w:w="860" w:type="dxa"/>
            <w:tcBorders>
              <w:top w:val="nil"/>
              <w:left w:val="single" w:color="auto" w:sz="4" w:space="0"/>
              <w:bottom w:val="single" w:color="auto" w:sz="4" w:space="0"/>
              <w:right w:val="single" w:color="auto" w:sz="4" w:space="0"/>
            </w:tcBorders>
            <w:vAlign w:val="center"/>
          </w:tcPr>
          <w:p w14:paraId="0BAD76E5">
            <w:pPr>
              <w:spacing w:line="360" w:lineRule="auto"/>
              <w:jc w:val="center"/>
              <w:outlineLvl w:val="2"/>
              <w:rPr>
                <w:rFonts w:ascii="宋体" w:hAnsi="宋体" w:eastAsia="宋体" w:cs="宋体"/>
                <w:color w:val="auto"/>
                <w:sz w:val="24"/>
                <w:highlight w:val="none"/>
              </w:rPr>
            </w:pPr>
            <w:r>
              <w:rPr>
                <w:rFonts w:hint="eastAsia" w:ascii="宋体" w:hAnsi="宋体" w:eastAsia="宋体" w:cs="宋体"/>
                <w:color w:val="auto"/>
                <w:sz w:val="24"/>
                <w:highlight w:val="none"/>
              </w:rPr>
              <w:t>4</w:t>
            </w:r>
          </w:p>
        </w:tc>
        <w:tc>
          <w:tcPr>
            <w:tcW w:w="4127" w:type="dxa"/>
            <w:tcBorders>
              <w:top w:val="nil"/>
              <w:left w:val="nil"/>
              <w:bottom w:val="single" w:color="auto" w:sz="4" w:space="0"/>
              <w:right w:val="single" w:color="auto" w:sz="4" w:space="0"/>
            </w:tcBorders>
            <w:vAlign w:val="center"/>
          </w:tcPr>
          <w:p w14:paraId="5A6E81D7">
            <w:pPr>
              <w:rPr>
                <w:rFonts w:ascii="宋体" w:hAnsi="宋体" w:eastAsia="宋体" w:cs="宋体"/>
                <w:color w:val="auto"/>
                <w:sz w:val="24"/>
                <w:highlight w:val="none"/>
              </w:rPr>
            </w:pPr>
            <w:r>
              <w:rPr>
                <w:rFonts w:hint="eastAsia" w:ascii="宋体" w:hAnsi="宋体" w:eastAsia="宋体" w:cs="宋体"/>
                <w:color w:val="auto"/>
                <w:sz w:val="24"/>
                <w:highlight w:val="none"/>
              </w:rPr>
              <w:t>高压发生器</w:t>
            </w:r>
          </w:p>
        </w:tc>
        <w:tc>
          <w:tcPr>
            <w:tcW w:w="1140" w:type="dxa"/>
            <w:tcBorders>
              <w:top w:val="nil"/>
              <w:left w:val="nil"/>
              <w:bottom w:val="single" w:color="auto" w:sz="4" w:space="0"/>
              <w:right w:val="single" w:color="auto" w:sz="4" w:space="0"/>
            </w:tcBorders>
            <w:noWrap/>
            <w:vAlign w:val="center"/>
          </w:tcPr>
          <w:p w14:paraId="6B2E00A5">
            <w:pPr>
              <w:spacing w:line="360" w:lineRule="auto"/>
              <w:jc w:val="center"/>
              <w:outlineLvl w:val="2"/>
              <w:rPr>
                <w:rFonts w:ascii="宋体" w:hAnsi="宋体" w:eastAsia="宋体" w:cs="宋体"/>
                <w:color w:val="auto"/>
                <w:sz w:val="24"/>
                <w:highlight w:val="none"/>
              </w:rPr>
            </w:pPr>
            <w:r>
              <w:rPr>
                <w:rFonts w:hint="eastAsia" w:ascii="宋体" w:hAnsi="宋体" w:eastAsia="宋体" w:cs="宋体"/>
                <w:color w:val="auto"/>
                <w:sz w:val="24"/>
                <w:highlight w:val="none"/>
              </w:rPr>
              <w:t>1</w:t>
            </w:r>
          </w:p>
        </w:tc>
        <w:tc>
          <w:tcPr>
            <w:tcW w:w="1152" w:type="dxa"/>
            <w:tcBorders>
              <w:top w:val="nil"/>
              <w:left w:val="nil"/>
              <w:bottom w:val="single" w:color="auto" w:sz="4" w:space="0"/>
              <w:right w:val="single" w:color="auto" w:sz="4" w:space="0"/>
            </w:tcBorders>
            <w:noWrap/>
            <w:vAlign w:val="center"/>
          </w:tcPr>
          <w:p w14:paraId="6E514744">
            <w:pPr>
              <w:jc w:val="center"/>
              <w:rPr>
                <w:rFonts w:ascii="宋体" w:hAnsi="宋体" w:eastAsia="宋体" w:cs="宋体"/>
                <w:color w:val="auto"/>
                <w:sz w:val="24"/>
                <w:highlight w:val="none"/>
              </w:rPr>
            </w:pPr>
            <w:r>
              <w:rPr>
                <w:rFonts w:hint="eastAsia" w:ascii="宋体" w:hAnsi="宋体" w:eastAsia="宋体" w:cs="宋体"/>
                <w:color w:val="auto"/>
                <w:sz w:val="24"/>
                <w:highlight w:val="none"/>
              </w:rPr>
              <w:t>套</w:t>
            </w:r>
          </w:p>
        </w:tc>
      </w:tr>
      <w:tr w14:paraId="021E1E57">
        <w:tblPrEx>
          <w:tblCellMar>
            <w:top w:w="0" w:type="dxa"/>
            <w:left w:w="108" w:type="dxa"/>
            <w:bottom w:w="0" w:type="dxa"/>
            <w:right w:w="108" w:type="dxa"/>
          </w:tblCellMar>
        </w:tblPrEx>
        <w:trPr>
          <w:trHeight w:val="462" w:hRule="atLeast"/>
        </w:trPr>
        <w:tc>
          <w:tcPr>
            <w:tcW w:w="860" w:type="dxa"/>
            <w:tcBorders>
              <w:top w:val="nil"/>
              <w:left w:val="single" w:color="auto" w:sz="4" w:space="0"/>
              <w:bottom w:val="single" w:color="auto" w:sz="4" w:space="0"/>
              <w:right w:val="single" w:color="auto" w:sz="4" w:space="0"/>
            </w:tcBorders>
            <w:vAlign w:val="center"/>
          </w:tcPr>
          <w:p w14:paraId="247C4346">
            <w:pPr>
              <w:spacing w:line="360" w:lineRule="auto"/>
              <w:jc w:val="center"/>
              <w:outlineLvl w:val="2"/>
              <w:rPr>
                <w:rFonts w:ascii="宋体" w:hAnsi="宋体" w:eastAsia="宋体" w:cs="宋体"/>
                <w:color w:val="auto"/>
                <w:sz w:val="24"/>
                <w:highlight w:val="none"/>
              </w:rPr>
            </w:pPr>
            <w:r>
              <w:rPr>
                <w:rFonts w:hint="eastAsia" w:ascii="宋体" w:hAnsi="宋体" w:eastAsia="宋体" w:cs="宋体"/>
                <w:color w:val="auto"/>
                <w:sz w:val="24"/>
                <w:highlight w:val="none"/>
              </w:rPr>
              <w:t>5</w:t>
            </w:r>
          </w:p>
        </w:tc>
        <w:tc>
          <w:tcPr>
            <w:tcW w:w="4127" w:type="dxa"/>
            <w:tcBorders>
              <w:top w:val="nil"/>
              <w:left w:val="nil"/>
              <w:bottom w:val="single" w:color="auto" w:sz="4" w:space="0"/>
              <w:right w:val="single" w:color="auto" w:sz="4" w:space="0"/>
            </w:tcBorders>
            <w:vAlign w:val="center"/>
          </w:tcPr>
          <w:p w14:paraId="713021E0">
            <w:pPr>
              <w:rPr>
                <w:rFonts w:ascii="宋体" w:hAnsi="宋体" w:eastAsia="宋体" w:cs="宋体"/>
                <w:color w:val="auto"/>
                <w:sz w:val="24"/>
                <w:highlight w:val="none"/>
              </w:rPr>
            </w:pPr>
            <w:r>
              <w:rPr>
                <w:rFonts w:hint="eastAsia" w:ascii="宋体" w:hAnsi="宋体" w:eastAsia="宋体" w:cs="宋体"/>
                <w:color w:val="auto"/>
                <w:sz w:val="24"/>
                <w:highlight w:val="none"/>
              </w:rPr>
              <w:t>系统控制及影像采集工作站</w:t>
            </w:r>
          </w:p>
        </w:tc>
        <w:tc>
          <w:tcPr>
            <w:tcW w:w="1140" w:type="dxa"/>
            <w:tcBorders>
              <w:top w:val="nil"/>
              <w:left w:val="nil"/>
              <w:bottom w:val="single" w:color="auto" w:sz="4" w:space="0"/>
              <w:right w:val="single" w:color="auto" w:sz="4" w:space="0"/>
            </w:tcBorders>
            <w:noWrap/>
            <w:vAlign w:val="center"/>
          </w:tcPr>
          <w:p w14:paraId="3DFF9CBE">
            <w:pPr>
              <w:spacing w:line="360" w:lineRule="auto"/>
              <w:jc w:val="center"/>
              <w:outlineLvl w:val="2"/>
              <w:rPr>
                <w:rFonts w:ascii="宋体" w:hAnsi="宋体" w:eastAsia="宋体" w:cs="宋体"/>
                <w:color w:val="auto"/>
                <w:sz w:val="24"/>
                <w:highlight w:val="none"/>
              </w:rPr>
            </w:pPr>
            <w:r>
              <w:rPr>
                <w:rFonts w:hint="eastAsia" w:ascii="宋体" w:hAnsi="宋体" w:eastAsia="宋体" w:cs="宋体"/>
                <w:color w:val="auto"/>
                <w:sz w:val="24"/>
                <w:highlight w:val="none"/>
              </w:rPr>
              <w:t>1</w:t>
            </w:r>
          </w:p>
        </w:tc>
        <w:tc>
          <w:tcPr>
            <w:tcW w:w="1152" w:type="dxa"/>
            <w:tcBorders>
              <w:top w:val="nil"/>
              <w:left w:val="nil"/>
              <w:bottom w:val="single" w:color="auto" w:sz="4" w:space="0"/>
              <w:right w:val="single" w:color="auto" w:sz="4" w:space="0"/>
            </w:tcBorders>
            <w:noWrap/>
            <w:vAlign w:val="center"/>
          </w:tcPr>
          <w:p w14:paraId="11415361">
            <w:pPr>
              <w:jc w:val="center"/>
              <w:rPr>
                <w:rFonts w:ascii="宋体" w:hAnsi="宋体" w:eastAsia="宋体" w:cs="宋体"/>
                <w:color w:val="auto"/>
                <w:sz w:val="24"/>
                <w:highlight w:val="none"/>
              </w:rPr>
            </w:pPr>
            <w:r>
              <w:rPr>
                <w:rFonts w:hint="eastAsia" w:ascii="宋体" w:hAnsi="宋体" w:eastAsia="宋体" w:cs="宋体"/>
                <w:color w:val="auto"/>
                <w:sz w:val="24"/>
                <w:highlight w:val="none"/>
              </w:rPr>
              <w:t>套</w:t>
            </w:r>
          </w:p>
        </w:tc>
      </w:tr>
      <w:tr w14:paraId="45CFDD9F">
        <w:tblPrEx>
          <w:tblCellMar>
            <w:top w:w="0" w:type="dxa"/>
            <w:left w:w="108" w:type="dxa"/>
            <w:bottom w:w="0" w:type="dxa"/>
            <w:right w:w="108" w:type="dxa"/>
          </w:tblCellMar>
        </w:tblPrEx>
        <w:trPr>
          <w:trHeight w:val="462" w:hRule="atLeast"/>
        </w:trPr>
        <w:tc>
          <w:tcPr>
            <w:tcW w:w="860" w:type="dxa"/>
            <w:tcBorders>
              <w:top w:val="nil"/>
              <w:left w:val="single" w:color="auto" w:sz="4" w:space="0"/>
              <w:bottom w:val="single" w:color="auto" w:sz="4" w:space="0"/>
              <w:right w:val="single" w:color="auto" w:sz="4" w:space="0"/>
            </w:tcBorders>
            <w:vAlign w:val="center"/>
          </w:tcPr>
          <w:p w14:paraId="1185927D">
            <w:pPr>
              <w:spacing w:line="360" w:lineRule="auto"/>
              <w:jc w:val="center"/>
              <w:outlineLvl w:val="2"/>
              <w:rPr>
                <w:rFonts w:ascii="宋体" w:hAnsi="宋体" w:eastAsia="宋体" w:cs="宋体"/>
                <w:color w:val="auto"/>
                <w:sz w:val="24"/>
                <w:highlight w:val="none"/>
              </w:rPr>
            </w:pPr>
            <w:r>
              <w:rPr>
                <w:rFonts w:hint="eastAsia" w:ascii="宋体" w:hAnsi="宋体" w:eastAsia="宋体" w:cs="宋体"/>
                <w:color w:val="auto"/>
                <w:sz w:val="24"/>
                <w:highlight w:val="none"/>
              </w:rPr>
              <w:t>6</w:t>
            </w:r>
          </w:p>
        </w:tc>
        <w:tc>
          <w:tcPr>
            <w:tcW w:w="4127" w:type="dxa"/>
            <w:tcBorders>
              <w:top w:val="nil"/>
              <w:left w:val="nil"/>
              <w:bottom w:val="single" w:color="auto" w:sz="4" w:space="0"/>
              <w:right w:val="single" w:color="auto" w:sz="4" w:space="0"/>
            </w:tcBorders>
            <w:vAlign w:val="center"/>
          </w:tcPr>
          <w:p w14:paraId="6BC617B0">
            <w:pPr>
              <w:rPr>
                <w:rFonts w:ascii="宋体" w:hAnsi="宋体" w:eastAsia="宋体" w:cs="宋体"/>
                <w:color w:val="auto"/>
                <w:sz w:val="24"/>
                <w:highlight w:val="none"/>
              </w:rPr>
            </w:pPr>
            <w:r>
              <w:rPr>
                <w:rFonts w:hint="eastAsia" w:ascii="宋体" w:hAnsi="宋体" w:eastAsia="宋体" w:cs="宋体"/>
                <w:color w:val="auto"/>
                <w:sz w:val="24"/>
                <w:highlight w:val="none"/>
              </w:rPr>
              <w:t>液晶显示器</w:t>
            </w:r>
          </w:p>
        </w:tc>
        <w:tc>
          <w:tcPr>
            <w:tcW w:w="1140" w:type="dxa"/>
            <w:tcBorders>
              <w:top w:val="nil"/>
              <w:left w:val="nil"/>
              <w:bottom w:val="single" w:color="auto" w:sz="4" w:space="0"/>
              <w:right w:val="single" w:color="auto" w:sz="4" w:space="0"/>
            </w:tcBorders>
            <w:noWrap/>
            <w:vAlign w:val="center"/>
          </w:tcPr>
          <w:p w14:paraId="0B57D40B">
            <w:pPr>
              <w:spacing w:line="360" w:lineRule="auto"/>
              <w:jc w:val="center"/>
              <w:outlineLvl w:val="2"/>
              <w:rPr>
                <w:rFonts w:ascii="宋体" w:hAnsi="宋体" w:eastAsia="宋体" w:cs="宋体"/>
                <w:color w:val="auto"/>
                <w:sz w:val="24"/>
                <w:highlight w:val="none"/>
              </w:rPr>
            </w:pPr>
            <w:r>
              <w:rPr>
                <w:rFonts w:hint="eastAsia" w:ascii="宋体" w:hAnsi="宋体" w:eastAsia="宋体" w:cs="宋体"/>
                <w:color w:val="auto"/>
                <w:sz w:val="24"/>
                <w:highlight w:val="none"/>
              </w:rPr>
              <w:t>1</w:t>
            </w:r>
          </w:p>
        </w:tc>
        <w:tc>
          <w:tcPr>
            <w:tcW w:w="1152" w:type="dxa"/>
            <w:tcBorders>
              <w:top w:val="nil"/>
              <w:left w:val="nil"/>
              <w:bottom w:val="single" w:color="auto" w:sz="4" w:space="0"/>
              <w:right w:val="single" w:color="auto" w:sz="4" w:space="0"/>
            </w:tcBorders>
            <w:noWrap/>
            <w:vAlign w:val="center"/>
          </w:tcPr>
          <w:p w14:paraId="59B1BB37">
            <w:pPr>
              <w:jc w:val="center"/>
              <w:rPr>
                <w:rFonts w:ascii="宋体" w:hAnsi="宋体" w:eastAsia="宋体" w:cs="宋体"/>
                <w:color w:val="auto"/>
                <w:sz w:val="24"/>
                <w:highlight w:val="none"/>
              </w:rPr>
            </w:pPr>
            <w:r>
              <w:rPr>
                <w:rFonts w:hint="eastAsia" w:ascii="宋体" w:hAnsi="宋体" w:eastAsia="宋体" w:cs="宋体"/>
                <w:color w:val="auto"/>
                <w:sz w:val="24"/>
                <w:highlight w:val="none"/>
              </w:rPr>
              <w:t>套</w:t>
            </w:r>
          </w:p>
        </w:tc>
      </w:tr>
      <w:tr w14:paraId="20822CD0">
        <w:tblPrEx>
          <w:tblCellMar>
            <w:top w:w="0" w:type="dxa"/>
            <w:left w:w="108" w:type="dxa"/>
            <w:bottom w:w="0" w:type="dxa"/>
            <w:right w:w="108" w:type="dxa"/>
          </w:tblCellMar>
        </w:tblPrEx>
        <w:trPr>
          <w:trHeight w:val="462" w:hRule="atLeast"/>
        </w:trPr>
        <w:tc>
          <w:tcPr>
            <w:tcW w:w="860" w:type="dxa"/>
            <w:tcBorders>
              <w:top w:val="nil"/>
              <w:left w:val="single" w:color="auto" w:sz="4" w:space="0"/>
              <w:bottom w:val="single" w:color="auto" w:sz="4" w:space="0"/>
              <w:right w:val="single" w:color="auto" w:sz="4" w:space="0"/>
            </w:tcBorders>
            <w:vAlign w:val="center"/>
          </w:tcPr>
          <w:p w14:paraId="0556E1E4">
            <w:pPr>
              <w:spacing w:line="360" w:lineRule="auto"/>
              <w:jc w:val="center"/>
              <w:outlineLvl w:val="2"/>
              <w:rPr>
                <w:rFonts w:ascii="宋体" w:hAnsi="宋体" w:eastAsia="宋体" w:cs="宋体"/>
                <w:color w:val="auto"/>
                <w:sz w:val="24"/>
                <w:highlight w:val="none"/>
              </w:rPr>
            </w:pPr>
            <w:r>
              <w:rPr>
                <w:rFonts w:hint="eastAsia" w:ascii="宋体" w:hAnsi="宋体" w:eastAsia="宋体" w:cs="宋体"/>
                <w:color w:val="auto"/>
                <w:sz w:val="24"/>
                <w:highlight w:val="none"/>
              </w:rPr>
              <w:t>7</w:t>
            </w:r>
          </w:p>
        </w:tc>
        <w:tc>
          <w:tcPr>
            <w:tcW w:w="4127" w:type="dxa"/>
            <w:tcBorders>
              <w:top w:val="nil"/>
              <w:left w:val="nil"/>
              <w:bottom w:val="single" w:color="auto" w:sz="4" w:space="0"/>
              <w:right w:val="single" w:color="auto" w:sz="4" w:space="0"/>
            </w:tcBorders>
            <w:vAlign w:val="center"/>
          </w:tcPr>
          <w:p w14:paraId="2D240D4B">
            <w:pPr>
              <w:rPr>
                <w:rFonts w:ascii="宋体" w:hAnsi="宋体" w:eastAsia="宋体" w:cs="宋体"/>
                <w:color w:val="auto"/>
                <w:sz w:val="24"/>
                <w:highlight w:val="none"/>
              </w:rPr>
            </w:pPr>
            <w:r>
              <w:rPr>
                <w:rFonts w:hint="eastAsia" w:ascii="宋体" w:hAnsi="宋体" w:eastAsia="宋体" w:cs="宋体"/>
                <w:color w:val="auto"/>
                <w:sz w:val="24"/>
                <w:highlight w:val="none"/>
              </w:rPr>
              <w:t>胸片架</w:t>
            </w:r>
          </w:p>
        </w:tc>
        <w:tc>
          <w:tcPr>
            <w:tcW w:w="1140" w:type="dxa"/>
            <w:tcBorders>
              <w:top w:val="nil"/>
              <w:left w:val="nil"/>
              <w:bottom w:val="single" w:color="auto" w:sz="4" w:space="0"/>
              <w:right w:val="single" w:color="auto" w:sz="4" w:space="0"/>
            </w:tcBorders>
            <w:noWrap/>
            <w:vAlign w:val="center"/>
          </w:tcPr>
          <w:p w14:paraId="4499EAAC">
            <w:pPr>
              <w:spacing w:line="360" w:lineRule="auto"/>
              <w:jc w:val="center"/>
              <w:outlineLvl w:val="2"/>
              <w:rPr>
                <w:rFonts w:ascii="宋体" w:hAnsi="宋体" w:eastAsia="宋体" w:cs="宋体"/>
                <w:color w:val="auto"/>
                <w:sz w:val="24"/>
                <w:highlight w:val="none"/>
              </w:rPr>
            </w:pPr>
            <w:r>
              <w:rPr>
                <w:rFonts w:hint="eastAsia" w:ascii="宋体" w:hAnsi="宋体" w:eastAsia="宋体" w:cs="宋体"/>
                <w:color w:val="auto"/>
                <w:sz w:val="24"/>
                <w:highlight w:val="none"/>
              </w:rPr>
              <w:t>1</w:t>
            </w:r>
          </w:p>
        </w:tc>
        <w:tc>
          <w:tcPr>
            <w:tcW w:w="1152" w:type="dxa"/>
            <w:tcBorders>
              <w:top w:val="nil"/>
              <w:left w:val="nil"/>
              <w:bottom w:val="single" w:color="auto" w:sz="4" w:space="0"/>
              <w:right w:val="single" w:color="auto" w:sz="4" w:space="0"/>
            </w:tcBorders>
            <w:noWrap/>
            <w:vAlign w:val="center"/>
          </w:tcPr>
          <w:p w14:paraId="58DB9251">
            <w:pPr>
              <w:jc w:val="center"/>
              <w:rPr>
                <w:rFonts w:ascii="宋体" w:hAnsi="宋体" w:eastAsia="宋体" w:cs="宋体"/>
                <w:color w:val="auto"/>
                <w:sz w:val="24"/>
                <w:highlight w:val="none"/>
              </w:rPr>
            </w:pPr>
            <w:r>
              <w:rPr>
                <w:rFonts w:hint="eastAsia" w:ascii="宋体" w:hAnsi="宋体" w:eastAsia="宋体" w:cs="宋体"/>
                <w:color w:val="auto"/>
                <w:sz w:val="24"/>
                <w:highlight w:val="none"/>
              </w:rPr>
              <w:t>套</w:t>
            </w:r>
          </w:p>
        </w:tc>
      </w:tr>
      <w:tr w14:paraId="5F59ED7B">
        <w:tblPrEx>
          <w:tblCellMar>
            <w:top w:w="0" w:type="dxa"/>
            <w:left w:w="108" w:type="dxa"/>
            <w:bottom w:w="0" w:type="dxa"/>
            <w:right w:w="108" w:type="dxa"/>
          </w:tblCellMar>
        </w:tblPrEx>
        <w:trPr>
          <w:trHeight w:val="462" w:hRule="atLeast"/>
        </w:trPr>
        <w:tc>
          <w:tcPr>
            <w:tcW w:w="860" w:type="dxa"/>
            <w:tcBorders>
              <w:top w:val="nil"/>
              <w:left w:val="single" w:color="auto" w:sz="4" w:space="0"/>
              <w:bottom w:val="single" w:color="auto" w:sz="4" w:space="0"/>
              <w:right w:val="single" w:color="auto" w:sz="4" w:space="0"/>
            </w:tcBorders>
            <w:vAlign w:val="center"/>
          </w:tcPr>
          <w:p w14:paraId="68999EBF">
            <w:pPr>
              <w:spacing w:line="360" w:lineRule="auto"/>
              <w:jc w:val="center"/>
              <w:outlineLvl w:val="2"/>
              <w:rPr>
                <w:rFonts w:ascii="宋体" w:hAnsi="宋体" w:eastAsia="宋体" w:cs="宋体"/>
                <w:color w:val="auto"/>
                <w:sz w:val="24"/>
                <w:highlight w:val="none"/>
              </w:rPr>
            </w:pPr>
            <w:r>
              <w:rPr>
                <w:rFonts w:hint="eastAsia" w:ascii="宋体" w:hAnsi="宋体" w:eastAsia="宋体" w:cs="宋体"/>
                <w:color w:val="auto"/>
                <w:sz w:val="24"/>
                <w:highlight w:val="none"/>
              </w:rPr>
              <w:t>8</w:t>
            </w:r>
          </w:p>
        </w:tc>
        <w:tc>
          <w:tcPr>
            <w:tcW w:w="4127" w:type="dxa"/>
            <w:tcBorders>
              <w:top w:val="nil"/>
              <w:left w:val="nil"/>
              <w:bottom w:val="single" w:color="auto" w:sz="4" w:space="0"/>
              <w:right w:val="single" w:color="auto" w:sz="4" w:space="0"/>
            </w:tcBorders>
            <w:vAlign w:val="center"/>
          </w:tcPr>
          <w:p w14:paraId="666CE0D8">
            <w:pPr>
              <w:rPr>
                <w:rFonts w:ascii="宋体" w:hAnsi="宋体" w:eastAsia="宋体" w:cs="宋体"/>
                <w:color w:val="auto"/>
                <w:sz w:val="24"/>
                <w:highlight w:val="none"/>
              </w:rPr>
            </w:pPr>
            <w:r>
              <w:rPr>
                <w:rFonts w:hint="eastAsia" w:ascii="宋体" w:hAnsi="宋体" w:eastAsia="宋体" w:cs="宋体"/>
                <w:color w:val="auto"/>
                <w:sz w:val="24"/>
                <w:highlight w:val="none"/>
              </w:rPr>
              <w:t>固定式摄影床</w:t>
            </w:r>
          </w:p>
        </w:tc>
        <w:tc>
          <w:tcPr>
            <w:tcW w:w="1140" w:type="dxa"/>
            <w:tcBorders>
              <w:top w:val="nil"/>
              <w:left w:val="nil"/>
              <w:bottom w:val="single" w:color="auto" w:sz="4" w:space="0"/>
              <w:right w:val="single" w:color="auto" w:sz="4" w:space="0"/>
            </w:tcBorders>
            <w:noWrap/>
            <w:vAlign w:val="center"/>
          </w:tcPr>
          <w:p w14:paraId="080F0235">
            <w:pPr>
              <w:spacing w:line="360" w:lineRule="auto"/>
              <w:jc w:val="center"/>
              <w:outlineLvl w:val="2"/>
              <w:rPr>
                <w:rFonts w:ascii="宋体" w:hAnsi="宋体" w:eastAsia="宋体" w:cs="宋体"/>
                <w:color w:val="auto"/>
                <w:sz w:val="24"/>
                <w:highlight w:val="none"/>
              </w:rPr>
            </w:pPr>
            <w:r>
              <w:rPr>
                <w:rFonts w:hint="eastAsia" w:ascii="宋体" w:hAnsi="宋体" w:eastAsia="宋体" w:cs="宋体"/>
                <w:color w:val="auto"/>
                <w:sz w:val="24"/>
                <w:highlight w:val="none"/>
              </w:rPr>
              <w:t>1</w:t>
            </w:r>
          </w:p>
        </w:tc>
        <w:tc>
          <w:tcPr>
            <w:tcW w:w="1152" w:type="dxa"/>
            <w:tcBorders>
              <w:top w:val="nil"/>
              <w:left w:val="nil"/>
              <w:bottom w:val="single" w:color="auto" w:sz="4" w:space="0"/>
              <w:right w:val="single" w:color="auto" w:sz="4" w:space="0"/>
            </w:tcBorders>
            <w:noWrap/>
            <w:vAlign w:val="center"/>
          </w:tcPr>
          <w:p w14:paraId="587A528A">
            <w:pPr>
              <w:jc w:val="center"/>
              <w:rPr>
                <w:rFonts w:ascii="宋体" w:hAnsi="宋体" w:eastAsia="宋体" w:cs="宋体"/>
                <w:color w:val="auto"/>
                <w:sz w:val="24"/>
                <w:highlight w:val="none"/>
              </w:rPr>
            </w:pPr>
            <w:r>
              <w:rPr>
                <w:rFonts w:hint="eastAsia" w:ascii="宋体" w:hAnsi="宋体" w:eastAsia="宋体" w:cs="宋体"/>
                <w:color w:val="auto"/>
                <w:sz w:val="24"/>
                <w:highlight w:val="none"/>
              </w:rPr>
              <w:t>套</w:t>
            </w:r>
          </w:p>
        </w:tc>
      </w:tr>
      <w:tr w14:paraId="50E4FD03">
        <w:tblPrEx>
          <w:tblCellMar>
            <w:top w:w="0" w:type="dxa"/>
            <w:left w:w="108" w:type="dxa"/>
            <w:bottom w:w="0" w:type="dxa"/>
            <w:right w:w="108" w:type="dxa"/>
          </w:tblCellMar>
        </w:tblPrEx>
        <w:trPr>
          <w:trHeight w:val="462" w:hRule="atLeast"/>
        </w:trPr>
        <w:tc>
          <w:tcPr>
            <w:tcW w:w="860" w:type="dxa"/>
            <w:tcBorders>
              <w:top w:val="nil"/>
              <w:left w:val="single" w:color="auto" w:sz="4" w:space="0"/>
              <w:bottom w:val="single" w:color="auto" w:sz="4" w:space="0"/>
              <w:right w:val="single" w:color="auto" w:sz="4" w:space="0"/>
            </w:tcBorders>
            <w:vAlign w:val="center"/>
          </w:tcPr>
          <w:p w14:paraId="253A525D">
            <w:pPr>
              <w:spacing w:line="360" w:lineRule="auto"/>
              <w:jc w:val="center"/>
              <w:outlineLvl w:val="2"/>
              <w:rPr>
                <w:rFonts w:ascii="宋体" w:hAnsi="宋体" w:eastAsia="宋体" w:cs="宋体"/>
                <w:color w:val="auto"/>
                <w:sz w:val="24"/>
                <w:highlight w:val="none"/>
              </w:rPr>
            </w:pPr>
            <w:r>
              <w:rPr>
                <w:rFonts w:hint="eastAsia" w:ascii="宋体" w:hAnsi="宋体" w:eastAsia="宋体" w:cs="宋体"/>
                <w:color w:val="auto"/>
                <w:sz w:val="24"/>
                <w:highlight w:val="none"/>
              </w:rPr>
              <w:t>9</w:t>
            </w:r>
          </w:p>
        </w:tc>
        <w:tc>
          <w:tcPr>
            <w:tcW w:w="4127" w:type="dxa"/>
            <w:tcBorders>
              <w:top w:val="nil"/>
              <w:left w:val="nil"/>
              <w:bottom w:val="single" w:color="auto" w:sz="4" w:space="0"/>
              <w:right w:val="single" w:color="auto" w:sz="4" w:space="0"/>
            </w:tcBorders>
            <w:vAlign w:val="center"/>
          </w:tcPr>
          <w:p w14:paraId="4BEB8F71">
            <w:pPr>
              <w:rPr>
                <w:rFonts w:ascii="宋体" w:hAnsi="宋体" w:eastAsia="宋体" w:cs="宋体"/>
                <w:color w:val="auto"/>
                <w:sz w:val="24"/>
                <w:highlight w:val="none"/>
              </w:rPr>
            </w:pPr>
            <w:r>
              <w:rPr>
                <w:rFonts w:hint="eastAsia" w:ascii="宋体" w:hAnsi="宋体" w:eastAsia="宋体" w:cs="宋体"/>
                <w:color w:val="auto"/>
                <w:sz w:val="24"/>
                <w:highlight w:val="none"/>
              </w:rPr>
              <w:t>立柱式球管支架</w:t>
            </w:r>
          </w:p>
        </w:tc>
        <w:tc>
          <w:tcPr>
            <w:tcW w:w="1140" w:type="dxa"/>
            <w:tcBorders>
              <w:top w:val="nil"/>
              <w:left w:val="nil"/>
              <w:bottom w:val="single" w:color="auto" w:sz="4" w:space="0"/>
              <w:right w:val="single" w:color="auto" w:sz="4" w:space="0"/>
            </w:tcBorders>
            <w:noWrap/>
            <w:vAlign w:val="center"/>
          </w:tcPr>
          <w:p w14:paraId="525647D6">
            <w:pPr>
              <w:spacing w:line="360" w:lineRule="auto"/>
              <w:jc w:val="center"/>
              <w:outlineLvl w:val="2"/>
              <w:rPr>
                <w:rFonts w:ascii="宋体" w:hAnsi="宋体" w:eastAsia="宋体" w:cs="宋体"/>
                <w:color w:val="auto"/>
                <w:sz w:val="24"/>
                <w:highlight w:val="none"/>
              </w:rPr>
            </w:pPr>
            <w:r>
              <w:rPr>
                <w:rFonts w:hint="eastAsia" w:ascii="宋体" w:hAnsi="宋体" w:eastAsia="宋体" w:cs="宋体"/>
                <w:color w:val="auto"/>
                <w:sz w:val="24"/>
                <w:highlight w:val="none"/>
              </w:rPr>
              <w:t>1</w:t>
            </w:r>
          </w:p>
        </w:tc>
        <w:tc>
          <w:tcPr>
            <w:tcW w:w="1152" w:type="dxa"/>
            <w:tcBorders>
              <w:top w:val="nil"/>
              <w:left w:val="nil"/>
              <w:bottom w:val="single" w:color="auto" w:sz="4" w:space="0"/>
              <w:right w:val="single" w:color="auto" w:sz="4" w:space="0"/>
            </w:tcBorders>
            <w:noWrap/>
            <w:vAlign w:val="center"/>
          </w:tcPr>
          <w:p w14:paraId="0318D292">
            <w:pPr>
              <w:jc w:val="center"/>
              <w:rPr>
                <w:rFonts w:ascii="宋体" w:hAnsi="宋体" w:eastAsia="宋体" w:cs="宋体"/>
                <w:color w:val="auto"/>
                <w:sz w:val="24"/>
                <w:highlight w:val="none"/>
              </w:rPr>
            </w:pPr>
            <w:r>
              <w:rPr>
                <w:rFonts w:hint="eastAsia" w:ascii="宋体" w:hAnsi="宋体" w:eastAsia="宋体" w:cs="宋体"/>
                <w:color w:val="auto"/>
                <w:sz w:val="24"/>
                <w:highlight w:val="none"/>
              </w:rPr>
              <w:t>套</w:t>
            </w:r>
          </w:p>
        </w:tc>
      </w:tr>
      <w:tr w14:paraId="74B9A2B6">
        <w:tblPrEx>
          <w:tblCellMar>
            <w:top w:w="0" w:type="dxa"/>
            <w:left w:w="108" w:type="dxa"/>
            <w:bottom w:w="0" w:type="dxa"/>
            <w:right w:w="108" w:type="dxa"/>
          </w:tblCellMar>
        </w:tblPrEx>
        <w:trPr>
          <w:trHeight w:val="462" w:hRule="atLeast"/>
        </w:trPr>
        <w:tc>
          <w:tcPr>
            <w:tcW w:w="860" w:type="dxa"/>
            <w:tcBorders>
              <w:top w:val="single" w:color="auto" w:sz="4" w:space="0"/>
              <w:left w:val="single" w:color="auto" w:sz="4" w:space="0"/>
              <w:bottom w:val="single" w:color="auto" w:sz="4" w:space="0"/>
              <w:right w:val="single" w:color="auto" w:sz="4" w:space="0"/>
            </w:tcBorders>
            <w:vAlign w:val="center"/>
          </w:tcPr>
          <w:p w14:paraId="51B67D7C">
            <w:pPr>
              <w:spacing w:line="360" w:lineRule="auto"/>
              <w:jc w:val="center"/>
              <w:outlineLvl w:val="2"/>
              <w:rPr>
                <w:rFonts w:ascii="宋体" w:hAnsi="宋体" w:eastAsia="宋体" w:cs="宋体"/>
                <w:color w:val="auto"/>
                <w:sz w:val="24"/>
                <w:highlight w:val="none"/>
              </w:rPr>
            </w:pPr>
            <w:r>
              <w:rPr>
                <w:rFonts w:hint="eastAsia" w:ascii="宋体" w:hAnsi="宋体" w:eastAsia="宋体" w:cs="宋体"/>
                <w:color w:val="auto"/>
                <w:sz w:val="24"/>
                <w:highlight w:val="none"/>
              </w:rPr>
              <w:t>10</w:t>
            </w:r>
          </w:p>
        </w:tc>
        <w:tc>
          <w:tcPr>
            <w:tcW w:w="4127" w:type="dxa"/>
            <w:tcBorders>
              <w:top w:val="single" w:color="auto" w:sz="4" w:space="0"/>
              <w:left w:val="nil"/>
              <w:bottom w:val="single" w:color="auto" w:sz="4" w:space="0"/>
              <w:right w:val="single" w:color="auto" w:sz="4" w:space="0"/>
            </w:tcBorders>
            <w:vAlign w:val="center"/>
          </w:tcPr>
          <w:p w14:paraId="1A88B323">
            <w:pPr>
              <w:rPr>
                <w:rFonts w:ascii="宋体" w:hAnsi="宋体" w:eastAsia="宋体" w:cs="宋体"/>
                <w:color w:val="auto"/>
                <w:sz w:val="24"/>
                <w:highlight w:val="none"/>
              </w:rPr>
            </w:pPr>
            <w:r>
              <w:rPr>
                <w:rFonts w:hint="eastAsia" w:ascii="宋体" w:hAnsi="宋体" w:eastAsia="宋体" w:cs="宋体"/>
                <w:color w:val="auto"/>
                <w:sz w:val="24"/>
                <w:highlight w:val="none"/>
              </w:rPr>
              <w:t>多功能控制盒</w:t>
            </w:r>
          </w:p>
        </w:tc>
        <w:tc>
          <w:tcPr>
            <w:tcW w:w="1140" w:type="dxa"/>
            <w:tcBorders>
              <w:top w:val="single" w:color="auto" w:sz="4" w:space="0"/>
              <w:left w:val="nil"/>
              <w:bottom w:val="single" w:color="auto" w:sz="4" w:space="0"/>
              <w:right w:val="single" w:color="auto" w:sz="4" w:space="0"/>
            </w:tcBorders>
            <w:noWrap/>
            <w:vAlign w:val="center"/>
          </w:tcPr>
          <w:p w14:paraId="6B7B623C">
            <w:pPr>
              <w:spacing w:line="360" w:lineRule="auto"/>
              <w:jc w:val="center"/>
              <w:outlineLvl w:val="2"/>
              <w:rPr>
                <w:rFonts w:ascii="宋体" w:hAnsi="宋体" w:eastAsia="宋体" w:cs="宋体"/>
                <w:color w:val="auto"/>
                <w:sz w:val="24"/>
                <w:highlight w:val="none"/>
              </w:rPr>
            </w:pPr>
            <w:r>
              <w:rPr>
                <w:rFonts w:hint="eastAsia" w:ascii="宋体" w:hAnsi="宋体" w:eastAsia="宋体" w:cs="宋体"/>
                <w:color w:val="auto"/>
                <w:sz w:val="24"/>
                <w:highlight w:val="none"/>
              </w:rPr>
              <w:t>1</w:t>
            </w:r>
          </w:p>
        </w:tc>
        <w:tc>
          <w:tcPr>
            <w:tcW w:w="1152" w:type="dxa"/>
            <w:tcBorders>
              <w:top w:val="single" w:color="auto" w:sz="4" w:space="0"/>
              <w:left w:val="nil"/>
              <w:bottom w:val="single" w:color="auto" w:sz="4" w:space="0"/>
              <w:right w:val="single" w:color="auto" w:sz="4" w:space="0"/>
            </w:tcBorders>
            <w:noWrap/>
            <w:vAlign w:val="center"/>
          </w:tcPr>
          <w:p w14:paraId="037ED657">
            <w:pPr>
              <w:jc w:val="center"/>
              <w:rPr>
                <w:rFonts w:ascii="宋体" w:hAnsi="宋体" w:eastAsia="宋体" w:cs="宋体"/>
                <w:color w:val="auto"/>
                <w:sz w:val="24"/>
                <w:highlight w:val="none"/>
              </w:rPr>
            </w:pPr>
            <w:r>
              <w:rPr>
                <w:rFonts w:hint="eastAsia" w:ascii="宋体" w:hAnsi="宋体" w:eastAsia="宋体" w:cs="宋体"/>
                <w:color w:val="auto"/>
                <w:sz w:val="24"/>
                <w:highlight w:val="none"/>
              </w:rPr>
              <w:t>套</w:t>
            </w:r>
          </w:p>
        </w:tc>
      </w:tr>
      <w:tr w14:paraId="3E923890">
        <w:tblPrEx>
          <w:tblCellMar>
            <w:top w:w="0" w:type="dxa"/>
            <w:left w:w="108" w:type="dxa"/>
            <w:bottom w:w="0" w:type="dxa"/>
            <w:right w:w="108" w:type="dxa"/>
          </w:tblCellMar>
        </w:tblPrEx>
        <w:trPr>
          <w:trHeight w:val="462" w:hRule="atLeast"/>
        </w:trPr>
        <w:tc>
          <w:tcPr>
            <w:tcW w:w="860" w:type="dxa"/>
            <w:tcBorders>
              <w:top w:val="single" w:color="auto" w:sz="4" w:space="0"/>
              <w:left w:val="single" w:color="auto" w:sz="4" w:space="0"/>
              <w:bottom w:val="single" w:color="auto" w:sz="4" w:space="0"/>
              <w:right w:val="single" w:color="auto" w:sz="4" w:space="0"/>
            </w:tcBorders>
            <w:vAlign w:val="center"/>
          </w:tcPr>
          <w:p w14:paraId="2B665D5B">
            <w:pPr>
              <w:spacing w:line="360" w:lineRule="auto"/>
              <w:jc w:val="center"/>
              <w:outlineLvl w:val="2"/>
              <w:rPr>
                <w:rFonts w:ascii="宋体" w:hAnsi="宋体" w:eastAsia="宋体" w:cs="宋体"/>
                <w:color w:val="auto"/>
                <w:sz w:val="24"/>
                <w:highlight w:val="none"/>
              </w:rPr>
            </w:pPr>
            <w:r>
              <w:rPr>
                <w:rFonts w:hint="eastAsia" w:ascii="宋体" w:hAnsi="宋体" w:eastAsia="宋体" w:cs="宋体"/>
                <w:color w:val="auto"/>
                <w:sz w:val="24"/>
                <w:highlight w:val="none"/>
              </w:rPr>
              <w:t>11</w:t>
            </w:r>
          </w:p>
        </w:tc>
        <w:tc>
          <w:tcPr>
            <w:tcW w:w="4127" w:type="dxa"/>
            <w:tcBorders>
              <w:top w:val="single" w:color="auto" w:sz="4" w:space="0"/>
              <w:left w:val="nil"/>
              <w:bottom w:val="single" w:color="auto" w:sz="4" w:space="0"/>
              <w:right w:val="single" w:color="auto" w:sz="4" w:space="0"/>
            </w:tcBorders>
            <w:vAlign w:val="center"/>
          </w:tcPr>
          <w:p w14:paraId="5ED2456F">
            <w:pPr>
              <w:spacing w:beforeLines="50"/>
              <w:rPr>
                <w:rFonts w:ascii="宋体" w:hAnsi="宋体" w:eastAsia="宋体" w:cs="宋体"/>
                <w:color w:val="auto"/>
                <w:sz w:val="24"/>
                <w:highlight w:val="none"/>
              </w:rPr>
            </w:pPr>
            <w:r>
              <w:rPr>
                <w:rFonts w:hint="eastAsia" w:ascii="宋体" w:hAnsi="宋体" w:eastAsia="宋体" w:cs="宋体"/>
                <w:color w:val="auto"/>
                <w:sz w:val="24"/>
                <w:highlight w:val="none"/>
              </w:rPr>
              <w:t>标准DICOM软件包</w:t>
            </w:r>
          </w:p>
        </w:tc>
        <w:tc>
          <w:tcPr>
            <w:tcW w:w="1140" w:type="dxa"/>
            <w:tcBorders>
              <w:top w:val="single" w:color="auto" w:sz="4" w:space="0"/>
              <w:left w:val="nil"/>
              <w:bottom w:val="single" w:color="auto" w:sz="4" w:space="0"/>
              <w:right w:val="single" w:color="auto" w:sz="4" w:space="0"/>
            </w:tcBorders>
            <w:noWrap/>
            <w:vAlign w:val="center"/>
          </w:tcPr>
          <w:p w14:paraId="3318226D">
            <w:pPr>
              <w:spacing w:line="360" w:lineRule="auto"/>
              <w:jc w:val="center"/>
              <w:outlineLvl w:val="2"/>
              <w:rPr>
                <w:rFonts w:ascii="宋体" w:hAnsi="宋体" w:eastAsia="宋体" w:cs="宋体"/>
                <w:color w:val="auto"/>
                <w:sz w:val="24"/>
                <w:highlight w:val="none"/>
              </w:rPr>
            </w:pPr>
            <w:r>
              <w:rPr>
                <w:rFonts w:hint="eastAsia" w:ascii="宋体" w:hAnsi="宋体" w:eastAsia="宋体" w:cs="宋体"/>
                <w:color w:val="auto"/>
                <w:sz w:val="24"/>
                <w:highlight w:val="none"/>
              </w:rPr>
              <w:t>1</w:t>
            </w:r>
          </w:p>
        </w:tc>
        <w:tc>
          <w:tcPr>
            <w:tcW w:w="1152" w:type="dxa"/>
            <w:tcBorders>
              <w:top w:val="single" w:color="auto" w:sz="4" w:space="0"/>
              <w:left w:val="nil"/>
              <w:bottom w:val="single" w:color="auto" w:sz="4" w:space="0"/>
              <w:right w:val="single" w:color="auto" w:sz="4" w:space="0"/>
            </w:tcBorders>
            <w:noWrap/>
            <w:vAlign w:val="center"/>
          </w:tcPr>
          <w:p w14:paraId="160AF15A">
            <w:pPr>
              <w:jc w:val="center"/>
              <w:rPr>
                <w:rFonts w:ascii="宋体" w:hAnsi="宋体" w:eastAsia="宋体" w:cs="宋体"/>
                <w:color w:val="auto"/>
                <w:sz w:val="24"/>
                <w:highlight w:val="none"/>
              </w:rPr>
            </w:pPr>
            <w:r>
              <w:rPr>
                <w:rFonts w:hint="eastAsia" w:ascii="宋体" w:hAnsi="宋体" w:eastAsia="宋体" w:cs="宋体"/>
                <w:color w:val="auto"/>
                <w:sz w:val="24"/>
                <w:highlight w:val="none"/>
              </w:rPr>
              <w:t>套</w:t>
            </w:r>
          </w:p>
        </w:tc>
      </w:tr>
      <w:tr w14:paraId="332F498A">
        <w:tblPrEx>
          <w:tblCellMar>
            <w:top w:w="0" w:type="dxa"/>
            <w:left w:w="108" w:type="dxa"/>
            <w:bottom w:w="0" w:type="dxa"/>
            <w:right w:w="108" w:type="dxa"/>
          </w:tblCellMar>
        </w:tblPrEx>
        <w:trPr>
          <w:trHeight w:val="462" w:hRule="atLeast"/>
        </w:trPr>
        <w:tc>
          <w:tcPr>
            <w:tcW w:w="860" w:type="dxa"/>
            <w:tcBorders>
              <w:top w:val="single" w:color="auto" w:sz="4" w:space="0"/>
              <w:left w:val="single" w:color="auto" w:sz="4" w:space="0"/>
              <w:bottom w:val="single" w:color="auto" w:sz="4" w:space="0"/>
              <w:right w:val="single" w:color="auto" w:sz="4" w:space="0"/>
            </w:tcBorders>
            <w:vAlign w:val="center"/>
          </w:tcPr>
          <w:p w14:paraId="1BBF4E20">
            <w:pPr>
              <w:spacing w:line="360" w:lineRule="auto"/>
              <w:jc w:val="center"/>
              <w:outlineLvl w:val="2"/>
              <w:rPr>
                <w:rFonts w:ascii="宋体" w:hAnsi="宋体" w:eastAsia="宋体" w:cs="宋体"/>
                <w:color w:val="auto"/>
                <w:sz w:val="24"/>
                <w:highlight w:val="none"/>
              </w:rPr>
            </w:pPr>
            <w:r>
              <w:rPr>
                <w:rFonts w:hint="eastAsia" w:ascii="宋体" w:hAnsi="宋体" w:eastAsia="宋体" w:cs="宋体"/>
                <w:color w:val="auto"/>
                <w:sz w:val="24"/>
                <w:highlight w:val="none"/>
              </w:rPr>
              <w:t>12</w:t>
            </w:r>
          </w:p>
        </w:tc>
        <w:tc>
          <w:tcPr>
            <w:tcW w:w="4127" w:type="dxa"/>
            <w:tcBorders>
              <w:top w:val="single" w:color="auto" w:sz="4" w:space="0"/>
              <w:left w:val="nil"/>
              <w:bottom w:val="single" w:color="auto" w:sz="4" w:space="0"/>
              <w:right w:val="single" w:color="auto" w:sz="4" w:space="0"/>
            </w:tcBorders>
            <w:vAlign w:val="center"/>
          </w:tcPr>
          <w:p w14:paraId="5CE979DF">
            <w:pPr>
              <w:spacing w:beforeLines="50"/>
              <w:rPr>
                <w:rFonts w:ascii="宋体" w:hAnsi="宋体" w:eastAsia="宋体" w:cs="宋体"/>
                <w:color w:val="auto"/>
                <w:sz w:val="24"/>
                <w:highlight w:val="none"/>
              </w:rPr>
            </w:pPr>
            <w:r>
              <w:rPr>
                <w:rFonts w:hint="eastAsia" w:ascii="宋体" w:hAnsi="宋体" w:eastAsia="宋体" w:cs="宋体"/>
                <w:color w:val="auto"/>
                <w:sz w:val="24"/>
                <w:highlight w:val="none"/>
              </w:rPr>
              <w:t>近台触控屏</w:t>
            </w:r>
          </w:p>
        </w:tc>
        <w:tc>
          <w:tcPr>
            <w:tcW w:w="1140" w:type="dxa"/>
            <w:tcBorders>
              <w:top w:val="single" w:color="auto" w:sz="4" w:space="0"/>
              <w:left w:val="nil"/>
              <w:bottom w:val="single" w:color="auto" w:sz="4" w:space="0"/>
              <w:right w:val="single" w:color="auto" w:sz="4" w:space="0"/>
            </w:tcBorders>
            <w:noWrap/>
            <w:vAlign w:val="center"/>
          </w:tcPr>
          <w:p w14:paraId="2F16FCB7">
            <w:pPr>
              <w:spacing w:line="360" w:lineRule="auto"/>
              <w:jc w:val="center"/>
              <w:outlineLvl w:val="2"/>
              <w:rPr>
                <w:rFonts w:ascii="宋体" w:hAnsi="宋体" w:eastAsia="宋体" w:cs="宋体"/>
                <w:color w:val="auto"/>
                <w:sz w:val="24"/>
                <w:highlight w:val="none"/>
              </w:rPr>
            </w:pPr>
            <w:r>
              <w:rPr>
                <w:rFonts w:hint="eastAsia" w:ascii="宋体" w:hAnsi="宋体" w:eastAsia="宋体" w:cs="宋体"/>
                <w:color w:val="auto"/>
                <w:sz w:val="24"/>
                <w:highlight w:val="none"/>
              </w:rPr>
              <w:t>1</w:t>
            </w:r>
          </w:p>
        </w:tc>
        <w:tc>
          <w:tcPr>
            <w:tcW w:w="1152" w:type="dxa"/>
            <w:tcBorders>
              <w:top w:val="single" w:color="auto" w:sz="4" w:space="0"/>
              <w:left w:val="nil"/>
              <w:bottom w:val="single" w:color="auto" w:sz="4" w:space="0"/>
              <w:right w:val="single" w:color="auto" w:sz="4" w:space="0"/>
            </w:tcBorders>
            <w:noWrap/>
            <w:vAlign w:val="center"/>
          </w:tcPr>
          <w:p w14:paraId="10EB57AA">
            <w:pPr>
              <w:jc w:val="center"/>
              <w:rPr>
                <w:rFonts w:ascii="宋体" w:hAnsi="宋体" w:eastAsia="宋体" w:cs="宋体"/>
                <w:color w:val="auto"/>
                <w:sz w:val="24"/>
                <w:highlight w:val="none"/>
              </w:rPr>
            </w:pPr>
            <w:r>
              <w:rPr>
                <w:rFonts w:hint="eastAsia" w:ascii="宋体" w:hAnsi="宋体" w:eastAsia="宋体" w:cs="宋体"/>
                <w:color w:val="auto"/>
                <w:sz w:val="24"/>
                <w:highlight w:val="none"/>
              </w:rPr>
              <w:t>套</w:t>
            </w:r>
          </w:p>
        </w:tc>
      </w:tr>
      <w:tr w14:paraId="63CB7F12">
        <w:tblPrEx>
          <w:tblCellMar>
            <w:top w:w="0" w:type="dxa"/>
            <w:left w:w="108" w:type="dxa"/>
            <w:bottom w:w="0" w:type="dxa"/>
            <w:right w:w="108" w:type="dxa"/>
          </w:tblCellMar>
        </w:tblPrEx>
        <w:trPr>
          <w:trHeight w:val="462" w:hRule="atLeast"/>
        </w:trPr>
        <w:tc>
          <w:tcPr>
            <w:tcW w:w="860" w:type="dxa"/>
            <w:tcBorders>
              <w:top w:val="single" w:color="auto" w:sz="4" w:space="0"/>
              <w:left w:val="single" w:color="auto" w:sz="4" w:space="0"/>
              <w:bottom w:val="single" w:color="auto" w:sz="4" w:space="0"/>
              <w:right w:val="single" w:color="auto" w:sz="4" w:space="0"/>
            </w:tcBorders>
            <w:vAlign w:val="center"/>
          </w:tcPr>
          <w:p w14:paraId="70B93880">
            <w:pPr>
              <w:spacing w:line="360" w:lineRule="auto"/>
              <w:jc w:val="center"/>
              <w:outlineLvl w:val="2"/>
              <w:rPr>
                <w:rFonts w:ascii="宋体" w:hAnsi="宋体" w:eastAsia="宋体" w:cs="宋体"/>
                <w:color w:val="auto"/>
                <w:sz w:val="24"/>
                <w:highlight w:val="none"/>
              </w:rPr>
            </w:pPr>
            <w:r>
              <w:rPr>
                <w:rFonts w:hint="eastAsia" w:ascii="宋体" w:hAnsi="宋体" w:eastAsia="宋体" w:cs="宋体"/>
                <w:color w:val="auto"/>
                <w:sz w:val="24"/>
                <w:highlight w:val="none"/>
              </w:rPr>
              <w:t>13</w:t>
            </w:r>
          </w:p>
        </w:tc>
        <w:tc>
          <w:tcPr>
            <w:tcW w:w="4127" w:type="dxa"/>
            <w:tcBorders>
              <w:top w:val="single" w:color="auto" w:sz="4" w:space="0"/>
              <w:left w:val="nil"/>
              <w:bottom w:val="single" w:color="auto" w:sz="4" w:space="0"/>
              <w:right w:val="single" w:color="auto" w:sz="4" w:space="0"/>
            </w:tcBorders>
            <w:vAlign w:val="center"/>
          </w:tcPr>
          <w:p w14:paraId="0ADDBDFC">
            <w:pPr>
              <w:spacing w:beforeLines="50"/>
              <w:rPr>
                <w:rFonts w:ascii="宋体" w:hAnsi="宋体" w:eastAsia="宋体" w:cs="宋体"/>
                <w:color w:val="auto"/>
                <w:sz w:val="24"/>
                <w:highlight w:val="none"/>
              </w:rPr>
            </w:pPr>
            <w:r>
              <w:rPr>
                <w:rFonts w:hint="eastAsia" w:ascii="宋体" w:hAnsi="宋体" w:eastAsia="宋体" w:cs="宋体"/>
                <w:color w:val="auto"/>
                <w:sz w:val="24"/>
                <w:highlight w:val="none"/>
              </w:rPr>
              <w:t>平板/球管跟踪功能</w:t>
            </w:r>
          </w:p>
        </w:tc>
        <w:tc>
          <w:tcPr>
            <w:tcW w:w="1140" w:type="dxa"/>
            <w:tcBorders>
              <w:top w:val="single" w:color="auto" w:sz="4" w:space="0"/>
              <w:left w:val="nil"/>
              <w:bottom w:val="single" w:color="auto" w:sz="4" w:space="0"/>
              <w:right w:val="single" w:color="auto" w:sz="4" w:space="0"/>
            </w:tcBorders>
            <w:noWrap/>
            <w:vAlign w:val="center"/>
          </w:tcPr>
          <w:p w14:paraId="4CD08460">
            <w:pPr>
              <w:spacing w:line="360" w:lineRule="auto"/>
              <w:jc w:val="center"/>
              <w:outlineLvl w:val="2"/>
              <w:rPr>
                <w:rFonts w:ascii="宋体" w:hAnsi="宋体" w:eastAsia="宋体" w:cs="宋体"/>
                <w:color w:val="auto"/>
                <w:sz w:val="24"/>
                <w:highlight w:val="none"/>
              </w:rPr>
            </w:pPr>
            <w:r>
              <w:rPr>
                <w:rFonts w:hint="eastAsia" w:ascii="宋体" w:hAnsi="宋体" w:eastAsia="宋体" w:cs="宋体"/>
                <w:color w:val="auto"/>
                <w:sz w:val="24"/>
                <w:highlight w:val="none"/>
              </w:rPr>
              <w:t>1</w:t>
            </w:r>
          </w:p>
        </w:tc>
        <w:tc>
          <w:tcPr>
            <w:tcW w:w="1152" w:type="dxa"/>
            <w:tcBorders>
              <w:top w:val="single" w:color="auto" w:sz="4" w:space="0"/>
              <w:left w:val="nil"/>
              <w:bottom w:val="single" w:color="auto" w:sz="4" w:space="0"/>
              <w:right w:val="single" w:color="auto" w:sz="4" w:space="0"/>
            </w:tcBorders>
            <w:noWrap/>
            <w:vAlign w:val="center"/>
          </w:tcPr>
          <w:p w14:paraId="2D5CC0F1">
            <w:pPr>
              <w:jc w:val="center"/>
              <w:rPr>
                <w:rFonts w:ascii="宋体" w:hAnsi="宋体" w:eastAsia="宋体" w:cs="宋体"/>
                <w:color w:val="auto"/>
                <w:sz w:val="24"/>
                <w:highlight w:val="none"/>
              </w:rPr>
            </w:pPr>
            <w:r>
              <w:rPr>
                <w:rFonts w:hint="eastAsia" w:ascii="宋体" w:hAnsi="宋体" w:eastAsia="宋体" w:cs="宋体"/>
                <w:color w:val="auto"/>
                <w:sz w:val="24"/>
                <w:highlight w:val="none"/>
              </w:rPr>
              <w:t>套</w:t>
            </w:r>
          </w:p>
        </w:tc>
      </w:tr>
      <w:tr w14:paraId="4E01F3E6">
        <w:tblPrEx>
          <w:tblCellMar>
            <w:top w:w="0" w:type="dxa"/>
            <w:left w:w="108" w:type="dxa"/>
            <w:bottom w:w="0" w:type="dxa"/>
            <w:right w:w="108" w:type="dxa"/>
          </w:tblCellMar>
        </w:tblPrEx>
        <w:trPr>
          <w:trHeight w:val="462" w:hRule="atLeast"/>
        </w:trPr>
        <w:tc>
          <w:tcPr>
            <w:tcW w:w="860" w:type="dxa"/>
            <w:tcBorders>
              <w:top w:val="single" w:color="auto" w:sz="4" w:space="0"/>
              <w:left w:val="single" w:color="auto" w:sz="4" w:space="0"/>
              <w:bottom w:val="single" w:color="auto" w:sz="4" w:space="0"/>
              <w:right w:val="single" w:color="auto" w:sz="4" w:space="0"/>
            </w:tcBorders>
            <w:vAlign w:val="center"/>
          </w:tcPr>
          <w:p w14:paraId="36AE8906">
            <w:pPr>
              <w:spacing w:line="360" w:lineRule="auto"/>
              <w:jc w:val="center"/>
              <w:outlineLvl w:val="2"/>
              <w:rPr>
                <w:rFonts w:ascii="宋体" w:hAnsi="宋体" w:eastAsia="宋体" w:cs="宋体"/>
                <w:color w:val="auto"/>
                <w:sz w:val="24"/>
                <w:highlight w:val="none"/>
              </w:rPr>
            </w:pPr>
            <w:r>
              <w:rPr>
                <w:rFonts w:hint="eastAsia" w:ascii="宋体" w:hAnsi="宋体" w:eastAsia="宋体" w:cs="宋体"/>
                <w:color w:val="auto"/>
                <w:sz w:val="24"/>
                <w:highlight w:val="none"/>
              </w:rPr>
              <w:t>14</w:t>
            </w:r>
          </w:p>
        </w:tc>
        <w:tc>
          <w:tcPr>
            <w:tcW w:w="4127" w:type="dxa"/>
            <w:tcBorders>
              <w:top w:val="single" w:color="auto" w:sz="4" w:space="0"/>
              <w:left w:val="nil"/>
              <w:bottom w:val="single" w:color="auto" w:sz="4" w:space="0"/>
              <w:right w:val="single" w:color="auto" w:sz="4" w:space="0"/>
            </w:tcBorders>
            <w:vAlign w:val="center"/>
          </w:tcPr>
          <w:p w14:paraId="01641CAF">
            <w:pPr>
              <w:spacing w:beforeLines="50"/>
              <w:rPr>
                <w:rFonts w:ascii="宋体" w:hAnsi="宋体" w:eastAsia="宋体" w:cs="宋体"/>
                <w:color w:val="auto"/>
                <w:sz w:val="24"/>
                <w:highlight w:val="none"/>
              </w:rPr>
            </w:pPr>
            <w:r>
              <w:rPr>
                <w:rFonts w:hint="eastAsia" w:ascii="宋体" w:hAnsi="宋体" w:eastAsia="宋体" w:cs="宋体"/>
                <w:color w:val="auto"/>
                <w:sz w:val="24"/>
                <w:highlight w:val="none"/>
              </w:rPr>
              <w:t>智能质控平台</w:t>
            </w:r>
          </w:p>
        </w:tc>
        <w:tc>
          <w:tcPr>
            <w:tcW w:w="1140" w:type="dxa"/>
            <w:tcBorders>
              <w:top w:val="single" w:color="auto" w:sz="4" w:space="0"/>
              <w:left w:val="nil"/>
              <w:bottom w:val="single" w:color="auto" w:sz="4" w:space="0"/>
              <w:right w:val="single" w:color="auto" w:sz="4" w:space="0"/>
            </w:tcBorders>
            <w:noWrap/>
            <w:vAlign w:val="center"/>
          </w:tcPr>
          <w:p w14:paraId="4B1A7285">
            <w:pPr>
              <w:spacing w:line="360" w:lineRule="auto"/>
              <w:jc w:val="center"/>
              <w:outlineLvl w:val="2"/>
              <w:rPr>
                <w:rFonts w:ascii="宋体" w:hAnsi="宋体" w:eastAsia="宋体" w:cs="宋体"/>
                <w:color w:val="auto"/>
                <w:sz w:val="24"/>
                <w:highlight w:val="none"/>
              </w:rPr>
            </w:pPr>
            <w:r>
              <w:rPr>
                <w:rFonts w:hint="eastAsia" w:ascii="宋体" w:hAnsi="宋体" w:eastAsia="宋体" w:cs="宋体"/>
                <w:color w:val="auto"/>
                <w:sz w:val="24"/>
                <w:highlight w:val="none"/>
              </w:rPr>
              <w:t>1</w:t>
            </w:r>
          </w:p>
        </w:tc>
        <w:tc>
          <w:tcPr>
            <w:tcW w:w="1152" w:type="dxa"/>
            <w:tcBorders>
              <w:top w:val="single" w:color="auto" w:sz="4" w:space="0"/>
              <w:left w:val="nil"/>
              <w:bottom w:val="single" w:color="auto" w:sz="4" w:space="0"/>
              <w:right w:val="single" w:color="auto" w:sz="4" w:space="0"/>
            </w:tcBorders>
            <w:noWrap/>
            <w:vAlign w:val="center"/>
          </w:tcPr>
          <w:p w14:paraId="71F21C14">
            <w:pPr>
              <w:jc w:val="center"/>
              <w:rPr>
                <w:rFonts w:ascii="宋体" w:hAnsi="宋体" w:eastAsia="宋体" w:cs="宋体"/>
                <w:color w:val="auto"/>
                <w:sz w:val="24"/>
                <w:highlight w:val="none"/>
              </w:rPr>
            </w:pPr>
            <w:r>
              <w:rPr>
                <w:rFonts w:hint="eastAsia" w:ascii="宋体" w:hAnsi="宋体" w:eastAsia="宋体" w:cs="宋体"/>
                <w:color w:val="auto"/>
                <w:sz w:val="24"/>
                <w:highlight w:val="none"/>
              </w:rPr>
              <w:t>套</w:t>
            </w:r>
          </w:p>
        </w:tc>
      </w:tr>
      <w:tr w14:paraId="6A53F953">
        <w:tblPrEx>
          <w:tblCellMar>
            <w:top w:w="0" w:type="dxa"/>
            <w:left w:w="108" w:type="dxa"/>
            <w:bottom w:w="0" w:type="dxa"/>
            <w:right w:w="108" w:type="dxa"/>
          </w:tblCellMar>
        </w:tblPrEx>
        <w:trPr>
          <w:trHeight w:val="462" w:hRule="atLeast"/>
        </w:trPr>
        <w:tc>
          <w:tcPr>
            <w:tcW w:w="860" w:type="dxa"/>
            <w:tcBorders>
              <w:top w:val="single" w:color="auto" w:sz="4" w:space="0"/>
              <w:left w:val="single" w:color="auto" w:sz="4" w:space="0"/>
              <w:bottom w:val="single" w:color="auto" w:sz="4" w:space="0"/>
              <w:right w:val="single" w:color="auto" w:sz="4" w:space="0"/>
            </w:tcBorders>
            <w:vAlign w:val="center"/>
          </w:tcPr>
          <w:p w14:paraId="3ED603EE">
            <w:pPr>
              <w:spacing w:line="360" w:lineRule="auto"/>
              <w:jc w:val="center"/>
              <w:outlineLvl w:val="2"/>
              <w:rPr>
                <w:rFonts w:ascii="宋体" w:hAnsi="宋体" w:eastAsia="宋体" w:cs="宋体"/>
                <w:color w:val="auto"/>
                <w:sz w:val="24"/>
                <w:highlight w:val="none"/>
              </w:rPr>
            </w:pPr>
            <w:r>
              <w:rPr>
                <w:rFonts w:hint="eastAsia" w:ascii="宋体" w:hAnsi="宋体" w:eastAsia="宋体" w:cs="宋体"/>
                <w:color w:val="auto"/>
                <w:sz w:val="24"/>
                <w:highlight w:val="none"/>
              </w:rPr>
              <w:t>15</w:t>
            </w:r>
          </w:p>
        </w:tc>
        <w:tc>
          <w:tcPr>
            <w:tcW w:w="4127" w:type="dxa"/>
            <w:tcBorders>
              <w:top w:val="single" w:color="auto" w:sz="4" w:space="0"/>
              <w:left w:val="nil"/>
              <w:bottom w:val="single" w:color="auto" w:sz="4" w:space="0"/>
              <w:right w:val="single" w:color="auto" w:sz="4" w:space="0"/>
            </w:tcBorders>
            <w:vAlign w:val="center"/>
          </w:tcPr>
          <w:p w14:paraId="067A1303">
            <w:pPr>
              <w:rPr>
                <w:rFonts w:ascii="宋体" w:hAnsi="宋体" w:eastAsia="宋体" w:cs="宋体"/>
                <w:color w:val="auto"/>
                <w:sz w:val="24"/>
                <w:highlight w:val="none"/>
              </w:rPr>
            </w:pPr>
            <w:r>
              <w:rPr>
                <w:rFonts w:hint="eastAsia" w:ascii="宋体" w:hAnsi="宋体" w:eastAsia="宋体" w:cs="宋体"/>
                <w:color w:val="auto"/>
                <w:sz w:val="24"/>
                <w:highlight w:val="none"/>
              </w:rPr>
              <w:t>自动长骨拍摄拼接功能</w:t>
            </w:r>
          </w:p>
        </w:tc>
        <w:tc>
          <w:tcPr>
            <w:tcW w:w="1140" w:type="dxa"/>
            <w:tcBorders>
              <w:top w:val="single" w:color="auto" w:sz="4" w:space="0"/>
              <w:left w:val="nil"/>
              <w:bottom w:val="single" w:color="auto" w:sz="4" w:space="0"/>
              <w:right w:val="single" w:color="auto" w:sz="4" w:space="0"/>
            </w:tcBorders>
            <w:noWrap/>
            <w:vAlign w:val="center"/>
          </w:tcPr>
          <w:p w14:paraId="15C078FF">
            <w:pPr>
              <w:spacing w:line="360" w:lineRule="auto"/>
              <w:jc w:val="center"/>
              <w:outlineLvl w:val="2"/>
              <w:rPr>
                <w:rFonts w:ascii="宋体" w:hAnsi="宋体" w:eastAsia="宋体" w:cs="宋体"/>
                <w:color w:val="auto"/>
                <w:sz w:val="24"/>
                <w:highlight w:val="none"/>
              </w:rPr>
            </w:pPr>
            <w:r>
              <w:rPr>
                <w:rFonts w:hint="eastAsia" w:ascii="宋体" w:hAnsi="宋体" w:eastAsia="宋体" w:cs="宋体"/>
                <w:color w:val="auto"/>
                <w:sz w:val="24"/>
                <w:highlight w:val="none"/>
              </w:rPr>
              <w:t>1</w:t>
            </w:r>
          </w:p>
        </w:tc>
        <w:tc>
          <w:tcPr>
            <w:tcW w:w="1152" w:type="dxa"/>
            <w:tcBorders>
              <w:top w:val="single" w:color="auto" w:sz="4" w:space="0"/>
              <w:left w:val="nil"/>
              <w:bottom w:val="single" w:color="auto" w:sz="4" w:space="0"/>
              <w:right w:val="single" w:color="auto" w:sz="4" w:space="0"/>
            </w:tcBorders>
            <w:noWrap/>
            <w:vAlign w:val="center"/>
          </w:tcPr>
          <w:p w14:paraId="0096D711">
            <w:pPr>
              <w:jc w:val="center"/>
              <w:rPr>
                <w:rFonts w:ascii="宋体" w:hAnsi="宋体" w:eastAsia="宋体" w:cs="宋体"/>
                <w:color w:val="auto"/>
                <w:sz w:val="24"/>
                <w:highlight w:val="none"/>
              </w:rPr>
            </w:pPr>
            <w:r>
              <w:rPr>
                <w:rFonts w:hint="eastAsia" w:ascii="宋体" w:hAnsi="宋体" w:eastAsia="宋体" w:cs="宋体"/>
                <w:color w:val="auto"/>
                <w:sz w:val="24"/>
                <w:highlight w:val="none"/>
              </w:rPr>
              <w:t>套</w:t>
            </w:r>
          </w:p>
        </w:tc>
      </w:tr>
      <w:tr w14:paraId="250967A9">
        <w:tblPrEx>
          <w:tblCellMar>
            <w:top w:w="0" w:type="dxa"/>
            <w:left w:w="108" w:type="dxa"/>
            <w:bottom w:w="0" w:type="dxa"/>
            <w:right w:w="108" w:type="dxa"/>
          </w:tblCellMar>
        </w:tblPrEx>
        <w:trPr>
          <w:trHeight w:val="462" w:hRule="atLeast"/>
        </w:trPr>
        <w:tc>
          <w:tcPr>
            <w:tcW w:w="860" w:type="dxa"/>
            <w:tcBorders>
              <w:top w:val="single" w:color="auto" w:sz="4" w:space="0"/>
              <w:left w:val="single" w:color="auto" w:sz="4" w:space="0"/>
              <w:bottom w:val="single" w:color="auto" w:sz="4" w:space="0"/>
              <w:right w:val="single" w:color="auto" w:sz="4" w:space="0"/>
            </w:tcBorders>
            <w:vAlign w:val="center"/>
          </w:tcPr>
          <w:p w14:paraId="4C8563B2">
            <w:pPr>
              <w:spacing w:line="360" w:lineRule="auto"/>
              <w:jc w:val="center"/>
              <w:outlineLvl w:val="2"/>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16</w:t>
            </w:r>
          </w:p>
        </w:tc>
        <w:tc>
          <w:tcPr>
            <w:tcW w:w="4127" w:type="dxa"/>
            <w:tcBorders>
              <w:top w:val="single" w:color="auto" w:sz="4" w:space="0"/>
              <w:left w:val="nil"/>
              <w:bottom w:val="single" w:color="auto" w:sz="4" w:space="0"/>
              <w:right w:val="single" w:color="auto" w:sz="4" w:space="0"/>
            </w:tcBorders>
            <w:vAlign w:val="center"/>
          </w:tcPr>
          <w:p w14:paraId="4B644E7C">
            <w:pPr>
              <w:rPr>
                <w:rFonts w:hint="eastAsia" w:ascii="宋体" w:hAnsi="宋体" w:eastAsia="宋体" w:cs="宋体"/>
                <w:color w:val="auto"/>
                <w:sz w:val="24"/>
                <w:highlight w:val="none"/>
              </w:rPr>
            </w:pPr>
            <w:r>
              <w:rPr>
                <w:rFonts w:hint="eastAsia"/>
                <w:color w:val="auto"/>
                <w:highlight w:val="none"/>
              </w:rPr>
              <w:t>成人辐射防护用品</w:t>
            </w:r>
          </w:p>
        </w:tc>
        <w:tc>
          <w:tcPr>
            <w:tcW w:w="1140" w:type="dxa"/>
            <w:tcBorders>
              <w:top w:val="single" w:color="auto" w:sz="4" w:space="0"/>
              <w:left w:val="nil"/>
              <w:bottom w:val="single" w:color="auto" w:sz="4" w:space="0"/>
              <w:right w:val="single" w:color="auto" w:sz="4" w:space="0"/>
            </w:tcBorders>
            <w:noWrap/>
            <w:vAlign w:val="center"/>
          </w:tcPr>
          <w:p w14:paraId="3AF8C10C">
            <w:pPr>
              <w:spacing w:line="360" w:lineRule="auto"/>
              <w:jc w:val="center"/>
              <w:outlineLvl w:val="2"/>
              <w:rPr>
                <w:rFonts w:hint="eastAsia" w:ascii="宋体" w:hAnsi="宋体" w:eastAsia="宋体" w:cs="宋体"/>
                <w:color w:val="auto"/>
                <w:sz w:val="24"/>
                <w:highlight w:val="none"/>
              </w:rPr>
            </w:pPr>
            <w:r>
              <w:rPr>
                <w:rFonts w:hint="eastAsia"/>
                <w:color w:val="auto"/>
                <w:highlight w:val="none"/>
              </w:rPr>
              <w:t>2</w:t>
            </w:r>
          </w:p>
        </w:tc>
        <w:tc>
          <w:tcPr>
            <w:tcW w:w="1152" w:type="dxa"/>
            <w:tcBorders>
              <w:top w:val="single" w:color="auto" w:sz="4" w:space="0"/>
              <w:left w:val="nil"/>
              <w:bottom w:val="single" w:color="auto" w:sz="4" w:space="0"/>
              <w:right w:val="single" w:color="auto" w:sz="4" w:space="0"/>
            </w:tcBorders>
            <w:noWrap/>
            <w:vAlign w:val="center"/>
          </w:tcPr>
          <w:p w14:paraId="76C862A9">
            <w:pPr>
              <w:jc w:val="center"/>
              <w:rPr>
                <w:rFonts w:hint="eastAsia" w:ascii="宋体" w:hAnsi="宋体" w:eastAsia="宋体" w:cs="宋体"/>
                <w:color w:val="auto"/>
                <w:sz w:val="24"/>
                <w:highlight w:val="none"/>
              </w:rPr>
            </w:pPr>
            <w:r>
              <w:rPr>
                <w:rFonts w:hint="eastAsia"/>
                <w:color w:val="auto"/>
                <w:highlight w:val="none"/>
              </w:rPr>
              <w:t>套</w:t>
            </w:r>
          </w:p>
        </w:tc>
      </w:tr>
      <w:tr w14:paraId="72387F86">
        <w:tblPrEx>
          <w:tblCellMar>
            <w:top w:w="0" w:type="dxa"/>
            <w:left w:w="108" w:type="dxa"/>
            <w:bottom w:w="0" w:type="dxa"/>
            <w:right w:w="108" w:type="dxa"/>
          </w:tblCellMar>
        </w:tblPrEx>
        <w:trPr>
          <w:trHeight w:val="462" w:hRule="atLeast"/>
        </w:trPr>
        <w:tc>
          <w:tcPr>
            <w:tcW w:w="860" w:type="dxa"/>
            <w:tcBorders>
              <w:top w:val="single" w:color="auto" w:sz="4" w:space="0"/>
              <w:left w:val="single" w:color="auto" w:sz="4" w:space="0"/>
              <w:bottom w:val="single" w:color="auto" w:sz="4" w:space="0"/>
              <w:right w:val="single" w:color="auto" w:sz="4" w:space="0"/>
            </w:tcBorders>
            <w:vAlign w:val="center"/>
          </w:tcPr>
          <w:p w14:paraId="0082F1C0">
            <w:pPr>
              <w:spacing w:line="360" w:lineRule="auto"/>
              <w:jc w:val="center"/>
              <w:outlineLvl w:val="2"/>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17</w:t>
            </w:r>
          </w:p>
        </w:tc>
        <w:tc>
          <w:tcPr>
            <w:tcW w:w="4127" w:type="dxa"/>
            <w:tcBorders>
              <w:top w:val="single" w:color="auto" w:sz="4" w:space="0"/>
              <w:left w:val="nil"/>
              <w:bottom w:val="single" w:color="auto" w:sz="4" w:space="0"/>
              <w:right w:val="single" w:color="auto" w:sz="4" w:space="0"/>
            </w:tcBorders>
            <w:vAlign w:val="center"/>
          </w:tcPr>
          <w:p w14:paraId="51769254">
            <w:pPr>
              <w:rPr>
                <w:rFonts w:hint="eastAsia" w:ascii="宋体" w:hAnsi="宋体" w:eastAsia="宋体" w:cs="宋体"/>
                <w:color w:val="auto"/>
                <w:sz w:val="24"/>
                <w:highlight w:val="none"/>
              </w:rPr>
            </w:pPr>
            <w:r>
              <w:rPr>
                <w:rFonts w:hint="eastAsia"/>
                <w:color w:val="auto"/>
                <w:highlight w:val="none"/>
              </w:rPr>
              <w:t>儿童防护用品</w:t>
            </w:r>
          </w:p>
        </w:tc>
        <w:tc>
          <w:tcPr>
            <w:tcW w:w="1140" w:type="dxa"/>
            <w:tcBorders>
              <w:top w:val="single" w:color="auto" w:sz="4" w:space="0"/>
              <w:left w:val="nil"/>
              <w:bottom w:val="single" w:color="auto" w:sz="4" w:space="0"/>
              <w:right w:val="single" w:color="auto" w:sz="4" w:space="0"/>
            </w:tcBorders>
            <w:shd w:val="clear" w:color="auto" w:fill="auto"/>
            <w:noWrap/>
            <w:vAlign w:val="center"/>
          </w:tcPr>
          <w:p w14:paraId="27DB99E8">
            <w:pPr>
              <w:spacing w:line="360" w:lineRule="auto"/>
              <w:jc w:val="center"/>
              <w:outlineLvl w:val="2"/>
              <w:rPr>
                <w:rFonts w:hint="eastAsia" w:ascii="宋体" w:hAnsi="宋体" w:eastAsia="宋体" w:cs="宋体"/>
                <w:color w:val="auto"/>
                <w:kern w:val="2"/>
                <w:sz w:val="24"/>
                <w:szCs w:val="24"/>
                <w:highlight w:val="none"/>
                <w:lang w:val="en-US" w:eastAsia="zh-CN" w:bidi="ar-SA"/>
              </w:rPr>
            </w:pPr>
            <w:r>
              <w:rPr>
                <w:rFonts w:hint="eastAsia"/>
                <w:color w:val="auto"/>
                <w:highlight w:val="none"/>
              </w:rPr>
              <w:t>2</w:t>
            </w:r>
          </w:p>
        </w:tc>
        <w:tc>
          <w:tcPr>
            <w:tcW w:w="1152" w:type="dxa"/>
            <w:tcBorders>
              <w:top w:val="single" w:color="auto" w:sz="4" w:space="0"/>
              <w:left w:val="nil"/>
              <w:bottom w:val="single" w:color="auto" w:sz="4" w:space="0"/>
              <w:right w:val="single" w:color="auto" w:sz="4" w:space="0"/>
            </w:tcBorders>
            <w:shd w:val="clear" w:color="auto" w:fill="auto"/>
            <w:noWrap/>
            <w:vAlign w:val="center"/>
          </w:tcPr>
          <w:p w14:paraId="120B4CC2">
            <w:pPr>
              <w:jc w:val="center"/>
              <w:rPr>
                <w:rFonts w:hint="eastAsia" w:ascii="宋体" w:hAnsi="宋体" w:eastAsia="宋体" w:cs="宋体"/>
                <w:color w:val="auto"/>
                <w:kern w:val="2"/>
                <w:sz w:val="24"/>
                <w:szCs w:val="24"/>
                <w:highlight w:val="none"/>
                <w:lang w:val="en-US" w:eastAsia="zh-CN" w:bidi="ar-SA"/>
              </w:rPr>
            </w:pPr>
            <w:r>
              <w:rPr>
                <w:rFonts w:hint="eastAsia"/>
                <w:color w:val="auto"/>
                <w:highlight w:val="none"/>
              </w:rPr>
              <w:t>套</w:t>
            </w:r>
          </w:p>
        </w:tc>
      </w:tr>
    </w:tbl>
    <w:p w14:paraId="6C4E6980">
      <w:pPr>
        <w:rPr>
          <w:color w:val="auto"/>
          <w:highlight w:val="none"/>
        </w:rPr>
      </w:pPr>
    </w:p>
    <w:p w14:paraId="2255713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Lines="0" w:beforeAutospacing="0" w:after="0" w:afterAutospacing="0" w:line="360" w:lineRule="auto"/>
        <w:ind w:left="0" w:right="0" w:firstLine="0"/>
        <w:jc w:val="both"/>
        <w:rPr>
          <w:rFonts w:hint="eastAsia" w:ascii="宋体" w:hAnsi="宋体" w:eastAsia="宋体" w:cs="宋体"/>
          <w:color w:val="auto"/>
          <w:sz w:val="21"/>
          <w:szCs w:val="21"/>
          <w:highlight w:val="none"/>
          <w:lang w:val="en-US" w:eastAsia="zh-CN"/>
        </w:rPr>
      </w:pPr>
    </w:p>
    <w:p w14:paraId="6CA97E7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Lines="0" w:beforeAutospacing="0" w:after="0" w:afterAutospacing="0" w:line="360" w:lineRule="auto"/>
        <w:ind w:left="0" w:right="0" w:firstLine="0"/>
        <w:jc w:val="both"/>
        <w:rPr>
          <w:rFonts w:hint="eastAsia" w:ascii="宋体" w:hAnsi="宋体" w:eastAsia="宋体" w:cs="宋体"/>
          <w:color w:val="auto"/>
          <w:sz w:val="21"/>
          <w:szCs w:val="21"/>
          <w:highlight w:val="none"/>
          <w:lang w:val="en-US" w:eastAsia="zh-CN"/>
        </w:rPr>
      </w:pPr>
    </w:p>
    <w:p w14:paraId="6472D4B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Lines="0" w:beforeAutospacing="0" w:after="0" w:afterAutospacing="0" w:line="360" w:lineRule="auto"/>
        <w:ind w:left="0" w:right="0" w:firstLine="0"/>
        <w:jc w:val="both"/>
        <w:rPr>
          <w:rFonts w:hint="eastAsia" w:ascii="宋体" w:hAnsi="宋体" w:eastAsia="宋体" w:cs="宋体"/>
          <w:color w:val="auto"/>
          <w:sz w:val="30"/>
          <w:szCs w:val="30"/>
          <w:highlight w:val="none"/>
          <w:lang w:val="en-US" w:eastAsia="zh-CN"/>
        </w:rPr>
      </w:pPr>
      <w:r>
        <w:rPr>
          <w:rFonts w:hint="eastAsia" w:ascii="宋体" w:hAnsi="宋体" w:eastAsia="宋体" w:cs="宋体"/>
          <w:color w:val="auto"/>
          <w:sz w:val="30"/>
          <w:szCs w:val="30"/>
          <w:highlight w:val="none"/>
          <w:lang w:val="en-US" w:eastAsia="zh-CN"/>
        </w:rPr>
        <w:t>四、商务条款：</w:t>
      </w:r>
    </w:p>
    <w:p w14:paraId="7BBC029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一、</w:t>
      </w:r>
      <w:r>
        <w:rPr>
          <w:rFonts w:hint="eastAsia" w:ascii="宋体" w:hAnsi="宋体" w:eastAsia="宋体" w:cs="宋体"/>
          <w:b/>
          <w:bCs/>
          <w:color w:val="auto"/>
          <w:sz w:val="21"/>
          <w:szCs w:val="21"/>
          <w:highlight w:val="none"/>
        </w:rPr>
        <w:t>标的提供的时间</w:t>
      </w:r>
      <w:r>
        <w:rPr>
          <w:rFonts w:hint="eastAsia" w:ascii="宋体" w:hAnsi="宋体" w:eastAsia="宋体" w:cs="宋体"/>
          <w:b/>
          <w:bCs/>
          <w:color w:val="auto"/>
          <w:sz w:val="21"/>
          <w:szCs w:val="21"/>
          <w:highlight w:val="none"/>
          <w:lang w:eastAsia="zh-CN"/>
        </w:rPr>
        <w:t>：</w:t>
      </w:r>
      <w:r>
        <w:rPr>
          <w:rFonts w:hint="eastAsia" w:ascii="宋体" w:hAnsi="宋体" w:eastAsia="宋体" w:cs="宋体"/>
          <w:color w:val="auto"/>
          <w:sz w:val="21"/>
          <w:szCs w:val="21"/>
          <w:highlight w:val="none"/>
          <w:lang w:val="en-US" w:eastAsia="zh-CN"/>
        </w:rPr>
        <w:t>合同签定后30日内交货</w:t>
      </w:r>
    </w:p>
    <w:p w14:paraId="6A98467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二、</w:t>
      </w:r>
      <w:r>
        <w:rPr>
          <w:rFonts w:hint="eastAsia" w:ascii="宋体" w:hAnsi="宋体" w:eastAsia="宋体" w:cs="宋体"/>
          <w:b/>
          <w:bCs/>
          <w:color w:val="auto"/>
          <w:sz w:val="21"/>
          <w:szCs w:val="21"/>
          <w:highlight w:val="none"/>
        </w:rPr>
        <w:t>标的提供的地点</w:t>
      </w:r>
      <w:r>
        <w:rPr>
          <w:rFonts w:hint="eastAsia" w:ascii="宋体" w:hAnsi="宋体" w:eastAsia="宋体" w:cs="宋体"/>
          <w:b/>
          <w:bCs/>
          <w:color w:val="auto"/>
          <w:sz w:val="21"/>
          <w:szCs w:val="21"/>
          <w:highlight w:val="none"/>
          <w:lang w:eastAsia="zh-CN"/>
        </w:rPr>
        <w:t>：</w:t>
      </w:r>
      <w:bookmarkStart w:id="0" w:name="_GoBack"/>
      <w:bookmarkEnd w:id="0"/>
      <w:r>
        <w:rPr>
          <w:rFonts w:hint="eastAsia" w:ascii="宋体" w:hAnsi="宋体" w:eastAsia="宋体" w:cs="宋体"/>
          <w:b/>
          <w:bCs/>
          <w:color w:val="auto"/>
          <w:sz w:val="21"/>
          <w:szCs w:val="21"/>
          <w:highlight w:val="none"/>
          <w:lang w:val="en-US" w:eastAsia="zh-CN"/>
        </w:rPr>
        <w:t>采购人指定的地点</w:t>
      </w:r>
    </w:p>
    <w:p w14:paraId="4C62A97F">
      <w:pPr>
        <w:pStyle w:val="10"/>
        <w:spacing w:beforeLines="0" w:line="360" w:lineRule="auto"/>
        <w:jc w:val="both"/>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三、付款方式：</w:t>
      </w:r>
      <w:r>
        <w:rPr>
          <w:rFonts w:hint="eastAsia" w:ascii="宋体" w:hAnsi="宋体" w:eastAsia="宋体" w:cs="宋体"/>
          <w:b w:val="0"/>
          <w:bCs w:val="0"/>
          <w:color w:val="auto"/>
          <w:sz w:val="21"/>
          <w:szCs w:val="21"/>
          <w:highlight w:val="none"/>
          <w:lang w:val="en-US" w:eastAsia="zh-CN"/>
        </w:rPr>
        <w:t>1.全部设备验收合格后六个月内由甲方向乙方支付合同总金额的60%。</w:t>
      </w:r>
    </w:p>
    <w:p w14:paraId="0BE9FD56">
      <w:pPr>
        <w:pStyle w:val="10"/>
        <w:spacing w:beforeLines="0" w:line="360" w:lineRule="auto"/>
        <w:jc w:val="both"/>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2.验收合格后满一年由甲方向乙方支付合同总金额的30%。</w:t>
      </w:r>
    </w:p>
    <w:p w14:paraId="38141E07">
      <w:pPr>
        <w:pStyle w:val="10"/>
        <w:spacing w:beforeLines="0" w:line="360" w:lineRule="auto"/>
        <w:jc w:val="both"/>
        <w:rPr>
          <w:rFonts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ascii="宋体" w:hAnsi="宋体" w:eastAsia="宋体" w:cs="宋体"/>
          <w:color w:val="auto"/>
          <w:sz w:val="21"/>
          <w:szCs w:val="21"/>
          <w:highlight w:val="none"/>
        </w:rPr>
        <w:t>质保期满后，由甲方向乙方支付合同总金额的10%。</w:t>
      </w:r>
    </w:p>
    <w:p w14:paraId="7F2A9E60">
      <w:pPr>
        <w:pStyle w:val="10"/>
        <w:spacing w:beforeLines="0" w:line="360" w:lineRule="auto"/>
        <w:jc w:val="both"/>
        <w:rPr>
          <w:rFonts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r>
        <w:rPr>
          <w:rFonts w:ascii="宋体" w:hAnsi="宋体" w:eastAsia="宋体" w:cs="宋体"/>
          <w:color w:val="auto"/>
          <w:sz w:val="21"/>
          <w:szCs w:val="21"/>
          <w:highlight w:val="none"/>
        </w:rPr>
        <w:t>合同款项以人民币转账方式支付。每次付款前乙方凭以下材料提出付款申请：（1）正式等额发票；（2）合同；（3）中标通知书；（4）验收报告。</w:t>
      </w:r>
    </w:p>
    <w:p w14:paraId="23B47C6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bCs/>
          <w:color w:val="auto"/>
          <w:sz w:val="21"/>
          <w:szCs w:val="21"/>
          <w:highlight w:val="none"/>
          <w:lang w:eastAsia="zh-CN"/>
        </w:rPr>
      </w:pPr>
      <w:r>
        <w:rPr>
          <w:rFonts w:hint="eastAsia" w:cs="宋体"/>
          <w:b/>
          <w:bCs/>
          <w:color w:val="auto"/>
          <w:sz w:val="21"/>
          <w:szCs w:val="21"/>
          <w:highlight w:val="none"/>
          <w:lang w:val="en-US" w:eastAsia="zh-CN"/>
        </w:rPr>
        <w:t>四、</w:t>
      </w:r>
      <w:r>
        <w:rPr>
          <w:rFonts w:hint="eastAsia" w:ascii="宋体" w:hAnsi="宋体" w:eastAsia="宋体" w:cs="宋体"/>
          <w:b/>
          <w:bCs/>
          <w:color w:val="auto"/>
          <w:sz w:val="21"/>
          <w:szCs w:val="21"/>
          <w:highlight w:val="none"/>
        </w:rPr>
        <w:t>验收要求</w:t>
      </w:r>
      <w:r>
        <w:rPr>
          <w:rFonts w:hint="eastAsia" w:ascii="宋体" w:hAnsi="宋体" w:eastAsia="宋体" w:cs="宋体"/>
          <w:b/>
          <w:bCs/>
          <w:color w:val="auto"/>
          <w:sz w:val="21"/>
          <w:szCs w:val="21"/>
          <w:highlight w:val="none"/>
          <w:lang w:eastAsia="zh-CN"/>
        </w:rPr>
        <w:t>：</w:t>
      </w:r>
    </w:p>
    <w:p w14:paraId="209DB43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420" w:firstLineChars="20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中标人应根据所提交的验收方案和实施办法，自行组织设备和人员，</w:t>
      </w:r>
      <w:r>
        <w:rPr>
          <w:rFonts w:hint="eastAsia" w:cs="宋体"/>
          <w:b w:val="0"/>
          <w:bCs w:val="0"/>
          <w:color w:val="auto"/>
          <w:sz w:val="21"/>
          <w:szCs w:val="21"/>
          <w:highlight w:val="none"/>
          <w:lang w:val="en-US" w:eastAsia="zh-CN"/>
        </w:rPr>
        <w:t>由采购人组成的验收小组</w:t>
      </w:r>
      <w:r>
        <w:rPr>
          <w:rFonts w:hint="eastAsia" w:ascii="宋体" w:hAnsi="宋体" w:eastAsia="宋体" w:cs="宋体"/>
          <w:b w:val="0"/>
          <w:bCs w:val="0"/>
          <w:color w:val="auto"/>
          <w:sz w:val="21"/>
          <w:szCs w:val="21"/>
          <w:highlight w:val="none"/>
          <w:lang w:eastAsia="zh-CN"/>
        </w:rPr>
        <w:t xml:space="preserve">现场进行测试和验收。 </w:t>
      </w:r>
    </w:p>
    <w:p w14:paraId="346D774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（1）开箱检验。</w:t>
      </w:r>
    </w:p>
    <w:p w14:paraId="0647542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 xml:space="preserve"> 1.1 所有设备、器材在开箱时必须完好，无破损。配置与装箱单相符。数量、质量及性能不低于合同要求。</w:t>
      </w:r>
    </w:p>
    <w:p w14:paraId="09EC0C0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 xml:space="preserve"> 1.2 拆箱后，中标人应对其全部产品、零件、配件、用户许可证书、资料、介质造册登记，并与装箱单对比，如有出入应立即书面记录，由供货商解决，如影响安装则按合同有关条款处理。登记册作为验收文档之一。 </w:t>
      </w:r>
    </w:p>
    <w:p w14:paraId="693DA98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（2）系统测试。系统安装完成后，按照系统要求的基本功能逐一测试。 如系统测试中发现设备性能指标或功能上不符合标书和合同时，将被看作性能不合格，设备使用单位有权拒收并要求赔偿；</w:t>
      </w:r>
    </w:p>
    <w:p w14:paraId="4AF8D55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 xml:space="preserve"> （3）产品验收要求。 </w:t>
      </w:r>
    </w:p>
    <w:p w14:paraId="23445A5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 xml:space="preserve">3.1 要求对全部设备、产品、型号、规格、数量、外型、外观、包装及资料、文件（如装箱单、保修单、随箱介质等）的验收。 </w:t>
      </w:r>
    </w:p>
    <w:p w14:paraId="083B258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3.</w:t>
      </w:r>
      <w:r>
        <w:rPr>
          <w:rFonts w:hint="eastAsia" w:cs="宋体"/>
          <w:b w:val="0"/>
          <w:bCs w:val="0"/>
          <w:color w:val="auto"/>
          <w:sz w:val="21"/>
          <w:szCs w:val="21"/>
          <w:highlight w:val="none"/>
          <w:lang w:val="en-US" w:eastAsia="zh-CN"/>
        </w:rPr>
        <w:t>2</w:t>
      </w:r>
      <w:r>
        <w:rPr>
          <w:rFonts w:hint="eastAsia" w:ascii="宋体" w:hAnsi="宋体" w:eastAsia="宋体" w:cs="宋体"/>
          <w:b w:val="0"/>
          <w:bCs w:val="0"/>
          <w:color w:val="auto"/>
          <w:sz w:val="21"/>
          <w:szCs w:val="21"/>
          <w:highlight w:val="none"/>
          <w:lang w:eastAsia="zh-CN"/>
        </w:rPr>
        <w:t xml:space="preserve"> 货物若有国家标准按照国家标准验收，若无国家标准按行业标准验收，为原制造商制造的全新产品，整机无污染，无侵权行为、表面无划损、无任何缺陷隐患，在中国境内可依常规安全合法使用。货物属于医疗器械的，应取得国家药品监督管理局颁发的</w:t>
      </w:r>
      <w:r>
        <w:rPr>
          <w:rFonts w:hint="default" w:ascii="宋体" w:hAnsi="宋体" w:eastAsia="宋体" w:cs="宋体"/>
          <w:b w:val="0"/>
          <w:bCs w:val="0"/>
          <w:color w:val="auto"/>
          <w:sz w:val="21"/>
          <w:szCs w:val="21"/>
          <w:highlight w:val="none"/>
          <w:lang w:eastAsia="zh-CN"/>
        </w:rPr>
        <w:t>《医疗器械注册证》。货物属于放射性同位素或射线装置的，中标人应承诺具备有效的《辐射安全许可证》（许可范围涵盖所供设备类别）；在设备验收交付时，中标人须完成以下行政审批事项，并将受理回执或批准文件作为验收文档之一：</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（1）建设项目职业病危害放射防护预评价审核；</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（2）职业病放射防护设施竣工验收；</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（3）《放射诊疗许可证》设备登记或变更；</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（4）《辐射安全许可证》设备台账增补。</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因中标人原因导致上述审批延误、无法完成设备合法使用的，视为逾期交货，中标人承担违约责任。</w:t>
      </w:r>
    </w:p>
    <w:p w14:paraId="607EB2F7">
      <w:pPr>
        <w:widowControl w:val="0"/>
        <w:spacing w:line="360" w:lineRule="auto"/>
        <w:outlineLvl w:val="1"/>
        <w:rPr>
          <w:rFonts w:hint="default" w:ascii="宋体" w:hAnsi="宋体" w:cs="宋体"/>
          <w:bCs w:val="0"/>
          <w:color w:val="auto"/>
          <w:kern w:val="44"/>
          <w:sz w:val="21"/>
          <w:szCs w:val="21"/>
          <w:highlight w:val="none"/>
          <w:lang w:bidi="ar"/>
        </w:rPr>
      </w:pPr>
      <w:r>
        <w:rPr>
          <w:rFonts w:hint="eastAsia" w:ascii="宋体" w:hAnsi="宋体" w:eastAsia="宋体" w:cs="宋体"/>
          <w:b w:val="0"/>
          <w:bCs w:val="0"/>
          <w:color w:val="auto"/>
          <w:sz w:val="21"/>
          <w:szCs w:val="21"/>
          <w:highlight w:val="none"/>
          <w:lang w:eastAsia="zh-CN"/>
        </w:rPr>
        <w:t xml:space="preserve"> </w:t>
      </w:r>
      <w:r>
        <w:rPr>
          <w:rFonts w:hint="eastAsia" w:ascii="宋体" w:hAnsi="宋体" w:cs="宋体"/>
          <w:b w:val="0"/>
          <w:bCs w:val="0"/>
          <w:color w:val="auto"/>
          <w:sz w:val="21"/>
          <w:szCs w:val="21"/>
          <w:highlight w:val="none"/>
          <w:lang w:val="en-US" w:eastAsia="zh-CN"/>
        </w:rPr>
        <w:t>3.3</w:t>
      </w:r>
      <w:r>
        <w:rPr>
          <w:rFonts w:hint="default" w:ascii="宋体" w:hAnsi="宋体" w:cs="宋体"/>
          <w:bCs w:val="0"/>
          <w:color w:val="auto"/>
          <w:kern w:val="44"/>
          <w:sz w:val="21"/>
          <w:szCs w:val="21"/>
          <w:highlight w:val="none"/>
          <w:lang w:bidi="ar"/>
        </w:rPr>
        <w:t>如设备属于国家强制计量或检定的设备，则乙方须提供国家计量或检定机关所出具的合格证书，甲方可协助乙方联系有关部门进行检测，但相关检测费用由乙方承担。</w:t>
      </w:r>
    </w:p>
    <w:p w14:paraId="33A003F5">
      <w:pPr>
        <w:pStyle w:val="2"/>
        <w:jc w:val="left"/>
        <w:rPr>
          <w:rFonts w:hint="default" w:ascii="宋体" w:hAnsi="宋体" w:eastAsia="宋体" w:cs="宋体"/>
          <w:bCs w:val="0"/>
          <w:color w:val="auto"/>
          <w:kern w:val="44"/>
          <w:sz w:val="21"/>
          <w:szCs w:val="21"/>
          <w:highlight w:val="none"/>
          <w:lang w:bidi="ar"/>
        </w:rPr>
      </w:pPr>
      <w:r>
        <w:rPr>
          <w:rFonts w:hint="eastAsia" w:ascii="宋体" w:hAnsi="宋体" w:cs="宋体"/>
          <w:bCs w:val="0"/>
          <w:color w:val="auto"/>
          <w:kern w:val="44"/>
          <w:sz w:val="21"/>
          <w:szCs w:val="21"/>
          <w:highlight w:val="none"/>
          <w:lang w:val="en-US" w:eastAsia="zh-CN" w:bidi="ar"/>
        </w:rPr>
        <w:t>3.4</w:t>
      </w:r>
      <w:r>
        <w:rPr>
          <w:rFonts w:hint="default" w:ascii="宋体" w:hAnsi="宋体" w:eastAsia="宋体" w:cs="宋体"/>
          <w:bCs w:val="0"/>
          <w:color w:val="auto"/>
          <w:kern w:val="44"/>
          <w:sz w:val="21"/>
          <w:szCs w:val="21"/>
          <w:highlight w:val="none"/>
          <w:lang w:bidi="ar"/>
        </w:rPr>
        <w:t>如设备需接入甲方院方系统的，则验收前由乙方负责接入院方系统，具体实施及相关费用由乙方承担。</w:t>
      </w:r>
    </w:p>
    <w:p w14:paraId="3A6343B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3.</w:t>
      </w:r>
      <w:r>
        <w:rPr>
          <w:rFonts w:hint="eastAsia" w:cs="宋体"/>
          <w:b w:val="0"/>
          <w:bCs w:val="0"/>
          <w:color w:val="auto"/>
          <w:sz w:val="21"/>
          <w:szCs w:val="21"/>
          <w:highlight w:val="none"/>
          <w:lang w:val="en-US" w:eastAsia="zh-CN"/>
        </w:rPr>
        <w:t>5</w:t>
      </w:r>
      <w:r>
        <w:rPr>
          <w:rFonts w:hint="eastAsia" w:ascii="宋体" w:hAnsi="宋体" w:eastAsia="宋体" w:cs="宋体"/>
          <w:b w:val="0"/>
          <w:bCs w:val="0"/>
          <w:color w:val="auto"/>
          <w:sz w:val="21"/>
          <w:szCs w:val="21"/>
          <w:highlight w:val="none"/>
          <w:lang w:eastAsia="zh-CN"/>
        </w:rPr>
        <w:t xml:space="preserve"> 货物为原厂商未启封全新包装，出具出厂合格证，序列号、包装箱号与出厂批号一致，并可追索查阅。所有随设备的附件必须齐全。 </w:t>
      </w:r>
    </w:p>
    <w:p w14:paraId="4BE4AB2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3.</w:t>
      </w:r>
      <w:r>
        <w:rPr>
          <w:rFonts w:hint="eastAsia" w:cs="宋体"/>
          <w:b w:val="0"/>
          <w:bCs w:val="0"/>
          <w:color w:val="auto"/>
          <w:sz w:val="21"/>
          <w:szCs w:val="21"/>
          <w:highlight w:val="none"/>
          <w:lang w:val="en-US" w:eastAsia="zh-CN"/>
        </w:rPr>
        <w:t>6</w:t>
      </w:r>
      <w:r>
        <w:rPr>
          <w:rFonts w:hint="eastAsia" w:ascii="宋体" w:hAnsi="宋体" w:eastAsia="宋体" w:cs="宋体"/>
          <w:b w:val="0"/>
          <w:bCs w:val="0"/>
          <w:color w:val="auto"/>
          <w:sz w:val="21"/>
          <w:szCs w:val="21"/>
          <w:highlight w:val="none"/>
          <w:lang w:eastAsia="zh-CN"/>
        </w:rPr>
        <w:t xml:space="preserve"> 采购人作为履约验收主体，负责组成验收小组，设备安装调试完毕并经中标人自检合格后，中标人应书面向采购人提出验收申请。采购人应在收到验收申请后15个工作日内组织验收。</w:t>
      </w:r>
      <w:r>
        <w:rPr>
          <w:rFonts w:hint="eastAsia" w:cs="宋体"/>
          <w:b w:val="0"/>
          <w:bCs w:val="0"/>
          <w:color w:val="auto"/>
          <w:sz w:val="21"/>
          <w:szCs w:val="21"/>
          <w:highlight w:val="none"/>
          <w:lang w:val="en-US" w:eastAsia="zh-CN"/>
        </w:rPr>
        <w:t>验收</w:t>
      </w:r>
      <w:r>
        <w:rPr>
          <w:rFonts w:hint="eastAsia" w:ascii="宋体" w:hAnsi="宋体" w:eastAsia="宋体" w:cs="宋体"/>
          <w:b w:val="0"/>
          <w:bCs w:val="0"/>
          <w:color w:val="auto"/>
          <w:sz w:val="21"/>
          <w:szCs w:val="21"/>
          <w:highlight w:val="none"/>
          <w:lang w:eastAsia="zh-CN"/>
        </w:rPr>
        <w:t>按国家有关规定、规范及中标人的投标文件中承诺的内容</w:t>
      </w:r>
      <w:r>
        <w:rPr>
          <w:rFonts w:hint="eastAsia" w:cs="宋体"/>
          <w:b w:val="0"/>
          <w:bCs w:val="0"/>
          <w:color w:val="auto"/>
          <w:sz w:val="21"/>
          <w:szCs w:val="21"/>
          <w:highlight w:val="none"/>
          <w:lang w:val="en-US" w:eastAsia="zh-CN"/>
        </w:rPr>
        <w:t>执</w:t>
      </w:r>
      <w:r>
        <w:rPr>
          <w:rFonts w:hint="eastAsia" w:ascii="宋体" w:hAnsi="宋体" w:eastAsia="宋体" w:cs="宋体"/>
          <w:b w:val="0"/>
          <w:bCs w:val="0"/>
          <w:color w:val="auto"/>
          <w:sz w:val="21"/>
          <w:szCs w:val="21"/>
          <w:highlight w:val="none"/>
          <w:lang w:eastAsia="zh-CN"/>
        </w:rPr>
        <w:t xml:space="preserve">行，必要时邀请相关的第三方专业人员、机构或参与本次项目的其他投标人参与验收。因货物质量问题发生争议时，由采购人所在地省级市场监督管理部门认可的医疗器械检测机构或国家卫生健康委认可的第三方检测机构进行鉴定。鉴定费先由中标人垫付。货物符合质量技术标准的，鉴定费由采购人承担；否则鉴定费由中标人承担。 </w:t>
      </w:r>
    </w:p>
    <w:p w14:paraId="6B4ABEF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w:t>
      </w:r>
      <w:r>
        <w:rPr>
          <w:rFonts w:hint="default" w:ascii="宋体" w:hAnsi="宋体" w:eastAsia="宋体" w:cs="宋体"/>
          <w:b w:val="0"/>
          <w:bCs w:val="0"/>
          <w:color w:val="auto"/>
          <w:sz w:val="21"/>
          <w:szCs w:val="21"/>
          <w:highlight w:val="none"/>
          <w:lang w:eastAsia="zh-CN"/>
        </w:rPr>
        <w:t>4</w:t>
      </w:r>
      <w:r>
        <w:rPr>
          <w:rFonts w:hint="eastAsia" w:ascii="宋体" w:hAnsi="宋体" w:eastAsia="宋体" w:cs="宋体"/>
          <w:b w:val="0"/>
          <w:bCs w:val="0"/>
          <w:color w:val="auto"/>
          <w:sz w:val="21"/>
          <w:szCs w:val="21"/>
          <w:highlight w:val="none"/>
          <w:lang w:eastAsia="zh-CN"/>
        </w:rPr>
        <w:t>）</w:t>
      </w:r>
      <w:r>
        <w:rPr>
          <w:rFonts w:hint="default" w:ascii="宋体" w:hAnsi="宋体" w:eastAsia="宋体" w:cs="宋体"/>
          <w:b w:val="0"/>
          <w:bCs w:val="0"/>
          <w:color w:val="auto"/>
          <w:sz w:val="21"/>
          <w:szCs w:val="21"/>
          <w:highlight w:val="none"/>
          <w:lang w:eastAsia="zh-CN"/>
        </w:rPr>
        <w:t>信息系统对接与数据互联互通验收</w:t>
      </w:r>
    </w:p>
    <w:p w14:paraId="08067D6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4.1 接口对接要求</w:t>
      </w:r>
    </w:p>
    <w:p w14:paraId="55CD92D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420" w:firstLineChars="200"/>
        <w:jc w:val="both"/>
        <w:textAlignment w:val="auto"/>
        <w:rPr>
          <w:rFonts w:hint="eastAsia"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中标人应负责所供医疗设备与采购人现有医院信息系统（HIS）、影像归档与通信系统（PACS）、实验室信息系统（LIS）等的对接集成。对接内容至少包括：</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（1）患者信息获取：通过HL7/FHIR标准接口或Web Service方式，从HIS自动获取患者姓名、性别、年龄、住院号、检查申请单号等信息，不得采用人工录入方式。</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（2）检查指令接收：接收HIS或电子病历（EMR）下达的检查医嘱，设备工作列表（Worklist）应能自动同步待检患者队列。</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（3）结果报告回传：设备生成的诊断报告、图像、数值结果应自动回传至HIS/EMR系统，实现报告在线调阅，报告回传成功率≥99.5%。</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（4）状态反馈：设备检查状态（已登记、进行中、已完成）应实时反馈至HIS，供临床科室实时查询。</w:t>
      </w:r>
    </w:p>
    <w:p w14:paraId="6A0BF12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4.2 接口性能验收</w:t>
      </w:r>
    </w:p>
    <w:p w14:paraId="6360148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（1）接口并发能力：支持门诊高峰期并发请求量不低于200用户/秒，平均响应时间≤2秒。</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（2）稳定性测试：接口需通过72小时持续运行压力测试，无内存泄漏、无进程死锁、无数据积压。</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（3）数据准确性：比对HIS下发指令与设备接收信息，数据字段完整率100%，字段映射正确率100%。</w:t>
      </w:r>
    </w:p>
    <w:p w14:paraId="45FB473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4.3 文档与交付物</w:t>
      </w:r>
    </w:p>
    <w:p w14:paraId="5044F9E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（1）中标人须提供接口技术文档（含接口协议、数据结构、调用示例、字段映射表）。</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（2）提供第三方接口测试报告（可选用Postman/Eolink等工具，或由采购人信息部门现场验证）。</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（3）提供数据字典和系统表结构说明（涉及设备工作站数据库时）</w:t>
      </w:r>
    </w:p>
    <w:p w14:paraId="65ABF3B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w:t>
      </w:r>
      <w:r>
        <w:rPr>
          <w:rFonts w:hint="default" w:ascii="宋体" w:hAnsi="宋体" w:eastAsia="宋体" w:cs="宋体"/>
          <w:b w:val="0"/>
          <w:bCs w:val="0"/>
          <w:color w:val="auto"/>
          <w:sz w:val="21"/>
          <w:szCs w:val="21"/>
          <w:highlight w:val="none"/>
          <w:lang w:eastAsia="zh-CN"/>
        </w:rPr>
        <w:t>5</w:t>
      </w:r>
      <w:r>
        <w:rPr>
          <w:rFonts w:hint="eastAsia" w:ascii="宋体" w:hAnsi="宋体" w:eastAsia="宋体" w:cs="宋体"/>
          <w:b w:val="0"/>
          <w:bCs w:val="0"/>
          <w:color w:val="auto"/>
          <w:sz w:val="21"/>
          <w:szCs w:val="21"/>
          <w:highlight w:val="none"/>
          <w:lang w:eastAsia="zh-CN"/>
        </w:rPr>
        <w:t>）</w:t>
      </w:r>
      <w:r>
        <w:rPr>
          <w:rFonts w:hint="default" w:ascii="宋体" w:hAnsi="宋体" w:eastAsia="宋体" w:cs="宋体"/>
          <w:b w:val="0"/>
          <w:bCs w:val="0"/>
          <w:color w:val="auto"/>
          <w:sz w:val="21"/>
          <w:szCs w:val="21"/>
          <w:highlight w:val="none"/>
          <w:lang w:eastAsia="zh-CN"/>
        </w:rPr>
        <w:t xml:space="preserve"> 行政审批协助义务（适用于放射诊疗设备）</w:t>
      </w:r>
    </w:p>
    <w:p w14:paraId="225E7B5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5.1 中标人义务</w:t>
      </w:r>
    </w:p>
    <w:p w14:paraId="5103CC0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420" w:firstLineChars="20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所供设备属于《放射诊疗管理规定》所界定的放射诊疗设备（含CT、DR、C臂、DSA、医用加速器、核医学设备等）的，中标人应履行以下协助义务：</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（1）提供验收检测：设备安装完毕后，中标人应协调设备生产厂家或受其委托的、具备相应资质的第三方检测机构，对设备进行验收检测，出具符合国家标准的《验收检测报告》。</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（2）提供申报材料：协助采购人准备放射诊疗许可/变更申报所需的设备参数表、合格证明、安装调试报告、检测报告、中文说明书、防护性能指标文件等。</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（3）配合现场审核：配合卫生健康行政部门或生态环境部门组织的现场审核，安排技术人员解答设备性能、防护设施相关问题。</w:t>
      </w:r>
    </w:p>
    <w:p w14:paraId="21F5128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5.2 时间节点控制</w:t>
      </w:r>
    </w:p>
    <w:p w14:paraId="0057E9C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（1）中标人应在设备安装调试完成后10个工作日内完成验收检测并提交检测报告。</w:t>
      </w:r>
      <w:r>
        <w:rPr>
          <w:rFonts w:hint="default" w:ascii="宋体" w:hAnsi="宋体" w:eastAsia="宋体" w:cs="宋体"/>
          <w:b w:val="0"/>
          <w:bCs w:val="0"/>
          <w:color w:val="auto"/>
          <w:sz w:val="21"/>
          <w:szCs w:val="21"/>
          <w:highlight w:val="none"/>
          <w:lang w:eastAsia="zh-CN"/>
        </w:rPr>
        <w:br w:type="textWrapping"/>
      </w:r>
      <w:r>
        <w:rPr>
          <w:rFonts w:hint="default" w:ascii="宋体" w:hAnsi="宋体" w:eastAsia="宋体" w:cs="宋体"/>
          <w:b w:val="0"/>
          <w:bCs w:val="0"/>
          <w:color w:val="auto"/>
          <w:sz w:val="21"/>
          <w:szCs w:val="21"/>
          <w:highlight w:val="none"/>
          <w:lang w:eastAsia="zh-CN"/>
        </w:rPr>
        <w:t>（2）因中标人原因延迟提交检测报告或申报材料，导致采购人无法在设备到货后60日内取得《放射诊疗许可证》设备登记的，每逾期一日，中标人向采购人支付合同总价款万分之五的违约金。</w:t>
      </w:r>
    </w:p>
    <w:p w14:paraId="5884E4D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5.3 交付标准</w:t>
      </w:r>
    </w:p>
    <w:p w14:paraId="02C4D14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420" w:firstLineChars="200"/>
        <w:jc w:val="both"/>
        <w:textAlignment w:val="auto"/>
        <w:rPr>
          <w:rFonts w:hint="default"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本项目最终验收的必备条件之一：采购人已在《放射诊疗许可证》副本完成该设备的登记，或在《辐射安全许可证》台账中完成该设备增补。未完成前述行政许可登记的，不予进行最终验收付款。</w:t>
      </w:r>
    </w:p>
    <w:p w14:paraId="626AF48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lang w:val="en-US" w:eastAsia="zh-CN"/>
        </w:rPr>
        <w:t>6）</w:t>
      </w:r>
      <w:r>
        <w:rPr>
          <w:rFonts w:hint="default" w:ascii="宋体" w:hAnsi="宋体" w:eastAsia="宋体" w:cs="宋体"/>
          <w:b w:val="0"/>
          <w:bCs w:val="0"/>
          <w:color w:val="auto"/>
          <w:sz w:val="21"/>
          <w:szCs w:val="21"/>
          <w:highlight w:val="none"/>
          <w:lang w:eastAsia="zh-CN"/>
        </w:rPr>
        <w:t>文档交付与培训验收</w:t>
      </w:r>
    </w:p>
    <w:p w14:paraId="40E7D68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420" w:firstLineChars="200"/>
        <w:jc w:val="both"/>
        <w:textAlignment w:val="auto"/>
        <w:rPr>
          <w:rFonts w:hint="eastAsia" w:ascii="宋体" w:hAnsi="宋体" w:eastAsia="宋体" w:cs="宋体"/>
          <w:b w:val="0"/>
          <w:bCs w:val="0"/>
          <w:color w:val="auto"/>
          <w:sz w:val="21"/>
          <w:szCs w:val="21"/>
          <w:highlight w:val="none"/>
          <w:lang w:eastAsia="zh-CN"/>
        </w:rPr>
      </w:pPr>
      <w:r>
        <w:rPr>
          <w:rFonts w:hint="default" w:ascii="宋体" w:hAnsi="宋体" w:eastAsia="宋体" w:cs="宋体"/>
          <w:b w:val="0"/>
          <w:bCs w:val="0"/>
          <w:color w:val="auto"/>
          <w:sz w:val="21"/>
          <w:szCs w:val="21"/>
          <w:highlight w:val="none"/>
          <w:lang w:eastAsia="zh-CN"/>
        </w:rPr>
        <w:t>中标人应交付的文档包括但不限于：产品说明书（中文）、安装手册、维修手册、操作培训视频/课件、系统软件源代码（如涉及二次开发）、第三方接口测试报告、医疗器械注册证及附件、辐射安全许可证复印件（中标人）、设备验收检测报告、培训签到表及考核记录。软件类产品还需提供：需求规格说明书、概要设计、详细设计、数据库设计说明书、测试报告、第三方代码安全审计报告</w:t>
      </w:r>
    </w:p>
    <w:p w14:paraId="76B725C6">
      <w:pPr>
        <w:pStyle w:val="3"/>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rPr>
        <w:t>履约保证金</w:t>
      </w: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lang w:val="en-US" w:eastAsia="zh-CN"/>
        </w:rPr>
        <w:t>无</w:t>
      </w:r>
    </w:p>
    <w:p w14:paraId="4A87B22B">
      <w:pPr>
        <w:pStyle w:val="3"/>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default"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rPr>
        <w:t>其他</w:t>
      </w:r>
      <w:r>
        <w:rPr>
          <w:rFonts w:hint="eastAsia" w:ascii="宋体" w:hAnsi="宋体" w:eastAsia="宋体" w:cs="宋体"/>
          <w:b/>
          <w:bCs/>
          <w:color w:val="auto"/>
          <w:sz w:val="21"/>
          <w:szCs w:val="21"/>
          <w:highlight w:val="none"/>
          <w:lang w:eastAsia="zh-CN"/>
        </w:rPr>
        <w:t>：</w:t>
      </w:r>
    </w:p>
    <w:p w14:paraId="59845E4F">
      <w:pPr>
        <w:pStyle w:val="3"/>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right="0" w:firstLine="0"/>
        <w:jc w:val="both"/>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bCs/>
          <w:color w:val="auto"/>
          <w:sz w:val="21"/>
          <w:szCs w:val="21"/>
          <w:highlight w:val="none"/>
        </w:rPr>
        <w:t>质量保证及售后服务</w:t>
      </w:r>
      <w:r>
        <w:rPr>
          <w:rFonts w:hint="eastAsia" w:ascii="宋体" w:hAnsi="宋体" w:eastAsia="宋体" w:cs="宋体"/>
          <w:b/>
          <w:bCs/>
          <w:color w:val="auto"/>
          <w:sz w:val="21"/>
          <w:szCs w:val="21"/>
          <w:highlight w:val="none"/>
          <w:lang w:eastAsia="zh-CN"/>
        </w:rPr>
        <w:t>：</w:t>
      </w:r>
      <w:r>
        <w:rPr>
          <w:rFonts w:hint="eastAsia" w:ascii="宋体" w:hAnsi="宋体" w:eastAsia="宋体" w:cs="宋体"/>
          <w:b w:val="0"/>
          <w:bCs w:val="0"/>
          <w:color w:val="auto"/>
          <w:sz w:val="21"/>
          <w:szCs w:val="21"/>
          <w:highlight w:val="none"/>
        </w:rPr>
        <w:t>中标人和产品供货商对提供的整体产品原厂整机保修期不低于</w:t>
      </w:r>
      <w:r>
        <w:rPr>
          <w:rFonts w:hint="eastAsia" w:cs="宋体"/>
          <w:b w:val="0"/>
          <w:bCs w:val="0"/>
          <w:color w:val="auto"/>
          <w:sz w:val="21"/>
          <w:szCs w:val="21"/>
          <w:highlight w:val="none"/>
          <w:u w:val="none"/>
          <w:lang w:val="en-US" w:eastAsia="zh-CN"/>
        </w:rPr>
        <w:t>3</w:t>
      </w:r>
      <w:r>
        <w:rPr>
          <w:rFonts w:hint="eastAsia" w:ascii="宋体" w:hAnsi="宋体" w:eastAsia="宋体" w:cs="宋体"/>
          <w:b w:val="0"/>
          <w:bCs w:val="0"/>
          <w:color w:val="auto"/>
          <w:sz w:val="21"/>
          <w:szCs w:val="21"/>
          <w:highlight w:val="none"/>
        </w:rPr>
        <w:t>年（技术参数中有要求的以技术参数要求为准）。</w:t>
      </w:r>
    </w:p>
    <w:p w14:paraId="21B3502D">
      <w:pPr>
        <w:pStyle w:val="3"/>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leftChars="0" w:right="0" w:rightChars="0" w:firstLine="0" w:firstLineChars="0"/>
        <w:jc w:val="both"/>
        <w:textAlignment w:val="auto"/>
        <w:outlineLvl w:val="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质量保证及售后服务</w:t>
      </w:r>
      <w:r>
        <w:rPr>
          <w:rFonts w:hint="eastAsia" w:ascii="宋体" w:hAnsi="宋体" w:eastAsia="宋体" w:cs="宋体"/>
          <w:b/>
          <w:bCs/>
          <w:color w:val="auto"/>
          <w:sz w:val="21"/>
          <w:szCs w:val="21"/>
          <w:highlight w:val="none"/>
          <w:lang w:val="en-US" w:eastAsia="zh-CN"/>
        </w:rPr>
        <w:t>:</w:t>
      </w:r>
    </w:p>
    <w:p w14:paraId="6D8DA55D">
      <w:pPr>
        <w:pStyle w:val="3"/>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Chars="0" w:right="0" w:rightChars="0"/>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中标人应保证所供设备是</w:t>
      </w:r>
      <w:r>
        <w:rPr>
          <w:rFonts w:hint="eastAsia" w:cs="宋体"/>
          <w:b w:val="0"/>
          <w:bCs w:val="0"/>
          <w:color w:val="auto"/>
          <w:sz w:val="21"/>
          <w:szCs w:val="21"/>
          <w:highlight w:val="none"/>
          <w:lang w:val="en-US" w:eastAsia="zh-CN"/>
        </w:rPr>
        <w:t>国产设备验收时半年内、进口设备验收时一年内</w:t>
      </w:r>
      <w:r>
        <w:rPr>
          <w:rFonts w:hint="eastAsia" w:ascii="宋体" w:hAnsi="宋体" w:eastAsia="宋体" w:cs="宋体"/>
          <w:b w:val="0"/>
          <w:bCs w:val="0"/>
          <w:color w:val="auto"/>
          <w:sz w:val="21"/>
          <w:szCs w:val="21"/>
          <w:highlight w:val="none"/>
        </w:rPr>
        <w:t xml:space="preserve">生产的（技术参数中有要求的以技术参数要求为准），全新的、未使用过的设备，并符合国家有关标准、制造厂标准及合同技术标准要求。如果设备的质量或规格与合同不符，或证实设备是有缺陷的，包括潜在的缺陷或使用不符合要求的材料等，中标人应在接到采购人通知后3日内负责更换符合标准的同型号设备，所产生的费用由中标人承担。同时，中标人应按合同规定，相应延长设备保修期。 </w:t>
      </w:r>
    </w:p>
    <w:p w14:paraId="6F3F7889">
      <w:pPr>
        <w:pStyle w:val="3"/>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leftChars="0" w:right="0" w:rightChars="0" w:firstLine="0" w:firstLineChars="0"/>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保修期、质保期均按合同设备交齐给采购人对设备及其质量技术全部验收合格并交付使用且签署《验收文件》（注：《验收文件》是指已加盖采购人印章确认设备之验收合格交付使用时间的书面报告正式文件）之日起计算。</w:t>
      </w:r>
    </w:p>
    <w:p w14:paraId="1E8226D5">
      <w:pPr>
        <w:pStyle w:val="3"/>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leftChars="0" w:right="0" w:rightChars="0" w:firstLine="0" w:firstLineChars="0"/>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xml:space="preserve">在保修期内，如设备非因采购人的人为原因而出现质量问题，采购人有权向中标人提出质量异议，中标人应负责包修、包换或包退，承担修理、调换或退货的实际费用；如中标人不能修复或不能退换，均按不能交货处理；中标人保证在接到故障电话后30分钟内响应用户要求、12小时内派员上门现场维护并在48小时内排除故障修复使用，如在规定时间内不能修复解决，则提供相同型号设备给采购人作为代替使用，确保设备的正常运作和使用；属于保修期后而在质保期内的并且不属于中标人质量问题的事项，可以优惠价格双方商定，材料费用由采购人承担，中标人免收材料费以外的任何费用。 </w:t>
      </w:r>
    </w:p>
    <w:p w14:paraId="18E25B24">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Chars="0" w:right="0" w:rightChars="0"/>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4、对设备拥有核心技术，维修备件充足，所有问题现场解决。</w:t>
      </w:r>
    </w:p>
    <w:p w14:paraId="21153CFB">
      <w:pPr>
        <w:pStyle w:val="3"/>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leftChars="0" w:right="0" w:rightChars="0" w:firstLine="0" w:firstLineChars="0"/>
        <w:jc w:val="both"/>
        <w:textAlignment w:val="auto"/>
        <w:outlineLvl w:val="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培训要求</w:t>
      </w:r>
      <w:r>
        <w:rPr>
          <w:rFonts w:hint="eastAsia" w:ascii="宋体" w:hAnsi="宋体" w:eastAsia="宋体" w:cs="宋体"/>
          <w:b/>
          <w:bCs/>
          <w:color w:val="auto"/>
          <w:sz w:val="21"/>
          <w:szCs w:val="21"/>
          <w:highlight w:val="none"/>
          <w:lang w:val="en-US" w:eastAsia="zh-CN"/>
        </w:rPr>
        <w:t>:</w:t>
      </w:r>
    </w:p>
    <w:p w14:paraId="41B87049">
      <w:pPr>
        <w:pStyle w:val="3"/>
        <w:keepNext w:val="0"/>
        <w:keepLines w:val="0"/>
        <w:pageBreakBefore w:val="0"/>
        <w:widowControl/>
        <w:numPr>
          <w:ilvl w:val="0"/>
          <w:numId w:val="5"/>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Chars="0" w:right="0" w:rightChars="0"/>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xml:space="preserve">中标人至少必须满足本章要求的培训服务，中标人须提供详细的培训计划。所有培训费用（含培训教材费）及各项支出由中标人承担。 </w:t>
      </w:r>
    </w:p>
    <w:p w14:paraId="798D61CC">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right="0" w:rightChars="0"/>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2、培训内容与课程要求供软硬件的安装、配置培训。中标人必须提供相应的应用软件技术和系统操作等方面的培训。有关应用软件的操作培训课程，培训应该在系统试运行前完成。中标人须在投标文件中提出全面、详细的培训课程以及时间表，并在合同签定后征得采购人同意后实施。对于所有培训，中标人必须派出具有相应专业资格和实际工作相应的工程师进行培训，中标人须为所有被培训人员提供培训用文字资料和讲义等相关用品。所有的资料必须是中文书写。</w:t>
      </w:r>
    </w:p>
    <w:p w14:paraId="7F8DF07D">
      <w:pPr>
        <w:keepNext w:val="0"/>
        <w:keepLines w:val="0"/>
        <w:pageBreakBefore w:val="0"/>
        <w:numPr>
          <w:ilvl w:val="0"/>
          <w:numId w:val="3"/>
        </w:numPr>
        <w:kinsoku/>
        <w:wordWrap/>
        <w:overflowPunct/>
        <w:topLinePunct w:val="0"/>
        <w:autoSpaceDE/>
        <w:autoSpaceDN/>
        <w:bidi w:val="0"/>
        <w:adjustRightInd/>
        <w:snapToGrid/>
        <w:spacing w:before="0" w:beforeLines="0" w:line="360" w:lineRule="auto"/>
        <w:ind w:left="0" w:leftChars="0" w:firstLine="0" w:firstLineChars="0"/>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val="0"/>
          <w:bCs w:val="0"/>
          <w:color w:val="auto"/>
          <w:sz w:val="21"/>
          <w:szCs w:val="21"/>
          <w:highlight w:val="none"/>
        </w:rPr>
        <w:t xml:space="preserve">★ </w:t>
      </w:r>
      <w:r>
        <w:rPr>
          <w:rFonts w:hint="eastAsia" w:ascii="宋体" w:hAnsi="宋体" w:eastAsia="宋体" w:cs="宋体"/>
          <w:b/>
          <w:bCs/>
          <w:color w:val="auto"/>
          <w:sz w:val="21"/>
          <w:szCs w:val="21"/>
          <w:highlight w:val="none"/>
          <w:lang w:val="en-US" w:eastAsia="zh-CN"/>
        </w:rPr>
        <w:t>报价要求：</w:t>
      </w:r>
    </w:p>
    <w:p w14:paraId="296F5BCF">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1. 本项目为交钥匙工程。</w:t>
      </w:r>
      <w:r>
        <w:rPr>
          <w:rFonts w:hint="eastAsia" w:ascii="宋体" w:hAnsi="宋体" w:eastAsia="宋体" w:cs="宋体"/>
          <w:b w:val="0"/>
          <w:bCs w:val="0"/>
          <w:color w:val="auto"/>
          <w:sz w:val="21"/>
          <w:szCs w:val="21"/>
          <w:highlight w:val="none"/>
        </w:rPr>
        <w:br w:type="textWrapping"/>
      </w:r>
      <w:r>
        <w:rPr>
          <w:rFonts w:hint="eastAsia" w:ascii="宋体" w:hAnsi="宋体" w:eastAsia="宋体" w:cs="宋体"/>
          <w:b w:val="0"/>
          <w:bCs w:val="0"/>
          <w:color w:val="auto"/>
          <w:sz w:val="21"/>
          <w:szCs w:val="21"/>
          <w:highlight w:val="none"/>
        </w:rPr>
        <w:t>投标人报价须为人民币含税包干价。投标总价包含为完成本项目所需的一切费用，采购人不再支付投标总价以外的任何费用。投标人应在《报价一览表》中详细列明各项分项报价，如有缺漏项，视同已包含在总价中，中标后不作任何调整。</w:t>
      </w:r>
    </w:p>
    <w:p w14:paraId="44B5B7CF">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2. 报价构成（包含但不限于以下全部费用）：</w:t>
      </w:r>
    </w:p>
    <w:p w14:paraId="45D5F5B8">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2.1 货物费用</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sz w:val="21"/>
          <w:szCs w:val="21"/>
          <w:highlight w:val="none"/>
          <w:lang w:val="en-US" w:eastAsia="zh-CN"/>
        </w:rPr>
        <w:t>包括：</w:t>
      </w:r>
      <w:r>
        <w:rPr>
          <w:rFonts w:hint="eastAsia" w:ascii="宋体" w:hAnsi="宋体" w:eastAsia="宋体" w:cs="宋体"/>
          <w:b w:val="0"/>
          <w:bCs w:val="0"/>
          <w:color w:val="auto"/>
          <w:sz w:val="21"/>
          <w:szCs w:val="21"/>
          <w:highlight w:val="none"/>
        </w:rPr>
        <w:t>产品主机价</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标准附件、备品备件、易损件、专用工具</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随配软件（含操作系统、应用软件、数据库等）的永久使用许可费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所有相关配件、零配件</w:t>
      </w:r>
      <w:r>
        <w:rPr>
          <w:rFonts w:hint="eastAsia" w:ascii="宋体" w:hAnsi="宋体" w:cs="宋体"/>
          <w:b w:val="0"/>
          <w:bCs w:val="0"/>
          <w:color w:val="auto"/>
          <w:sz w:val="21"/>
          <w:szCs w:val="21"/>
          <w:highlight w:val="none"/>
          <w:lang w:eastAsia="zh-CN"/>
        </w:rPr>
        <w:t>。</w:t>
      </w:r>
    </w:p>
    <w:p w14:paraId="50B334D1">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2.2 运抵交付费用</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sz w:val="21"/>
          <w:szCs w:val="21"/>
          <w:highlight w:val="none"/>
          <w:lang w:val="en-US" w:eastAsia="zh-CN"/>
        </w:rPr>
        <w:t>包括：</w:t>
      </w:r>
      <w:r>
        <w:rPr>
          <w:rFonts w:hint="eastAsia" w:ascii="宋体" w:hAnsi="宋体" w:eastAsia="宋体" w:cs="宋体"/>
          <w:b w:val="0"/>
          <w:bCs w:val="0"/>
          <w:color w:val="auto"/>
          <w:sz w:val="21"/>
          <w:szCs w:val="21"/>
          <w:highlight w:val="none"/>
        </w:rPr>
        <w:t>包装费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运输费（含二次搬运、场内转运）</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装卸费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仓储费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保险费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商检费（如涉及进口）</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银行费用</w:t>
      </w:r>
      <w:r>
        <w:rPr>
          <w:rFonts w:hint="eastAsia" w:ascii="宋体" w:hAnsi="宋体" w:cs="宋体"/>
          <w:b w:val="0"/>
          <w:bCs w:val="0"/>
          <w:color w:val="auto"/>
          <w:sz w:val="21"/>
          <w:szCs w:val="21"/>
          <w:highlight w:val="none"/>
          <w:lang w:eastAsia="zh-CN"/>
        </w:rPr>
        <w:t>，</w:t>
      </w:r>
    </w:p>
    <w:p w14:paraId="2473C014">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2.3 安装调试费用</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sz w:val="21"/>
          <w:szCs w:val="21"/>
          <w:highlight w:val="none"/>
          <w:lang w:val="en-US" w:eastAsia="zh-CN"/>
        </w:rPr>
        <w:t>包括：</w:t>
      </w:r>
      <w:r>
        <w:rPr>
          <w:rFonts w:hint="eastAsia" w:ascii="宋体" w:hAnsi="宋体" w:eastAsia="宋体" w:cs="宋体"/>
          <w:b w:val="0"/>
          <w:bCs w:val="0"/>
          <w:color w:val="auto"/>
          <w:sz w:val="21"/>
          <w:szCs w:val="21"/>
          <w:highlight w:val="none"/>
        </w:rPr>
        <w:t>安装费（含安装所需全部耗材、辅材）</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调试费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安装条件改造费（包括但不限于：机房/场地必要的电路、水路、网络、承重、屏蔽、防护等改造费用，以及因现场条件与投标人预期不符而产生的所有适应性调整费用）</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脚手架搭拆费、吊装费、水电接入费</w:t>
      </w:r>
      <w:r>
        <w:rPr>
          <w:rFonts w:hint="eastAsia" w:ascii="宋体" w:hAnsi="宋体" w:cs="宋体"/>
          <w:b w:val="0"/>
          <w:bCs w:val="0"/>
          <w:color w:val="auto"/>
          <w:sz w:val="21"/>
          <w:szCs w:val="21"/>
          <w:highlight w:val="none"/>
          <w:lang w:eastAsia="zh-CN"/>
        </w:rPr>
        <w:t>。</w:t>
      </w:r>
    </w:p>
    <w:p w14:paraId="610C863A">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2.4 检测与验收费用</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sz w:val="21"/>
          <w:szCs w:val="21"/>
          <w:highlight w:val="none"/>
          <w:lang w:val="en-US" w:eastAsia="zh-CN"/>
        </w:rPr>
        <w:t>包括：</w:t>
      </w:r>
      <w:r>
        <w:rPr>
          <w:rFonts w:hint="eastAsia" w:ascii="宋体" w:hAnsi="宋体" w:eastAsia="宋体" w:cs="宋体"/>
          <w:b w:val="0"/>
          <w:bCs w:val="0"/>
          <w:color w:val="auto"/>
          <w:sz w:val="21"/>
          <w:szCs w:val="21"/>
          <w:highlight w:val="none"/>
        </w:rPr>
        <w:t>出厂检验费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到货开箱检验费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安装后的验收检测费（含国家强制性的验收检测、状态检测、稳定性检测等）</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计量检定费（如属于国家强制检定计量器具）</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质量监督检验部门及相关第三方检测机构的全部验收费</w:t>
      </w:r>
      <w:r>
        <w:rPr>
          <w:rFonts w:hint="eastAsia" w:ascii="宋体" w:hAnsi="宋体" w:cs="宋体"/>
          <w:b w:val="0"/>
          <w:bCs w:val="0"/>
          <w:color w:val="auto"/>
          <w:sz w:val="21"/>
          <w:szCs w:val="21"/>
          <w:highlight w:val="none"/>
          <w:lang w:eastAsia="zh-CN"/>
        </w:rPr>
        <w:t>。</w:t>
      </w:r>
    </w:p>
    <w:p w14:paraId="4DFB32C7">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2.5 技术服务与培训费用</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sz w:val="21"/>
          <w:szCs w:val="21"/>
          <w:highlight w:val="none"/>
          <w:lang w:val="en-US" w:eastAsia="zh-CN"/>
        </w:rPr>
        <w:t>包括：</w:t>
      </w:r>
      <w:r>
        <w:rPr>
          <w:rFonts w:hint="eastAsia" w:ascii="宋体" w:hAnsi="宋体" w:eastAsia="宋体" w:cs="宋体"/>
          <w:b w:val="0"/>
          <w:bCs w:val="0"/>
          <w:color w:val="auto"/>
          <w:sz w:val="21"/>
          <w:szCs w:val="21"/>
          <w:highlight w:val="none"/>
        </w:rPr>
        <w:t>现场技术指导费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操作人员培训费（含教材、资料、考核证书等）</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维修工程师培训费</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数字化对接服务费（与医院HIS、PACS、LIS等系统的接口开发、调试、测试及永久使用授权费）</w:t>
      </w:r>
      <w:r>
        <w:rPr>
          <w:rFonts w:hint="eastAsia" w:ascii="宋体" w:hAnsi="宋体" w:cs="宋体"/>
          <w:b w:val="0"/>
          <w:bCs w:val="0"/>
          <w:color w:val="auto"/>
          <w:sz w:val="21"/>
          <w:szCs w:val="21"/>
          <w:highlight w:val="none"/>
          <w:lang w:eastAsia="zh-CN"/>
        </w:rPr>
        <w:t>。</w:t>
      </w:r>
    </w:p>
    <w:p w14:paraId="6E4D90F6">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2.6 行政审批协助费用</w:t>
      </w:r>
      <w:r>
        <w:rPr>
          <w:rFonts w:hint="eastAsia" w:ascii="宋体" w:hAnsi="宋体" w:cs="宋体"/>
          <w:b w:val="0"/>
          <w:bCs w:val="0"/>
          <w:color w:val="auto"/>
          <w:sz w:val="21"/>
          <w:szCs w:val="21"/>
          <w:highlight w:val="none"/>
          <w:lang w:eastAsia="zh-CN"/>
        </w:rPr>
        <w:t>，</w:t>
      </w:r>
    </w:p>
    <w:p w14:paraId="50BE4580">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医疗器械注册证核验：中标人须提供所投产品的《医疗器械注册证》及附件，相关费用已包含在报价中。</w:t>
      </w:r>
    </w:p>
    <w:p w14:paraId="5A525101">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放射诊疗设备专项服务：如所投产品属于射线装置或放射性同位素设备，中标人须承担以下工作所涉及的全部费用——</w:t>
      </w:r>
    </w:p>
    <w:p w14:paraId="7C9804B3">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完成职业病危害放射防护预评价、控制效果评价及竣工验收；</w:t>
      </w:r>
    </w:p>
    <w:p w14:paraId="0FE25C12">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完成《放射诊疗许可证》的设备增项/变更；</w:t>
      </w:r>
    </w:p>
    <w:p w14:paraId="2C293599">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完成《辐射安全许可证》的设备台账增补。</w:t>
      </w:r>
      <w:r>
        <w:rPr>
          <w:rFonts w:hint="eastAsia" w:ascii="宋体" w:hAnsi="宋体" w:eastAsia="宋体" w:cs="宋体"/>
          <w:b w:val="0"/>
          <w:bCs w:val="0"/>
          <w:color w:val="auto"/>
          <w:sz w:val="21"/>
          <w:szCs w:val="21"/>
          <w:highlight w:val="none"/>
        </w:rPr>
        <w:br w:type="textWrapping"/>
      </w:r>
      <w:r>
        <w:rPr>
          <w:rFonts w:hint="eastAsia" w:ascii="宋体" w:hAnsi="宋体" w:eastAsia="宋体" w:cs="宋体"/>
          <w:b w:val="0"/>
          <w:bCs w:val="0"/>
          <w:color w:val="auto"/>
          <w:sz w:val="21"/>
          <w:szCs w:val="21"/>
          <w:highlight w:val="none"/>
        </w:rPr>
        <w:t>上述行政审批工作未完成、导致设备无法按期投入临床使用的，视为中标人逾期交货。</w:t>
      </w:r>
    </w:p>
    <w:p w14:paraId="01C8B11D">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2.7 售后服务费用</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sz w:val="21"/>
          <w:szCs w:val="21"/>
          <w:highlight w:val="none"/>
          <w:lang w:val="en-US" w:eastAsia="zh-CN"/>
        </w:rPr>
        <w:t>包括：</w:t>
      </w:r>
      <w:r>
        <w:rPr>
          <w:rFonts w:hint="eastAsia" w:ascii="宋体" w:hAnsi="宋体" w:eastAsia="宋体" w:cs="宋体"/>
          <w:b w:val="0"/>
          <w:bCs w:val="0"/>
          <w:color w:val="auto"/>
          <w:sz w:val="21"/>
          <w:szCs w:val="21"/>
          <w:highlight w:val="none"/>
        </w:rPr>
        <w:t>质保期内全部维修、保养、零配件更换费用</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故障响应、现场检修、技术支持费用</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质保期满后首次年检/强检费用（如采购文件有明确要求）</w:t>
      </w:r>
    </w:p>
    <w:p w14:paraId="72DC9A60">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2.8 其他费用</w:t>
      </w:r>
      <w:r>
        <w:rPr>
          <w:rFonts w:hint="eastAsia" w:ascii="宋体" w:hAnsi="宋体" w:cs="宋体"/>
          <w:b w:val="0"/>
          <w:bCs w:val="0"/>
          <w:color w:val="auto"/>
          <w:sz w:val="21"/>
          <w:szCs w:val="21"/>
          <w:highlight w:val="none"/>
          <w:lang w:eastAsia="zh-CN"/>
        </w:rPr>
        <w:t>，</w:t>
      </w:r>
      <w:r>
        <w:rPr>
          <w:rFonts w:hint="eastAsia" w:ascii="宋体" w:hAnsi="宋体" w:cs="宋体"/>
          <w:b w:val="0"/>
          <w:bCs w:val="0"/>
          <w:color w:val="auto"/>
          <w:sz w:val="21"/>
          <w:szCs w:val="21"/>
          <w:highlight w:val="none"/>
          <w:lang w:val="en-US" w:eastAsia="zh-CN"/>
        </w:rPr>
        <w:t>包括：</w:t>
      </w:r>
      <w:r>
        <w:rPr>
          <w:rFonts w:hint="eastAsia" w:ascii="宋体" w:hAnsi="宋体" w:eastAsia="宋体" w:cs="宋体"/>
          <w:b w:val="0"/>
          <w:bCs w:val="0"/>
          <w:color w:val="auto"/>
          <w:sz w:val="21"/>
          <w:szCs w:val="21"/>
          <w:highlight w:val="none"/>
        </w:rPr>
        <w:t>税金（增值税及附加）</w:t>
      </w:r>
      <w:r>
        <w:rPr>
          <w:rFonts w:hint="eastAsia" w:ascii="宋体" w:hAnsi="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采购文件约定</w:t>
      </w:r>
      <w:r>
        <w:rPr>
          <w:rFonts w:hint="eastAsia" w:ascii="宋体" w:hAnsi="宋体" w:cs="宋体"/>
          <w:b w:val="0"/>
          <w:bCs w:val="0"/>
          <w:color w:val="auto"/>
          <w:sz w:val="21"/>
          <w:szCs w:val="21"/>
          <w:highlight w:val="none"/>
          <w:lang w:val="en-US" w:eastAsia="zh-CN"/>
        </w:rPr>
        <w:t>的费用，</w:t>
      </w:r>
      <w:r>
        <w:rPr>
          <w:rFonts w:hint="eastAsia" w:ascii="宋体" w:hAnsi="宋体" w:eastAsia="宋体" w:cs="宋体"/>
          <w:b w:val="0"/>
          <w:bCs w:val="0"/>
          <w:color w:val="auto"/>
          <w:sz w:val="21"/>
          <w:szCs w:val="21"/>
          <w:highlight w:val="none"/>
        </w:rPr>
        <w:t>合同实施过程中可预见的及不可预见的所有风险费用</w:t>
      </w:r>
    </w:p>
    <w:p w14:paraId="318FC982">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3. 报价约束</w:t>
      </w:r>
    </w:p>
    <w:p w14:paraId="48780093">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投标报价不得超过采购预算（最高限价），否则按无效投标处理。</w:t>
      </w:r>
    </w:p>
    <w:p w14:paraId="5337268C">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投标人须对所投包内所有产品和内容进行唯一报价，不接受选择性报价、浮动报价或附有条件报价。</w:t>
      </w:r>
    </w:p>
    <w:p w14:paraId="4FC216B6">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中标后，投标人不得以任何理由（包括但不限于现场条件复杂、工程量增加、市场价格上涨等）要求追加费用。</w:t>
      </w:r>
    </w:p>
    <w:p w14:paraId="0162E0E1">
      <w:pPr>
        <w:keepNext w:val="0"/>
        <w:keepLines w:val="0"/>
        <w:pageBreakBefore w:val="0"/>
        <w:numPr>
          <w:ilvl w:val="0"/>
          <w:numId w:val="0"/>
        </w:numPr>
        <w:kinsoku/>
        <w:wordWrap/>
        <w:overflowPunct/>
        <w:topLinePunct w:val="0"/>
        <w:autoSpaceDE/>
        <w:autoSpaceDN/>
        <w:bidi w:val="0"/>
        <w:adjustRightInd/>
        <w:snapToGrid/>
        <w:spacing w:before="0" w:beforeLines="0" w:line="360" w:lineRule="auto"/>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 xml:space="preserve"> </w:t>
      </w:r>
    </w:p>
    <w:p w14:paraId="7522A7D9">
      <w:pPr>
        <w:pStyle w:val="3"/>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0" w:leftChars="0" w:right="0" w:rightChars="0" w:firstLine="0" w:firstLineChars="0"/>
        <w:jc w:val="both"/>
        <w:textAlignment w:val="auto"/>
        <w:outlineLvl w:val="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保密要求</w:t>
      </w:r>
    </w:p>
    <w:p w14:paraId="73C5FFEC">
      <w:pPr>
        <w:pStyle w:val="3"/>
        <w:keepNext w:val="0"/>
        <w:keepLines w:val="0"/>
        <w:pageBreakBefore w:val="0"/>
        <w:widowControl/>
        <w:numPr>
          <w:ilvl w:val="0"/>
          <w:numId w:val="6"/>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leftChars="0" w:right="0" w:rightChars="0"/>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中标人须与采购单位签订保密协议书。</w:t>
      </w:r>
    </w:p>
    <w:p w14:paraId="46987CAF">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Autospacing="0" w:line="360" w:lineRule="auto"/>
        <w:ind w:right="0" w:rightChars="0"/>
        <w:jc w:val="both"/>
        <w:textAlignment w:val="auto"/>
        <w:outlineLvl w:val="0"/>
        <w:rPr>
          <w:rFonts w:hint="eastAsia" w:eastAsia="宋体"/>
          <w:color w:val="auto"/>
          <w:sz w:val="30"/>
          <w:szCs w:val="30"/>
          <w:highlight w:val="none"/>
          <w:lang w:val="en-US" w:eastAsia="zh-CN"/>
        </w:rPr>
      </w:pPr>
      <w:r>
        <w:rPr>
          <w:rFonts w:hint="eastAsia" w:ascii="宋体" w:hAnsi="宋体" w:eastAsia="宋体" w:cs="宋体"/>
          <w:b w:val="0"/>
          <w:bCs w:val="0"/>
          <w:color w:val="auto"/>
          <w:sz w:val="21"/>
          <w:szCs w:val="21"/>
          <w:highlight w:val="none"/>
        </w:rPr>
        <w:t>2、中标人不能私自复制或留存、私自开发应用、对外公布数据，或提供数据给第三方使用。中标人须承诺按照国家、省有关法规文件规定，开展生产工作、履行保密责任，如中标人在项目实施过程中造成数据泄漏或违反其它保密条例的，将追究法律责任。采购人对于知悉中标人的有关合同事宜同样负有保密义务。</w:t>
      </w:r>
    </w:p>
    <w:p w14:paraId="4F896853">
      <w:pPr>
        <w:spacing w:beforeLines="0" w:line="360" w:lineRule="auto"/>
        <w:rPr>
          <w:color w:val="auto"/>
          <w:highlight w:val="none"/>
        </w:rPr>
      </w:pPr>
    </w:p>
    <w:sectPr>
      <w:footerReference r:id="rId3"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D62329">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24950E">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724950E">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5CE80D"/>
    <w:multiLevelType w:val="singleLevel"/>
    <w:tmpl w:val="945CE80D"/>
    <w:lvl w:ilvl="0" w:tentative="0">
      <w:start w:val="5"/>
      <w:numFmt w:val="chineseCounting"/>
      <w:suff w:val="nothing"/>
      <w:lvlText w:val="%1、"/>
      <w:lvlJc w:val="left"/>
      <w:rPr>
        <w:rFonts w:hint="eastAsia"/>
      </w:rPr>
    </w:lvl>
  </w:abstractNum>
  <w:abstractNum w:abstractNumId="1">
    <w:nsid w:val="E817728B"/>
    <w:multiLevelType w:val="singleLevel"/>
    <w:tmpl w:val="E817728B"/>
    <w:lvl w:ilvl="0" w:tentative="0">
      <w:start w:val="1"/>
      <w:numFmt w:val="decimal"/>
      <w:suff w:val="nothing"/>
      <w:lvlText w:val="%1、"/>
      <w:lvlJc w:val="left"/>
    </w:lvl>
  </w:abstractNum>
  <w:abstractNum w:abstractNumId="2">
    <w:nsid w:val="17B3C4F8"/>
    <w:multiLevelType w:val="singleLevel"/>
    <w:tmpl w:val="17B3C4F8"/>
    <w:lvl w:ilvl="0" w:tentative="0">
      <w:start w:val="1"/>
      <w:numFmt w:val="chineseCounting"/>
      <w:suff w:val="nothing"/>
      <w:lvlText w:val="（%1）"/>
      <w:lvlJc w:val="left"/>
      <w:rPr>
        <w:rFonts w:hint="eastAsia"/>
      </w:rPr>
    </w:lvl>
  </w:abstractNum>
  <w:abstractNum w:abstractNumId="3">
    <w:nsid w:val="254B9F25"/>
    <w:multiLevelType w:val="singleLevel"/>
    <w:tmpl w:val="254B9F25"/>
    <w:lvl w:ilvl="0" w:tentative="0">
      <w:start w:val="1"/>
      <w:numFmt w:val="decimal"/>
      <w:suff w:val="nothing"/>
      <w:lvlText w:val="%1、"/>
      <w:lvlJc w:val="left"/>
    </w:lvl>
  </w:abstractNum>
  <w:abstractNum w:abstractNumId="4">
    <w:nsid w:val="2B7BFE92"/>
    <w:multiLevelType w:val="singleLevel"/>
    <w:tmpl w:val="2B7BFE92"/>
    <w:lvl w:ilvl="0" w:tentative="0">
      <w:start w:val="1"/>
      <w:numFmt w:val="decimal"/>
      <w:suff w:val="nothing"/>
      <w:lvlText w:val="%1、"/>
      <w:lvlJc w:val="left"/>
    </w:lvl>
  </w:abstractNum>
  <w:abstractNum w:abstractNumId="5">
    <w:nsid w:val="41B5D8F4"/>
    <w:multiLevelType w:val="singleLevel"/>
    <w:tmpl w:val="41B5D8F4"/>
    <w:lvl w:ilvl="0" w:tentative="0">
      <w:start w:val="1"/>
      <w:numFmt w:val="decimal"/>
      <w:suff w:val="nothing"/>
      <w:lvlText w:val="%1、"/>
      <w:lvlJc w:val="left"/>
    </w:lvl>
  </w:abstractNum>
  <w:num w:numId="1">
    <w:abstractNumId w:val="1"/>
  </w:num>
  <w:num w:numId="2">
    <w:abstractNumId w:val="0"/>
  </w:num>
  <w:num w:numId="3">
    <w:abstractNumId w:val="2"/>
  </w:num>
  <w:num w:numId="4">
    <w:abstractNumId w:val="3"/>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7C1749"/>
    <w:rsid w:val="244028A8"/>
    <w:rsid w:val="2B6A3250"/>
    <w:rsid w:val="3A7C1749"/>
    <w:rsid w:val="3C7C7811"/>
    <w:rsid w:val="4556724D"/>
    <w:rsid w:val="488B5B98"/>
    <w:rsid w:val="561104ED"/>
    <w:rsid w:val="5EAC2CE3"/>
    <w:rsid w:val="627C0333"/>
    <w:rsid w:val="6C1B2219"/>
    <w:rsid w:val="7FB319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qFormat/>
    <w:uiPriority w:val="0"/>
    <w:pPr>
      <w:spacing w:before="100" w:beforeAutospacing="1" w:after="100" w:afterAutospacing="1"/>
      <w:jc w:val="left"/>
      <w:outlineLvl w:val="0"/>
    </w:pPr>
    <w:rPr>
      <w:rFonts w:hint="eastAsia" w:ascii="宋体" w:hAnsi="宋体" w:eastAsia="宋体" w:cs="宋体"/>
      <w:b/>
      <w:bCs/>
      <w:kern w:val="44"/>
      <w:sz w:val="48"/>
      <w:szCs w:val="48"/>
      <w:lang w:val="en-US" w:eastAsia="zh-CN" w:bidi="ar"/>
    </w:rPr>
  </w:style>
  <w:style w:type="paragraph" w:styleId="2">
    <w:name w:val="heading 3"/>
    <w:basedOn w:val="1"/>
    <w:next w:val="1"/>
    <w:unhideWhenUsed/>
    <w:qFormat/>
    <w:uiPriority w:val="9"/>
    <w:pPr>
      <w:keepNext/>
      <w:keepLines/>
      <w:spacing w:after="414" w:line="264" w:lineRule="auto"/>
      <w:ind w:left="70" w:hanging="10"/>
      <w:jc w:val="center"/>
      <w:outlineLvl w:val="2"/>
    </w:pPr>
    <w:rPr>
      <w:rFonts w:ascii="微软雅黑" w:hAnsi="微软雅黑" w:eastAsia="微软雅黑" w:cs="微软雅黑"/>
      <w:color w:val="000000"/>
      <w:kern w:val="2"/>
      <w:sz w:val="28"/>
      <w:szCs w:val="22"/>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9">
    <w:name w:val="annotation reference"/>
    <w:basedOn w:val="8"/>
    <w:qFormat/>
    <w:uiPriority w:val="0"/>
    <w:rPr>
      <w:sz w:val="21"/>
      <w:szCs w:val="21"/>
    </w:rPr>
  </w:style>
  <w:style w:type="paragraph" w:customStyle="1" w:styleId="10">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8837</Words>
  <Characters>9528</Characters>
  <Lines>0</Lines>
  <Paragraphs>0</Paragraphs>
  <TotalTime>0</TotalTime>
  <ScaleCrop>false</ScaleCrop>
  <LinksUpToDate>false</LinksUpToDate>
  <CharactersWithSpaces>9683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2026-02-26T04:14:00Z</dcterms:created>
  <dc:creator>熙罗</dc:creator>
  <cp:lastModifiedBy>熙罗</cp:lastModifiedBy>
  <dcterms:modified xsi:type="dcterms:W3CDTF">2026-03-05T12:48:26Z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58596A255C4849D49957CCDDF3398ACD_11</vt:lpwstr>
  </property>
  <property fmtid="{D5CDD505-2E9C-101B-9397-08002B2CF9AE}" pid="4" name="KSOTemplateDocerSaveRecord">
    <vt:lpwstr>eyJoZGlkIjoiODQyZDFiZTVhYTNkMGJlNTRhZmQwY2U5Y2YyY2U3YzUiLCJ1c2VySWQiOiI0OTczNzkzMjMifQ==</vt:lpwstr>
  </property>
</Properties>
</file>