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1CC11">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13-1彩色多普勒超声诊断仪</w:t>
      </w:r>
      <w:r>
        <w:rPr>
          <w:rFonts w:hint="eastAsia" w:ascii="宋体" w:hAnsi="宋体" w:eastAsia="宋体" w:cs="宋体"/>
          <w:b/>
          <w:bCs/>
          <w:color w:val="auto"/>
          <w:kern w:val="0"/>
          <w:sz w:val="36"/>
          <w:szCs w:val="36"/>
          <w:highlight w:val="none"/>
          <w:lang w:val="en-US" w:eastAsia="zh-CN" w:bidi="ar"/>
        </w:rPr>
        <w:t>用户需求书</w:t>
      </w:r>
    </w:p>
    <w:p w14:paraId="126C8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6B0B0989">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0B8C7BA4">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253810FD">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6AB9A3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49BCEB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007134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医用超声波仪器及设备（A02320500）</w:t>
      </w:r>
    </w:p>
    <w:p w14:paraId="63F958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4C87A9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5F484C6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★（一）</w:t>
      </w:r>
      <w:r>
        <w:rPr>
          <w:rFonts w:ascii="宋体" w:hAnsi="宋体" w:eastAsia="宋体" w:cs="宋体"/>
          <w:color w:val="auto"/>
          <w:sz w:val="24"/>
          <w:szCs w:val="24"/>
          <w:highlight w:val="none"/>
          <w:lang w:eastAsia="zh-CN"/>
        </w:rPr>
        <w:t>用途及基本要求</w:t>
      </w:r>
    </w:p>
    <w:p w14:paraId="1E88B99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1.设备要求：具备中国国家药品监督管理局三类医疗设备注册证。</w:t>
      </w:r>
    </w:p>
    <w:p w14:paraId="4D54C650">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2.用途：适用于妇产科、腹部、胎儿心脏、心脏、浅表组织与小器官、颅脑、外周血管及科研，满足产科方面超声诊断，妇科方面疑难病例超声诊断，胎儿畸形产前诊断及科研。</w:t>
      </w:r>
    </w:p>
    <w:p w14:paraId="3ED0CB4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（二）主机</w:t>
      </w:r>
    </w:p>
    <w:p w14:paraId="480E2A51">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1.主机一体化</w:t>
      </w:r>
      <w:r>
        <w:rPr>
          <w:rFonts w:ascii="宋体" w:hAnsi="宋体" w:eastAsia="宋体" w:cs="宋体"/>
          <w:color w:val="auto"/>
          <w:sz w:val="24"/>
          <w:szCs w:val="24"/>
          <w:highlight w:val="none"/>
          <w:lang w:eastAsia="zh-CN"/>
        </w:rPr>
        <w:t>高清液</w:t>
      </w:r>
      <w:r>
        <w:rPr>
          <w:rFonts w:hint="eastAsia" w:ascii="宋体" w:hAnsi="宋体" w:eastAsia="宋体" w:cs="宋体"/>
          <w:color w:val="auto"/>
          <w:sz w:val="24"/>
          <w:szCs w:val="24"/>
          <w:highlight w:val="none"/>
          <w:lang w:val="en-US" w:eastAsia="zh-CN"/>
        </w:rPr>
        <w:t>晶</w:t>
      </w:r>
      <w:r>
        <w:rPr>
          <w:rFonts w:ascii="宋体" w:hAnsi="宋体" w:eastAsia="宋体" w:cs="宋体"/>
          <w:color w:val="auto"/>
          <w:sz w:val="24"/>
          <w:szCs w:val="24"/>
          <w:highlight w:val="none"/>
        </w:rPr>
        <w:t>显示器≥23英寸。</w:t>
      </w:r>
    </w:p>
    <w:p w14:paraId="1A6A34BD">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2.液晶触摸屏≥15英寸，可通过触控屏的多点触控进行容积图像的旋转、放大、切割等直观操作,也可以通过触屏上手势划线实现任意切面成像以及多光源调节功能。（提供屏幕截图证明）</w:t>
      </w:r>
    </w:p>
    <w:p w14:paraId="1A4A05D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3.PW脉冲波多普勒成像单元</w:t>
      </w:r>
    </w:p>
    <w:p w14:paraId="2DB94EE7">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4.CW连续波多普勒成像单元</w:t>
      </w:r>
    </w:p>
    <w:p w14:paraId="570ECDE4">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5.数字化二维灰阶成像单元</w:t>
      </w:r>
    </w:p>
    <w:p w14:paraId="3E13D056">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6.数字化彩色多普勒单元</w:t>
      </w:r>
    </w:p>
    <w:p w14:paraId="381F1457">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7.数字化能量多普勒成像单元</w:t>
      </w:r>
    </w:p>
    <w:p w14:paraId="2209585E">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8.实时四维成像单元</w:t>
      </w:r>
    </w:p>
    <w:p w14:paraId="377361A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9.组织多普勒成像技术</w:t>
      </w:r>
    </w:p>
    <w:p w14:paraId="5638B2D3">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10.应变式弹性成像技术</w:t>
      </w:r>
    </w:p>
    <w:p w14:paraId="4B42B341">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11.软件波束形成器技术</w:t>
      </w:r>
    </w:p>
    <w:p w14:paraId="24A3BC9A">
      <w:pPr>
        <w:spacing w:line="360" w:lineRule="auto"/>
        <w:rPr>
          <w:rFonts w:ascii="宋体" w:hAnsi="宋体" w:eastAsia="宋体" w:cs="宋体"/>
          <w:color w:val="auto"/>
          <w:sz w:val="24"/>
          <w:szCs w:val="24"/>
          <w:highlight w:val="none"/>
        </w:rPr>
      </w:pPr>
      <w:r>
        <w:rPr>
          <w:rFonts w:ascii="宋体" w:hAnsi="宋体" w:eastAsia="宋体" w:cs="宋体"/>
          <w:strike w:val="0"/>
          <w:dstrike w:val="0"/>
          <w:color w:val="auto"/>
          <w:sz w:val="24"/>
          <w:szCs w:val="24"/>
          <w:highlight w:val="none"/>
        </w:rPr>
        <w:t>▲</w:t>
      </w:r>
      <w:r>
        <w:rPr>
          <w:rFonts w:ascii="宋体" w:hAnsi="宋体" w:eastAsia="宋体" w:cs="宋体"/>
          <w:color w:val="auto"/>
          <w:sz w:val="24"/>
          <w:szCs w:val="24"/>
          <w:highlight w:val="none"/>
        </w:rPr>
        <w:t>12.二维凸阵探头及高频线阵探头可以支持CW连续波多普勒成像，便于进行胎儿心脏血流速度测量</w:t>
      </w:r>
      <w:r>
        <w:rPr>
          <w:rFonts w:hint="eastAsia" w:ascii="宋体" w:hAnsi="宋体" w:eastAsia="宋体" w:cs="宋体"/>
          <w:color w:val="auto"/>
          <w:sz w:val="24"/>
          <w:highlight w:val="none"/>
        </w:rPr>
        <w:t>（提供上述两种探头的屏幕截图证明）</w:t>
      </w:r>
    </w:p>
    <w:p w14:paraId="793C2087">
      <w:pPr>
        <w:rPr>
          <w:rFonts w:ascii="宋体" w:hAnsi="宋体" w:eastAsia="宋体" w:cs="宋体"/>
          <w:color w:val="auto"/>
          <w:sz w:val="24"/>
          <w:szCs w:val="24"/>
          <w:highlight w:val="none"/>
        </w:rPr>
      </w:pPr>
      <w:r>
        <w:rPr>
          <w:rFonts w:ascii="宋体" w:hAnsi="宋体" w:eastAsia="宋体" w:cs="宋体"/>
          <w:color w:val="auto"/>
          <w:sz w:val="24"/>
          <w:szCs w:val="24"/>
          <w:highlight w:val="none"/>
        </w:rPr>
        <w:t>▲13.二维</w:t>
      </w:r>
      <w:r>
        <w:rPr>
          <w:rFonts w:hint="eastAsia" w:ascii="宋体" w:hAnsi="宋体" w:eastAsia="宋体" w:cs="宋体"/>
          <w:color w:val="auto"/>
          <w:sz w:val="24"/>
          <w:highlight w:val="none"/>
        </w:rPr>
        <w:t>全域血流成像</w:t>
      </w:r>
      <w:r>
        <w:rPr>
          <w:rFonts w:hint="eastAsia" w:ascii="宋体" w:hAnsi="宋体" w:eastAsia="宋体" w:cs="宋体"/>
          <w:color w:val="auto"/>
          <w:kern w:val="0"/>
          <w:sz w:val="22"/>
          <w:highlight w:val="none"/>
          <w:lang w:val="en-US" w:eastAsia="zh-CN"/>
        </w:rPr>
        <w:t>技术</w:t>
      </w:r>
      <w:r>
        <w:rPr>
          <w:rFonts w:ascii="宋体" w:hAnsi="宋体" w:eastAsia="宋体" w:cs="宋体"/>
          <w:color w:val="auto"/>
          <w:sz w:val="24"/>
          <w:szCs w:val="24"/>
          <w:highlight w:val="none"/>
        </w:rPr>
        <w:t>，采用非多普勒原理，无彩色取样框限制，不需要造影剂，可以对血流进行实时显示，反应血流动力学真实状态。</w:t>
      </w:r>
      <w:r>
        <w:rPr>
          <w:rFonts w:hint="eastAsia" w:ascii="宋体" w:hAnsi="宋体" w:eastAsia="宋体" w:cs="宋体"/>
          <w:color w:val="auto"/>
          <w:sz w:val="24"/>
          <w:highlight w:val="none"/>
        </w:rPr>
        <w:t>（提供屏幕截图证明无取样框）</w:t>
      </w:r>
    </w:p>
    <w:p w14:paraId="42365884">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14.二维立体血流成像技术，二维探头即可呈现立体血流形态，增强血流边界的显示及可视化效果。</w:t>
      </w:r>
    </w:p>
    <w:p w14:paraId="6EE3A0C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15.具有二维高清血流显示技术，全面显示组织器官微血流灌注。</w:t>
      </w:r>
    </w:p>
    <w:p w14:paraId="16423CC8">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16.宽景成像技术，支持所有凸阵和线阵探头</w:t>
      </w:r>
    </w:p>
    <w:p w14:paraId="2FCAA38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17.主机内置子宫形态分类方法，可以直接根据示意图，判断子宫形态。</w:t>
      </w:r>
    </w:p>
    <w:p w14:paraId="4A0E6DE8">
      <w:pPr>
        <w:pStyle w:val="13"/>
        <w:spacing w:line="360" w:lineRule="auto"/>
        <w:jc w:val="both"/>
        <w:rPr>
          <w:rFonts w:hint="eastAsia" w:ascii="GE Inspira Sans" w:hAnsi="GE Inspira Sans"/>
          <w:color w:val="auto"/>
          <w:highlight w:val="none"/>
        </w:rPr>
      </w:pPr>
      <w:r>
        <w:rPr>
          <w:rFonts w:ascii="宋体" w:hAnsi="宋体" w:eastAsia="宋体" w:cs="宋体"/>
          <w:color w:val="auto"/>
          <w:sz w:val="24"/>
          <w:szCs w:val="24"/>
          <w:highlight w:val="none"/>
        </w:rPr>
        <w:t>▲18.</w:t>
      </w:r>
      <w:r>
        <w:rPr>
          <w:rFonts w:hint="eastAsia" w:ascii="宋体" w:hAnsi="宋体" w:eastAsia="宋体" w:cs="宋体"/>
          <w:color w:val="auto"/>
          <w:sz w:val="24"/>
          <w:szCs w:val="24"/>
          <w:highlight w:val="none"/>
          <w:lang w:val="en-US" w:eastAsia="zh-CN"/>
        </w:rPr>
        <w:t>具备以下其中一项或多项子宫内膜诊疗技术：（1）主机内置国际深度子宫内膜异位症组织专家共识推荐的标准超声图文评估流程助手，帮助使用者对深度子宫内膜异位症进行标准化评估；（2）子宫仿内镜成像技术，在三维容积图像下通过虚拟内镜成像技术可与真实内镜图像相比拟，显示子宫超声剖面信息，评估内膜占位和向内生长的组织情况；（3）立体交叉三平面显示穿刺引导线技术，及时跟踪穿刺针，引导精准到达子宫内膜异位症病灶。（提供屏幕截图证明）</w:t>
      </w:r>
    </w:p>
    <w:p w14:paraId="4C1CB4E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19.支持机械指数和热指数警报设置，可自定义声输出限制并将其设定到系统中，将在扫描时提供超预设警报。</w:t>
      </w:r>
    </w:p>
    <w:p w14:paraId="6D677F28">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20.内置耦合剂加热功能，提升患者舒适度。</w:t>
      </w:r>
    </w:p>
    <w:p w14:paraId="33F9045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21.具备降低声影的强度专用技术：帮助恢复被声阴影遮挡的组织和边界，提供从近场到远场均匀一致的图像品质。</w:t>
      </w:r>
    </w:p>
    <w:p w14:paraId="0C10CD41">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22.困难条件成像专用技术：扫描困难条件患者，例如高体重指数（BMI），获得更清晰的图像。</w:t>
      </w:r>
    </w:p>
    <w:p w14:paraId="6B12D414">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▲23.探头智能响应技术：选取探头后，自动激活，并进入到扫描状态</w:t>
      </w:r>
    </w:p>
    <w:p w14:paraId="519774D4">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24.智能胎儿多普勒技术：</w:t>
      </w:r>
      <w:r>
        <w:rPr>
          <w:rFonts w:ascii="宋体" w:hAnsi="宋体" w:eastAsia="宋体" w:cs="宋体"/>
          <w:color w:val="auto"/>
          <w:sz w:val="24"/>
          <w:szCs w:val="24"/>
          <w:highlight w:val="none"/>
          <w:lang w:eastAsia="zh-CN"/>
        </w:rPr>
        <w:t>≥</w:t>
      </w:r>
      <w:r>
        <w:rPr>
          <w:rFonts w:ascii="宋体" w:hAnsi="宋体" w:eastAsia="宋体" w:cs="宋体"/>
          <w:color w:val="auto"/>
          <w:sz w:val="24"/>
          <w:szCs w:val="24"/>
          <w:highlight w:val="none"/>
        </w:rPr>
        <w:t>六种血流预设，随心切换，提升彩色/频谱/测量工作效率（可自定义设置）</w:t>
      </w:r>
    </w:p>
    <w:p w14:paraId="00BA7094">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25.用户界面颜色、灯光的个性化设置：轨迹球颜色、用户界面照明、主机周边照明、触摸屏配色方案均可自定义设置。</w:t>
      </w:r>
    </w:p>
    <w:p w14:paraId="7B08277B">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（三）容积四维成像技术</w:t>
      </w:r>
    </w:p>
    <w:p w14:paraId="3D9DB607">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1.支持灰阶三维/四维成像模式，具有虚拟光源技术，可实现表面成像和透视剪影成像，同时观察组织的外部轮廓和内部结构。</w:t>
      </w:r>
    </w:p>
    <w:p w14:paraId="36B6657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2.断层超声显像技术</w:t>
      </w:r>
    </w:p>
    <w:p w14:paraId="160E7E1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3.具有胎儿自动识别技术，实时</w:t>
      </w:r>
      <w:r>
        <w:rPr>
          <w:rFonts w:ascii="宋体" w:hAnsi="宋体" w:eastAsia="宋体" w:cs="宋体"/>
          <w:color w:val="auto"/>
          <w:sz w:val="24"/>
          <w:szCs w:val="24"/>
          <w:highlight w:val="none"/>
          <w:lang w:eastAsia="zh-CN"/>
        </w:rPr>
        <w:t>快速</w:t>
      </w:r>
      <w:r>
        <w:rPr>
          <w:rFonts w:ascii="宋体" w:hAnsi="宋体" w:eastAsia="宋体" w:cs="宋体"/>
          <w:color w:val="auto"/>
          <w:sz w:val="24"/>
          <w:szCs w:val="24"/>
          <w:highlight w:val="none"/>
        </w:rPr>
        <w:t>自动跟踪胎儿运动并调整容积成像框位置。</w:t>
      </w:r>
    </w:p>
    <w:p w14:paraId="74EA3C75">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4.卵泡智能容积成像，自动彩色编码显示，并按照体积大小排序及计数。</w:t>
      </w:r>
    </w:p>
    <w:p w14:paraId="7E0F7146">
      <w:pPr>
        <w:pStyle w:val="13"/>
        <w:spacing w:line="360" w:lineRule="auto"/>
        <w:ind w:left="0" w:leftChars="0"/>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5.专用窦卵泡智能容积成像，自动彩色编码显示，并按照体积大小排序及计数。（提供附图证明）</w:t>
      </w:r>
    </w:p>
    <w:p w14:paraId="180FD122">
      <w:pPr>
        <w:pStyle w:val="13"/>
        <w:numPr>
          <w:ilvl w:val="0"/>
          <w:numId w:val="2"/>
        </w:numPr>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时间空间相关成像技术</w:t>
      </w:r>
    </w:p>
    <w:p w14:paraId="70814D95">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7.</w:t>
      </w:r>
      <w:r>
        <w:rPr>
          <w:rFonts w:ascii="宋体" w:hAnsi="宋体" w:eastAsia="宋体" w:cs="宋体"/>
          <w:color w:val="auto"/>
          <w:sz w:val="24"/>
          <w:szCs w:val="24"/>
          <w:highlight w:val="none"/>
          <w:lang w:eastAsia="zh-CN"/>
        </w:rPr>
        <w:t xml:space="preserve"> </w:t>
      </w:r>
      <w:r>
        <w:rPr>
          <w:rFonts w:ascii="宋体" w:hAnsi="宋体" w:eastAsia="宋体" w:cs="宋体"/>
          <w:color w:val="auto"/>
          <w:sz w:val="24"/>
          <w:szCs w:val="24"/>
          <w:highlight w:val="none"/>
        </w:rPr>
        <w:t>胎心容积导航技术，基于STIC容积数据自动获取包括四腔心、左室流出道、右室流出道、胃泡、静脉连接、导管弓、主动脉弓、三血管气管切面。</w:t>
      </w:r>
    </w:p>
    <w:p w14:paraId="0A699EB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8.具有实时四维穿刺引导功能，有穿刺引导线。</w:t>
      </w:r>
    </w:p>
    <w:p w14:paraId="28931056">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9.腔内容积探头具有四维实时对比谐波造影功能，支持阴道子宫输卵管超声造影检查</w:t>
      </w:r>
    </w:p>
    <w:p w14:paraId="449B8104">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10.智能中枢神经系统检查：人工智能（AI）工具，基于深度学习算法支持，通过自动寻找成像切面位置，显示3D容积数据中的检查胎儿大脑的推荐切面和测量来帮助提高工作效率。自动识别胎儿颅脑正中矢状面，经丘脑平面，经小脑平面，经侧脑室平面4个标准平面。自动同时测量BPD,HC,OFD,CM后颅窝池,Cerebellum小脑横径,Vp侧脑室后脚6组生物指标。</w:t>
      </w:r>
    </w:p>
    <w:p w14:paraId="3E79782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▲11.智能三维产程监测功能：能够测量胎儿头部进程、旋转和方向，并同时自动产生一个包括了超声波客观数据、手动输入数据在内的产程报告（提供原厂技术白皮书证明）。</w:t>
      </w:r>
    </w:p>
    <w:p w14:paraId="17B10329">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12.具备实时空间对比成像技术，对二维图像增加厚度的信息，可以明显提高平面图像的分辨率，增加信息量，提高对组织结构的空间观察。</w:t>
      </w:r>
    </w:p>
    <w:p w14:paraId="352BDF56">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rPr>
        <w:t>.具备胎儿仿真成像技术：利用自然光的衰减系数，使三位图像更自然、逼真，皮肤和组织的图像更加细腻丰富，有助于异常结构诊断</w:t>
      </w:r>
    </w:p>
    <w:p w14:paraId="388FB3AC">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（四）Ai智能筛查系列技术</w:t>
      </w:r>
    </w:p>
    <w:p w14:paraId="5188E343">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▲1.智能先心病筛查技术：AI-胎心检查导航，通过文字说明、参考图像和正常解剖结构示意图，分步指导如何识别正常解剖结构及扫描流程。AI智能生成四腔心切面、三血管/三血管气管切面以及心轴角度。</w:t>
      </w:r>
    </w:p>
    <w:p w14:paraId="2F08EC85">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2.智能盆底检查:基于人工智能（AI），遵循国际规范,自动获得盆底测量，重复性好。自动寻找valsalva和缩肛状态下，最大裂孔平面位置;自动测量肛提肌裂孔的面积、周长、前后径和左右径。</w:t>
      </w:r>
    </w:p>
    <w:p w14:paraId="6A8B86A7">
      <w:pPr>
        <w:pStyle w:val="13"/>
        <w:spacing w:line="360" w:lineRule="auto"/>
        <w:jc w:val="both"/>
        <w:rPr>
          <w:rFonts w:ascii="宋体" w:hAnsi="宋体" w:eastAsia="宋体" w:cs="宋体"/>
          <w:strike/>
          <w:dstrike w:val="0"/>
          <w:color w:val="auto"/>
          <w:sz w:val="24"/>
          <w:szCs w:val="24"/>
          <w:highlight w:val="none"/>
        </w:rPr>
      </w:pPr>
      <w:r>
        <w:rPr>
          <w:rFonts w:ascii="宋体" w:hAnsi="宋体" w:eastAsia="宋体" w:cs="宋体"/>
          <w:color w:val="auto"/>
          <w:sz w:val="24"/>
          <w:szCs w:val="24"/>
          <w:highlight w:val="none"/>
        </w:rPr>
        <w:t>3.</w:t>
      </w:r>
      <w:r>
        <w:rPr>
          <w:rFonts w:ascii="宋体" w:hAnsi="宋体" w:eastAsia="宋体" w:cs="宋体"/>
          <w:color w:val="auto"/>
          <w:sz w:val="24"/>
          <w:szCs w:val="24"/>
          <w:highlight w:val="none"/>
          <w:lang w:eastAsia="zh-CN"/>
        </w:rPr>
        <w:t>具备</w:t>
      </w:r>
      <w:r>
        <w:rPr>
          <w:rFonts w:ascii="宋体" w:hAnsi="宋体" w:eastAsia="宋体" w:cs="宋体"/>
          <w:color w:val="auto"/>
          <w:sz w:val="24"/>
          <w:szCs w:val="24"/>
          <w:highlight w:val="none"/>
        </w:rPr>
        <w:t>智能宫颈定量分析技术</w:t>
      </w:r>
    </w:p>
    <w:p w14:paraId="5B217379">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（五）测量和分析（B型、M型、频谱多普勒、彩色模式）</w:t>
      </w:r>
    </w:p>
    <w:p w14:paraId="2C97EE19">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1.一般测量</w:t>
      </w:r>
    </w:p>
    <w:p w14:paraId="11E16D7B">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2.多普勒血流测量与分析，具有自动包络功能</w:t>
      </w:r>
    </w:p>
    <w:p w14:paraId="46978B55">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3.妇产，心脏，血管，儿科等测量与分析</w:t>
      </w:r>
    </w:p>
    <w:p w14:paraId="24F3C8A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4.胎儿生长指标自动测量功能，包括胎儿双顶径、枕额径、头围、腹围、股骨长、肱骨长</w:t>
      </w:r>
    </w:p>
    <w:p w14:paraId="47E77C67">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5.自动NT及自动IT测量技术</w:t>
      </w:r>
    </w:p>
    <w:p w14:paraId="1056178D">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6.自动胎心率测量技术</w:t>
      </w:r>
    </w:p>
    <w:p w14:paraId="00D8D360">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7.不规则体积测量技术，快速测量一个或多个低回声的不规则体的体积</w:t>
      </w:r>
    </w:p>
    <w:p w14:paraId="4E95DE0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▲8.容积能量模式直方图技术，结合不规则体积测量可计算血管指数VI，FI和VFI</w:t>
      </w:r>
      <w:r>
        <w:rPr>
          <w:rFonts w:hint="eastAsia" w:ascii="宋体" w:hAnsi="宋体" w:eastAsia="宋体" w:cs="宋体"/>
          <w:color w:val="auto"/>
          <w:sz w:val="24"/>
          <w:szCs w:val="24"/>
          <w:highlight w:val="none"/>
        </w:rPr>
        <w:t>（提供屏幕截图证明）</w:t>
      </w:r>
    </w:p>
    <w:p w14:paraId="7C4E7CCB">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（六）图像存储、管理及回放重现</w:t>
      </w:r>
    </w:p>
    <w:p w14:paraId="375DE64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1.输入/输出信号：USB,HDMI,S-Video,VGA</w:t>
      </w:r>
    </w:p>
    <w:p w14:paraId="04CF19EE">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2.连通性：医学数字图像和通信DICOM 3.0</w:t>
      </w:r>
    </w:p>
    <w:p w14:paraId="7B4720D6">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3.超声图像存档与病案管理系统</w:t>
      </w:r>
    </w:p>
    <w:p w14:paraId="6594F863">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4.回放重现单元</w:t>
      </w:r>
    </w:p>
    <w:p w14:paraId="1F885C2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5.硬盘容量≥1T</w:t>
      </w:r>
    </w:p>
    <w:p w14:paraId="4D67A88C">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6.一体化剪帖板：(在屏幕上)可以存储和回放动态及静态图像</w:t>
      </w:r>
    </w:p>
    <w:p w14:paraId="712144E7">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▲7.支持一键式输出3D打印格式，包括STL、OBJ、PLY、3MF、XYZ格式（附原厂技术白皮书证明）</w:t>
      </w:r>
    </w:p>
    <w:p w14:paraId="311EE619">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★8.设备需连接到医院的PACS系统，所产生的费用包含在投标报价中。（提供承诺函，格式自拟）</w:t>
      </w:r>
    </w:p>
    <w:p w14:paraId="1CAAE1A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（七）探头技术要求：</w:t>
      </w:r>
    </w:p>
    <w:p w14:paraId="3FD92CC7">
      <w:pPr>
        <w:widowControl/>
        <w:numPr>
          <w:ilvl w:val="0"/>
          <w:numId w:val="3"/>
        </w:numPr>
        <w:spacing w:line="360" w:lineRule="auto"/>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低频经腹凸阵探头，频率范围2.0-5.0MH。</w:t>
      </w:r>
    </w:p>
    <w:p w14:paraId="54071FAB">
      <w:pPr>
        <w:widowControl/>
        <w:numPr>
          <w:ilvl w:val="0"/>
          <w:numId w:val="3"/>
        </w:numPr>
        <w:spacing w:line="360" w:lineRule="auto"/>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高频经腹凸阵探头，频率范围4.0-9.0MH。</w:t>
      </w:r>
    </w:p>
    <w:p w14:paraId="2F2C057E">
      <w:pPr>
        <w:widowControl/>
        <w:numPr>
          <w:ilvl w:val="0"/>
          <w:numId w:val="3"/>
        </w:numPr>
        <w:spacing w:line="360" w:lineRule="auto"/>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经腹容积凸阵探头，频率范围2.0-6.0MH。</w:t>
      </w:r>
    </w:p>
    <w:p w14:paraId="532E2720">
      <w:pPr>
        <w:widowControl/>
        <w:numPr>
          <w:ilvl w:val="0"/>
          <w:numId w:val="3"/>
        </w:numPr>
        <w:spacing w:line="360" w:lineRule="auto"/>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腔内容积微凸阵探头，频率范围5.0-9.0MH。</w:t>
      </w:r>
    </w:p>
    <w:p w14:paraId="7AA4ABA6">
      <w:pPr>
        <w:widowControl/>
        <w:numPr>
          <w:ilvl w:val="0"/>
          <w:numId w:val="3"/>
        </w:numPr>
        <w:spacing w:line="360" w:lineRule="auto"/>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高频线阵探头，频率范围4.0-10MH</w:t>
      </w:r>
    </w:p>
    <w:p w14:paraId="5D2C4CB3">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（八）二维灰阶及容积成像主要参数</w:t>
      </w:r>
    </w:p>
    <w:p w14:paraId="5A5D9836">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1.凸阵探头，全视野，17cm深度时，在最高线密度下，二维帧频≥30帧/秒；</w:t>
      </w:r>
    </w:p>
    <w:p w14:paraId="179EFF9C">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2.凸阵容积探头，全视野，17cm深度时，四维成像帧频≥30帧/秒</w:t>
      </w:r>
    </w:p>
    <w:p w14:paraId="15A45D1C">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3.数字集成化智能TGC分段≥8段</w:t>
      </w:r>
    </w:p>
    <w:p w14:paraId="43B7B2B9">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4.二维成像扫描深度≥4</w:t>
      </w:r>
      <w:r>
        <w:rPr>
          <w:rFonts w:ascii="宋体" w:hAnsi="宋体" w:eastAsia="宋体" w:cs="宋体"/>
          <w:color w:val="auto"/>
          <w:sz w:val="24"/>
          <w:szCs w:val="24"/>
          <w:highlight w:val="none"/>
          <w:lang w:eastAsia="zh-CN"/>
        </w:rPr>
        <w:t>5</w:t>
      </w:r>
      <w:r>
        <w:rPr>
          <w:rFonts w:ascii="宋体" w:hAnsi="宋体" w:eastAsia="宋体" w:cs="宋体"/>
          <w:color w:val="auto"/>
          <w:sz w:val="24"/>
          <w:szCs w:val="24"/>
          <w:highlight w:val="none"/>
        </w:rPr>
        <w:t>cm（提供原厂白皮书，并附图证明）</w:t>
      </w:r>
    </w:p>
    <w:p w14:paraId="7F42B2D5">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5.回放重现：灰阶图像回放≥4000幅，四维图像回放≥400容积帧。</w:t>
      </w:r>
    </w:p>
    <w:p w14:paraId="4C04001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6.系统动态范围≥400dB</w:t>
      </w:r>
    </w:p>
    <w:p w14:paraId="221D19ED">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7.预设条件：针对不同的检查脏器，预置最佳化图像的检查条件，减少操作时的调节，及常用所需的外部调节及组合调节</w:t>
      </w:r>
    </w:p>
    <w:p w14:paraId="5F5401B1">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（九）频谱多普勒</w:t>
      </w:r>
    </w:p>
    <w:p w14:paraId="449C8EE1">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1.方式：PW，CW</w:t>
      </w:r>
    </w:p>
    <w:p w14:paraId="1F0CCE18">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2.多普勒发射频率可视可调，中心频率明确显示</w:t>
      </w:r>
    </w:p>
    <w:p w14:paraId="243B5BEF">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3.PWD：血流速度≥10m/s；CWD：血流速度≥21m/s</w:t>
      </w:r>
    </w:p>
    <w:p w14:paraId="62953183">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4.最低测量速度：≤10mm/s</w:t>
      </w:r>
    </w:p>
    <w:p w14:paraId="170FD922">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5.零位移动：≥10级</w:t>
      </w:r>
    </w:p>
    <w:p w14:paraId="3C1B09EC">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6.PWD取样宽度：0.1-20mm,分级可调。</w:t>
      </w:r>
    </w:p>
    <w:p w14:paraId="52D9EE59">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（十）彩色多普勒</w:t>
      </w:r>
    </w:p>
    <w:p w14:paraId="34A213BA">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1.显示方式：能量显示，速度显示、二维立体血流显示</w:t>
      </w:r>
    </w:p>
    <w:p w14:paraId="75F2F228">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2.凸阵探头，全视野，17cm深度时，在最高线密度下，彩色帧频≥10帧/秒；</w:t>
      </w:r>
    </w:p>
    <w:p w14:paraId="326720FB">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3.凸阵容积探头，全视野，17cm深度时，四维彩色成像帧频≥9帧/秒</w:t>
      </w:r>
    </w:p>
    <w:p w14:paraId="282E649D">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4.彩色显示速度：最低平均血流测量速度≤5mm/s（非噪声信号）</w:t>
      </w:r>
    </w:p>
    <w:p w14:paraId="53106BC0">
      <w:pPr>
        <w:pStyle w:val="13"/>
        <w:spacing w:line="360" w:lineRule="auto"/>
        <w:jc w:val="both"/>
        <w:rPr>
          <w:rFonts w:ascii="宋体" w:hAnsi="宋体" w:eastAsia="宋体" w:cs="宋体"/>
          <w:color w:val="auto"/>
          <w:sz w:val="24"/>
          <w:szCs w:val="24"/>
          <w:highlight w:val="none"/>
        </w:rPr>
      </w:pPr>
      <w:r>
        <w:rPr>
          <w:rFonts w:ascii="宋体" w:hAnsi="宋体" w:eastAsia="宋体" w:cs="宋体"/>
          <w:color w:val="auto"/>
          <w:sz w:val="24"/>
          <w:szCs w:val="24"/>
          <w:highlight w:val="none"/>
        </w:rPr>
        <w:t>5.彩色增强功能：彩色多普勒能量图，方向性能量图</w:t>
      </w:r>
    </w:p>
    <w:p w14:paraId="4A1BCCF6">
      <w:pPr>
        <w:pStyle w:val="13"/>
        <w:spacing w:line="360" w:lineRule="auto"/>
        <w:jc w:val="both"/>
        <w:rPr>
          <w:rFonts w:ascii="宋体" w:hAnsi="宋体" w:eastAsia="宋体" w:cs="宋体"/>
          <w:b/>
          <w:bCs/>
          <w:color w:val="auto"/>
          <w:sz w:val="24"/>
          <w:szCs w:val="24"/>
          <w:highlight w:val="none"/>
        </w:rPr>
      </w:pPr>
      <w:r>
        <w:rPr>
          <w:rFonts w:ascii="宋体" w:hAnsi="宋体" w:eastAsia="宋体" w:cs="宋体"/>
          <w:b/>
          <w:bCs/>
          <w:color w:val="auto"/>
          <w:sz w:val="24"/>
          <w:szCs w:val="24"/>
          <w:highlight w:val="none"/>
        </w:rPr>
        <w:t>★（十二）配置</w:t>
      </w:r>
      <w:r>
        <w:rPr>
          <w:rFonts w:ascii="宋体" w:hAnsi="宋体" w:eastAsia="宋体" w:cs="宋体"/>
          <w:b/>
          <w:bCs/>
          <w:color w:val="auto"/>
          <w:sz w:val="24"/>
          <w:szCs w:val="24"/>
          <w:highlight w:val="none"/>
          <w:lang w:eastAsia="zh-CN"/>
        </w:rPr>
        <w:t>及其他</w:t>
      </w:r>
      <w:r>
        <w:rPr>
          <w:rFonts w:ascii="宋体" w:hAnsi="宋体" w:eastAsia="宋体" w:cs="宋体"/>
          <w:b/>
          <w:bCs/>
          <w:color w:val="auto"/>
          <w:sz w:val="24"/>
          <w:szCs w:val="24"/>
          <w:highlight w:val="none"/>
        </w:rPr>
        <w:t>要求</w:t>
      </w:r>
    </w:p>
    <w:p w14:paraId="692F9B99">
      <w:pPr>
        <w:pStyle w:val="13"/>
        <w:ind w:firstLine="280"/>
        <w:jc w:val="both"/>
        <w:rPr>
          <w:rFonts w:hint="default"/>
          <w:color w:val="auto"/>
          <w:highlight w:val="none"/>
        </w:rPr>
      </w:pPr>
      <w:r>
        <w:rPr>
          <w:rFonts w:ascii="仿宋_GB2312" w:hAnsi="仿宋_GB2312" w:eastAsia="仿宋_GB2312" w:cs="仿宋_GB2312"/>
          <w:color w:val="auto"/>
          <w:sz w:val="24"/>
          <w:highlight w:val="none"/>
        </w:rPr>
        <w:t>1、设备使用年限≥10年。</w:t>
      </w:r>
      <w:r>
        <w:rPr>
          <w:rFonts w:ascii="仿宋_GB2312" w:hAnsi="仿宋_GB2312" w:eastAsia="仿宋_GB2312" w:cs="仿宋_GB2312"/>
          <w:b/>
          <w:color w:val="auto"/>
          <w:sz w:val="24"/>
          <w:highlight w:val="none"/>
        </w:rPr>
        <w:t>(提供铭牌或白皮书</w:t>
      </w:r>
      <w:r>
        <w:rPr>
          <w:rFonts w:hint="eastAsia" w:ascii="仿宋_GB2312" w:hAnsi="仿宋_GB2312" w:eastAsia="仿宋_GB2312" w:cs="仿宋_GB2312"/>
          <w:b/>
          <w:color w:val="auto"/>
          <w:sz w:val="24"/>
          <w:highlight w:val="none"/>
          <w:lang w:val="en-US" w:eastAsia="zh-CN"/>
        </w:rPr>
        <w:t>或厂家证明文件</w:t>
      </w:r>
      <w:r>
        <w:rPr>
          <w:rFonts w:ascii="仿宋_GB2312" w:hAnsi="仿宋_GB2312" w:eastAsia="仿宋_GB2312" w:cs="仿宋_GB2312"/>
          <w:b/>
          <w:color w:val="auto"/>
          <w:sz w:val="24"/>
          <w:highlight w:val="none"/>
        </w:rPr>
        <w:t>作为佐证)；</w:t>
      </w:r>
    </w:p>
    <w:p w14:paraId="2D5DD8A6">
      <w:pPr>
        <w:pStyle w:val="13"/>
        <w:spacing w:line="360" w:lineRule="auto"/>
        <w:jc w:val="both"/>
        <w:rPr>
          <w:rFonts w:ascii="宋体" w:hAnsi="宋体" w:eastAsia="宋体" w:cs="宋体"/>
          <w:b/>
          <w:bCs/>
          <w:color w:val="auto"/>
          <w:sz w:val="24"/>
          <w:szCs w:val="24"/>
          <w:highlight w:val="none"/>
          <w:lang w:eastAsia="zh-CN"/>
        </w:rPr>
      </w:pPr>
    </w:p>
    <w:tbl>
      <w:tblPr>
        <w:tblStyle w:val="9"/>
        <w:tblW w:w="7553" w:type="dxa"/>
        <w:jc w:val="center"/>
        <w:tblLayout w:type="fixed"/>
        <w:tblCellMar>
          <w:top w:w="0" w:type="dxa"/>
          <w:left w:w="108" w:type="dxa"/>
          <w:bottom w:w="0" w:type="dxa"/>
          <w:right w:w="108" w:type="dxa"/>
        </w:tblCellMar>
      </w:tblPr>
      <w:tblGrid>
        <w:gridCol w:w="860"/>
        <w:gridCol w:w="4184"/>
        <w:gridCol w:w="1282"/>
        <w:gridCol w:w="1227"/>
      </w:tblGrid>
      <w:tr w14:paraId="793BF78C">
        <w:tblPrEx>
          <w:tblCellMar>
            <w:top w:w="0" w:type="dxa"/>
            <w:left w:w="108" w:type="dxa"/>
            <w:bottom w:w="0" w:type="dxa"/>
            <w:right w:w="108" w:type="dxa"/>
          </w:tblCellMar>
        </w:tblPrEx>
        <w:trPr>
          <w:trHeight w:val="335" w:hRule="atLeast"/>
          <w:jc w:val="center"/>
        </w:trPr>
        <w:tc>
          <w:tcPr>
            <w:tcW w:w="860" w:type="dxa"/>
            <w:tcBorders>
              <w:top w:val="single" w:color="auto" w:sz="4" w:space="0"/>
              <w:left w:val="single" w:color="auto" w:sz="4" w:space="0"/>
              <w:bottom w:val="single" w:color="auto" w:sz="4" w:space="0"/>
              <w:right w:val="single" w:color="auto" w:sz="4" w:space="0"/>
            </w:tcBorders>
            <w:vAlign w:val="center"/>
          </w:tcPr>
          <w:p w14:paraId="4A870AB1">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序号</w:t>
            </w:r>
          </w:p>
        </w:tc>
        <w:tc>
          <w:tcPr>
            <w:tcW w:w="4184" w:type="dxa"/>
            <w:tcBorders>
              <w:top w:val="single" w:color="auto" w:sz="4" w:space="0"/>
              <w:left w:val="nil"/>
              <w:bottom w:val="single" w:color="auto" w:sz="4" w:space="0"/>
              <w:right w:val="single" w:color="auto" w:sz="4" w:space="0"/>
            </w:tcBorders>
            <w:vAlign w:val="center"/>
          </w:tcPr>
          <w:p w14:paraId="38545EDC">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配置名称</w:t>
            </w:r>
          </w:p>
        </w:tc>
        <w:tc>
          <w:tcPr>
            <w:tcW w:w="1282" w:type="dxa"/>
            <w:tcBorders>
              <w:top w:val="single" w:color="auto" w:sz="4" w:space="0"/>
              <w:left w:val="nil"/>
              <w:bottom w:val="single" w:color="auto" w:sz="4" w:space="0"/>
              <w:right w:val="single" w:color="auto" w:sz="4" w:space="0"/>
            </w:tcBorders>
            <w:vAlign w:val="center"/>
          </w:tcPr>
          <w:p w14:paraId="30787885">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数量</w:t>
            </w:r>
          </w:p>
        </w:tc>
        <w:tc>
          <w:tcPr>
            <w:tcW w:w="1227" w:type="dxa"/>
            <w:tcBorders>
              <w:top w:val="single" w:color="auto" w:sz="4" w:space="0"/>
              <w:left w:val="nil"/>
              <w:bottom w:val="single" w:color="auto" w:sz="4" w:space="0"/>
              <w:right w:val="single" w:color="auto" w:sz="4" w:space="0"/>
            </w:tcBorders>
            <w:vAlign w:val="center"/>
          </w:tcPr>
          <w:p w14:paraId="3B0E26D1">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单位</w:t>
            </w:r>
          </w:p>
        </w:tc>
      </w:tr>
      <w:tr w14:paraId="0A435448">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65D50ED6">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1</w:t>
            </w:r>
          </w:p>
        </w:tc>
        <w:tc>
          <w:tcPr>
            <w:tcW w:w="4184" w:type="dxa"/>
            <w:tcBorders>
              <w:top w:val="nil"/>
              <w:left w:val="nil"/>
              <w:bottom w:val="single" w:color="auto" w:sz="4" w:space="0"/>
              <w:right w:val="single" w:color="auto" w:sz="4" w:space="0"/>
            </w:tcBorders>
            <w:vAlign w:val="center"/>
          </w:tcPr>
          <w:p w14:paraId="7FFEFC78">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主机</w:t>
            </w:r>
          </w:p>
        </w:tc>
        <w:tc>
          <w:tcPr>
            <w:tcW w:w="1282" w:type="dxa"/>
            <w:tcBorders>
              <w:top w:val="nil"/>
              <w:left w:val="nil"/>
              <w:bottom w:val="single" w:color="auto" w:sz="4" w:space="0"/>
              <w:right w:val="single" w:color="auto" w:sz="4" w:space="0"/>
            </w:tcBorders>
            <w:noWrap/>
            <w:vAlign w:val="center"/>
          </w:tcPr>
          <w:p w14:paraId="25727FF0">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7C96FC4F">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台</w:t>
            </w:r>
          </w:p>
        </w:tc>
      </w:tr>
      <w:tr w14:paraId="45166961">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1C497FFF">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2</w:t>
            </w:r>
          </w:p>
        </w:tc>
        <w:tc>
          <w:tcPr>
            <w:tcW w:w="4184" w:type="dxa"/>
            <w:tcBorders>
              <w:top w:val="nil"/>
              <w:left w:val="nil"/>
              <w:bottom w:val="single" w:color="auto" w:sz="4" w:space="0"/>
              <w:right w:val="single" w:color="auto" w:sz="4" w:space="0"/>
            </w:tcBorders>
            <w:vAlign w:val="center"/>
          </w:tcPr>
          <w:p w14:paraId="2083B60A">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腹部容积探头</w:t>
            </w:r>
          </w:p>
        </w:tc>
        <w:tc>
          <w:tcPr>
            <w:tcW w:w="1282" w:type="dxa"/>
            <w:tcBorders>
              <w:top w:val="nil"/>
              <w:left w:val="nil"/>
              <w:bottom w:val="single" w:color="auto" w:sz="4" w:space="0"/>
              <w:right w:val="single" w:color="auto" w:sz="4" w:space="0"/>
            </w:tcBorders>
            <w:noWrap/>
            <w:vAlign w:val="center"/>
          </w:tcPr>
          <w:p w14:paraId="4C923B5F">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2D432B47">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把</w:t>
            </w:r>
          </w:p>
        </w:tc>
      </w:tr>
      <w:tr w14:paraId="01779137">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3CFB014A">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3</w:t>
            </w:r>
          </w:p>
        </w:tc>
        <w:tc>
          <w:tcPr>
            <w:tcW w:w="4184" w:type="dxa"/>
            <w:tcBorders>
              <w:top w:val="nil"/>
              <w:left w:val="nil"/>
              <w:bottom w:val="single" w:color="auto" w:sz="4" w:space="0"/>
              <w:right w:val="single" w:color="auto" w:sz="4" w:space="0"/>
            </w:tcBorders>
            <w:vAlign w:val="center"/>
          </w:tcPr>
          <w:p w14:paraId="05DEB09F">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腔内容积探头</w:t>
            </w:r>
          </w:p>
        </w:tc>
        <w:tc>
          <w:tcPr>
            <w:tcW w:w="1282" w:type="dxa"/>
            <w:tcBorders>
              <w:top w:val="nil"/>
              <w:left w:val="nil"/>
              <w:bottom w:val="single" w:color="auto" w:sz="4" w:space="0"/>
              <w:right w:val="single" w:color="auto" w:sz="4" w:space="0"/>
            </w:tcBorders>
            <w:noWrap/>
            <w:vAlign w:val="center"/>
          </w:tcPr>
          <w:p w14:paraId="55D0103C">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6DB865E8">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把</w:t>
            </w:r>
          </w:p>
        </w:tc>
      </w:tr>
      <w:tr w14:paraId="6BF5D5CA">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4A5E50DD">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4</w:t>
            </w:r>
          </w:p>
        </w:tc>
        <w:tc>
          <w:tcPr>
            <w:tcW w:w="4184" w:type="dxa"/>
            <w:tcBorders>
              <w:top w:val="nil"/>
              <w:left w:val="nil"/>
              <w:bottom w:val="single" w:color="auto" w:sz="4" w:space="0"/>
              <w:right w:val="single" w:color="auto" w:sz="4" w:space="0"/>
            </w:tcBorders>
            <w:vAlign w:val="center"/>
          </w:tcPr>
          <w:p w14:paraId="2FDA7AA9">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腹部探头</w:t>
            </w:r>
          </w:p>
        </w:tc>
        <w:tc>
          <w:tcPr>
            <w:tcW w:w="1282" w:type="dxa"/>
            <w:tcBorders>
              <w:top w:val="nil"/>
              <w:left w:val="nil"/>
              <w:bottom w:val="single" w:color="auto" w:sz="4" w:space="0"/>
              <w:right w:val="single" w:color="auto" w:sz="4" w:space="0"/>
            </w:tcBorders>
            <w:noWrap/>
            <w:vAlign w:val="center"/>
          </w:tcPr>
          <w:p w14:paraId="301867F3">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48026802">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把</w:t>
            </w:r>
          </w:p>
        </w:tc>
      </w:tr>
      <w:tr w14:paraId="2D9AA3F2">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43E330F8">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5</w:t>
            </w:r>
          </w:p>
        </w:tc>
        <w:tc>
          <w:tcPr>
            <w:tcW w:w="4184" w:type="dxa"/>
            <w:tcBorders>
              <w:top w:val="nil"/>
              <w:left w:val="nil"/>
              <w:bottom w:val="single" w:color="auto" w:sz="4" w:space="0"/>
              <w:right w:val="single" w:color="auto" w:sz="4" w:space="0"/>
            </w:tcBorders>
            <w:vAlign w:val="center"/>
          </w:tcPr>
          <w:p w14:paraId="257F70FA">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腹部高频探头</w:t>
            </w:r>
          </w:p>
        </w:tc>
        <w:tc>
          <w:tcPr>
            <w:tcW w:w="1282" w:type="dxa"/>
            <w:tcBorders>
              <w:top w:val="nil"/>
              <w:left w:val="nil"/>
              <w:bottom w:val="single" w:color="auto" w:sz="4" w:space="0"/>
              <w:right w:val="single" w:color="auto" w:sz="4" w:space="0"/>
            </w:tcBorders>
            <w:noWrap/>
            <w:vAlign w:val="center"/>
          </w:tcPr>
          <w:p w14:paraId="455123B7">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68BB83F9">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把</w:t>
            </w:r>
          </w:p>
        </w:tc>
      </w:tr>
      <w:tr w14:paraId="423705CC">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1D4ADCE0">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6</w:t>
            </w:r>
          </w:p>
        </w:tc>
        <w:tc>
          <w:tcPr>
            <w:tcW w:w="4184" w:type="dxa"/>
            <w:tcBorders>
              <w:top w:val="nil"/>
              <w:left w:val="nil"/>
              <w:bottom w:val="single" w:color="auto" w:sz="4" w:space="0"/>
              <w:right w:val="single" w:color="auto" w:sz="4" w:space="0"/>
            </w:tcBorders>
            <w:vAlign w:val="center"/>
          </w:tcPr>
          <w:p w14:paraId="2127C6A1">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浅表探头</w:t>
            </w:r>
          </w:p>
        </w:tc>
        <w:tc>
          <w:tcPr>
            <w:tcW w:w="1282" w:type="dxa"/>
            <w:tcBorders>
              <w:top w:val="nil"/>
              <w:left w:val="nil"/>
              <w:bottom w:val="single" w:color="auto" w:sz="4" w:space="0"/>
              <w:right w:val="single" w:color="auto" w:sz="4" w:space="0"/>
            </w:tcBorders>
            <w:noWrap/>
            <w:vAlign w:val="center"/>
          </w:tcPr>
          <w:p w14:paraId="23391877">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2AD8C220">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把</w:t>
            </w:r>
          </w:p>
        </w:tc>
      </w:tr>
      <w:tr w14:paraId="55FFE8DF">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5F0C9F72">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7</w:t>
            </w:r>
          </w:p>
        </w:tc>
        <w:tc>
          <w:tcPr>
            <w:tcW w:w="4184" w:type="dxa"/>
            <w:tcBorders>
              <w:top w:val="nil"/>
              <w:left w:val="nil"/>
              <w:bottom w:val="single" w:color="auto" w:sz="4" w:space="0"/>
              <w:right w:val="single" w:color="auto" w:sz="4" w:space="0"/>
            </w:tcBorders>
            <w:vAlign w:val="center"/>
          </w:tcPr>
          <w:p w14:paraId="3F08A04F">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血流立体三维模式</w:t>
            </w:r>
          </w:p>
        </w:tc>
        <w:tc>
          <w:tcPr>
            <w:tcW w:w="1282" w:type="dxa"/>
            <w:tcBorders>
              <w:top w:val="nil"/>
              <w:left w:val="nil"/>
              <w:bottom w:val="single" w:color="auto" w:sz="4" w:space="0"/>
              <w:right w:val="single" w:color="auto" w:sz="4" w:space="0"/>
            </w:tcBorders>
            <w:noWrap/>
            <w:vAlign w:val="center"/>
          </w:tcPr>
          <w:p w14:paraId="07A61F51">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123CC8A2">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套</w:t>
            </w:r>
          </w:p>
        </w:tc>
      </w:tr>
      <w:tr w14:paraId="34123AD2">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296A465B">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8</w:t>
            </w:r>
          </w:p>
        </w:tc>
        <w:tc>
          <w:tcPr>
            <w:tcW w:w="4184" w:type="dxa"/>
            <w:tcBorders>
              <w:top w:val="nil"/>
              <w:left w:val="nil"/>
              <w:bottom w:val="single" w:color="auto" w:sz="4" w:space="0"/>
              <w:right w:val="single" w:color="auto" w:sz="4" w:space="0"/>
            </w:tcBorders>
            <w:vAlign w:val="center"/>
          </w:tcPr>
          <w:p w14:paraId="49DCE77B">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造影成像模式</w:t>
            </w:r>
          </w:p>
        </w:tc>
        <w:tc>
          <w:tcPr>
            <w:tcW w:w="1282" w:type="dxa"/>
            <w:tcBorders>
              <w:top w:val="nil"/>
              <w:left w:val="nil"/>
              <w:bottom w:val="single" w:color="auto" w:sz="4" w:space="0"/>
              <w:right w:val="single" w:color="auto" w:sz="4" w:space="0"/>
            </w:tcBorders>
            <w:noWrap/>
            <w:vAlign w:val="center"/>
          </w:tcPr>
          <w:p w14:paraId="486B927F">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3BF17129">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套</w:t>
            </w:r>
          </w:p>
        </w:tc>
      </w:tr>
      <w:tr w14:paraId="376E300E">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1D699BCE">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9</w:t>
            </w:r>
          </w:p>
        </w:tc>
        <w:tc>
          <w:tcPr>
            <w:tcW w:w="4184" w:type="dxa"/>
            <w:tcBorders>
              <w:top w:val="nil"/>
              <w:left w:val="nil"/>
              <w:bottom w:val="single" w:color="auto" w:sz="4" w:space="0"/>
              <w:right w:val="single" w:color="auto" w:sz="4" w:space="0"/>
            </w:tcBorders>
            <w:vAlign w:val="center"/>
          </w:tcPr>
          <w:p w14:paraId="706B238C">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弹性成像</w:t>
            </w:r>
          </w:p>
        </w:tc>
        <w:tc>
          <w:tcPr>
            <w:tcW w:w="1282" w:type="dxa"/>
            <w:tcBorders>
              <w:top w:val="nil"/>
              <w:left w:val="nil"/>
              <w:bottom w:val="single" w:color="auto" w:sz="4" w:space="0"/>
              <w:right w:val="single" w:color="auto" w:sz="4" w:space="0"/>
            </w:tcBorders>
            <w:noWrap/>
            <w:vAlign w:val="center"/>
          </w:tcPr>
          <w:p w14:paraId="28A3FA32">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633C8A69">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套</w:t>
            </w:r>
          </w:p>
        </w:tc>
      </w:tr>
      <w:tr w14:paraId="34A239FB">
        <w:tblPrEx>
          <w:tblCellMar>
            <w:top w:w="0" w:type="dxa"/>
            <w:left w:w="108" w:type="dxa"/>
            <w:bottom w:w="0" w:type="dxa"/>
            <w:right w:w="108" w:type="dxa"/>
          </w:tblCellMar>
        </w:tblPrEx>
        <w:trPr>
          <w:trHeight w:val="462" w:hRule="atLeast"/>
          <w:jc w:val="center"/>
        </w:trPr>
        <w:tc>
          <w:tcPr>
            <w:tcW w:w="860" w:type="dxa"/>
            <w:tcBorders>
              <w:top w:val="nil"/>
              <w:left w:val="single" w:color="auto" w:sz="4" w:space="0"/>
              <w:bottom w:val="single" w:color="auto" w:sz="4" w:space="0"/>
              <w:right w:val="single" w:color="auto" w:sz="4" w:space="0"/>
            </w:tcBorders>
            <w:vAlign w:val="center"/>
          </w:tcPr>
          <w:p w14:paraId="1A21FAC1">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10</w:t>
            </w:r>
          </w:p>
        </w:tc>
        <w:tc>
          <w:tcPr>
            <w:tcW w:w="4184" w:type="dxa"/>
            <w:tcBorders>
              <w:top w:val="nil"/>
              <w:left w:val="nil"/>
              <w:bottom w:val="single" w:color="auto" w:sz="4" w:space="0"/>
              <w:right w:val="single" w:color="auto" w:sz="4" w:space="0"/>
            </w:tcBorders>
            <w:vAlign w:val="center"/>
          </w:tcPr>
          <w:p w14:paraId="4A0AD7BF">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AI辅助诊断功能</w:t>
            </w:r>
          </w:p>
        </w:tc>
        <w:tc>
          <w:tcPr>
            <w:tcW w:w="1282" w:type="dxa"/>
            <w:tcBorders>
              <w:top w:val="nil"/>
              <w:left w:val="nil"/>
              <w:bottom w:val="single" w:color="auto" w:sz="4" w:space="0"/>
              <w:right w:val="single" w:color="auto" w:sz="4" w:space="0"/>
            </w:tcBorders>
            <w:noWrap/>
            <w:vAlign w:val="center"/>
          </w:tcPr>
          <w:p w14:paraId="01455270">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p>
        </w:tc>
        <w:tc>
          <w:tcPr>
            <w:tcW w:w="1227" w:type="dxa"/>
            <w:tcBorders>
              <w:top w:val="nil"/>
              <w:left w:val="nil"/>
              <w:bottom w:val="single" w:color="auto" w:sz="4" w:space="0"/>
              <w:right w:val="single" w:color="auto" w:sz="4" w:space="0"/>
            </w:tcBorders>
            <w:noWrap/>
            <w:vAlign w:val="center"/>
          </w:tcPr>
          <w:p w14:paraId="4DD1EA04">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套</w:t>
            </w:r>
          </w:p>
        </w:tc>
      </w:tr>
    </w:tbl>
    <w:p w14:paraId="7BDC8044">
      <w:pPr>
        <w:pStyle w:val="13"/>
        <w:spacing w:line="360" w:lineRule="auto"/>
        <w:jc w:val="both"/>
        <w:rPr>
          <w:rFonts w:ascii="宋体" w:hAnsi="宋体" w:eastAsia="宋体" w:cs="宋体"/>
          <w:b/>
          <w:bCs/>
          <w:color w:val="auto"/>
          <w:sz w:val="24"/>
          <w:szCs w:val="24"/>
          <w:highlight w:val="none"/>
        </w:rPr>
      </w:pPr>
    </w:p>
    <w:p w14:paraId="050702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6CA9A2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445D5C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color w:val="auto"/>
          <w:sz w:val="21"/>
          <w:szCs w:val="21"/>
          <w:highlight w:val="none"/>
          <w:lang w:val="en-US" w:eastAsia="zh-CN"/>
        </w:rPr>
        <w:t>合同签定后</w:t>
      </w:r>
      <w:r>
        <w:rPr>
          <w:rFonts w:hint="eastAsia" w:ascii="宋体" w:hAnsi="宋体" w:eastAsia="宋体" w:cs="宋体"/>
          <w:color w:val="auto"/>
          <w:sz w:val="21"/>
          <w:szCs w:val="21"/>
          <w:highlight w:val="none"/>
          <w:lang w:val="en-US" w:eastAsia="zh-CN"/>
        </w:rPr>
        <w:t>30</w:t>
      </w:r>
      <w:r>
        <w:rPr>
          <w:rFonts w:hint="eastAsia"/>
          <w:color w:val="auto"/>
          <w:sz w:val="21"/>
          <w:szCs w:val="21"/>
          <w:highlight w:val="none"/>
          <w:lang w:val="en-US" w:eastAsia="zh-CN"/>
        </w:rPr>
        <w:t>日内交货</w:t>
      </w:r>
    </w:p>
    <w:p w14:paraId="366CC6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r>
        <w:rPr>
          <w:rFonts w:hint="eastAsia" w:cs="宋体"/>
          <w:b/>
          <w:bCs/>
          <w:color w:val="auto"/>
          <w:sz w:val="21"/>
          <w:szCs w:val="21"/>
          <w:highlight w:val="none"/>
          <w:lang w:val="en-US" w:eastAsia="zh-CN"/>
        </w:rPr>
        <w:t>采购人指定的地点</w:t>
      </w:r>
      <w:bookmarkStart w:id="0" w:name="_GoBack"/>
      <w:bookmarkEnd w:id="0"/>
    </w:p>
    <w:p w14:paraId="1EA7BE0F">
      <w:pPr>
        <w:pStyle w:val="13"/>
        <w:spacing w:beforeLines="0" w:line="360" w:lineRule="auto"/>
        <w:jc w:val="both"/>
        <w:rPr>
          <w:rFonts w:hint="eastAsia" w:cs="Times New Roman"/>
          <w:b w:val="0"/>
          <w:bCs w:val="0"/>
          <w:color w:val="auto"/>
          <w:sz w:val="21"/>
          <w:szCs w:val="21"/>
          <w:highlight w:val="none"/>
          <w:lang w:val="en-US" w:eastAsia="zh-CN"/>
        </w:rPr>
      </w:pPr>
      <w:r>
        <w:rPr>
          <w:rFonts w:hint="eastAsia" w:cs="宋体"/>
          <w:b/>
          <w:bCs/>
          <w:color w:val="auto"/>
          <w:sz w:val="21"/>
          <w:szCs w:val="21"/>
          <w:highlight w:val="none"/>
          <w:lang w:val="en-US" w:eastAsia="zh-CN"/>
        </w:rPr>
        <w:t>三、付款方式：</w:t>
      </w:r>
      <w:r>
        <w:rPr>
          <w:rFonts w:hint="eastAsia" w:cs="Times New Roman"/>
          <w:b w:val="0"/>
          <w:bCs w:val="0"/>
          <w:color w:val="auto"/>
          <w:sz w:val="21"/>
          <w:szCs w:val="21"/>
          <w:highlight w:val="none"/>
          <w:lang w:val="en-US" w:eastAsia="zh-CN"/>
        </w:rPr>
        <w:t>1.全部设备验收合格后六个月内由甲方向乙方支付合同总金额的60%。</w:t>
      </w:r>
    </w:p>
    <w:p w14:paraId="6BA96E89">
      <w:pPr>
        <w:pStyle w:val="13"/>
        <w:spacing w:beforeLines="0" w:line="360" w:lineRule="auto"/>
        <w:jc w:val="both"/>
        <w:rPr>
          <w:rFonts w:hint="eastAsia"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2.验收合格后满一年由甲方向乙方支付合同总金额的30%。</w:t>
      </w:r>
    </w:p>
    <w:p w14:paraId="3CC6A452">
      <w:pPr>
        <w:pStyle w:val="13"/>
        <w:spacing w:beforeLines="0" w:line="360" w:lineRule="auto"/>
        <w:jc w:val="both"/>
        <w:rPr>
          <w:color w:val="auto"/>
          <w:sz w:val="21"/>
          <w:szCs w:val="21"/>
          <w:highlight w:val="none"/>
        </w:rPr>
      </w:pPr>
      <w:r>
        <w:rPr>
          <w:rFonts w:hint="eastAsia"/>
          <w:color w:val="auto"/>
          <w:sz w:val="21"/>
          <w:szCs w:val="21"/>
          <w:highlight w:val="none"/>
          <w:lang w:val="en-US" w:eastAsia="zh-CN"/>
        </w:rPr>
        <w:t>3.</w:t>
      </w:r>
      <w:r>
        <w:rPr>
          <w:color w:val="auto"/>
          <w:sz w:val="21"/>
          <w:szCs w:val="21"/>
          <w:highlight w:val="none"/>
        </w:rPr>
        <w:t>质保期满后，由甲方向乙方支付合同总金额的10%。</w:t>
      </w:r>
    </w:p>
    <w:p w14:paraId="7ED74B4A">
      <w:pPr>
        <w:pStyle w:val="13"/>
        <w:spacing w:beforeLines="0" w:line="360" w:lineRule="auto"/>
        <w:jc w:val="both"/>
        <w:rPr>
          <w:color w:val="auto"/>
          <w:sz w:val="21"/>
          <w:szCs w:val="21"/>
          <w:highlight w:val="none"/>
        </w:rPr>
      </w:pPr>
      <w:r>
        <w:rPr>
          <w:rFonts w:hint="eastAsia"/>
          <w:color w:val="auto"/>
          <w:sz w:val="21"/>
          <w:szCs w:val="21"/>
          <w:highlight w:val="none"/>
          <w:lang w:val="en-US" w:eastAsia="zh-CN"/>
        </w:rPr>
        <w:t>4.</w:t>
      </w:r>
      <w:r>
        <w:rPr>
          <w:color w:val="auto"/>
          <w:sz w:val="21"/>
          <w:szCs w:val="21"/>
          <w:highlight w:val="none"/>
        </w:rPr>
        <w:t>合同款项以人民币转账方式支付。每次付款前乙方凭以下材料提出付款申请：（1）正式等额发票；（2）合同；（3）中标通知书；（4）验收报告。</w:t>
      </w:r>
    </w:p>
    <w:p w14:paraId="7643EB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1BDFBF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2433BA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3AD5B1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26DF7A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366704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61B0D5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346025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5EAA56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14F31FDE">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5ABAC5B9">
      <w:pPr>
        <w:rPr>
          <w:rFonts w:hint="default"/>
          <w:color w:val="auto"/>
          <w:highlight w:val="none"/>
        </w:rPr>
      </w:pPr>
      <w:r>
        <w:rPr>
          <w:rFonts w:hint="eastAsia"/>
          <w:color w:val="auto"/>
          <w:highlight w:val="none"/>
          <w:lang w:val="en-US" w:eastAsia="zh-CN"/>
        </w:rPr>
        <w:t>3.4</w:t>
      </w:r>
      <w:r>
        <w:rPr>
          <w:rFonts w:hint="default"/>
          <w:color w:val="auto"/>
          <w:highlight w:val="none"/>
        </w:rPr>
        <w:t>如设备需接入甲方院方系统的，则验收前由乙方负责接入院方系统，具体实施及相关费用由乙方承担。</w:t>
      </w:r>
    </w:p>
    <w:p w14:paraId="7418A867">
      <w:pPr>
        <w:widowControl w:val="0"/>
        <w:outlineLvl w:val="1"/>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4FB3F8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289729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3928BF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0EE192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7EB952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0324DD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07934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291718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323106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72847E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22F6ED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1F3D04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52AAA8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2134E6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6DED42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3D49B4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27FF97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0405A467">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0DB34D20">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13D2D6B4">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5E1ADFF1">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5A0E3946">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72EC0AD8">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36317F9E">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3ACBF6DA">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391235B1">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1E0296F6">
      <w:pPr>
        <w:pStyle w:val="3"/>
        <w:keepNext w:val="0"/>
        <w:keepLines w:val="0"/>
        <w:pageBreakBefore w:val="0"/>
        <w:widowControl/>
        <w:numPr>
          <w:ilvl w:val="0"/>
          <w:numId w:val="7"/>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4C691CD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406049F2">
      <w:pPr>
        <w:keepNext w:val="0"/>
        <w:keepLines w:val="0"/>
        <w:pageBreakBefore w:val="0"/>
        <w:numPr>
          <w:ilvl w:val="0"/>
          <w:numId w:val="5"/>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123947E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5951301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76812A9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0DF81CD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19B8622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20255D6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5BA4C1E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22948F5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3CB94D1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1E9032E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59B399B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757E3A4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0697A8A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5FE02A5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3D53380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66D6E3B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064AF525">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2DF9531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09C6FA9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6833F30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661B9DF0">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407D411A">
      <w:pPr>
        <w:pStyle w:val="3"/>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030843A9">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43C1B45C">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GE Inspira Sans">
    <w:altName w:val="DejaVu Math TeX Gyre"/>
    <w:panose1 w:val="020B0503060000000003"/>
    <w:charset w:val="00"/>
    <w:family w:val="swiss"/>
    <w:pitch w:val="default"/>
    <w:sig w:usb0="00000000" w:usb1="00000000" w:usb2="00000000" w:usb3="00000000" w:csb0="00000093" w:csb1="00000000"/>
  </w:font>
  <w:font w:name="DejaVu Math TeX Gyre">
    <w:panose1 w:val="02000503000000000000"/>
    <w:charset w:val="00"/>
    <w:family w:val="auto"/>
    <w:pitch w:val="default"/>
    <w:sig w:usb0="A10000EF" w:usb1="4201F9EE" w:usb2="02000000" w:usb3="00000000" w:csb0="60000193" w:csb1="0DD4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C9A53">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DA3134">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4DA3134">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abstractNum w:abstractNumId="6">
    <w:nsid w:val="47FEBC56"/>
    <w:multiLevelType w:val="singleLevel"/>
    <w:tmpl w:val="47FEBC56"/>
    <w:lvl w:ilvl="0" w:tentative="0">
      <w:start w:val="1"/>
      <w:numFmt w:val="decimal"/>
      <w:lvlText w:val="%1."/>
      <w:lvlJc w:val="left"/>
      <w:pPr>
        <w:ind w:left="425" w:hanging="425"/>
      </w:pPr>
      <w:rPr>
        <w:rFonts w:hint="default"/>
      </w:rPr>
    </w:lvl>
  </w:abstractNum>
  <w:abstractNum w:abstractNumId="7">
    <w:nsid w:val="4EBFC2F8"/>
    <w:multiLevelType w:val="singleLevel"/>
    <w:tmpl w:val="4EBFC2F8"/>
    <w:lvl w:ilvl="0" w:tentative="0">
      <w:start w:val="6"/>
      <w:numFmt w:val="decimal"/>
      <w:suff w:val="space"/>
      <w:lvlText w:val="%1."/>
      <w:lvlJc w:val="left"/>
    </w:lvl>
  </w:abstractNum>
  <w:num w:numId="1">
    <w:abstractNumId w:val="1"/>
  </w:num>
  <w:num w:numId="2">
    <w:abstractNumId w:val="7"/>
  </w:num>
  <w:num w:numId="3">
    <w:abstractNumId w:val="6"/>
  </w:num>
  <w:num w:numId="4">
    <w:abstractNumId w:val="0"/>
  </w:num>
  <w:num w:numId="5">
    <w:abstractNumId w:val="2"/>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1ED2A74"/>
    <w:rsid w:val="06487E29"/>
    <w:rsid w:val="06CE625A"/>
    <w:rsid w:val="19737818"/>
    <w:rsid w:val="20C9632E"/>
    <w:rsid w:val="2B6A3250"/>
    <w:rsid w:val="31373E7E"/>
    <w:rsid w:val="3A7C1749"/>
    <w:rsid w:val="3DCC37A6"/>
    <w:rsid w:val="44EA5EE3"/>
    <w:rsid w:val="4556724D"/>
    <w:rsid w:val="488B5B98"/>
    <w:rsid w:val="561104ED"/>
    <w:rsid w:val="5EAC2CE3"/>
    <w:rsid w:val="60840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customStyle="1" w:styleId="13">
    <w:name w:val="null3"/>
    <w:qFormat/>
    <w:uiPriority w:val="0"/>
    <w:rPr>
      <w:rFonts w:hint="eastAsia" w:ascii="Calibri" w:hAnsi="Calibri" w:eastAsia="宋体" w:cs="Times New Roman"/>
      <w:lang w:val="en-US" w:eastAsia="zh-Hans"/>
    </w:rPr>
  </w:style>
  <w:style w:type="paragraph" w:styleId="14">
    <w:name w:val="List Paragraph"/>
    <w:basedOn w:val="1"/>
    <w:qFormat/>
    <w:uiPriority w:val="34"/>
    <w:pPr>
      <w:widowControl/>
      <w:ind w:left="720"/>
      <w:jc w:val="left"/>
    </w:pPr>
    <w:rPr>
      <w:rFonts w:ascii="Calibri" w:hAnsi="Calibri"/>
      <w:szCs w:val="24"/>
      <w:lang w:eastAsia="en-US" w:bidi="en-US"/>
    </w:rPr>
  </w:style>
  <w:style w:type="table" w:customStyle="1" w:styleId="15">
    <w:name w:val="网格表 1 浅色1"/>
    <w:basedOn w:val="9"/>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6">
    <w:name w:val="font21"/>
    <w:basedOn w:val="11"/>
    <w:qFormat/>
    <w:uiPriority w:val="0"/>
    <w:rPr>
      <w:rFonts w:hint="eastAsia" w:ascii="微软雅黑" w:hAnsi="微软雅黑" w:eastAsia="微软雅黑" w:cs="微软雅黑"/>
      <w:color w:val="000000"/>
      <w:sz w:val="18"/>
      <w:szCs w:val="18"/>
      <w:u w:val="none"/>
    </w:rPr>
  </w:style>
  <w:style w:type="paragraph" w:customStyle="1" w:styleId="1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4616</Words>
  <Characters>4943</Characters>
  <Lines>0</Lines>
  <Paragraphs>0</Paragraphs>
  <TotalTime>29</TotalTime>
  <ScaleCrop>false</ScaleCrop>
  <LinksUpToDate>false</LinksUpToDate>
  <CharactersWithSpaces>4945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