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D2E22">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22血管内超声诊断仪</w:t>
      </w:r>
      <w:r>
        <w:rPr>
          <w:rFonts w:hint="eastAsia" w:ascii="宋体" w:hAnsi="宋体" w:eastAsia="宋体" w:cs="宋体"/>
          <w:b/>
          <w:bCs/>
          <w:color w:val="auto"/>
          <w:kern w:val="0"/>
          <w:sz w:val="36"/>
          <w:szCs w:val="36"/>
          <w:highlight w:val="none"/>
          <w:lang w:val="en-US" w:eastAsia="zh-CN" w:bidi="ar"/>
        </w:rPr>
        <w:t>用户需求书</w:t>
      </w:r>
    </w:p>
    <w:p w14:paraId="520E48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6DDBB96A">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6CE78997">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4BC83CA1">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44F713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010C95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0D4D58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医用超声波仪器及设备（A02320500）</w:t>
      </w:r>
    </w:p>
    <w:p w14:paraId="41DAC2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04CFEB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5B0957BB">
      <w:pPr>
        <w:numPr>
          <w:ilvl w:val="0"/>
          <w:numId w:val="2"/>
        </w:numPr>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总体功能适用要求：</w:t>
      </w:r>
    </w:p>
    <w:p w14:paraId="1D5AA04B">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用于冠状动脉血管内和外周血管内超声成像检查，测量冠脉血管压力、主动脉压、血流储备分数FFR、阻力恒定期比率cRR和血液温度变化等。</w:t>
      </w:r>
    </w:p>
    <w:p w14:paraId="0E95608C">
      <w:pPr>
        <w:numPr>
          <w:ilvl w:val="0"/>
          <w:numId w:val="0"/>
        </w:numPr>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二、设备硬件参数要求</w:t>
      </w:r>
    </w:p>
    <w:p w14:paraId="043E0904">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1.超声诊断主机：支持≥55MHz机械旋转式超声诊断导管，匹配多种频率。</w:t>
      </w:r>
    </w:p>
    <w:p w14:paraId="35873254">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2.移动推车式：4角轮可锁。</w:t>
      </w:r>
    </w:p>
    <w:p w14:paraId="5AB0C535">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3.内置高速机械存储硬盘≥1T，病人数据存储更可靠。</w:t>
      </w:r>
    </w:p>
    <w:p w14:paraId="4BDABF68">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4.专业医学显示器≥19 英寸1280*1024高分辨率。</w:t>
      </w:r>
    </w:p>
    <w:p w14:paraId="5203E756">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5.配备光电鼠标，通过鼠标进行操作，描绘图像，符合用户习惯。可以通过鼠标滚轮在不同的 Frame 之间切换。</w:t>
      </w:r>
    </w:p>
    <w:p w14:paraId="5B48F8BB">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6.系统处理器：显像处理器 i7 3.6GHz 以上；搭载高性能i7处理器。</w:t>
      </w:r>
    </w:p>
    <w:p w14:paraId="73C66A0E">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7.专业热敏黑白打印机，像素支持≥4096X1280。</w:t>
      </w:r>
    </w:p>
    <w:p w14:paraId="3F2B16C4">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8.驱动马达兼具自动回撤和手动回撤功能，可显示回撤距离。自动回撤，最高回撤速度支持10mm/s；回撤马达与滑板采用一体化设计，术中无额外耗材费用。</w:t>
      </w:r>
    </w:p>
    <w:p w14:paraId="7CF199FB">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9.轴向分辨率≤22微米</w:t>
      </w:r>
    </w:p>
    <w:p w14:paraId="2A02FE05">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10.自动回撤距离≥100mm，自动回撤模式下，速度响应＞三档可选。</w:t>
      </w:r>
    </w:p>
    <w:p w14:paraId="15EAE32D">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11.自动回撤采集数≥8000 帧图像；手动回撤采集数≥ 10000 帧图像。</w:t>
      </w:r>
    </w:p>
    <w:p w14:paraId="5DC59394">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12.最高帧频采集≥100FPS。</w:t>
      </w:r>
    </w:p>
    <w:p w14:paraId="3F6F6CFC">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13.可提供图像直接以 Windows 兼容的AVI视频输出格式及 PNG 或者 JPG 格式的静态图片。</w:t>
      </w:r>
    </w:p>
    <w:p w14:paraId="3DBA359D">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14.与用户 HIS 系统及 PACS 系统实现互联互通，含接口费。</w:t>
      </w:r>
    </w:p>
    <w:p w14:paraId="3143F439">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15.配置无线WiFi，支持无线网络。</w:t>
      </w:r>
    </w:p>
    <w:p w14:paraId="05DE7CDB">
      <w:pPr>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配置DVD刻录机、USB3.0接口、RJ45网络接口，数据可以以DVD/CD/移动存储/网络等多种方式导出；</w:t>
      </w:r>
    </w:p>
    <w:p w14:paraId="73662E9E">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17.压力测量范围：-30mmHg - +300mmHg.</w:t>
      </w:r>
    </w:p>
    <w:p w14:paraId="1D313922">
      <w:pPr>
        <w:numPr>
          <w:ilvl w:val="0"/>
          <w:numId w:val="0"/>
        </w:numPr>
        <w:spacing w:line="360" w:lineRule="auto"/>
        <w:rPr>
          <w:rFonts w:hint="eastAsia" w:ascii="宋体" w:hAnsi="宋体" w:eastAsia="宋体" w:cs="宋体"/>
          <w:color w:val="auto"/>
          <w:sz w:val="24"/>
          <w:szCs w:val="24"/>
          <w:highlight w:val="none"/>
          <w:lang w:val="en-US" w:eastAsia="zh-CN"/>
        </w:rPr>
      </w:pPr>
    </w:p>
    <w:p w14:paraId="284794EF">
      <w:pPr>
        <w:numPr>
          <w:ilvl w:val="0"/>
          <w:numId w:val="0"/>
        </w:numPr>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三、设备软件参数</w:t>
      </w:r>
    </w:p>
    <w:p w14:paraId="5EB6CAF3">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1.具有自动化血管壁和血管内腔测量功能的计算软件，并可根据医生选择的检查血管段进行自动分析及标注需重点关注的信息。</w:t>
      </w:r>
    </w:p>
    <w:p w14:paraId="2254A18C">
      <w:pPr>
        <w:numPr>
          <w:ilvl w:val="0"/>
          <w:numId w:val="0"/>
        </w:num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2.具备</w:t>
      </w:r>
      <w:r>
        <w:rPr>
          <w:rFonts w:hint="eastAsia" w:ascii="宋体" w:hAnsi="宋体" w:eastAsia="宋体" w:cs="宋体"/>
          <w:color w:val="auto"/>
          <w:sz w:val="24"/>
          <w:szCs w:val="24"/>
          <w:highlight w:val="none"/>
        </w:rPr>
        <w:t>对剩余管腔、外弹力膜边界等进行自动识别和检测，自动计算斑块负荷</w:t>
      </w:r>
      <w:r>
        <w:rPr>
          <w:rFonts w:hint="eastAsia" w:ascii="宋体" w:hAnsi="宋体" w:eastAsia="宋体" w:cs="宋体"/>
          <w:color w:val="auto"/>
          <w:sz w:val="24"/>
          <w:szCs w:val="24"/>
          <w:highlight w:val="none"/>
          <w:lang w:eastAsia="zh-CN"/>
        </w:rPr>
        <w:t>等功能。</w:t>
      </w:r>
    </w:p>
    <w:p w14:paraId="61CCC405">
      <w:pPr>
        <w:numPr>
          <w:ilvl w:val="0"/>
          <w:numId w:val="0"/>
        </w:num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配备辅助标记功能，自动标记目标血管的最窄位置，计算MLA及斑块负荷，标记管腔面积与斑块超过阈值的血管段落</w:t>
      </w:r>
      <w:r>
        <w:rPr>
          <w:rFonts w:hint="eastAsia" w:ascii="宋体" w:hAnsi="宋体" w:eastAsia="宋体" w:cs="宋体"/>
          <w:color w:val="auto"/>
          <w:sz w:val="24"/>
          <w:szCs w:val="24"/>
          <w:highlight w:val="none"/>
          <w:lang w:eastAsia="zh-CN"/>
        </w:rPr>
        <w:t>。</w:t>
      </w:r>
    </w:p>
    <w:p w14:paraId="19BEB55D">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.配备IVUS-DSA造影配准功能，可以实现IVUS图像和DSA造影图像配准功能</w:t>
      </w:r>
      <w:r>
        <w:rPr>
          <w:rFonts w:hint="eastAsia" w:ascii="宋体" w:hAnsi="宋体" w:eastAsia="宋体" w:cs="宋体"/>
          <w:color w:val="auto"/>
          <w:sz w:val="24"/>
          <w:szCs w:val="24"/>
          <w:highlight w:val="none"/>
          <w:lang w:eastAsia="zh-CN"/>
        </w:rPr>
        <w:t>。</w:t>
      </w:r>
    </w:p>
    <w:p w14:paraId="266102A4">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5.具有图像动态回顾功能，反复播放图像，具有自动化血管壁和血管内腔测量计算软件。</w:t>
      </w:r>
    </w:p>
    <w:p w14:paraId="6AEC2A6B">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6.具有双图功能：显示来自同一回撤不同帧的两幅截面图像。</w:t>
      </w:r>
    </w:p>
    <w:p w14:paraId="06BD80AC">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7.具备书签添加功能，便于记录并快速查看书签图像。</w:t>
      </w:r>
    </w:p>
    <w:p w14:paraId="1AE592ED">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8.具备自动书签距离测量功能</w:t>
      </w:r>
    </w:p>
    <w:p w14:paraId="3DFCE2E0">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9.具备图像降噪选择模式，可以有效降低图像噪声信号，提高图像分辨率。</w:t>
      </w:r>
    </w:p>
    <w:p w14:paraId="58800EF9">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10.长轴标尺:长轴图像下显示距离标尺，以便于进行测量。</w:t>
      </w:r>
    </w:p>
    <w:p w14:paraId="538A1ED6">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11.具备FFR软件模块，通用软件模块。</w:t>
      </w:r>
    </w:p>
    <w:p w14:paraId="632A3B31">
      <w:pPr>
        <w:numPr>
          <w:ilvl w:val="0"/>
          <w:numId w:val="0"/>
        </w:numPr>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四、导管参数（一次性）</w:t>
      </w:r>
    </w:p>
    <w:p w14:paraId="2811FB03">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1.具有宽带技术的机械旋转式超声导管，40MHz和60MHz二种中心频率。</w:t>
      </w:r>
    </w:p>
    <w:p w14:paraId="0A66E6D7">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2.超声导管长度≥110cm。</w:t>
      </w:r>
    </w:p>
    <w:p w14:paraId="56BAC5A6">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3.搭配 0.014 导丝使用，兼容6F指引导管。</w:t>
      </w:r>
    </w:p>
    <w:p w14:paraId="47890290">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4.导管具有亲水涂层。</w:t>
      </w:r>
    </w:p>
    <w:p w14:paraId="17CD19FD">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5.外周血管30MHz中心频率，搭配 0.018 导丝使用，兼容6F指引导管。</w:t>
      </w:r>
    </w:p>
    <w:p w14:paraId="3B095602">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6.快速交换压力微导管具备有线和无线二种，搭配 0.014 导丝使用，兼容5F指引导管。</w:t>
      </w:r>
    </w:p>
    <w:p w14:paraId="644E0896">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五、配置清单(包含但不限于）</w:t>
      </w:r>
      <w:r>
        <w:rPr>
          <w:rFonts w:hint="eastAsia" w:ascii="宋体" w:hAnsi="宋体" w:eastAsia="宋体" w:cs="宋体"/>
          <w:color w:val="auto"/>
          <w:sz w:val="24"/>
          <w:szCs w:val="24"/>
          <w:highlight w:val="none"/>
          <w:lang w:val="en-US" w:eastAsia="zh-CN"/>
        </w:rPr>
        <w:t>：</w:t>
      </w:r>
    </w:p>
    <w:p w14:paraId="2B597D0C">
      <w:pPr>
        <w:numPr>
          <w:ilvl w:val="0"/>
          <w:numId w:val="0"/>
        </w:numPr>
        <w:spacing w:line="360" w:lineRule="auto"/>
        <w:rPr>
          <w:rFonts w:hint="eastAsia" w:ascii="宋体" w:hAnsi="宋体" w:eastAsia="宋体" w:cs="宋体"/>
          <w:color w:val="auto"/>
          <w:sz w:val="24"/>
          <w:szCs w:val="24"/>
          <w:highlight w:val="none"/>
          <w:lang w:val="en-US" w:eastAsia="zh-CN"/>
        </w:rPr>
      </w:pPr>
    </w:p>
    <w:tbl>
      <w:tblPr>
        <w:tblStyle w:val="10"/>
        <w:tblW w:w="9122" w:type="dxa"/>
        <w:tblInd w:w="113" w:type="dxa"/>
        <w:tblLayout w:type="fixed"/>
        <w:tblCellMar>
          <w:top w:w="0" w:type="dxa"/>
          <w:left w:w="108" w:type="dxa"/>
          <w:bottom w:w="0" w:type="dxa"/>
          <w:right w:w="108" w:type="dxa"/>
        </w:tblCellMar>
      </w:tblPr>
      <w:tblGrid>
        <w:gridCol w:w="4812"/>
        <w:gridCol w:w="2509"/>
        <w:gridCol w:w="1801"/>
      </w:tblGrid>
      <w:tr w14:paraId="7CB4F728">
        <w:tblPrEx>
          <w:tblCellMar>
            <w:top w:w="0" w:type="dxa"/>
            <w:left w:w="108" w:type="dxa"/>
            <w:bottom w:w="0" w:type="dxa"/>
            <w:right w:w="108" w:type="dxa"/>
          </w:tblCellMar>
        </w:tblPrEx>
        <w:trPr>
          <w:trHeight w:val="466" w:hRule="atLeast"/>
        </w:trPr>
        <w:tc>
          <w:tcPr>
            <w:tcW w:w="4812" w:type="dxa"/>
            <w:tcBorders>
              <w:top w:val="single" w:color="auto" w:sz="4" w:space="0"/>
              <w:left w:val="single" w:color="auto" w:sz="4" w:space="0"/>
              <w:bottom w:val="single" w:color="auto" w:sz="4" w:space="0"/>
              <w:right w:val="single" w:color="auto" w:sz="4" w:space="0"/>
            </w:tcBorders>
            <w:noWrap w:val="0"/>
            <w:vAlign w:val="center"/>
          </w:tcPr>
          <w:p w14:paraId="22C777F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配置名称</w:t>
            </w:r>
          </w:p>
        </w:tc>
        <w:tc>
          <w:tcPr>
            <w:tcW w:w="2509" w:type="dxa"/>
            <w:tcBorders>
              <w:top w:val="single" w:color="auto" w:sz="4" w:space="0"/>
              <w:left w:val="single" w:color="auto" w:sz="4" w:space="0"/>
              <w:bottom w:val="single" w:color="auto" w:sz="4" w:space="0"/>
              <w:right w:val="single" w:color="auto" w:sz="4" w:space="0"/>
            </w:tcBorders>
            <w:noWrap w:val="0"/>
            <w:vAlign w:val="center"/>
          </w:tcPr>
          <w:p w14:paraId="33E7969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数量</w:t>
            </w:r>
          </w:p>
        </w:tc>
        <w:tc>
          <w:tcPr>
            <w:tcW w:w="1801" w:type="dxa"/>
            <w:tcBorders>
              <w:top w:val="single" w:color="auto" w:sz="4" w:space="0"/>
              <w:left w:val="single" w:color="auto" w:sz="4" w:space="0"/>
              <w:bottom w:val="single" w:color="auto" w:sz="4" w:space="0"/>
              <w:right w:val="single" w:color="auto" w:sz="4" w:space="0"/>
            </w:tcBorders>
            <w:noWrap w:val="0"/>
            <w:vAlign w:val="center"/>
          </w:tcPr>
          <w:p w14:paraId="3442A0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单位</w:t>
            </w:r>
          </w:p>
        </w:tc>
      </w:tr>
      <w:tr w14:paraId="5F19AE9F">
        <w:tblPrEx>
          <w:tblCellMar>
            <w:top w:w="0" w:type="dxa"/>
            <w:left w:w="108" w:type="dxa"/>
            <w:bottom w:w="0" w:type="dxa"/>
            <w:right w:w="108" w:type="dxa"/>
          </w:tblCellMar>
        </w:tblPrEx>
        <w:trPr>
          <w:trHeight w:val="462" w:hRule="atLeast"/>
        </w:trPr>
        <w:tc>
          <w:tcPr>
            <w:tcW w:w="4812" w:type="dxa"/>
            <w:tcBorders>
              <w:top w:val="single" w:color="auto" w:sz="4" w:space="0"/>
              <w:left w:val="single" w:color="auto" w:sz="4" w:space="0"/>
              <w:bottom w:val="single" w:color="auto" w:sz="4" w:space="0"/>
              <w:right w:val="single" w:color="auto" w:sz="4" w:space="0"/>
            </w:tcBorders>
            <w:noWrap w:val="0"/>
            <w:vAlign w:val="center"/>
          </w:tcPr>
          <w:p w14:paraId="1ABD8114">
            <w:pPr>
              <w:keepNext w:val="0"/>
              <w:keepLines w:val="0"/>
              <w:pageBreakBefore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血管内超声诊断仪</w:t>
            </w:r>
            <w:r>
              <w:rPr>
                <w:rFonts w:hint="eastAsia" w:ascii="宋体" w:hAnsi="宋体" w:eastAsia="宋体" w:cs="宋体"/>
                <w:b w:val="0"/>
                <w:bCs w:val="0"/>
                <w:color w:val="auto"/>
                <w:sz w:val="24"/>
                <w:szCs w:val="24"/>
                <w:highlight w:val="none"/>
                <w:lang w:eastAsia="zh-CN"/>
              </w:rPr>
              <w:t>主机</w:t>
            </w:r>
          </w:p>
          <w:p w14:paraId="4558A9A4">
            <w:pPr>
              <w:keepNext w:val="0"/>
              <w:keepLines w:val="0"/>
              <w:pageBreakBefore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（含</w:t>
            </w:r>
            <w:r>
              <w:rPr>
                <w:rFonts w:hint="eastAsia" w:ascii="宋体" w:hAnsi="宋体" w:eastAsia="宋体" w:cs="宋体"/>
                <w:color w:val="auto"/>
                <w:sz w:val="24"/>
                <w:szCs w:val="24"/>
                <w:highlight w:val="none"/>
              </w:rPr>
              <w:t>处理器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硬盘</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数据接口</w:t>
            </w:r>
            <w:r>
              <w:rPr>
                <w:rFonts w:hint="eastAsia" w:ascii="宋体" w:hAnsi="宋体" w:eastAsia="宋体" w:cs="宋体"/>
                <w:color w:val="auto"/>
                <w:sz w:val="24"/>
                <w:szCs w:val="24"/>
                <w:highlight w:val="none"/>
                <w:lang w:eastAsia="zh-CN"/>
              </w:rPr>
              <w:t>等</w:t>
            </w:r>
            <w:r>
              <w:rPr>
                <w:rFonts w:hint="eastAsia" w:ascii="宋体" w:hAnsi="宋体" w:eastAsia="宋体" w:cs="宋体"/>
                <w:b w:val="0"/>
                <w:bCs w:val="0"/>
                <w:color w:val="auto"/>
                <w:sz w:val="24"/>
                <w:szCs w:val="24"/>
                <w:highlight w:val="none"/>
                <w:lang w:eastAsia="zh-CN"/>
              </w:rPr>
              <w:t>）</w:t>
            </w:r>
          </w:p>
        </w:tc>
        <w:tc>
          <w:tcPr>
            <w:tcW w:w="2509" w:type="dxa"/>
            <w:tcBorders>
              <w:top w:val="single" w:color="auto" w:sz="4" w:space="0"/>
              <w:left w:val="single" w:color="auto" w:sz="4" w:space="0"/>
              <w:bottom w:val="single" w:color="auto" w:sz="4" w:space="0"/>
              <w:right w:val="single" w:color="auto" w:sz="4" w:space="0"/>
            </w:tcBorders>
            <w:noWrap/>
            <w:vAlign w:val="center"/>
          </w:tcPr>
          <w:p w14:paraId="78617741">
            <w:pPr>
              <w:keepNext w:val="0"/>
              <w:keepLines w:val="0"/>
              <w:pageBreakBefore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1801" w:type="dxa"/>
            <w:tcBorders>
              <w:top w:val="single" w:color="auto" w:sz="4" w:space="0"/>
              <w:left w:val="single" w:color="auto" w:sz="4" w:space="0"/>
              <w:bottom w:val="single" w:color="auto" w:sz="4" w:space="0"/>
              <w:right w:val="single" w:color="auto" w:sz="4" w:space="0"/>
            </w:tcBorders>
            <w:noWrap/>
            <w:vAlign w:val="center"/>
          </w:tcPr>
          <w:p w14:paraId="1E0030D0">
            <w:pPr>
              <w:keepNext w:val="0"/>
              <w:keepLines w:val="0"/>
              <w:pageBreakBefore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台</w:t>
            </w:r>
          </w:p>
        </w:tc>
      </w:tr>
      <w:tr w14:paraId="57EB5A1F">
        <w:tblPrEx>
          <w:tblCellMar>
            <w:top w:w="0" w:type="dxa"/>
            <w:left w:w="108" w:type="dxa"/>
            <w:bottom w:w="0" w:type="dxa"/>
            <w:right w:w="108" w:type="dxa"/>
          </w:tblCellMar>
        </w:tblPrEx>
        <w:trPr>
          <w:trHeight w:val="462" w:hRule="atLeast"/>
        </w:trPr>
        <w:tc>
          <w:tcPr>
            <w:tcW w:w="481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EC0A5E5">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显示器</w:t>
            </w:r>
          </w:p>
        </w:tc>
        <w:tc>
          <w:tcPr>
            <w:tcW w:w="2509" w:type="dxa"/>
            <w:tcBorders>
              <w:top w:val="single" w:color="auto" w:sz="4" w:space="0"/>
              <w:left w:val="single" w:color="auto" w:sz="4" w:space="0"/>
              <w:bottom w:val="single" w:color="auto" w:sz="4" w:space="0"/>
              <w:right w:val="single" w:color="auto" w:sz="4" w:space="0"/>
            </w:tcBorders>
            <w:shd w:val="clear" w:color="auto" w:fill="auto"/>
            <w:noWrap/>
            <w:vAlign w:val="top"/>
          </w:tcPr>
          <w:p w14:paraId="4C81E6AF">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 xml:space="preserve">1 </w:t>
            </w:r>
          </w:p>
        </w:tc>
        <w:tc>
          <w:tcPr>
            <w:tcW w:w="1801" w:type="dxa"/>
            <w:tcBorders>
              <w:top w:val="single" w:color="auto" w:sz="4" w:space="0"/>
              <w:left w:val="single" w:color="auto" w:sz="4" w:space="0"/>
              <w:bottom w:val="single" w:color="auto" w:sz="4" w:space="0"/>
              <w:right w:val="single" w:color="auto" w:sz="4" w:space="0"/>
            </w:tcBorders>
            <w:shd w:val="clear" w:color="auto" w:fill="auto"/>
            <w:noWrap/>
            <w:vAlign w:val="top"/>
          </w:tcPr>
          <w:p w14:paraId="1D840633">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台</w:t>
            </w:r>
          </w:p>
        </w:tc>
      </w:tr>
      <w:tr w14:paraId="4DAAE1D1">
        <w:tblPrEx>
          <w:tblCellMar>
            <w:top w:w="0" w:type="dxa"/>
            <w:left w:w="108" w:type="dxa"/>
            <w:bottom w:w="0" w:type="dxa"/>
            <w:right w:w="108" w:type="dxa"/>
          </w:tblCellMar>
        </w:tblPrEx>
        <w:trPr>
          <w:trHeight w:val="462" w:hRule="atLeast"/>
        </w:trPr>
        <w:tc>
          <w:tcPr>
            <w:tcW w:w="481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6F979A4">
            <w:pPr>
              <w:spacing w:beforeLines="0" w:afterLines="0"/>
              <w:jc w:val="center"/>
              <w:rPr>
                <w:rFonts w:hint="eastAsia" w:ascii="宋体" w:hAnsi="宋体" w:eastAsia="宋体" w:cs="宋体"/>
                <w:b/>
                <w:bCs/>
                <w:color w:val="auto"/>
                <w:kern w:val="2"/>
                <w:sz w:val="24"/>
                <w:szCs w:val="24"/>
                <w:highlight w:val="none"/>
                <w:lang w:val="en-US" w:eastAsia="zh-CN" w:bidi="ar-SA"/>
                <w14:ligatures w14:val="none"/>
              </w:rPr>
            </w:pPr>
            <w:r>
              <w:rPr>
                <w:rFonts w:hint="eastAsia" w:ascii="宋体" w:hAnsi="宋体" w:eastAsia="宋体" w:cs="宋体"/>
                <w:b/>
                <w:bCs/>
                <w:color w:val="auto"/>
                <w:sz w:val="24"/>
                <w:szCs w:val="24"/>
                <w:highlight w:val="none"/>
              </w:rPr>
              <w:t>打印机</w:t>
            </w:r>
          </w:p>
        </w:tc>
        <w:tc>
          <w:tcPr>
            <w:tcW w:w="2509" w:type="dxa"/>
            <w:tcBorders>
              <w:top w:val="single" w:color="auto" w:sz="4" w:space="0"/>
              <w:left w:val="single" w:color="auto" w:sz="4" w:space="0"/>
              <w:bottom w:val="single" w:color="auto" w:sz="4" w:space="0"/>
              <w:right w:val="single" w:color="auto" w:sz="4" w:space="0"/>
            </w:tcBorders>
            <w:shd w:val="clear" w:color="auto" w:fill="auto"/>
            <w:noWrap/>
            <w:vAlign w:val="top"/>
          </w:tcPr>
          <w:p w14:paraId="0E573400">
            <w:pPr>
              <w:spacing w:beforeLines="0" w:afterLines="0"/>
              <w:jc w:val="center"/>
              <w:rPr>
                <w:rFonts w:hint="eastAsia" w:ascii="宋体" w:hAnsi="宋体" w:eastAsia="宋体" w:cs="宋体"/>
                <w:b/>
                <w:bCs/>
                <w:color w:val="auto"/>
                <w:kern w:val="2"/>
                <w:sz w:val="24"/>
                <w:szCs w:val="24"/>
                <w:highlight w:val="none"/>
                <w:lang w:val="en-US" w:eastAsia="zh-CN" w:bidi="ar-SA"/>
                <w14:ligatures w14:val="none"/>
              </w:rPr>
            </w:pPr>
            <w:r>
              <w:rPr>
                <w:rFonts w:hint="eastAsia" w:ascii="宋体" w:hAnsi="宋体" w:eastAsia="宋体" w:cs="宋体"/>
                <w:b/>
                <w:bCs/>
                <w:color w:val="auto"/>
                <w:sz w:val="24"/>
                <w:szCs w:val="24"/>
                <w:highlight w:val="none"/>
              </w:rPr>
              <w:t xml:space="preserve">1 </w:t>
            </w:r>
          </w:p>
        </w:tc>
        <w:tc>
          <w:tcPr>
            <w:tcW w:w="1801" w:type="dxa"/>
            <w:tcBorders>
              <w:top w:val="single" w:color="auto" w:sz="4" w:space="0"/>
              <w:left w:val="single" w:color="auto" w:sz="4" w:space="0"/>
              <w:bottom w:val="single" w:color="auto" w:sz="4" w:space="0"/>
              <w:right w:val="single" w:color="auto" w:sz="4" w:space="0"/>
            </w:tcBorders>
            <w:shd w:val="clear" w:color="auto" w:fill="auto"/>
            <w:noWrap/>
            <w:vAlign w:val="top"/>
          </w:tcPr>
          <w:p w14:paraId="50738AEE">
            <w:pPr>
              <w:spacing w:beforeLines="0" w:afterLines="0"/>
              <w:jc w:val="center"/>
              <w:rPr>
                <w:rFonts w:hint="eastAsia" w:ascii="宋体" w:hAnsi="宋体" w:eastAsia="宋体" w:cs="宋体"/>
                <w:b/>
                <w:bCs/>
                <w:color w:val="auto"/>
                <w:kern w:val="2"/>
                <w:sz w:val="24"/>
                <w:szCs w:val="24"/>
                <w:highlight w:val="none"/>
                <w:lang w:val="en-US" w:eastAsia="zh-CN" w:bidi="ar-SA"/>
                <w14:ligatures w14:val="none"/>
              </w:rPr>
            </w:pPr>
            <w:r>
              <w:rPr>
                <w:rFonts w:hint="eastAsia" w:ascii="宋体" w:hAnsi="宋体" w:eastAsia="宋体" w:cs="宋体"/>
                <w:b/>
                <w:bCs/>
                <w:color w:val="auto"/>
                <w:sz w:val="24"/>
                <w:szCs w:val="24"/>
                <w:highlight w:val="none"/>
              </w:rPr>
              <w:t>台</w:t>
            </w:r>
          </w:p>
        </w:tc>
      </w:tr>
      <w:tr w14:paraId="579878C6">
        <w:tblPrEx>
          <w:tblCellMar>
            <w:top w:w="0" w:type="dxa"/>
            <w:left w:w="108" w:type="dxa"/>
            <w:bottom w:w="0" w:type="dxa"/>
            <w:right w:w="108" w:type="dxa"/>
          </w:tblCellMar>
        </w:tblPrEx>
        <w:trPr>
          <w:trHeight w:val="462" w:hRule="atLeast"/>
        </w:trPr>
        <w:tc>
          <w:tcPr>
            <w:tcW w:w="481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A4C69C5">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输入设备</w:t>
            </w:r>
          </w:p>
        </w:tc>
        <w:tc>
          <w:tcPr>
            <w:tcW w:w="2509" w:type="dxa"/>
            <w:tcBorders>
              <w:top w:val="single" w:color="auto" w:sz="4" w:space="0"/>
              <w:left w:val="single" w:color="auto" w:sz="4" w:space="0"/>
              <w:bottom w:val="single" w:color="auto" w:sz="4" w:space="0"/>
              <w:right w:val="single" w:color="auto" w:sz="4" w:space="0"/>
            </w:tcBorders>
            <w:shd w:val="clear" w:color="auto" w:fill="auto"/>
            <w:noWrap/>
            <w:vAlign w:val="top"/>
          </w:tcPr>
          <w:p w14:paraId="0B628026">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 xml:space="preserve">1 </w:t>
            </w:r>
          </w:p>
        </w:tc>
        <w:tc>
          <w:tcPr>
            <w:tcW w:w="1801" w:type="dxa"/>
            <w:tcBorders>
              <w:top w:val="single" w:color="auto" w:sz="4" w:space="0"/>
              <w:left w:val="single" w:color="auto" w:sz="4" w:space="0"/>
              <w:bottom w:val="single" w:color="auto" w:sz="4" w:space="0"/>
              <w:right w:val="single" w:color="auto" w:sz="4" w:space="0"/>
            </w:tcBorders>
            <w:shd w:val="clear" w:color="auto" w:fill="auto"/>
            <w:noWrap/>
            <w:vAlign w:val="top"/>
          </w:tcPr>
          <w:p w14:paraId="16FC9656">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套</w:t>
            </w:r>
          </w:p>
        </w:tc>
      </w:tr>
      <w:tr w14:paraId="286A2E7A">
        <w:tblPrEx>
          <w:tblCellMar>
            <w:top w:w="0" w:type="dxa"/>
            <w:left w:w="108" w:type="dxa"/>
            <w:bottom w:w="0" w:type="dxa"/>
            <w:right w:w="108" w:type="dxa"/>
          </w:tblCellMar>
        </w:tblPrEx>
        <w:trPr>
          <w:trHeight w:val="462" w:hRule="atLeast"/>
        </w:trPr>
        <w:tc>
          <w:tcPr>
            <w:tcW w:w="481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D735F63">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回撤马达</w:t>
            </w:r>
            <w:r>
              <w:rPr>
                <w:rFonts w:hint="eastAsia" w:ascii="宋体" w:hAnsi="宋体" w:eastAsia="宋体" w:cs="宋体"/>
                <w:color w:val="auto"/>
                <w:sz w:val="24"/>
                <w:szCs w:val="24"/>
                <w:highlight w:val="none"/>
                <w:lang w:eastAsia="zh-CN"/>
              </w:rPr>
              <w:t>（驱动单元）</w:t>
            </w:r>
          </w:p>
        </w:tc>
        <w:tc>
          <w:tcPr>
            <w:tcW w:w="2509" w:type="dxa"/>
            <w:tcBorders>
              <w:top w:val="single" w:color="auto" w:sz="4" w:space="0"/>
              <w:left w:val="single" w:color="auto" w:sz="4" w:space="0"/>
              <w:bottom w:val="single" w:color="auto" w:sz="4" w:space="0"/>
              <w:right w:val="single" w:color="auto" w:sz="4" w:space="0"/>
            </w:tcBorders>
            <w:shd w:val="clear" w:color="auto" w:fill="auto"/>
            <w:noWrap/>
            <w:vAlign w:val="top"/>
          </w:tcPr>
          <w:p w14:paraId="6B7310B7">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 xml:space="preserve">1 </w:t>
            </w:r>
          </w:p>
        </w:tc>
        <w:tc>
          <w:tcPr>
            <w:tcW w:w="1801" w:type="dxa"/>
            <w:tcBorders>
              <w:top w:val="single" w:color="auto" w:sz="4" w:space="0"/>
              <w:left w:val="single" w:color="auto" w:sz="4" w:space="0"/>
              <w:bottom w:val="single" w:color="auto" w:sz="4" w:space="0"/>
              <w:right w:val="single" w:color="auto" w:sz="4" w:space="0"/>
            </w:tcBorders>
            <w:shd w:val="clear" w:color="auto" w:fill="auto"/>
            <w:noWrap/>
            <w:vAlign w:val="top"/>
          </w:tcPr>
          <w:p w14:paraId="063E7262">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台</w:t>
            </w:r>
          </w:p>
        </w:tc>
      </w:tr>
      <w:tr w14:paraId="436049D6">
        <w:tblPrEx>
          <w:tblCellMar>
            <w:top w:w="0" w:type="dxa"/>
            <w:left w:w="108" w:type="dxa"/>
            <w:bottom w:w="0" w:type="dxa"/>
            <w:right w:w="108" w:type="dxa"/>
          </w:tblCellMar>
        </w:tblPrEx>
        <w:trPr>
          <w:trHeight w:val="462" w:hRule="atLeast"/>
        </w:trPr>
        <w:tc>
          <w:tcPr>
            <w:tcW w:w="4812" w:type="dxa"/>
            <w:tcBorders>
              <w:top w:val="single" w:color="auto" w:sz="4" w:space="0"/>
              <w:left w:val="single" w:color="auto" w:sz="4" w:space="0"/>
              <w:bottom w:val="single" w:color="auto" w:sz="4" w:space="0"/>
              <w:right w:val="single" w:color="auto" w:sz="4" w:space="0"/>
            </w:tcBorders>
            <w:shd w:val="clear" w:color="auto" w:fill="auto"/>
            <w:vAlign w:val="top"/>
          </w:tcPr>
          <w:p w14:paraId="3D6C6660">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无线冠脉压力信号发送和接收器</w:t>
            </w:r>
          </w:p>
        </w:tc>
        <w:tc>
          <w:tcPr>
            <w:tcW w:w="2509" w:type="dxa"/>
            <w:tcBorders>
              <w:top w:val="single" w:color="auto" w:sz="4" w:space="0"/>
              <w:left w:val="single" w:color="auto" w:sz="4" w:space="0"/>
              <w:bottom w:val="single" w:color="auto" w:sz="4" w:space="0"/>
              <w:right w:val="single" w:color="auto" w:sz="4" w:space="0"/>
            </w:tcBorders>
            <w:shd w:val="clear" w:color="auto" w:fill="auto"/>
            <w:vAlign w:val="top"/>
          </w:tcPr>
          <w:p w14:paraId="4F472121">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 xml:space="preserve">1 </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top"/>
          </w:tcPr>
          <w:p w14:paraId="26EF1E06">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台</w:t>
            </w:r>
          </w:p>
        </w:tc>
      </w:tr>
      <w:tr w14:paraId="56B818A0">
        <w:tblPrEx>
          <w:tblCellMar>
            <w:top w:w="0" w:type="dxa"/>
            <w:left w:w="108" w:type="dxa"/>
            <w:bottom w:w="0" w:type="dxa"/>
            <w:right w:w="108" w:type="dxa"/>
          </w:tblCellMar>
        </w:tblPrEx>
        <w:trPr>
          <w:trHeight w:val="407" w:hRule="atLeast"/>
        </w:trPr>
        <w:tc>
          <w:tcPr>
            <w:tcW w:w="4812" w:type="dxa"/>
            <w:tcBorders>
              <w:top w:val="single" w:color="auto" w:sz="4" w:space="0"/>
              <w:left w:val="single" w:color="auto" w:sz="4" w:space="0"/>
              <w:bottom w:val="single" w:color="auto" w:sz="4" w:space="0"/>
              <w:right w:val="single" w:color="auto" w:sz="4" w:space="0"/>
            </w:tcBorders>
            <w:shd w:val="clear" w:color="auto" w:fill="auto"/>
            <w:vAlign w:val="top"/>
          </w:tcPr>
          <w:p w14:paraId="35030DFC">
            <w:pPr>
              <w:spacing w:beforeLines="0" w:afterLines="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调试验收材料（一次性导管）</w:t>
            </w:r>
          </w:p>
        </w:tc>
        <w:tc>
          <w:tcPr>
            <w:tcW w:w="2509" w:type="dxa"/>
            <w:tcBorders>
              <w:top w:val="single" w:color="auto" w:sz="4" w:space="0"/>
              <w:left w:val="single" w:color="auto" w:sz="4" w:space="0"/>
              <w:bottom w:val="single" w:color="auto" w:sz="4" w:space="0"/>
              <w:right w:val="single" w:color="auto" w:sz="4" w:space="0"/>
            </w:tcBorders>
            <w:shd w:val="clear" w:color="auto" w:fill="auto"/>
            <w:vAlign w:val="top"/>
          </w:tcPr>
          <w:p w14:paraId="6B427F4B">
            <w:pPr>
              <w:spacing w:beforeLines="0" w:afterLine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top"/>
          </w:tcPr>
          <w:p w14:paraId="75E11D08">
            <w:pPr>
              <w:spacing w:beforeLines="0" w:afterLines="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套</w:t>
            </w:r>
          </w:p>
        </w:tc>
      </w:tr>
      <w:tr w14:paraId="43F2A466">
        <w:tblPrEx>
          <w:tblCellMar>
            <w:top w:w="0" w:type="dxa"/>
            <w:left w:w="108" w:type="dxa"/>
            <w:bottom w:w="0" w:type="dxa"/>
            <w:right w:w="108" w:type="dxa"/>
          </w:tblCellMar>
        </w:tblPrEx>
        <w:trPr>
          <w:trHeight w:val="462" w:hRule="atLeast"/>
        </w:trPr>
        <w:tc>
          <w:tcPr>
            <w:tcW w:w="4812" w:type="dxa"/>
            <w:tcBorders>
              <w:top w:val="single" w:color="auto" w:sz="4" w:space="0"/>
              <w:left w:val="single" w:color="auto" w:sz="4" w:space="0"/>
              <w:bottom w:val="single" w:color="auto" w:sz="4" w:space="0"/>
              <w:right w:val="single" w:color="auto" w:sz="4" w:space="0"/>
            </w:tcBorders>
            <w:shd w:val="clear" w:color="auto" w:fill="auto"/>
            <w:vAlign w:val="top"/>
          </w:tcPr>
          <w:p w14:paraId="26237DC1">
            <w:pPr>
              <w:spacing w:beforeLines="0" w:afterLines="0"/>
              <w:jc w:val="center"/>
              <w:rPr>
                <w:rFonts w:hint="eastAsia" w:ascii="宋体" w:hAnsi="宋体" w:eastAsia="宋体" w:cs="宋体"/>
                <w:color w:val="auto"/>
                <w:sz w:val="24"/>
                <w:szCs w:val="24"/>
                <w:highlight w:val="none"/>
                <w:lang w:val="en-US" w:eastAsia="zh-CN"/>
              </w:rPr>
            </w:pPr>
          </w:p>
          <w:p w14:paraId="5FBC4001">
            <w:pPr>
              <w:spacing w:beforeLines="0" w:afterLines="0"/>
              <w:jc w:val="center"/>
              <w:rPr>
                <w:rFonts w:hint="eastAsia" w:ascii="宋体" w:hAnsi="宋体" w:eastAsia="宋体" w:cs="宋体"/>
                <w:color w:val="auto"/>
                <w:sz w:val="24"/>
                <w:szCs w:val="24"/>
                <w:highlight w:val="none"/>
                <w:lang w:val="en-US" w:eastAsia="zh-CN"/>
              </w:rPr>
            </w:pPr>
          </w:p>
          <w:p w14:paraId="58D622F5">
            <w:pPr>
              <w:spacing w:beforeLines="0" w:afterLines="0"/>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lang w:val="en-US" w:eastAsia="zh-CN"/>
              </w:rPr>
              <w:t>全套操作软件1套</w:t>
            </w:r>
          </w:p>
        </w:tc>
        <w:tc>
          <w:tcPr>
            <w:tcW w:w="431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79E2EA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冠脉血管内超声模块</w:t>
            </w:r>
          </w:p>
          <w:p w14:paraId="1952240C">
            <w:pPr>
              <w:spacing w:beforeLines="0" w:afterLines="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外周血管内超声模块</w:t>
            </w:r>
            <w:r>
              <w:rPr>
                <w:rFonts w:hint="eastAsia" w:ascii="宋体" w:hAnsi="宋体" w:eastAsia="宋体" w:cs="宋体"/>
                <w:color w:val="auto"/>
                <w:sz w:val="24"/>
                <w:szCs w:val="24"/>
                <w:highlight w:val="none"/>
                <w:lang w:eastAsia="zh-CN"/>
              </w:rPr>
              <w:t>；</w:t>
            </w:r>
          </w:p>
          <w:p w14:paraId="4AA19088">
            <w:pPr>
              <w:spacing w:beforeLines="0" w:afterLines="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功能学模块</w:t>
            </w:r>
            <w:r>
              <w:rPr>
                <w:rFonts w:hint="eastAsia" w:ascii="宋体" w:hAnsi="宋体" w:eastAsia="宋体" w:cs="宋体"/>
                <w:color w:val="auto"/>
                <w:sz w:val="24"/>
                <w:szCs w:val="24"/>
                <w:highlight w:val="none"/>
                <w:lang w:eastAsia="zh-CN"/>
              </w:rPr>
              <w:t>；</w:t>
            </w:r>
          </w:p>
          <w:p w14:paraId="59C98B5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配准功能</w:t>
            </w:r>
          </w:p>
          <w:p w14:paraId="1FF9BA3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通用模块</w:t>
            </w:r>
          </w:p>
          <w:p w14:paraId="16A2F8A2">
            <w:pPr>
              <w:spacing w:beforeLines="0" w:afterLines="0"/>
              <w:jc w:val="left"/>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软件升级模块</w:t>
            </w:r>
          </w:p>
        </w:tc>
      </w:tr>
    </w:tbl>
    <w:p w14:paraId="212715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2EFDA8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1B0F4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bookmarkStart w:id="0" w:name="_GoBack"/>
      <w:bookmarkEnd w:id="0"/>
      <w:r>
        <w:rPr>
          <w:rFonts w:hint="eastAsia" w:ascii="宋体" w:hAnsi="宋体" w:eastAsia="宋体" w:cs="宋体"/>
          <w:b/>
          <w:bCs/>
          <w:color w:val="auto"/>
          <w:sz w:val="21"/>
          <w:szCs w:val="21"/>
          <w:highlight w:val="none"/>
          <w:lang w:val="en-US" w:eastAsia="zh-CN"/>
        </w:rPr>
        <w:t>采购人指定的地点</w:t>
      </w:r>
    </w:p>
    <w:p w14:paraId="61C04D8C">
      <w:pPr>
        <w:pStyle w:val="14"/>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27B45F24">
      <w:pPr>
        <w:pStyle w:val="14"/>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12F33232">
      <w:pPr>
        <w:pStyle w:val="14"/>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0E43FD61">
      <w:pPr>
        <w:pStyle w:val="14"/>
        <w:spacing w:beforeLines="0" w:line="360" w:lineRule="auto"/>
        <w:jc w:val="both"/>
        <w:rPr>
          <w:color w:val="auto"/>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403A9C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48D932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55A0DF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76D767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59B512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1E3FA9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579F9C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22BF09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404AE7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1094868B">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64478150">
      <w:pPr>
        <w:pStyle w:val="2"/>
        <w:jc w:val="left"/>
        <w:rPr>
          <w:rFonts w:hint="eastAsia"/>
          <w:color w:val="auto"/>
          <w:highlight w:val="none"/>
          <w:lang w:eastAsia="zh-CN"/>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016AD5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6FA300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65AACA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1536A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6B63D5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0DB451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49C32D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1036CA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0E4668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438D64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5DD738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693EF0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37E132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2C87D5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5D206D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7D2172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432EAC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09F334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2043FD5C">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7DE20E7C">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4A82F1DE">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63A6E364">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717F758C">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0868D141">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236AC8FD">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0F65DC9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2D5933EB">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4A04FBBD">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1381B3C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6BB85E92">
      <w:pPr>
        <w:keepNext w:val="0"/>
        <w:keepLines w:val="0"/>
        <w:pageBreakBefore w:val="0"/>
        <w:numPr>
          <w:ilvl w:val="0"/>
          <w:numId w:val="4"/>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32B1233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7345128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50B6B58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4C75233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533531C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48DED82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6B45CA7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495B053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1192D83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1732510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27F5A60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6208668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34D362A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7306660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21A9DAD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02852AF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61710CB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394C622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3B236D0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1B79B6C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3BDB3E60">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48DD2DA0">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5A0B42E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4D858233">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976B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69047">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869047">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17B3C4F8"/>
    <w:multiLevelType w:val="singleLevel"/>
    <w:tmpl w:val="17B3C4F8"/>
    <w:lvl w:ilvl="0" w:tentative="0">
      <w:start w:val="1"/>
      <w:numFmt w:val="chineseCounting"/>
      <w:suff w:val="nothing"/>
      <w:lvlText w:val="（%1）"/>
      <w:lvlJc w:val="left"/>
      <w:rPr>
        <w:rFonts w:hint="eastAsia"/>
      </w:rPr>
    </w:lvl>
  </w:abstractNum>
  <w:abstractNum w:abstractNumId="3">
    <w:nsid w:val="254B9F25"/>
    <w:multiLevelType w:val="singleLevel"/>
    <w:tmpl w:val="254B9F25"/>
    <w:lvl w:ilvl="0" w:tentative="0">
      <w:start w:val="1"/>
      <w:numFmt w:val="decimal"/>
      <w:suff w:val="nothing"/>
      <w:lvlText w:val="%1、"/>
      <w:lvlJc w:val="left"/>
    </w:lvl>
  </w:abstractNum>
  <w:abstractNum w:abstractNumId="4">
    <w:nsid w:val="2B7BFE92"/>
    <w:multiLevelType w:val="singleLevel"/>
    <w:tmpl w:val="2B7BFE92"/>
    <w:lvl w:ilvl="0" w:tentative="0">
      <w:start w:val="1"/>
      <w:numFmt w:val="decimal"/>
      <w:suff w:val="nothing"/>
      <w:lvlText w:val="%1、"/>
      <w:lvlJc w:val="left"/>
    </w:lvl>
  </w:abstractNum>
  <w:abstractNum w:abstractNumId="5">
    <w:nsid w:val="41B5D8F4"/>
    <w:multiLevelType w:val="singleLevel"/>
    <w:tmpl w:val="41B5D8F4"/>
    <w:lvl w:ilvl="0" w:tentative="0">
      <w:start w:val="1"/>
      <w:numFmt w:val="decimal"/>
      <w:suff w:val="nothing"/>
      <w:lvlText w:val="%1、"/>
      <w:lvlJc w:val="left"/>
    </w:lvl>
  </w:abstractNum>
  <w:abstractNum w:abstractNumId="6">
    <w:nsid w:val="6B03E168"/>
    <w:multiLevelType w:val="singleLevel"/>
    <w:tmpl w:val="6B03E168"/>
    <w:lvl w:ilvl="0" w:tentative="0">
      <w:start w:val="1"/>
      <w:numFmt w:val="chineseCounting"/>
      <w:suff w:val="nothing"/>
      <w:lvlText w:val="%1、"/>
      <w:lvlJc w:val="left"/>
      <w:rPr>
        <w:rFonts w:hint="eastAsia"/>
      </w:rPr>
    </w:lvl>
  </w:abstractNum>
  <w:num w:numId="1">
    <w:abstractNumId w:val="1"/>
  </w:num>
  <w:num w:numId="2">
    <w:abstractNumId w:val="6"/>
  </w:num>
  <w:num w:numId="3">
    <w:abstractNumId w:val="0"/>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90F1DBE"/>
    <w:rsid w:val="0C681DEC"/>
    <w:rsid w:val="1BED07B5"/>
    <w:rsid w:val="1DA102B6"/>
    <w:rsid w:val="20C9632E"/>
    <w:rsid w:val="2B6A3250"/>
    <w:rsid w:val="2EEA0B7C"/>
    <w:rsid w:val="3A7C1749"/>
    <w:rsid w:val="3B5F1F97"/>
    <w:rsid w:val="3DCC37A6"/>
    <w:rsid w:val="4556724D"/>
    <w:rsid w:val="47D004CD"/>
    <w:rsid w:val="488B5B98"/>
    <w:rsid w:val="561104ED"/>
    <w:rsid w:val="592F0152"/>
    <w:rsid w:val="5BBF0129"/>
    <w:rsid w:val="5CDF259D"/>
    <w:rsid w:val="5EAC2CE3"/>
    <w:rsid w:val="678F249F"/>
    <w:rsid w:val="70DD6C98"/>
    <w:rsid w:val="78500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6"/>
    <w:qFormat/>
    <w:uiPriority w:val="0"/>
    <w:pPr>
      <w:spacing w:after="120"/>
      <w:ind w:firstLine="420"/>
    </w:pPr>
    <w:rPr>
      <w:sz w:val="21"/>
      <w:szCs w:val="24"/>
      <w:lang w:val="zh-CN"/>
    </w:rPr>
  </w:style>
  <w:style w:type="table" w:styleId="11">
    <w:name w:val="Table Grid"/>
    <w:basedOn w:val="10"/>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null3"/>
    <w:qFormat/>
    <w:uiPriority w:val="0"/>
    <w:rPr>
      <w:rFonts w:hint="eastAsia" w:ascii="Calibri" w:hAnsi="Calibri" w:eastAsia="宋体" w:cs="Times New Roman"/>
      <w:lang w:val="en-US" w:eastAsia="zh-Hans"/>
    </w:rPr>
  </w:style>
  <w:style w:type="paragraph" w:styleId="15">
    <w:name w:val="List Paragraph"/>
    <w:basedOn w:val="1"/>
    <w:qFormat/>
    <w:uiPriority w:val="34"/>
    <w:pPr>
      <w:widowControl/>
      <w:ind w:left="720"/>
      <w:jc w:val="left"/>
    </w:pPr>
    <w:rPr>
      <w:rFonts w:ascii="Calibri" w:hAnsi="Calibri"/>
      <w:szCs w:val="24"/>
      <w:lang w:eastAsia="en-US" w:bidi="en-US"/>
    </w:rPr>
  </w:style>
  <w:style w:type="table" w:customStyle="1" w:styleId="16">
    <w:name w:val="网格表 1 浅色1"/>
    <w:basedOn w:val="10"/>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7">
    <w:name w:val="font21"/>
    <w:basedOn w:val="12"/>
    <w:qFormat/>
    <w:uiPriority w:val="0"/>
    <w:rPr>
      <w:rFonts w:hint="eastAsia" w:ascii="微软雅黑" w:hAnsi="微软雅黑" w:eastAsia="微软雅黑" w:cs="微软雅黑"/>
      <w:color w:val="000000"/>
      <w:sz w:val="18"/>
      <w:szCs w:val="18"/>
      <w:u w:val="none"/>
    </w:rPr>
  </w:style>
  <w:style w:type="paragraph" w:customStyle="1" w:styleId="1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7687</Words>
  <Characters>8061</Characters>
  <Lines>0</Lines>
  <Paragraphs>0</Paragraphs>
  <TotalTime>1</TotalTime>
  <ScaleCrop>false</ScaleCrop>
  <LinksUpToDate>false</LinksUpToDate>
  <CharactersWithSpaces>8138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