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810873">
      <w:pPr>
        <w:widowControl w:val="0"/>
        <w:numPr>
          <w:ilvl w:val="0"/>
          <w:numId w:val="0"/>
        </w:numPr>
        <w:spacing w:beforeLines="0" w:line="360" w:lineRule="auto"/>
        <w:jc w:val="center"/>
        <w:rPr>
          <w:rFonts w:hint="eastAsia" w:ascii="宋体" w:hAnsi="宋体" w:eastAsia="宋体" w:cs="宋体"/>
          <w:b/>
          <w:bCs/>
          <w:color w:val="auto"/>
          <w:kern w:val="0"/>
          <w:sz w:val="36"/>
          <w:szCs w:val="36"/>
          <w:highlight w:val="none"/>
          <w:lang w:val="en-US" w:eastAsia="zh-CN" w:bidi="ar"/>
        </w:rPr>
      </w:pPr>
      <w:r>
        <w:rPr>
          <w:rFonts w:hint="eastAsia" w:ascii="宋体" w:hAnsi="宋体" w:cs="宋体"/>
          <w:b/>
          <w:bCs/>
          <w:color w:val="auto"/>
          <w:kern w:val="0"/>
          <w:sz w:val="36"/>
          <w:szCs w:val="36"/>
          <w:highlight w:val="none"/>
          <w:lang w:val="en-US" w:eastAsia="zh-CN" w:bidi="ar"/>
        </w:rPr>
        <w:t>62移动式C形臂X射线机</w:t>
      </w:r>
      <w:r>
        <w:rPr>
          <w:rFonts w:hint="eastAsia" w:ascii="宋体" w:hAnsi="宋体" w:eastAsia="宋体" w:cs="宋体"/>
          <w:b/>
          <w:bCs/>
          <w:color w:val="auto"/>
          <w:kern w:val="0"/>
          <w:sz w:val="36"/>
          <w:szCs w:val="36"/>
          <w:highlight w:val="none"/>
          <w:lang w:val="en-US" w:eastAsia="zh-CN" w:bidi="ar"/>
        </w:rPr>
        <w:t>用户需求书</w:t>
      </w:r>
    </w:p>
    <w:p w14:paraId="36749DE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Lines="0" w:beforeAutospacing="0" w:after="0" w:afterAutospacing="0" w:line="360" w:lineRule="auto"/>
        <w:ind w:left="0" w:right="0" w:firstLine="0"/>
        <w:jc w:val="both"/>
        <w:rPr>
          <w:rFonts w:hint="default" w:ascii="宋体" w:hAnsi="宋体" w:eastAsia="宋体" w:cs="宋体"/>
          <w:color w:val="auto"/>
          <w:sz w:val="30"/>
          <w:szCs w:val="30"/>
          <w:highlight w:val="none"/>
          <w:lang w:val="en-US" w:eastAsia="zh-CN"/>
        </w:rPr>
      </w:pPr>
      <w:r>
        <w:rPr>
          <w:rFonts w:hint="eastAsia" w:ascii="宋体" w:hAnsi="宋体" w:eastAsia="宋体" w:cs="宋体"/>
          <w:color w:val="auto"/>
          <w:sz w:val="30"/>
          <w:szCs w:val="30"/>
          <w:highlight w:val="none"/>
          <w:lang w:val="en-US" w:eastAsia="zh-CN"/>
        </w:rPr>
        <w:t>一、总体要求</w:t>
      </w:r>
    </w:p>
    <w:p w14:paraId="518ADEA2">
      <w:pPr>
        <w:numPr>
          <w:ilvl w:val="0"/>
          <w:numId w:val="1"/>
        </w:numPr>
        <w:spacing w:beforeLines="0" w:line="360" w:lineRule="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标有“★”号条款为实质性条款，若有任何一条负偏离或不满足则导致投标无效。</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2、标有“▲”号条款为重要技术参数，若有部分“▲”条款未响应或不满足，不作为无效投标条款。</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3、投标人必须承诺提供厂商原装、全新的、符合国家及用户提出的有关质量标准的设备。</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4、投标人应对采购需求中的设备性能和技术指标在响应详细内容中列出具体数值。如果投标人只注明“正偏离”或“无偏离”，将可能被视为“负偏离”，从而可能导致严重影响评标结果。</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5、投标人所投产品除项目采购文件中明确规定要求提供彩页或技术规格书或相应检测报告等证明材料以外，所有技术参数描述均以投标文件响应为准（投标文件内制造商提供的技术参数描述与投标人投标技术参数描述不一致时，以制造商提供的技术参数描述为准）。投标人须对所投产品技术参数的真实性承担法律责任。</w:t>
      </w:r>
      <w:r>
        <w:rPr>
          <w:rFonts w:hint="eastAsia" w:ascii="宋体" w:hAnsi="宋体" w:eastAsia="宋体" w:cs="宋体"/>
          <w:b/>
          <w:bCs/>
          <w:color w:val="auto"/>
          <w:kern w:val="0"/>
          <w:sz w:val="24"/>
          <w:szCs w:val="24"/>
          <w:highlight w:val="none"/>
          <w:lang w:val="en-US" w:eastAsia="zh-CN" w:bidi="ar"/>
        </w:rPr>
        <w:t>采购文件中明确规定要求投标人提供证明材料的，应标注证明材料所在的页码范围，证明材料中投标技术参数指标用红色框标记并标注采购需求技术参数对应的序号。</w:t>
      </w:r>
      <w:r>
        <w:rPr>
          <w:rFonts w:hint="eastAsia" w:ascii="宋体" w:hAnsi="宋体" w:eastAsia="宋体" w:cs="宋体"/>
          <w:b w:val="0"/>
          <w:bCs w:val="0"/>
          <w:color w:val="auto"/>
          <w:kern w:val="0"/>
          <w:sz w:val="24"/>
          <w:szCs w:val="24"/>
          <w:highlight w:val="none"/>
          <w:lang w:val="en-US" w:eastAsia="zh-CN" w:bidi="ar"/>
        </w:rPr>
        <w:t>如果因不按要求标注而导致的评审不得分，由投标人自行承担。</w:t>
      </w:r>
      <w:r>
        <w:rPr>
          <w:rFonts w:hint="eastAsia" w:ascii="宋体" w:hAnsi="宋体" w:eastAsia="宋体" w:cs="宋体"/>
          <w:b w:val="0"/>
          <w:bCs w:val="0"/>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6、凡列入《中华人民共和国实施强制性产品认证的产品目录》的产品在验收时必须出具CCC认证证书复印件，并以在产品外部加施认证标志作为验收依据之一。</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7、节能产品的优先采购和强制采购以财政部、发展改革委、生态环境部等部门公布的最新《节能产品政府采购品目清单》中所列产品及相关规定为准。如果涉及到政府强制采购节能，供应商必须在投标文件中明确列明具体产品的名称并提供国家确定的认证机构出具的处于有效期之内的节能产品认证证书。</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8、环境标志产品的优先采购以财政部、发展改革委、生态环境部等部门公布的最新《环境标志产品政府采购品目清单》所列产品为准。投标产品涉及到环境标志产品的，供应商需在投标文件中明确列明具体产品的名称并提供国家确定的认证机构出具的处于有效期之内的环境标志产品认证证书。</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9、涉及到软件产品的，必须采购和使用正版软件，项目中涉及计算机办公产品的，必须预装正版操作系统软件。</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10、投标人没有在投标文件中注明偏离（文字说明或在响应表注明）的参数、配置、条款视为被投标人完全接受。</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11、投标人应保证，采购人在中华人民共和国使用该货物或货物的任何一部分时，免受第三方提出的侵犯其专利权、商标权、著作权或其它知识产权的起诉。</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12、不允许中标供应商转包、分包中标采购包的内容。</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13、小型和微型企业、监狱企业和残疾人福利性单位必须按照投标须知的内容提供相应的资料。</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14、需落实政府采购政策为：促进中小企业发展政策、支持监狱企业发展政策、支持残疾人福利性单位发展政策、优先采购节能产品、环境标志产品相关政策、实施本国产品标准及相关政策等。</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15、单一产品采购项目，提供相同品牌产品且通过资格审查、符合性审查的不同投标人参加同一合同项下投标的，按一家投标人计算；非单一产品采购项目，提供相同品牌核心产品且通过资格审查、符合性审查的不同投标人参加同一合同项下投标的，按一家投标人计算。</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★16、投标产品应具备《医疗器械注册证》（无强制要求的除外，以国家药品监督管理局网上的数据库中查询的数据为准）（须提供证明文件复印件证明）；</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17、投标人若为经销商须提供第二类医疗器械经营备案凭证（须提供证明文件复印件证明）或承诺签订合同前取得第二类医疗器械经营备案凭证（须提供承诺函），若为制造商则须提供《医疗器械生产许可证》（须提供证明文件复印件证明）。</w:t>
      </w:r>
    </w:p>
    <w:p w14:paraId="75BB02BD">
      <w:pPr>
        <w:numPr>
          <w:ilvl w:val="0"/>
          <w:numId w:val="0"/>
        </w:numPr>
        <w:spacing w:beforeLines="0" w:line="360" w:lineRule="auto"/>
        <w:rPr>
          <w:rFonts w:hint="default" w:ascii="宋体" w:hAnsi="宋体" w:eastAsia="微软雅黑"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19、所投产品若属于《放射源分类办法》（国家环境保护总局公告2005年第62号）放射源分类或《关于发布射线装置分类办法的公告》（公告2006年第26号）射线装置分类表设备的需取得《辐射安全许可证》才能进行生产、销售。</w:t>
      </w:r>
    </w:p>
    <w:p w14:paraId="46212EE5">
      <w:pPr>
        <w:numPr>
          <w:ilvl w:val="0"/>
          <w:numId w:val="0"/>
        </w:numPr>
        <w:spacing w:beforeLines="0" w:line="360" w:lineRule="auto"/>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投标人若为经销商须提供许可范围包含“销售”的《辐射安全许可证》证书，若为制造商则须提供许可范围包含“生产”的《辐射安全许可证》证书。投标人若同为经销商和制造商，则须提供许可范围包含“生产”和“销售”的《辐射安全许可证》证书。</w:t>
      </w:r>
    </w:p>
    <w:p w14:paraId="2CE0CCB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Lines="0" w:beforeAutospacing="0" w:after="0" w:afterAutospacing="0" w:line="360" w:lineRule="auto"/>
        <w:ind w:left="0" w:right="0" w:firstLine="0"/>
        <w:jc w:val="both"/>
        <w:rPr>
          <w:rFonts w:hint="eastAsia"/>
          <w:color w:val="auto"/>
          <w:sz w:val="30"/>
          <w:szCs w:val="30"/>
          <w:highlight w:val="none"/>
          <w:lang w:val="en-US" w:eastAsia="zh-CN"/>
        </w:rPr>
      </w:pPr>
      <w:r>
        <w:rPr>
          <w:rFonts w:hint="eastAsia"/>
          <w:color w:val="auto"/>
          <w:sz w:val="30"/>
          <w:szCs w:val="30"/>
          <w:highlight w:val="none"/>
          <w:lang w:val="en-US" w:eastAsia="zh-CN"/>
        </w:rPr>
        <w:t>二、项目概况</w:t>
      </w:r>
    </w:p>
    <w:p w14:paraId="0484F33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480" w:firstLineChars="200"/>
        <w:jc w:val="both"/>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采购预算及最高限价或耗材的最高限价:按第二阶段调查后确定</w:t>
      </w:r>
    </w:p>
    <w:p w14:paraId="3B23F5D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480" w:firstLineChars="200"/>
        <w:jc w:val="both"/>
        <w:textAlignment w:val="auto"/>
        <w:rPr>
          <w:rFonts w:hint="eastAsia" w:cs="宋体"/>
          <w:b/>
          <w:bCs/>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项目类型为货物类，采购品目：</w:t>
      </w:r>
      <w:r>
        <w:rPr>
          <w:rFonts w:hint="eastAsia" w:cs="宋体"/>
          <w:b/>
          <w:bCs/>
          <w:color w:val="auto"/>
          <w:sz w:val="24"/>
          <w:szCs w:val="24"/>
          <w:highlight w:val="none"/>
          <w:lang w:val="en-US" w:eastAsia="zh-CN"/>
        </w:rPr>
        <w:t>医用X线诊断设备（A02321200）</w:t>
      </w:r>
    </w:p>
    <w:p w14:paraId="1B8C50E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482" w:firstLineChars="200"/>
        <w:jc w:val="both"/>
        <w:textAlignment w:val="auto"/>
        <w:rPr>
          <w:rFonts w:hint="eastAsia" w:cs="宋体"/>
          <w:b/>
          <w:bCs/>
          <w:color w:val="auto"/>
          <w:sz w:val="24"/>
          <w:szCs w:val="24"/>
          <w:highlight w:val="none"/>
          <w:lang w:val="en-US" w:eastAsia="zh-CN"/>
        </w:rPr>
      </w:pPr>
      <w:r>
        <w:rPr>
          <w:rFonts w:hint="eastAsia" w:cs="宋体"/>
          <w:b/>
          <w:bCs/>
          <w:color w:val="auto"/>
          <w:sz w:val="24"/>
          <w:szCs w:val="24"/>
          <w:highlight w:val="none"/>
          <w:lang w:val="en-US" w:eastAsia="zh-CN"/>
        </w:rPr>
        <w:t>本项目采购包采购标的对应的中小企业划分标准所属行业为：工业</w:t>
      </w:r>
    </w:p>
    <w:p w14:paraId="2500822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Lines="0" w:beforeAutospacing="0" w:after="0" w:afterAutospacing="0" w:line="360" w:lineRule="auto"/>
        <w:ind w:left="0" w:right="0" w:firstLine="0"/>
        <w:jc w:val="both"/>
        <w:rPr>
          <w:rFonts w:hint="eastAsia" w:ascii="宋体" w:hAnsi="宋体" w:eastAsia="宋体" w:cs="宋体"/>
          <w:color w:val="auto"/>
          <w:sz w:val="30"/>
          <w:szCs w:val="30"/>
          <w:highlight w:val="none"/>
          <w:lang w:val="en-US" w:eastAsia="zh-CN"/>
        </w:rPr>
      </w:pPr>
      <w:r>
        <w:rPr>
          <w:rFonts w:hint="eastAsia" w:ascii="宋体" w:hAnsi="宋体" w:eastAsia="宋体" w:cs="宋体"/>
          <w:color w:val="auto"/>
          <w:sz w:val="30"/>
          <w:szCs w:val="30"/>
          <w:highlight w:val="none"/>
          <w:lang w:val="en-US" w:eastAsia="zh-CN"/>
        </w:rPr>
        <w:t>三、技术参数</w:t>
      </w:r>
    </w:p>
    <w:p w14:paraId="6B0D9899">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（一）、功能需求</w:t>
      </w:r>
    </w:p>
    <w:p w14:paraId="7D3923E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高端平板C形臂，适用于难度复杂骨科</w:t>
      </w:r>
      <w:r>
        <w:rPr>
          <w:rFonts w:hint="eastAsia" w:ascii="宋体" w:hAnsi="宋体" w:eastAsia="宋体" w:cs="宋体"/>
          <w:color w:val="auto"/>
          <w:sz w:val="24"/>
          <w:szCs w:val="24"/>
          <w:highlight w:val="none"/>
          <w:lang w:val="en-US" w:eastAsia="zh-CN"/>
        </w:rPr>
        <w:t>手术透视及摄影需要</w:t>
      </w:r>
      <w:r>
        <w:rPr>
          <w:rFonts w:hint="eastAsia" w:ascii="宋体" w:hAnsi="宋体" w:eastAsia="宋体" w:cs="宋体"/>
          <w:color w:val="auto"/>
          <w:sz w:val="24"/>
          <w:szCs w:val="24"/>
          <w:highlight w:val="none"/>
        </w:rPr>
        <w:t>，产品注册证</w:t>
      </w:r>
      <w:r>
        <w:rPr>
          <w:rFonts w:hint="eastAsia" w:ascii="宋体" w:hAnsi="宋体" w:eastAsia="宋体" w:cs="宋体"/>
          <w:color w:val="auto"/>
          <w:sz w:val="24"/>
          <w:szCs w:val="24"/>
          <w:highlight w:val="none"/>
          <w:lang w:val="en-US" w:eastAsia="zh-CN"/>
        </w:rPr>
        <w:t>管理</w:t>
      </w:r>
      <w:r>
        <w:rPr>
          <w:rFonts w:hint="eastAsia" w:ascii="宋体" w:hAnsi="宋体" w:eastAsia="宋体" w:cs="宋体"/>
          <w:color w:val="auto"/>
          <w:sz w:val="24"/>
          <w:szCs w:val="24"/>
          <w:highlight w:val="none"/>
        </w:rPr>
        <w:t>类别为第三类</w:t>
      </w:r>
      <w:r>
        <w:rPr>
          <w:rFonts w:hint="eastAsia" w:ascii="宋体" w:hAnsi="宋体" w:eastAsia="宋体" w:cs="宋体"/>
          <w:color w:val="auto"/>
          <w:sz w:val="24"/>
          <w:szCs w:val="24"/>
          <w:highlight w:val="none"/>
          <w:lang w:eastAsia="zh-CN"/>
        </w:rPr>
        <w:t>。</w:t>
      </w:r>
    </w:p>
    <w:p w14:paraId="2678550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产品采用</w:t>
      </w:r>
      <w:r>
        <w:rPr>
          <w:rFonts w:hint="eastAsia" w:ascii="宋体" w:hAnsi="宋体" w:eastAsia="宋体" w:cs="宋体"/>
          <w:color w:val="auto"/>
          <w:sz w:val="24"/>
          <w:szCs w:val="24"/>
          <w:highlight w:val="none"/>
          <w:lang w:val="en-US" w:eastAsia="zh-CN"/>
        </w:rPr>
        <w:t>轻量化</w:t>
      </w:r>
      <w:r>
        <w:rPr>
          <w:rFonts w:hint="eastAsia" w:ascii="宋体" w:hAnsi="宋体" w:eastAsia="宋体" w:cs="宋体"/>
          <w:color w:val="auto"/>
          <w:sz w:val="24"/>
          <w:szCs w:val="24"/>
          <w:highlight w:val="none"/>
        </w:rPr>
        <w:t>分体式设计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主机轻便，方便手术摆位。</w:t>
      </w:r>
    </w:p>
    <w:p w14:paraId="6F02221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二、主要技术规格要求</w:t>
      </w:r>
    </w:p>
    <w:p w14:paraId="045378B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C型臂架构</w:t>
      </w:r>
    </w:p>
    <w:p w14:paraId="6EBE6B1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▲1.1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垂直升降≥4</w:t>
      </w: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rPr>
        <w:t>0mm</w:t>
      </w:r>
      <w:r>
        <w:rPr>
          <w:rFonts w:hint="eastAsia" w:ascii="宋体" w:hAnsi="宋体" w:eastAsia="宋体" w:cs="宋体"/>
          <w:color w:val="auto"/>
          <w:sz w:val="24"/>
          <w:szCs w:val="24"/>
          <w:highlight w:val="none"/>
          <w:lang w:val="en-US" w:eastAsia="zh-CN"/>
        </w:rPr>
        <w:t xml:space="preserve"> （电动升降）</w:t>
      </w:r>
    </w:p>
    <w:p w14:paraId="176F397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水平移动≥200 mm</w:t>
      </w:r>
    </w:p>
    <w:p w14:paraId="1A7B471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1.3</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沿轨道旋转≥130° (- 40°to + 90°)</w:t>
      </w:r>
    </w:p>
    <w:p w14:paraId="63DCAB8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轴向旋转≥±190°</w:t>
      </w:r>
    </w:p>
    <w:p w14:paraId="57693BF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1.5</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左右摆角≥±12°</w:t>
      </w:r>
    </w:p>
    <w:p w14:paraId="7E973BE0">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1.6</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影像增强器到焦点距离≥10</w:t>
      </w:r>
      <w:r>
        <w:rPr>
          <w:rFonts w:hint="eastAsia" w:ascii="宋体" w:hAnsi="宋体" w:cs="宋体"/>
          <w:color w:val="auto"/>
          <w:sz w:val="24"/>
          <w:szCs w:val="24"/>
          <w:highlight w:val="none"/>
          <w:lang w:val="en-US" w:eastAsia="zh-CN"/>
        </w:rPr>
        <w:t>0</w:t>
      </w:r>
      <w:r>
        <w:rPr>
          <w:rFonts w:hint="eastAsia" w:ascii="宋体" w:hAnsi="宋体" w:eastAsia="宋体" w:cs="宋体"/>
          <w:color w:val="auto"/>
          <w:sz w:val="24"/>
          <w:szCs w:val="24"/>
          <w:highlight w:val="none"/>
        </w:rPr>
        <w:t>0 mm</w:t>
      </w:r>
      <w:r>
        <w:rPr>
          <w:rFonts w:hint="eastAsia" w:ascii="宋体" w:hAnsi="宋体" w:eastAsia="宋体" w:cs="宋体"/>
          <w:color w:val="auto"/>
          <w:sz w:val="24"/>
          <w:szCs w:val="24"/>
          <w:highlight w:val="none"/>
          <w:lang w:val="en-US" w:eastAsia="zh-CN"/>
        </w:rPr>
        <w:t xml:space="preserve">  </w:t>
      </w:r>
    </w:p>
    <w:p w14:paraId="6188C00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▲1.7</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C臂开口径≥8</w:t>
      </w:r>
      <w:r>
        <w:rPr>
          <w:rFonts w:hint="eastAsia" w:ascii="宋体" w:hAnsi="宋体" w:cs="宋体"/>
          <w:color w:val="auto"/>
          <w:sz w:val="24"/>
          <w:szCs w:val="24"/>
          <w:highlight w:val="none"/>
          <w:lang w:val="en-US" w:eastAsia="zh-CN"/>
        </w:rPr>
        <w:t>0</w:t>
      </w:r>
      <w:r>
        <w:rPr>
          <w:rFonts w:hint="eastAsia" w:ascii="宋体" w:hAnsi="宋体" w:eastAsia="宋体" w:cs="宋体"/>
          <w:color w:val="auto"/>
          <w:sz w:val="24"/>
          <w:szCs w:val="24"/>
          <w:highlight w:val="none"/>
        </w:rPr>
        <w:t>0 mm</w:t>
      </w:r>
    </w:p>
    <w:p w14:paraId="7F141AC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C臂深度≥730 mm</w:t>
      </w:r>
    </w:p>
    <w:p w14:paraId="0DA6133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具备平板侧有手柄可辅助摆位</w:t>
      </w:r>
    </w:p>
    <w:p w14:paraId="322A6D4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1.10</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具备色彩引导运动控制</w:t>
      </w:r>
    </w:p>
    <w:p w14:paraId="3BF2E2C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X线发生器</w:t>
      </w:r>
    </w:p>
    <w:p w14:paraId="29F9410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最大输出功率≥2.3KW</w:t>
      </w:r>
    </w:p>
    <w:p w14:paraId="393E3CD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▲2.2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发生器频率≥4</w:t>
      </w:r>
      <w:r>
        <w:rPr>
          <w:rFonts w:hint="eastAsia" w:ascii="宋体" w:hAnsi="宋体" w:cs="宋体"/>
          <w:color w:val="auto"/>
          <w:sz w:val="24"/>
          <w:szCs w:val="24"/>
          <w:highlight w:val="none"/>
          <w:lang w:val="en-US" w:eastAsia="zh-CN"/>
        </w:rPr>
        <w:t>0</w:t>
      </w:r>
      <w:r>
        <w:rPr>
          <w:rFonts w:hint="eastAsia" w:ascii="宋体" w:hAnsi="宋体" w:eastAsia="宋体" w:cs="宋体"/>
          <w:color w:val="auto"/>
          <w:sz w:val="24"/>
          <w:szCs w:val="24"/>
          <w:highlight w:val="none"/>
        </w:rPr>
        <w:t>KHZ高频/多脉冲处理器控制</w:t>
      </w:r>
    </w:p>
    <w:p w14:paraId="12F5206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2.3</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最大电压≥110KV</w:t>
      </w:r>
    </w:p>
    <w:p w14:paraId="1AF17C9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透视最大电流≥24mA</w:t>
      </w:r>
    </w:p>
    <w:p w14:paraId="05BC056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▲2.5</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最大脉冲频率≥30帧/秒</w:t>
      </w:r>
    </w:p>
    <w:p w14:paraId="45CDC61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2.6</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最小脉冲频率≤0.5f/s</w:t>
      </w:r>
    </w:p>
    <w:p w14:paraId="378B289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2.7</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单幅点片最大电流≥24mA</w:t>
      </w:r>
    </w:p>
    <w:p w14:paraId="77103D8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2.8</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连续曝光时间≥50min</w:t>
      </w:r>
    </w:p>
    <w:p w14:paraId="3FA8666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球管</w:t>
      </w:r>
    </w:p>
    <w:p w14:paraId="4100497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球管采用双焦点，小焦点≤0.6mm，大焦点≤1.0mm</w:t>
      </w:r>
    </w:p>
    <w:p w14:paraId="3E5F6B1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▲3.2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球管热容量≥1.</w:t>
      </w:r>
      <w:r>
        <w:rPr>
          <w:rFonts w:hint="eastAsia" w:ascii="宋体" w:hAnsi="宋体" w:cs="宋体"/>
          <w:color w:val="auto"/>
          <w:sz w:val="24"/>
          <w:szCs w:val="24"/>
          <w:highlight w:val="none"/>
          <w:lang w:val="en-US" w:eastAsia="zh-CN"/>
        </w:rPr>
        <w:t>0</w:t>
      </w:r>
      <w:r>
        <w:rPr>
          <w:rFonts w:hint="eastAsia" w:ascii="宋体" w:hAnsi="宋体" w:eastAsia="宋体" w:cs="宋体"/>
          <w:color w:val="auto"/>
          <w:sz w:val="24"/>
          <w:szCs w:val="24"/>
          <w:highlight w:val="none"/>
        </w:rPr>
        <w:t>MHU</w:t>
      </w:r>
    </w:p>
    <w:p w14:paraId="7DFDE5F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▲3.3</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阳极热容量≥10</w:t>
      </w:r>
      <w:r>
        <w:rPr>
          <w:rFonts w:hint="eastAsia" w:ascii="宋体" w:hAnsi="宋体" w:cs="宋体"/>
          <w:color w:val="auto"/>
          <w:sz w:val="24"/>
          <w:szCs w:val="24"/>
          <w:highlight w:val="none"/>
          <w:lang w:val="en-US" w:eastAsia="zh-CN"/>
        </w:rPr>
        <w:t>0</w:t>
      </w:r>
      <w:r>
        <w:rPr>
          <w:rFonts w:hint="eastAsia" w:ascii="宋体" w:hAnsi="宋体" w:eastAsia="宋体" w:cs="宋体"/>
          <w:color w:val="auto"/>
          <w:sz w:val="24"/>
          <w:szCs w:val="24"/>
          <w:highlight w:val="none"/>
        </w:rPr>
        <w:t>KHU</w:t>
      </w:r>
    </w:p>
    <w:p w14:paraId="02293D8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▲3.4</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阳极</w:t>
      </w:r>
      <w:r>
        <w:rPr>
          <w:rFonts w:hint="eastAsia" w:ascii="宋体" w:hAnsi="宋体" w:eastAsia="宋体" w:cs="宋体"/>
          <w:color w:val="auto"/>
          <w:sz w:val="24"/>
          <w:szCs w:val="24"/>
          <w:highlight w:val="none"/>
          <w:lang w:val="en-US" w:eastAsia="zh-CN"/>
        </w:rPr>
        <w:t>散</w:t>
      </w:r>
      <w:r>
        <w:rPr>
          <w:rFonts w:hint="eastAsia" w:ascii="宋体" w:hAnsi="宋体" w:eastAsia="宋体" w:cs="宋体"/>
          <w:color w:val="auto"/>
          <w:sz w:val="24"/>
          <w:szCs w:val="24"/>
          <w:highlight w:val="none"/>
        </w:rPr>
        <w:t>热</w:t>
      </w:r>
      <w:r>
        <w:rPr>
          <w:rFonts w:hint="eastAsia" w:ascii="宋体" w:hAnsi="宋体" w:eastAsia="宋体" w:cs="宋体"/>
          <w:color w:val="auto"/>
          <w:sz w:val="24"/>
          <w:szCs w:val="24"/>
          <w:highlight w:val="none"/>
          <w:lang w:val="en-US" w:eastAsia="zh-CN"/>
        </w:rPr>
        <w:t>率</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5</w:t>
      </w:r>
      <w:r>
        <w:rPr>
          <w:rFonts w:hint="eastAsia" w:ascii="宋体" w:hAnsi="宋体" w:cs="宋体"/>
          <w:color w:val="auto"/>
          <w:sz w:val="24"/>
          <w:szCs w:val="24"/>
          <w:highlight w:val="none"/>
          <w:lang w:val="en-US" w:eastAsia="zh-CN"/>
        </w:rPr>
        <w:t>0</w:t>
      </w:r>
      <w:r>
        <w:rPr>
          <w:rFonts w:hint="eastAsia" w:ascii="宋体" w:hAnsi="宋体" w:eastAsia="宋体" w:cs="宋体"/>
          <w:color w:val="auto"/>
          <w:sz w:val="24"/>
          <w:szCs w:val="24"/>
          <w:highlight w:val="none"/>
        </w:rPr>
        <w:t>KHU/</w:t>
      </w:r>
      <w:r>
        <w:rPr>
          <w:rFonts w:hint="eastAsia" w:ascii="宋体" w:hAnsi="宋体" w:eastAsia="宋体" w:cs="宋体"/>
          <w:color w:val="auto"/>
          <w:sz w:val="24"/>
          <w:szCs w:val="24"/>
          <w:highlight w:val="none"/>
          <w:lang w:val="en-US" w:eastAsia="zh-CN"/>
        </w:rPr>
        <w:t>min</w:t>
      </w:r>
    </w:p>
    <w:p w14:paraId="5ADC065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3.5</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阳极靶角≤9º</w:t>
      </w:r>
    </w:p>
    <w:p w14:paraId="3987034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平板探测器</w:t>
      </w:r>
    </w:p>
    <w:p w14:paraId="7694FE3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4.1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平板</w:t>
      </w:r>
      <w:r>
        <w:rPr>
          <w:rFonts w:hint="eastAsia" w:ascii="宋体" w:hAnsi="宋体" w:eastAsia="宋体" w:cs="宋体"/>
          <w:color w:val="auto"/>
          <w:sz w:val="24"/>
          <w:szCs w:val="24"/>
          <w:highlight w:val="none"/>
          <w:lang w:val="en-US" w:eastAsia="zh-CN"/>
        </w:rPr>
        <w:t>尺寸</w:t>
      </w:r>
      <w:r>
        <w:rPr>
          <w:rFonts w:hint="eastAsia" w:ascii="宋体" w:hAnsi="宋体" w:eastAsia="宋体" w:cs="宋体"/>
          <w:color w:val="auto"/>
          <w:sz w:val="24"/>
          <w:szCs w:val="24"/>
          <w:highlight w:val="none"/>
        </w:rPr>
        <w:t>≥21cm*21cm</w:t>
      </w:r>
    </w:p>
    <w:p w14:paraId="7F259DB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4.2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平板探测器材料非晶硅碘化铯</w:t>
      </w:r>
    </w:p>
    <w:p w14:paraId="389E3E2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4.3</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图像采集灰阶≥</w:t>
      </w:r>
      <w:r>
        <w:rPr>
          <w:rFonts w:hint="eastAsia" w:ascii="宋体" w:hAnsi="宋体" w:eastAsia="宋体" w:cs="宋体"/>
          <w:color w:val="auto"/>
          <w:sz w:val="24"/>
          <w:szCs w:val="24"/>
          <w:highlight w:val="none"/>
          <w:lang w:val="en-US" w:eastAsia="zh-CN"/>
        </w:rPr>
        <w:t>16</w:t>
      </w:r>
      <w:r>
        <w:rPr>
          <w:rFonts w:hint="eastAsia" w:ascii="宋体" w:hAnsi="宋体" w:eastAsia="宋体" w:cs="宋体"/>
          <w:color w:val="auto"/>
          <w:sz w:val="24"/>
          <w:szCs w:val="24"/>
          <w:highlight w:val="none"/>
        </w:rPr>
        <w:t>bit</w:t>
      </w:r>
    </w:p>
    <w:p w14:paraId="29F91AB8">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4.4</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平板放大等级≥3级</w:t>
      </w:r>
      <w:r>
        <w:rPr>
          <w:rFonts w:hint="eastAsia" w:ascii="宋体" w:hAnsi="宋体" w:eastAsia="宋体" w:cs="宋体"/>
          <w:color w:val="auto"/>
          <w:sz w:val="24"/>
          <w:szCs w:val="24"/>
          <w:highlight w:val="none"/>
          <w:lang w:val="en-US" w:eastAsia="zh-CN"/>
        </w:rPr>
        <w:t xml:space="preserve">      </w:t>
      </w:r>
    </w:p>
    <w:p w14:paraId="15A17DE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▲4.5</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DQE≥80%</w:t>
      </w:r>
    </w:p>
    <w:p w14:paraId="7DFA732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准直器及滤线栅</w:t>
      </w:r>
    </w:p>
    <w:p w14:paraId="15B6190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5.1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具备矩形准直器</w:t>
      </w:r>
      <w:r>
        <w:rPr>
          <w:rFonts w:hint="eastAsia" w:ascii="宋体" w:hAnsi="宋体" w:eastAsia="宋体" w:cs="宋体"/>
          <w:color w:val="auto"/>
          <w:sz w:val="24"/>
          <w:szCs w:val="24"/>
          <w:highlight w:val="none"/>
          <w:lang w:val="en-US" w:eastAsia="zh-CN"/>
        </w:rPr>
        <w:t>及</w:t>
      </w:r>
      <w:r>
        <w:rPr>
          <w:rFonts w:hint="eastAsia" w:ascii="宋体" w:hAnsi="宋体" w:eastAsia="宋体" w:cs="宋体"/>
          <w:color w:val="auto"/>
          <w:sz w:val="24"/>
          <w:szCs w:val="24"/>
          <w:highlight w:val="none"/>
        </w:rPr>
        <w:t>狭缝准直器</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且</w:t>
      </w:r>
      <w:r>
        <w:rPr>
          <w:rFonts w:hint="eastAsia" w:ascii="宋体" w:hAnsi="宋体" w:eastAsia="宋体" w:cs="宋体"/>
          <w:color w:val="auto"/>
          <w:sz w:val="24"/>
          <w:szCs w:val="24"/>
          <w:highlight w:val="none"/>
        </w:rPr>
        <w:t>具备狭缝准直器非对称调节</w:t>
      </w:r>
      <w:r>
        <w:rPr>
          <w:rFonts w:hint="eastAsia" w:ascii="宋体" w:hAnsi="宋体" w:eastAsia="宋体" w:cs="宋体"/>
          <w:color w:val="auto"/>
          <w:sz w:val="24"/>
          <w:szCs w:val="24"/>
          <w:highlight w:val="none"/>
          <w:lang w:val="en-US" w:eastAsia="zh-CN"/>
        </w:rPr>
        <w:t>功能</w:t>
      </w:r>
    </w:p>
    <w:p w14:paraId="64674D4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具备无射线数字图像旋转</w:t>
      </w:r>
    </w:p>
    <w:p w14:paraId="14B81E8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5.3</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滤线栅栅比≤1/12</w:t>
      </w:r>
    </w:p>
    <w:p w14:paraId="576FC04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5.4</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滤线栅密度≥70线/厘米</w:t>
      </w:r>
    </w:p>
    <w:p w14:paraId="05F2FE4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监视器</w:t>
      </w:r>
    </w:p>
    <w:p w14:paraId="295173C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≥19”TFT高分辨率医用显示器2台</w:t>
      </w:r>
    </w:p>
    <w:p w14:paraId="7F7A8B66">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6.2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最大分辨率≥1280 × 1024</w:t>
      </w:r>
      <w:r>
        <w:rPr>
          <w:rFonts w:hint="eastAsia" w:ascii="宋体" w:hAnsi="宋体" w:eastAsia="宋体" w:cs="宋体"/>
          <w:color w:val="auto"/>
          <w:sz w:val="24"/>
          <w:szCs w:val="24"/>
          <w:highlight w:val="none"/>
          <w:lang w:val="en-US" w:eastAsia="zh-CN"/>
        </w:rPr>
        <w:t xml:space="preserve">  </w:t>
      </w:r>
    </w:p>
    <w:p w14:paraId="4380FCFE">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▲6.3</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最大亮度≥700cd/cm2</w:t>
      </w:r>
      <w:r>
        <w:rPr>
          <w:rFonts w:hint="eastAsia" w:ascii="宋体" w:hAnsi="宋体" w:eastAsia="宋体" w:cs="宋体"/>
          <w:color w:val="auto"/>
          <w:sz w:val="24"/>
          <w:szCs w:val="24"/>
          <w:highlight w:val="none"/>
          <w:lang w:val="en-US" w:eastAsia="zh-CN"/>
        </w:rPr>
        <w:t xml:space="preserve">  </w:t>
      </w:r>
    </w:p>
    <w:p w14:paraId="5E1E79C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6.4</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可视角度≥±178°</w:t>
      </w:r>
    </w:p>
    <w:p w14:paraId="70A63E7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6.5</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具备对环境光亮度自动补偿功能</w:t>
      </w:r>
    </w:p>
    <w:p w14:paraId="6F86ED8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数字图像处理</w:t>
      </w:r>
    </w:p>
    <w:p w14:paraId="4AF196B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图象具备左右翻转、上下翻转、旋转功能</w:t>
      </w:r>
      <w:r>
        <w:rPr>
          <w:rFonts w:hint="eastAsia" w:ascii="宋体" w:hAnsi="宋体" w:eastAsia="宋体" w:cs="宋体"/>
          <w:color w:val="auto"/>
          <w:sz w:val="24"/>
          <w:szCs w:val="24"/>
          <w:highlight w:val="none"/>
          <w:lang w:val="en-US" w:eastAsia="zh-CN"/>
        </w:rPr>
        <w:t>及</w:t>
      </w:r>
      <w:r>
        <w:rPr>
          <w:rFonts w:hint="eastAsia" w:ascii="宋体" w:hAnsi="宋体" w:eastAsia="宋体" w:cs="宋体"/>
          <w:color w:val="auto"/>
          <w:sz w:val="24"/>
          <w:szCs w:val="24"/>
          <w:highlight w:val="none"/>
        </w:rPr>
        <w:t>实时边缘增强功能</w:t>
      </w:r>
    </w:p>
    <w:p w14:paraId="477A86B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具备实时自动、手动窗位调整功能</w:t>
      </w:r>
    </w:p>
    <w:p w14:paraId="22A5491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7.3</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具备实时动态降噪</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实时去除运动伪影</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实时金属修正</w:t>
      </w:r>
      <w:r>
        <w:rPr>
          <w:rFonts w:hint="eastAsia" w:ascii="宋体" w:hAnsi="宋体" w:eastAsia="宋体" w:cs="宋体"/>
          <w:color w:val="auto"/>
          <w:sz w:val="24"/>
          <w:szCs w:val="24"/>
          <w:highlight w:val="none"/>
          <w:lang w:val="en-US" w:eastAsia="zh-CN"/>
        </w:rPr>
        <w:t>及</w:t>
      </w:r>
      <w:r>
        <w:rPr>
          <w:rFonts w:hint="eastAsia" w:ascii="宋体" w:hAnsi="宋体" w:eastAsia="宋体" w:cs="宋体"/>
          <w:color w:val="auto"/>
          <w:sz w:val="24"/>
          <w:szCs w:val="24"/>
          <w:highlight w:val="none"/>
        </w:rPr>
        <w:t>实时软组织修正</w:t>
      </w:r>
      <w:r>
        <w:rPr>
          <w:rFonts w:hint="eastAsia" w:ascii="宋体" w:hAnsi="宋体" w:eastAsia="宋体" w:cs="宋体"/>
          <w:color w:val="auto"/>
          <w:sz w:val="24"/>
          <w:szCs w:val="24"/>
          <w:highlight w:val="none"/>
          <w:lang w:val="en-US" w:eastAsia="zh-CN"/>
        </w:rPr>
        <w:t>等</w:t>
      </w:r>
      <w:r>
        <w:rPr>
          <w:rFonts w:hint="eastAsia" w:ascii="宋体" w:hAnsi="宋体" w:eastAsia="宋体" w:cs="宋体"/>
          <w:color w:val="auto"/>
          <w:sz w:val="24"/>
          <w:szCs w:val="24"/>
          <w:highlight w:val="none"/>
        </w:rPr>
        <w:t>功能</w:t>
      </w:r>
    </w:p>
    <w:p w14:paraId="68B2C4B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7.4</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窗位调节功能≥6个自定义窗位调节范围</w:t>
      </w:r>
    </w:p>
    <w:p w14:paraId="6435E46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7.5</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边缘增强功能≥3个自定义边缘增强范围</w:t>
      </w:r>
    </w:p>
    <w:p w14:paraId="15660E2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7.6</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图象同屏显示≥16幅</w:t>
      </w:r>
    </w:p>
    <w:p w14:paraId="6EC3427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▲7.7</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具备剂量智能管理系统</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且</w:t>
      </w:r>
      <w:r>
        <w:rPr>
          <w:rFonts w:hint="eastAsia" w:ascii="宋体" w:hAnsi="宋体" w:eastAsia="宋体" w:cs="宋体"/>
          <w:color w:val="auto"/>
          <w:sz w:val="24"/>
          <w:szCs w:val="24"/>
          <w:highlight w:val="none"/>
        </w:rPr>
        <w:t>图像剂量三级可调</w:t>
      </w:r>
    </w:p>
    <w:p w14:paraId="341BA30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7.8</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具备最后一幅图像自动冻结功能LIH</w:t>
      </w:r>
    </w:p>
    <w:p w14:paraId="3957FCB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7.9</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具备窗口操作界面</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图形化显示按键便于理解及操作</w:t>
      </w:r>
    </w:p>
    <w:p w14:paraId="5AC164A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7.10</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操作系统</w:t>
      </w:r>
      <w:r>
        <w:rPr>
          <w:rFonts w:hint="eastAsia" w:ascii="宋体" w:hAnsi="宋体" w:eastAsia="宋体" w:cs="宋体"/>
          <w:color w:val="auto"/>
          <w:sz w:val="24"/>
          <w:szCs w:val="24"/>
          <w:highlight w:val="none"/>
          <w:lang w:val="en-US" w:eastAsia="zh-CN"/>
        </w:rPr>
        <w:t>为</w:t>
      </w:r>
      <w:r>
        <w:rPr>
          <w:rFonts w:hint="eastAsia" w:ascii="宋体" w:hAnsi="宋体" w:eastAsia="宋体" w:cs="宋体"/>
          <w:color w:val="auto"/>
          <w:sz w:val="24"/>
          <w:szCs w:val="24"/>
          <w:highlight w:val="none"/>
        </w:rPr>
        <w:t>最新Win10系统，64bit处理器，≥16G内存</w:t>
      </w:r>
    </w:p>
    <w:p w14:paraId="738BF11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i w:val="0"/>
          <w:iCs w:val="0"/>
          <w:color w:val="auto"/>
          <w:kern w:val="0"/>
          <w:sz w:val="24"/>
          <w:szCs w:val="24"/>
          <w:highlight w:val="none"/>
          <w:u w:val="none"/>
          <w:lang w:val="en-US" w:eastAsia="zh-CN" w:bidi="ar"/>
        </w:rPr>
        <w:t>8、图像资料存储系统</w:t>
      </w:r>
    </w:p>
    <w:p w14:paraId="1C0C6FC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存贮图像容量（内置工作站硬盘存储）≥300000幅</w:t>
      </w:r>
    </w:p>
    <w:p w14:paraId="6800B97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8.2具备USB导出DICOM格式图像功能</w:t>
      </w:r>
    </w:p>
    <w:p w14:paraId="46A0B0A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操控部件</w:t>
      </w:r>
    </w:p>
    <w:p w14:paraId="15D7EAA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触摸屏控制面板尺寸≥10英寸</w:t>
      </w:r>
    </w:p>
    <w:p w14:paraId="31095F3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9.2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具备同屏触控登记功能</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包括：</w:t>
      </w:r>
      <w:r>
        <w:rPr>
          <w:rFonts w:hint="eastAsia" w:ascii="宋体" w:hAnsi="宋体" w:eastAsia="宋体" w:cs="宋体"/>
          <w:color w:val="auto"/>
          <w:sz w:val="24"/>
          <w:szCs w:val="24"/>
          <w:highlight w:val="none"/>
        </w:rPr>
        <w:t>新病人登记</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急诊登记</w:t>
      </w:r>
      <w:r>
        <w:rPr>
          <w:rFonts w:hint="eastAsia" w:ascii="宋体" w:hAnsi="宋体" w:eastAsia="宋体" w:cs="宋体"/>
          <w:color w:val="auto"/>
          <w:sz w:val="24"/>
          <w:szCs w:val="24"/>
          <w:highlight w:val="none"/>
          <w:lang w:val="en-US" w:eastAsia="zh-CN"/>
        </w:rPr>
        <w:t>及</w:t>
      </w:r>
      <w:r>
        <w:rPr>
          <w:rFonts w:hint="eastAsia" w:ascii="宋体" w:hAnsi="宋体" w:eastAsia="宋体" w:cs="宋体"/>
          <w:color w:val="auto"/>
          <w:sz w:val="24"/>
          <w:szCs w:val="24"/>
          <w:highlight w:val="none"/>
        </w:rPr>
        <w:t>预登记功能</w:t>
      </w:r>
    </w:p>
    <w:p w14:paraId="7916DD7E">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9.3</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具备曝光参数设定</w:t>
      </w:r>
      <w:r>
        <w:rPr>
          <w:rFonts w:hint="eastAsia" w:ascii="宋体" w:hAnsi="宋体" w:eastAsia="宋体" w:cs="宋体"/>
          <w:color w:val="auto"/>
          <w:sz w:val="24"/>
          <w:szCs w:val="24"/>
          <w:highlight w:val="none"/>
          <w:lang w:val="en-US" w:eastAsia="zh-CN"/>
        </w:rPr>
        <w:t>功能及</w:t>
      </w:r>
      <w:r>
        <w:rPr>
          <w:rFonts w:hint="eastAsia" w:ascii="宋体" w:hAnsi="宋体" w:eastAsia="宋体" w:cs="宋体"/>
          <w:color w:val="auto"/>
          <w:sz w:val="24"/>
          <w:szCs w:val="24"/>
          <w:highlight w:val="none"/>
        </w:rPr>
        <w:t>同屏触控图像后处理功能</w:t>
      </w:r>
    </w:p>
    <w:p w14:paraId="7DBBEE3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9.4</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C臂上具备同屏触摸控制装置</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带无线摇控开机曝光功能</w:t>
      </w:r>
    </w:p>
    <w:p w14:paraId="7606120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▲9.5</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显示器推车上具备同屏触摸控制装置</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与台车显示器同步显示图像</w:t>
      </w:r>
    </w:p>
    <w:p w14:paraId="36F4529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其他</w:t>
      </w:r>
    </w:p>
    <w:p w14:paraId="008841D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设备主机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球管、高压发生器等主要部件为同一品牌</w:t>
      </w:r>
    </w:p>
    <w:p w14:paraId="4F50A2F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曝光剂量显示功能</w:t>
      </w:r>
    </w:p>
    <w:p w14:paraId="1BB5F85E">
      <w:pPr>
        <w:rPr>
          <w:rFonts w:hint="default" w:ascii="宋体" w:hAnsi="宋体" w:cs="宋体"/>
          <w:bCs/>
          <w:color w:val="auto"/>
          <w:sz w:val="24"/>
          <w:highlight w:val="none"/>
          <w:lang w:val="en-US" w:eastAsia="zh-CN"/>
        </w:rPr>
      </w:pPr>
      <w:r>
        <w:rPr>
          <w:rFonts w:hint="eastAsia" w:ascii="宋体" w:hAnsi="宋体" w:cs="宋体"/>
          <w:bCs/>
          <w:color w:val="auto"/>
          <w:sz w:val="24"/>
          <w:highlight w:val="none"/>
          <w:lang w:val="en-US" w:eastAsia="zh-CN"/>
        </w:rPr>
        <w:t>10 设备应</w:t>
      </w:r>
      <w:r>
        <w:rPr>
          <w:rFonts w:hint="eastAsia" w:ascii="宋体" w:hAnsi="宋体" w:cs="宋体"/>
          <w:bCs/>
          <w:color w:val="auto"/>
          <w:sz w:val="24"/>
          <w:highlight w:val="none"/>
        </w:rPr>
        <w:t>接入医院网</w:t>
      </w:r>
      <w:r>
        <w:rPr>
          <w:rFonts w:hint="eastAsia" w:ascii="宋体" w:hAnsi="宋体" w:cs="宋体"/>
          <w:bCs/>
          <w:color w:val="auto"/>
          <w:sz w:val="24"/>
          <w:highlight w:val="none"/>
          <w:lang w:val="en-US" w:eastAsia="zh-CN"/>
        </w:rPr>
        <w:t>络实现互联互通</w:t>
      </w:r>
      <w:r>
        <w:rPr>
          <w:rFonts w:hint="eastAsia" w:ascii="宋体" w:hAnsi="宋体" w:cs="宋体"/>
          <w:bCs/>
          <w:color w:val="auto"/>
          <w:sz w:val="24"/>
          <w:highlight w:val="none"/>
          <w:lang w:eastAsia="zh-CN"/>
        </w:rPr>
        <w:t>，</w:t>
      </w:r>
      <w:r>
        <w:rPr>
          <w:rFonts w:hint="eastAsia" w:ascii="宋体" w:hAnsi="宋体" w:cs="宋体"/>
          <w:bCs/>
          <w:color w:val="auto"/>
          <w:sz w:val="24"/>
          <w:highlight w:val="none"/>
          <w:lang w:val="en-US" w:eastAsia="zh-CN"/>
        </w:rPr>
        <w:t>报价应</w:t>
      </w:r>
      <w:r>
        <w:rPr>
          <w:rFonts w:hint="eastAsia" w:ascii="宋体" w:hAnsi="宋体" w:cs="宋体"/>
          <w:bCs/>
          <w:color w:val="auto"/>
          <w:sz w:val="24"/>
          <w:highlight w:val="none"/>
        </w:rPr>
        <w:t>含工作站、接口费</w:t>
      </w:r>
      <w:r>
        <w:rPr>
          <w:rFonts w:hint="eastAsia" w:ascii="宋体" w:hAnsi="宋体" w:cs="宋体"/>
          <w:bCs/>
          <w:color w:val="auto"/>
          <w:sz w:val="24"/>
          <w:highlight w:val="none"/>
          <w:lang w:val="en-US" w:eastAsia="zh-CN"/>
        </w:rPr>
        <w:t>等费用。中标人并</w:t>
      </w:r>
      <w:r>
        <w:rPr>
          <w:rFonts w:hint="eastAsia" w:ascii="宋体" w:hAnsi="宋体" w:cs="宋体"/>
          <w:bCs/>
          <w:color w:val="auto"/>
          <w:sz w:val="24"/>
          <w:highlight w:val="none"/>
        </w:rPr>
        <w:t>办理</w:t>
      </w:r>
      <w:r>
        <w:rPr>
          <w:rFonts w:hint="eastAsia" w:ascii="宋体" w:hAnsi="宋体" w:cs="宋体"/>
          <w:bCs/>
          <w:color w:val="auto"/>
          <w:sz w:val="24"/>
          <w:highlight w:val="none"/>
          <w:lang w:val="en-US" w:eastAsia="zh-CN"/>
        </w:rPr>
        <w:t>和取得</w:t>
      </w:r>
      <w:r>
        <w:rPr>
          <w:rFonts w:hint="eastAsia" w:ascii="宋体" w:hAnsi="宋体" w:cs="宋体"/>
          <w:bCs/>
          <w:color w:val="auto"/>
          <w:sz w:val="24"/>
          <w:highlight w:val="none"/>
        </w:rPr>
        <w:t>《辐射安全许可证》</w:t>
      </w:r>
      <w:r>
        <w:rPr>
          <w:rFonts w:hint="eastAsia" w:ascii="宋体" w:hAnsi="宋体" w:cs="宋体"/>
          <w:bCs/>
          <w:color w:val="auto"/>
          <w:sz w:val="24"/>
          <w:highlight w:val="none"/>
          <w:lang w:eastAsia="zh-CN"/>
        </w:rPr>
        <w:t>、《</w:t>
      </w:r>
      <w:r>
        <w:rPr>
          <w:rFonts w:hint="eastAsia" w:ascii="宋体" w:hAnsi="宋体" w:cs="宋体"/>
          <w:bCs/>
          <w:color w:val="auto"/>
          <w:sz w:val="24"/>
          <w:highlight w:val="none"/>
        </w:rPr>
        <w:t>放射诊疗许可证</w:t>
      </w:r>
      <w:r>
        <w:rPr>
          <w:rFonts w:hint="eastAsia" w:ascii="宋体" w:hAnsi="宋体" w:cs="宋体"/>
          <w:bCs/>
          <w:color w:val="auto"/>
          <w:sz w:val="24"/>
          <w:highlight w:val="none"/>
          <w:lang w:eastAsia="zh-CN"/>
        </w:rPr>
        <w:t>》。</w:t>
      </w:r>
    </w:p>
    <w:p w14:paraId="592BB908">
      <w:pPr>
        <w:pStyle w:val="6"/>
        <w:rPr>
          <w:rFonts w:hint="eastAsia"/>
          <w:color w:val="auto"/>
          <w:highlight w:val="none"/>
        </w:rPr>
      </w:pPr>
    </w:p>
    <w:p w14:paraId="01EE2D8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（二）产品配置清单（详细列表）</w:t>
      </w:r>
    </w:p>
    <w:tbl>
      <w:tblPr>
        <w:tblStyle w:val="11"/>
        <w:tblW w:w="6536" w:type="dxa"/>
        <w:tblInd w:w="113" w:type="dxa"/>
        <w:tblLayout w:type="fixed"/>
        <w:tblCellMar>
          <w:top w:w="0" w:type="dxa"/>
          <w:left w:w="108" w:type="dxa"/>
          <w:bottom w:w="0" w:type="dxa"/>
          <w:right w:w="108" w:type="dxa"/>
        </w:tblCellMar>
      </w:tblPr>
      <w:tblGrid>
        <w:gridCol w:w="860"/>
        <w:gridCol w:w="3448"/>
        <w:gridCol w:w="1115"/>
        <w:gridCol w:w="1113"/>
      </w:tblGrid>
      <w:tr w14:paraId="47C51476">
        <w:tblPrEx>
          <w:tblCellMar>
            <w:top w:w="0" w:type="dxa"/>
            <w:left w:w="108" w:type="dxa"/>
            <w:bottom w:w="0" w:type="dxa"/>
            <w:right w:w="108" w:type="dxa"/>
          </w:tblCellMar>
        </w:tblPrEx>
        <w:trPr>
          <w:trHeight w:val="288" w:hRule="atLeast"/>
        </w:trPr>
        <w:tc>
          <w:tcPr>
            <w:tcW w:w="860" w:type="dxa"/>
            <w:tcBorders>
              <w:top w:val="single" w:color="auto" w:sz="4" w:space="0"/>
              <w:left w:val="single" w:color="auto" w:sz="4" w:space="0"/>
              <w:bottom w:val="single" w:color="auto" w:sz="4" w:space="0"/>
              <w:right w:val="single" w:color="auto" w:sz="4" w:space="0"/>
            </w:tcBorders>
            <w:noWrap w:val="0"/>
            <w:vAlign w:val="center"/>
          </w:tcPr>
          <w:p w14:paraId="472A11CB">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val="0"/>
                <w:color w:val="auto"/>
                <w:kern w:val="0"/>
                <w:sz w:val="22"/>
                <w:szCs w:val="22"/>
                <w:highlight w:val="none"/>
              </w:rPr>
            </w:pPr>
            <w:r>
              <w:rPr>
                <w:rFonts w:hint="eastAsia" w:ascii="宋体" w:hAnsi="宋体" w:eastAsia="宋体" w:cs="宋体"/>
                <w:b w:val="0"/>
                <w:bCs w:val="0"/>
                <w:color w:val="auto"/>
                <w:kern w:val="0"/>
                <w:sz w:val="22"/>
                <w:szCs w:val="22"/>
                <w:highlight w:val="none"/>
              </w:rPr>
              <w:t>序号</w:t>
            </w:r>
          </w:p>
        </w:tc>
        <w:tc>
          <w:tcPr>
            <w:tcW w:w="3448" w:type="dxa"/>
            <w:tcBorders>
              <w:top w:val="single" w:color="auto" w:sz="4" w:space="0"/>
              <w:left w:val="nil"/>
              <w:bottom w:val="single" w:color="auto" w:sz="4" w:space="0"/>
              <w:right w:val="single" w:color="auto" w:sz="4" w:space="0"/>
            </w:tcBorders>
            <w:noWrap w:val="0"/>
            <w:vAlign w:val="center"/>
          </w:tcPr>
          <w:p w14:paraId="245188D6">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val="0"/>
                <w:color w:val="auto"/>
                <w:kern w:val="0"/>
                <w:sz w:val="22"/>
                <w:szCs w:val="22"/>
                <w:highlight w:val="none"/>
              </w:rPr>
            </w:pPr>
            <w:r>
              <w:rPr>
                <w:rFonts w:hint="eastAsia" w:ascii="宋体" w:hAnsi="宋体" w:eastAsia="宋体" w:cs="宋体"/>
                <w:b w:val="0"/>
                <w:bCs w:val="0"/>
                <w:color w:val="auto"/>
                <w:kern w:val="0"/>
                <w:sz w:val="22"/>
                <w:szCs w:val="22"/>
                <w:highlight w:val="none"/>
              </w:rPr>
              <w:t>配置名称</w:t>
            </w:r>
          </w:p>
        </w:tc>
        <w:tc>
          <w:tcPr>
            <w:tcW w:w="1115" w:type="dxa"/>
            <w:tcBorders>
              <w:top w:val="single" w:color="auto" w:sz="4" w:space="0"/>
              <w:left w:val="nil"/>
              <w:bottom w:val="single" w:color="auto" w:sz="4" w:space="0"/>
              <w:right w:val="single" w:color="auto" w:sz="4" w:space="0"/>
            </w:tcBorders>
            <w:noWrap w:val="0"/>
            <w:vAlign w:val="center"/>
          </w:tcPr>
          <w:p w14:paraId="49E6BB7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val="0"/>
                <w:color w:val="auto"/>
                <w:kern w:val="0"/>
                <w:sz w:val="22"/>
                <w:szCs w:val="22"/>
                <w:highlight w:val="none"/>
              </w:rPr>
            </w:pPr>
            <w:r>
              <w:rPr>
                <w:rFonts w:hint="eastAsia" w:ascii="宋体" w:hAnsi="宋体" w:eastAsia="宋体" w:cs="宋体"/>
                <w:b w:val="0"/>
                <w:bCs w:val="0"/>
                <w:color w:val="auto"/>
                <w:kern w:val="0"/>
                <w:sz w:val="22"/>
                <w:szCs w:val="22"/>
                <w:highlight w:val="none"/>
              </w:rPr>
              <w:t>数量</w:t>
            </w:r>
          </w:p>
        </w:tc>
        <w:tc>
          <w:tcPr>
            <w:tcW w:w="1113" w:type="dxa"/>
            <w:tcBorders>
              <w:top w:val="single" w:color="auto" w:sz="4" w:space="0"/>
              <w:left w:val="nil"/>
              <w:bottom w:val="single" w:color="auto" w:sz="4" w:space="0"/>
              <w:right w:val="single" w:color="auto" w:sz="4" w:space="0"/>
            </w:tcBorders>
            <w:noWrap w:val="0"/>
            <w:vAlign w:val="center"/>
          </w:tcPr>
          <w:p w14:paraId="30BECCC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val="0"/>
                <w:color w:val="auto"/>
                <w:kern w:val="0"/>
                <w:sz w:val="22"/>
                <w:szCs w:val="22"/>
                <w:highlight w:val="none"/>
              </w:rPr>
            </w:pPr>
            <w:r>
              <w:rPr>
                <w:rFonts w:hint="eastAsia" w:ascii="宋体" w:hAnsi="宋体" w:eastAsia="宋体" w:cs="宋体"/>
                <w:b w:val="0"/>
                <w:bCs w:val="0"/>
                <w:color w:val="auto"/>
                <w:kern w:val="0"/>
                <w:sz w:val="22"/>
                <w:szCs w:val="22"/>
                <w:highlight w:val="none"/>
              </w:rPr>
              <w:t>单位</w:t>
            </w:r>
          </w:p>
        </w:tc>
      </w:tr>
      <w:tr w14:paraId="72FAAD01">
        <w:tblPrEx>
          <w:tblCellMar>
            <w:top w:w="0" w:type="dxa"/>
            <w:left w:w="108" w:type="dxa"/>
            <w:bottom w:w="0" w:type="dxa"/>
            <w:right w:w="108" w:type="dxa"/>
          </w:tblCellMar>
        </w:tblPrEx>
        <w:trPr>
          <w:trHeight w:val="318" w:hRule="atLeast"/>
        </w:trPr>
        <w:tc>
          <w:tcPr>
            <w:tcW w:w="860" w:type="dxa"/>
            <w:tcBorders>
              <w:top w:val="nil"/>
              <w:left w:val="single" w:color="auto" w:sz="4" w:space="0"/>
              <w:bottom w:val="single" w:color="auto" w:sz="4" w:space="0"/>
              <w:right w:val="single" w:color="auto" w:sz="4" w:space="0"/>
            </w:tcBorders>
            <w:noWrap w:val="0"/>
            <w:vAlign w:val="center"/>
          </w:tcPr>
          <w:p w14:paraId="74D6EA66">
            <w:pPr>
              <w:keepNext w:val="0"/>
              <w:keepLines w:val="0"/>
              <w:pageBreakBefore w:val="0"/>
              <w:kinsoku/>
              <w:wordWrap/>
              <w:overflowPunct/>
              <w:topLinePunct w:val="0"/>
              <w:autoSpaceDE/>
              <w:autoSpaceDN/>
              <w:bidi w:val="0"/>
              <w:adjustRightInd/>
              <w:snapToGrid/>
              <w:spacing w:line="240" w:lineRule="auto"/>
              <w:jc w:val="left"/>
              <w:textAlignment w:val="auto"/>
              <w:outlineLvl w:val="2"/>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sz w:val="22"/>
                <w:szCs w:val="22"/>
                <w:highlight w:val="none"/>
              </w:rPr>
              <w:t>　</w:t>
            </w:r>
            <w:r>
              <w:rPr>
                <w:rFonts w:hint="eastAsia" w:ascii="宋体" w:hAnsi="宋体" w:eastAsia="宋体" w:cs="宋体"/>
                <w:b w:val="0"/>
                <w:bCs w:val="0"/>
                <w:color w:val="auto"/>
                <w:sz w:val="22"/>
                <w:szCs w:val="22"/>
                <w:highlight w:val="none"/>
                <w:lang w:val="en-US" w:eastAsia="zh-CN"/>
              </w:rPr>
              <w:t>1</w:t>
            </w:r>
          </w:p>
        </w:tc>
        <w:tc>
          <w:tcPr>
            <w:tcW w:w="3448" w:type="dxa"/>
            <w:tcBorders>
              <w:top w:val="nil"/>
              <w:left w:val="nil"/>
              <w:bottom w:val="single" w:color="auto" w:sz="4" w:space="0"/>
              <w:right w:val="single" w:color="auto" w:sz="4" w:space="0"/>
            </w:tcBorders>
            <w:noWrap w:val="0"/>
            <w:vAlign w:val="center"/>
          </w:tcPr>
          <w:p w14:paraId="34EC883C">
            <w:pPr>
              <w:keepNext w:val="0"/>
              <w:keepLines w:val="0"/>
              <w:pageBreakBefore w:val="0"/>
              <w:kinsoku/>
              <w:wordWrap/>
              <w:overflowPunct/>
              <w:topLinePunct w:val="0"/>
              <w:autoSpaceDE/>
              <w:autoSpaceDN/>
              <w:bidi w:val="0"/>
              <w:adjustRightInd/>
              <w:snapToGrid/>
              <w:spacing w:line="240" w:lineRule="auto"/>
              <w:jc w:val="left"/>
              <w:textAlignment w:val="auto"/>
              <w:outlineLvl w:val="2"/>
              <w:rPr>
                <w:rFonts w:hint="eastAsia" w:ascii="宋体" w:hAnsi="宋体" w:eastAsia="宋体" w:cs="宋体"/>
                <w:b w:val="0"/>
                <w:bCs w:val="0"/>
                <w:color w:val="auto"/>
                <w:sz w:val="22"/>
                <w:szCs w:val="22"/>
                <w:highlight w:val="none"/>
              </w:rPr>
            </w:pPr>
            <w:r>
              <w:rPr>
                <w:rFonts w:hint="eastAsia" w:ascii="宋体" w:hAnsi="宋体" w:eastAsia="宋体" w:cs="宋体"/>
                <w:color w:val="auto"/>
                <w:sz w:val="22"/>
                <w:szCs w:val="22"/>
                <w:highlight w:val="none"/>
                <w:lang w:val="en-US" w:eastAsia="zh-CN"/>
              </w:rPr>
              <w:t>移动式C形臂X射线机主机</w:t>
            </w:r>
          </w:p>
        </w:tc>
        <w:tc>
          <w:tcPr>
            <w:tcW w:w="1115" w:type="dxa"/>
            <w:tcBorders>
              <w:top w:val="nil"/>
              <w:left w:val="nil"/>
              <w:bottom w:val="single" w:color="auto" w:sz="4" w:space="0"/>
              <w:right w:val="single" w:color="auto" w:sz="4" w:space="0"/>
            </w:tcBorders>
            <w:noWrap/>
            <w:vAlign w:val="center"/>
          </w:tcPr>
          <w:p w14:paraId="008E1A74">
            <w:pPr>
              <w:keepNext w:val="0"/>
              <w:keepLines w:val="0"/>
              <w:pageBreakBefore w:val="0"/>
              <w:kinsoku/>
              <w:wordWrap/>
              <w:overflowPunct/>
              <w:topLinePunct w:val="0"/>
              <w:autoSpaceDE/>
              <w:autoSpaceDN/>
              <w:bidi w:val="0"/>
              <w:adjustRightInd/>
              <w:snapToGrid/>
              <w:spacing w:line="240" w:lineRule="auto"/>
              <w:jc w:val="center"/>
              <w:textAlignment w:val="auto"/>
              <w:outlineLvl w:val="2"/>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sz w:val="22"/>
                <w:szCs w:val="22"/>
                <w:highlight w:val="none"/>
                <w:lang w:val="en-US" w:eastAsia="zh-CN"/>
              </w:rPr>
              <w:t>1</w:t>
            </w:r>
          </w:p>
        </w:tc>
        <w:tc>
          <w:tcPr>
            <w:tcW w:w="1113" w:type="dxa"/>
            <w:tcBorders>
              <w:top w:val="nil"/>
              <w:left w:val="nil"/>
              <w:bottom w:val="single" w:color="auto" w:sz="4" w:space="0"/>
              <w:right w:val="single" w:color="auto" w:sz="4" w:space="0"/>
            </w:tcBorders>
            <w:noWrap/>
            <w:vAlign w:val="center"/>
          </w:tcPr>
          <w:p w14:paraId="59CEDAFE">
            <w:pPr>
              <w:keepNext w:val="0"/>
              <w:keepLines w:val="0"/>
              <w:pageBreakBefore w:val="0"/>
              <w:kinsoku/>
              <w:wordWrap/>
              <w:overflowPunct/>
              <w:topLinePunct w:val="0"/>
              <w:autoSpaceDE/>
              <w:autoSpaceDN/>
              <w:bidi w:val="0"/>
              <w:adjustRightInd/>
              <w:snapToGrid/>
              <w:spacing w:line="240" w:lineRule="auto"/>
              <w:jc w:val="center"/>
              <w:textAlignment w:val="auto"/>
              <w:outlineLvl w:val="2"/>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sz w:val="22"/>
                <w:szCs w:val="22"/>
                <w:highlight w:val="none"/>
                <w:lang w:val="en-US" w:eastAsia="zh-CN"/>
              </w:rPr>
              <w:t>套</w:t>
            </w:r>
          </w:p>
        </w:tc>
      </w:tr>
      <w:tr w14:paraId="42F9189F">
        <w:tblPrEx>
          <w:tblCellMar>
            <w:top w:w="0" w:type="dxa"/>
            <w:left w:w="108" w:type="dxa"/>
            <w:bottom w:w="0" w:type="dxa"/>
            <w:right w:w="108" w:type="dxa"/>
          </w:tblCellMar>
        </w:tblPrEx>
        <w:trPr>
          <w:trHeight w:val="249" w:hRule="atLeast"/>
        </w:trPr>
        <w:tc>
          <w:tcPr>
            <w:tcW w:w="860" w:type="dxa"/>
            <w:tcBorders>
              <w:top w:val="nil"/>
              <w:left w:val="single" w:color="auto" w:sz="4" w:space="0"/>
              <w:bottom w:val="single" w:color="auto" w:sz="4" w:space="0"/>
              <w:right w:val="single" w:color="auto" w:sz="4" w:space="0"/>
            </w:tcBorders>
            <w:noWrap w:val="0"/>
            <w:vAlign w:val="center"/>
          </w:tcPr>
          <w:p w14:paraId="6C559CD1">
            <w:pPr>
              <w:keepNext w:val="0"/>
              <w:keepLines w:val="0"/>
              <w:pageBreakBefore w:val="0"/>
              <w:kinsoku/>
              <w:wordWrap/>
              <w:overflowPunct/>
              <w:topLinePunct w:val="0"/>
              <w:autoSpaceDE/>
              <w:autoSpaceDN/>
              <w:bidi w:val="0"/>
              <w:adjustRightInd/>
              <w:snapToGrid/>
              <w:spacing w:line="240" w:lineRule="auto"/>
              <w:jc w:val="left"/>
              <w:textAlignment w:val="auto"/>
              <w:outlineLvl w:val="2"/>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sz w:val="22"/>
                <w:szCs w:val="22"/>
                <w:highlight w:val="none"/>
              </w:rPr>
              <w:t>　</w:t>
            </w:r>
            <w:r>
              <w:rPr>
                <w:rFonts w:hint="eastAsia" w:ascii="宋体" w:hAnsi="宋体" w:eastAsia="宋体" w:cs="宋体"/>
                <w:b w:val="0"/>
                <w:bCs w:val="0"/>
                <w:color w:val="auto"/>
                <w:sz w:val="22"/>
                <w:szCs w:val="22"/>
                <w:highlight w:val="none"/>
                <w:lang w:val="en-US" w:eastAsia="zh-CN"/>
              </w:rPr>
              <w:t>2</w:t>
            </w:r>
          </w:p>
        </w:tc>
        <w:tc>
          <w:tcPr>
            <w:tcW w:w="3448" w:type="dxa"/>
            <w:tcBorders>
              <w:top w:val="nil"/>
              <w:left w:val="nil"/>
              <w:bottom w:val="single" w:color="auto" w:sz="4" w:space="0"/>
              <w:right w:val="single" w:color="auto" w:sz="4" w:space="0"/>
            </w:tcBorders>
            <w:noWrap w:val="0"/>
            <w:vAlign w:val="center"/>
          </w:tcPr>
          <w:p w14:paraId="496204D7">
            <w:pPr>
              <w:keepNext w:val="0"/>
              <w:keepLines w:val="0"/>
              <w:pageBreakBefore w:val="0"/>
              <w:kinsoku/>
              <w:wordWrap/>
              <w:overflowPunct/>
              <w:topLinePunct w:val="0"/>
              <w:autoSpaceDE/>
              <w:autoSpaceDN/>
              <w:bidi w:val="0"/>
              <w:adjustRightInd/>
              <w:snapToGrid/>
              <w:spacing w:line="240" w:lineRule="auto"/>
              <w:jc w:val="left"/>
              <w:textAlignment w:val="auto"/>
              <w:outlineLvl w:val="2"/>
              <w:rPr>
                <w:rFonts w:hint="eastAsia" w:ascii="宋体" w:hAnsi="宋体" w:eastAsia="宋体" w:cs="宋体"/>
                <w:b w:val="0"/>
                <w:bCs w:val="0"/>
                <w:color w:val="auto"/>
                <w:sz w:val="22"/>
                <w:szCs w:val="22"/>
                <w:highlight w:val="none"/>
              </w:rPr>
            </w:pPr>
            <w:r>
              <w:rPr>
                <w:rFonts w:hint="eastAsia" w:ascii="宋体" w:hAnsi="宋体" w:eastAsia="宋体" w:cs="宋体"/>
                <w:color w:val="auto"/>
                <w:sz w:val="22"/>
                <w:szCs w:val="22"/>
                <w:highlight w:val="none"/>
                <w:lang w:val="en-US" w:eastAsia="zh-CN"/>
              </w:rPr>
              <w:t xml:space="preserve">移动工作站 </w:t>
            </w:r>
          </w:p>
        </w:tc>
        <w:tc>
          <w:tcPr>
            <w:tcW w:w="1115" w:type="dxa"/>
            <w:tcBorders>
              <w:top w:val="nil"/>
              <w:left w:val="nil"/>
              <w:bottom w:val="single" w:color="auto" w:sz="4" w:space="0"/>
              <w:right w:val="single" w:color="auto" w:sz="4" w:space="0"/>
            </w:tcBorders>
            <w:noWrap/>
            <w:vAlign w:val="center"/>
          </w:tcPr>
          <w:p w14:paraId="0781BD48">
            <w:pPr>
              <w:keepNext w:val="0"/>
              <w:keepLines w:val="0"/>
              <w:pageBreakBefore w:val="0"/>
              <w:kinsoku/>
              <w:wordWrap/>
              <w:overflowPunct/>
              <w:topLinePunct w:val="0"/>
              <w:autoSpaceDE/>
              <w:autoSpaceDN/>
              <w:bidi w:val="0"/>
              <w:adjustRightInd/>
              <w:snapToGrid/>
              <w:spacing w:line="240" w:lineRule="auto"/>
              <w:jc w:val="center"/>
              <w:textAlignment w:val="auto"/>
              <w:outlineLvl w:val="2"/>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lang w:val="en-US" w:eastAsia="zh-CN"/>
              </w:rPr>
              <w:t>1</w:t>
            </w:r>
          </w:p>
        </w:tc>
        <w:tc>
          <w:tcPr>
            <w:tcW w:w="1113" w:type="dxa"/>
            <w:tcBorders>
              <w:top w:val="nil"/>
              <w:left w:val="nil"/>
              <w:bottom w:val="single" w:color="auto" w:sz="4" w:space="0"/>
              <w:right w:val="single" w:color="auto" w:sz="4" w:space="0"/>
            </w:tcBorders>
            <w:noWrap/>
            <w:vAlign w:val="center"/>
          </w:tcPr>
          <w:p w14:paraId="31561FB1">
            <w:pPr>
              <w:keepNext w:val="0"/>
              <w:keepLines w:val="0"/>
              <w:pageBreakBefore w:val="0"/>
              <w:kinsoku/>
              <w:wordWrap/>
              <w:overflowPunct/>
              <w:topLinePunct w:val="0"/>
              <w:autoSpaceDE/>
              <w:autoSpaceDN/>
              <w:bidi w:val="0"/>
              <w:adjustRightInd/>
              <w:snapToGrid/>
              <w:spacing w:line="240" w:lineRule="auto"/>
              <w:jc w:val="center"/>
              <w:textAlignment w:val="auto"/>
              <w:outlineLvl w:val="2"/>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sz w:val="22"/>
                <w:szCs w:val="22"/>
                <w:highlight w:val="none"/>
                <w:lang w:val="en-US" w:eastAsia="zh-CN"/>
              </w:rPr>
              <w:t>台</w:t>
            </w:r>
          </w:p>
        </w:tc>
      </w:tr>
      <w:tr w14:paraId="106E1657">
        <w:tblPrEx>
          <w:tblCellMar>
            <w:top w:w="0" w:type="dxa"/>
            <w:left w:w="108" w:type="dxa"/>
            <w:bottom w:w="0" w:type="dxa"/>
            <w:right w:w="108" w:type="dxa"/>
          </w:tblCellMar>
        </w:tblPrEx>
        <w:trPr>
          <w:trHeight w:val="370" w:hRule="atLeast"/>
        </w:trPr>
        <w:tc>
          <w:tcPr>
            <w:tcW w:w="860" w:type="dxa"/>
            <w:tcBorders>
              <w:top w:val="nil"/>
              <w:left w:val="single" w:color="auto" w:sz="4" w:space="0"/>
              <w:bottom w:val="single" w:color="auto" w:sz="4" w:space="0"/>
              <w:right w:val="single" w:color="auto" w:sz="4" w:space="0"/>
            </w:tcBorders>
            <w:noWrap w:val="0"/>
            <w:vAlign w:val="center"/>
          </w:tcPr>
          <w:p w14:paraId="0E8FF1D4">
            <w:pPr>
              <w:keepNext w:val="0"/>
              <w:keepLines w:val="0"/>
              <w:pageBreakBefore w:val="0"/>
              <w:kinsoku/>
              <w:wordWrap/>
              <w:overflowPunct/>
              <w:topLinePunct w:val="0"/>
              <w:autoSpaceDE/>
              <w:autoSpaceDN/>
              <w:bidi w:val="0"/>
              <w:adjustRightInd/>
              <w:snapToGrid/>
              <w:spacing w:line="240" w:lineRule="auto"/>
              <w:jc w:val="left"/>
              <w:textAlignment w:val="auto"/>
              <w:outlineLvl w:val="2"/>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sz w:val="22"/>
                <w:szCs w:val="22"/>
                <w:highlight w:val="none"/>
              </w:rPr>
              <w:t>　</w:t>
            </w:r>
            <w:r>
              <w:rPr>
                <w:rFonts w:hint="eastAsia" w:ascii="宋体" w:hAnsi="宋体" w:eastAsia="宋体" w:cs="宋体"/>
                <w:b w:val="0"/>
                <w:bCs w:val="0"/>
                <w:color w:val="auto"/>
                <w:sz w:val="22"/>
                <w:szCs w:val="22"/>
                <w:highlight w:val="none"/>
                <w:lang w:val="en-US" w:eastAsia="zh-CN"/>
              </w:rPr>
              <w:t>3</w:t>
            </w:r>
          </w:p>
        </w:tc>
        <w:tc>
          <w:tcPr>
            <w:tcW w:w="3448" w:type="dxa"/>
            <w:tcBorders>
              <w:top w:val="nil"/>
              <w:left w:val="nil"/>
              <w:bottom w:val="single" w:color="auto" w:sz="4" w:space="0"/>
              <w:right w:val="single" w:color="auto" w:sz="4" w:space="0"/>
            </w:tcBorders>
            <w:noWrap w:val="0"/>
            <w:vAlign w:val="center"/>
          </w:tcPr>
          <w:p w14:paraId="59219388">
            <w:pPr>
              <w:keepNext w:val="0"/>
              <w:keepLines w:val="0"/>
              <w:pageBreakBefore w:val="0"/>
              <w:kinsoku/>
              <w:wordWrap/>
              <w:overflowPunct/>
              <w:topLinePunct w:val="0"/>
              <w:autoSpaceDE/>
              <w:autoSpaceDN/>
              <w:bidi w:val="0"/>
              <w:adjustRightInd/>
              <w:snapToGrid/>
              <w:spacing w:line="240" w:lineRule="auto"/>
              <w:jc w:val="left"/>
              <w:textAlignment w:val="auto"/>
              <w:outlineLvl w:val="2"/>
              <w:rPr>
                <w:rFonts w:hint="eastAsia" w:ascii="宋体" w:hAnsi="宋体" w:eastAsia="宋体" w:cs="宋体"/>
                <w:b w:val="0"/>
                <w:bCs w:val="0"/>
                <w:color w:val="auto"/>
                <w:sz w:val="22"/>
                <w:szCs w:val="22"/>
                <w:highlight w:val="none"/>
              </w:rPr>
            </w:pPr>
            <w:r>
              <w:rPr>
                <w:rFonts w:hint="eastAsia" w:ascii="宋体" w:hAnsi="宋体" w:eastAsia="宋体" w:cs="宋体"/>
                <w:color w:val="auto"/>
                <w:sz w:val="22"/>
                <w:szCs w:val="22"/>
                <w:highlight w:val="none"/>
                <w:lang w:val="en-US" w:eastAsia="zh-CN"/>
              </w:rPr>
              <w:t>医用显示器</w:t>
            </w:r>
          </w:p>
        </w:tc>
        <w:tc>
          <w:tcPr>
            <w:tcW w:w="1115" w:type="dxa"/>
            <w:tcBorders>
              <w:top w:val="nil"/>
              <w:left w:val="nil"/>
              <w:bottom w:val="single" w:color="auto" w:sz="4" w:space="0"/>
              <w:right w:val="single" w:color="auto" w:sz="4" w:space="0"/>
            </w:tcBorders>
            <w:noWrap/>
            <w:vAlign w:val="center"/>
          </w:tcPr>
          <w:p w14:paraId="34046852">
            <w:pPr>
              <w:keepNext w:val="0"/>
              <w:keepLines w:val="0"/>
              <w:pageBreakBefore w:val="0"/>
              <w:kinsoku/>
              <w:wordWrap/>
              <w:overflowPunct/>
              <w:topLinePunct w:val="0"/>
              <w:autoSpaceDE/>
              <w:autoSpaceDN/>
              <w:bidi w:val="0"/>
              <w:adjustRightInd/>
              <w:snapToGrid/>
              <w:spacing w:line="240" w:lineRule="auto"/>
              <w:jc w:val="center"/>
              <w:textAlignment w:val="auto"/>
              <w:outlineLvl w:val="2"/>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sz w:val="22"/>
                <w:szCs w:val="22"/>
                <w:highlight w:val="none"/>
                <w:lang w:val="en-US" w:eastAsia="zh-CN"/>
              </w:rPr>
              <w:t>2</w:t>
            </w:r>
          </w:p>
        </w:tc>
        <w:tc>
          <w:tcPr>
            <w:tcW w:w="1113" w:type="dxa"/>
            <w:tcBorders>
              <w:top w:val="nil"/>
              <w:left w:val="nil"/>
              <w:bottom w:val="single" w:color="auto" w:sz="4" w:space="0"/>
              <w:right w:val="single" w:color="auto" w:sz="4" w:space="0"/>
            </w:tcBorders>
            <w:noWrap/>
            <w:vAlign w:val="center"/>
          </w:tcPr>
          <w:p w14:paraId="6F037C61">
            <w:pPr>
              <w:keepNext w:val="0"/>
              <w:keepLines w:val="0"/>
              <w:pageBreakBefore w:val="0"/>
              <w:kinsoku/>
              <w:wordWrap/>
              <w:overflowPunct/>
              <w:topLinePunct w:val="0"/>
              <w:autoSpaceDE/>
              <w:autoSpaceDN/>
              <w:bidi w:val="0"/>
              <w:adjustRightInd/>
              <w:snapToGrid/>
              <w:spacing w:line="240" w:lineRule="auto"/>
              <w:jc w:val="center"/>
              <w:textAlignment w:val="auto"/>
              <w:outlineLvl w:val="2"/>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sz w:val="22"/>
                <w:szCs w:val="22"/>
                <w:highlight w:val="none"/>
                <w:lang w:val="en-US" w:eastAsia="zh-CN"/>
              </w:rPr>
              <w:t>台</w:t>
            </w:r>
          </w:p>
        </w:tc>
      </w:tr>
      <w:tr w14:paraId="2ADD7024">
        <w:tblPrEx>
          <w:tblCellMar>
            <w:top w:w="0" w:type="dxa"/>
            <w:left w:w="108" w:type="dxa"/>
            <w:bottom w:w="0" w:type="dxa"/>
            <w:right w:w="108" w:type="dxa"/>
          </w:tblCellMar>
        </w:tblPrEx>
        <w:trPr>
          <w:trHeight w:val="219" w:hRule="atLeast"/>
        </w:trPr>
        <w:tc>
          <w:tcPr>
            <w:tcW w:w="860" w:type="dxa"/>
            <w:tcBorders>
              <w:top w:val="nil"/>
              <w:left w:val="single" w:color="auto" w:sz="4" w:space="0"/>
              <w:bottom w:val="single" w:color="auto" w:sz="4" w:space="0"/>
              <w:right w:val="single" w:color="auto" w:sz="4" w:space="0"/>
            </w:tcBorders>
            <w:noWrap w:val="0"/>
            <w:vAlign w:val="center"/>
          </w:tcPr>
          <w:p w14:paraId="7A0C500B">
            <w:pPr>
              <w:keepNext w:val="0"/>
              <w:keepLines w:val="0"/>
              <w:pageBreakBefore w:val="0"/>
              <w:kinsoku/>
              <w:wordWrap/>
              <w:overflowPunct/>
              <w:topLinePunct w:val="0"/>
              <w:autoSpaceDE/>
              <w:autoSpaceDN/>
              <w:bidi w:val="0"/>
              <w:adjustRightInd/>
              <w:snapToGrid/>
              <w:spacing w:line="240" w:lineRule="auto"/>
              <w:jc w:val="left"/>
              <w:textAlignment w:val="auto"/>
              <w:outlineLvl w:val="2"/>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sz w:val="22"/>
                <w:szCs w:val="22"/>
                <w:highlight w:val="none"/>
              </w:rPr>
              <w:t>　</w:t>
            </w:r>
            <w:r>
              <w:rPr>
                <w:rFonts w:hint="eastAsia" w:ascii="宋体" w:hAnsi="宋体" w:eastAsia="宋体" w:cs="宋体"/>
                <w:b w:val="0"/>
                <w:bCs w:val="0"/>
                <w:color w:val="auto"/>
                <w:sz w:val="22"/>
                <w:szCs w:val="22"/>
                <w:highlight w:val="none"/>
                <w:lang w:val="en-US" w:eastAsia="zh-CN"/>
              </w:rPr>
              <w:t>4</w:t>
            </w:r>
          </w:p>
        </w:tc>
        <w:tc>
          <w:tcPr>
            <w:tcW w:w="3448" w:type="dxa"/>
            <w:tcBorders>
              <w:top w:val="nil"/>
              <w:left w:val="nil"/>
              <w:bottom w:val="single" w:color="auto" w:sz="4" w:space="0"/>
              <w:right w:val="single" w:color="auto" w:sz="4" w:space="0"/>
            </w:tcBorders>
            <w:noWrap w:val="0"/>
            <w:vAlign w:val="center"/>
          </w:tcPr>
          <w:p w14:paraId="5FA8E5C8">
            <w:pPr>
              <w:keepNext w:val="0"/>
              <w:keepLines w:val="0"/>
              <w:pageBreakBefore w:val="0"/>
              <w:kinsoku/>
              <w:wordWrap/>
              <w:overflowPunct/>
              <w:topLinePunct w:val="0"/>
              <w:autoSpaceDE/>
              <w:autoSpaceDN/>
              <w:bidi w:val="0"/>
              <w:adjustRightInd/>
              <w:snapToGrid/>
              <w:spacing w:line="240" w:lineRule="auto"/>
              <w:jc w:val="left"/>
              <w:textAlignment w:val="auto"/>
              <w:outlineLvl w:val="2"/>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sz w:val="22"/>
                <w:szCs w:val="22"/>
                <w:highlight w:val="none"/>
                <w:lang w:val="en-US" w:eastAsia="zh-CN"/>
              </w:rPr>
              <w:t>激光定位灯</w:t>
            </w:r>
          </w:p>
        </w:tc>
        <w:tc>
          <w:tcPr>
            <w:tcW w:w="1115" w:type="dxa"/>
            <w:tcBorders>
              <w:top w:val="nil"/>
              <w:left w:val="nil"/>
              <w:bottom w:val="single" w:color="auto" w:sz="4" w:space="0"/>
              <w:right w:val="single" w:color="auto" w:sz="4" w:space="0"/>
            </w:tcBorders>
            <w:noWrap/>
            <w:vAlign w:val="center"/>
          </w:tcPr>
          <w:p w14:paraId="14134365">
            <w:pPr>
              <w:keepNext w:val="0"/>
              <w:keepLines w:val="0"/>
              <w:pageBreakBefore w:val="0"/>
              <w:kinsoku/>
              <w:wordWrap/>
              <w:overflowPunct/>
              <w:topLinePunct w:val="0"/>
              <w:autoSpaceDE/>
              <w:autoSpaceDN/>
              <w:bidi w:val="0"/>
              <w:adjustRightInd/>
              <w:snapToGrid/>
              <w:spacing w:line="240" w:lineRule="auto"/>
              <w:jc w:val="center"/>
              <w:textAlignment w:val="auto"/>
              <w:outlineLvl w:val="2"/>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lang w:val="en-US" w:eastAsia="zh-CN"/>
              </w:rPr>
              <w:t>1</w:t>
            </w:r>
          </w:p>
        </w:tc>
        <w:tc>
          <w:tcPr>
            <w:tcW w:w="1113" w:type="dxa"/>
            <w:tcBorders>
              <w:top w:val="nil"/>
              <w:left w:val="nil"/>
              <w:bottom w:val="single" w:color="auto" w:sz="4" w:space="0"/>
              <w:right w:val="single" w:color="auto" w:sz="4" w:space="0"/>
            </w:tcBorders>
            <w:noWrap/>
            <w:vAlign w:val="center"/>
          </w:tcPr>
          <w:p w14:paraId="5F62BC92">
            <w:pPr>
              <w:keepNext w:val="0"/>
              <w:keepLines w:val="0"/>
              <w:pageBreakBefore w:val="0"/>
              <w:kinsoku/>
              <w:wordWrap/>
              <w:overflowPunct/>
              <w:topLinePunct w:val="0"/>
              <w:autoSpaceDE/>
              <w:autoSpaceDN/>
              <w:bidi w:val="0"/>
              <w:adjustRightInd/>
              <w:snapToGrid/>
              <w:spacing w:line="240" w:lineRule="auto"/>
              <w:jc w:val="center"/>
              <w:textAlignment w:val="auto"/>
              <w:outlineLvl w:val="2"/>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sz w:val="22"/>
                <w:szCs w:val="22"/>
                <w:highlight w:val="none"/>
                <w:lang w:val="en-US" w:eastAsia="zh-CN"/>
              </w:rPr>
              <w:t>个</w:t>
            </w:r>
          </w:p>
        </w:tc>
      </w:tr>
      <w:tr w14:paraId="3D8044AA">
        <w:tblPrEx>
          <w:tblCellMar>
            <w:top w:w="0" w:type="dxa"/>
            <w:left w:w="108" w:type="dxa"/>
            <w:bottom w:w="0" w:type="dxa"/>
            <w:right w:w="108" w:type="dxa"/>
          </w:tblCellMar>
        </w:tblPrEx>
        <w:trPr>
          <w:trHeight w:val="277" w:hRule="atLeast"/>
        </w:trPr>
        <w:tc>
          <w:tcPr>
            <w:tcW w:w="860" w:type="dxa"/>
            <w:tcBorders>
              <w:top w:val="nil"/>
              <w:left w:val="single" w:color="auto" w:sz="4" w:space="0"/>
              <w:bottom w:val="single" w:color="auto" w:sz="4" w:space="0"/>
              <w:right w:val="single" w:color="auto" w:sz="4" w:space="0"/>
            </w:tcBorders>
            <w:noWrap w:val="0"/>
            <w:vAlign w:val="center"/>
          </w:tcPr>
          <w:p w14:paraId="64CB3F2F">
            <w:pPr>
              <w:keepNext w:val="0"/>
              <w:keepLines w:val="0"/>
              <w:pageBreakBefore w:val="0"/>
              <w:kinsoku/>
              <w:wordWrap/>
              <w:overflowPunct/>
              <w:topLinePunct w:val="0"/>
              <w:autoSpaceDE/>
              <w:autoSpaceDN/>
              <w:bidi w:val="0"/>
              <w:adjustRightInd/>
              <w:snapToGrid/>
              <w:spacing w:line="240" w:lineRule="auto"/>
              <w:jc w:val="left"/>
              <w:textAlignment w:val="auto"/>
              <w:outlineLvl w:val="2"/>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sz w:val="22"/>
                <w:szCs w:val="22"/>
                <w:highlight w:val="none"/>
              </w:rPr>
              <w:t>　</w:t>
            </w:r>
            <w:r>
              <w:rPr>
                <w:rFonts w:hint="eastAsia" w:ascii="宋体" w:hAnsi="宋体" w:eastAsia="宋体" w:cs="宋体"/>
                <w:b w:val="0"/>
                <w:bCs w:val="0"/>
                <w:color w:val="auto"/>
                <w:sz w:val="22"/>
                <w:szCs w:val="22"/>
                <w:highlight w:val="none"/>
                <w:lang w:val="en-US" w:eastAsia="zh-CN"/>
              </w:rPr>
              <w:t>5</w:t>
            </w:r>
          </w:p>
        </w:tc>
        <w:tc>
          <w:tcPr>
            <w:tcW w:w="3448" w:type="dxa"/>
            <w:tcBorders>
              <w:top w:val="nil"/>
              <w:left w:val="nil"/>
              <w:bottom w:val="single" w:color="auto" w:sz="4" w:space="0"/>
              <w:right w:val="single" w:color="auto" w:sz="4" w:space="0"/>
            </w:tcBorders>
            <w:noWrap w:val="0"/>
            <w:vAlign w:val="center"/>
          </w:tcPr>
          <w:p w14:paraId="376FCE87">
            <w:pPr>
              <w:keepNext w:val="0"/>
              <w:keepLines w:val="0"/>
              <w:pageBreakBefore w:val="0"/>
              <w:kinsoku/>
              <w:wordWrap/>
              <w:overflowPunct/>
              <w:topLinePunct w:val="0"/>
              <w:autoSpaceDE/>
              <w:autoSpaceDN/>
              <w:bidi w:val="0"/>
              <w:adjustRightInd/>
              <w:snapToGrid/>
              <w:spacing w:line="240" w:lineRule="auto"/>
              <w:jc w:val="left"/>
              <w:textAlignment w:val="auto"/>
              <w:outlineLvl w:val="2"/>
              <w:rPr>
                <w:rFonts w:hint="eastAsia" w:ascii="宋体" w:hAnsi="宋体" w:eastAsia="宋体" w:cs="宋体"/>
                <w:b w:val="0"/>
                <w:bCs w:val="0"/>
                <w:color w:val="auto"/>
                <w:sz w:val="22"/>
                <w:szCs w:val="22"/>
                <w:highlight w:val="none"/>
              </w:rPr>
            </w:pPr>
            <w:r>
              <w:rPr>
                <w:rFonts w:hint="eastAsia" w:ascii="宋体" w:hAnsi="宋体" w:eastAsia="宋体" w:cs="宋体"/>
                <w:color w:val="auto"/>
                <w:sz w:val="22"/>
                <w:szCs w:val="22"/>
                <w:highlight w:val="none"/>
                <w:lang w:eastAsia="zh-CN"/>
              </w:rPr>
              <w:t>标准脚闸</w:t>
            </w:r>
          </w:p>
        </w:tc>
        <w:tc>
          <w:tcPr>
            <w:tcW w:w="1115" w:type="dxa"/>
            <w:tcBorders>
              <w:top w:val="nil"/>
              <w:left w:val="nil"/>
              <w:bottom w:val="single" w:color="auto" w:sz="4" w:space="0"/>
              <w:right w:val="single" w:color="auto" w:sz="4" w:space="0"/>
            </w:tcBorders>
            <w:noWrap/>
            <w:vAlign w:val="center"/>
          </w:tcPr>
          <w:p w14:paraId="7EE023F0">
            <w:pPr>
              <w:keepNext w:val="0"/>
              <w:keepLines w:val="0"/>
              <w:pageBreakBefore w:val="0"/>
              <w:kinsoku/>
              <w:wordWrap/>
              <w:overflowPunct/>
              <w:topLinePunct w:val="0"/>
              <w:autoSpaceDE/>
              <w:autoSpaceDN/>
              <w:bidi w:val="0"/>
              <w:adjustRightInd/>
              <w:snapToGrid/>
              <w:spacing w:line="240" w:lineRule="auto"/>
              <w:jc w:val="center"/>
              <w:textAlignment w:val="auto"/>
              <w:outlineLvl w:val="2"/>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sz w:val="22"/>
                <w:szCs w:val="22"/>
                <w:highlight w:val="none"/>
                <w:lang w:val="en-US" w:eastAsia="zh-CN"/>
              </w:rPr>
              <w:t>1</w:t>
            </w:r>
          </w:p>
        </w:tc>
        <w:tc>
          <w:tcPr>
            <w:tcW w:w="1113" w:type="dxa"/>
            <w:tcBorders>
              <w:top w:val="nil"/>
              <w:left w:val="nil"/>
              <w:bottom w:val="single" w:color="auto" w:sz="4" w:space="0"/>
              <w:right w:val="single" w:color="auto" w:sz="4" w:space="0"/>
            </w:tcBorders>
            <w:noWrap/>
            <w:vAlign w:val="center"/>
          </w:tcPr>
          <w:p w14:paraId="465EAEC2">
            <w:pPr>
              <w:keepNext w:val="0"/>
              <w:keepLines w:val="0"/>
              <w:pageBreakBefore w:val="0"/>
              <w:kinsoku/>
              <w:wordWrap/>
              <w:overflowPunct/>
              <w:topLinePunct w:val="0"/>
              <w:autoSpaceDE/>
              <w:autoSpaceDN/>
              <w:bidi w:val="0"/>
              <w:adjustRightInd/>
              <w:snapToGrid/>
              <w:spacing w:line="240" w:lineRule="auto"/>
              <w:jc w:val="center"/>
              <w:textAlignment w:val="auto"/>
              <w:outlineLvl w:val="2"/>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sz w:val="22"/>
                <w:szCs w:val="22"/>
                <w:highlight w:val="none"/>
                <w:lang w:val="en-US" w:eastAsia="zh-CN"/>
              </w:rPr>
              <w:t>个</w:t>
            </w:r>
          </w:p>
        </w:tc>
      </w:tr>
      <w:tr w14:paraId="67EB528A">
        <w:tblPrEx>
          <w:tblCellMar>
            <w:top w:w="0" w:type="dxa"/>
            <w:left w:w="108" w:type="dxa"/>
            <w:bottom w:w="0" w:type="dxa"/>
            <w:right w:w="108" w:type="dxa"/>
          </w:tblCellMar>
        </w:tblPrEx>
        <w:trPr>
          <w:trHeight w:val="333" w:hRule="atLeast"/>
        </w:trPr>
        <w:tc>
          <w:tcPr>
            <w:tcW w:w="860" w:type="dxa"/>
            <w:tcBorders>
              <w:top w:val="nil"/>
              <w:left w:val="single" w:color="auto" w:sz="4" w:space="0"/>
              <w:bottom w:val="nil"/>
              <w:right w:val="single" w:color="auto" w:sz="4" w:space="0"/>
            </w:tcBorders>
            <w:noWrap w:val="0"/>
            <w:vAlign w:val="center"/>
          </w:tcPr>
          <w:p w14:paraId="1D711562">
            <w:pPr>
              <w:keepNext w:val="0"/>
              <w:keepLines w:val="0"/>
              <w:pageBreakBefore w:val="0"/>
              <w:kinsoku/>
              <w:wordWrap/>
              <w:overflowPunct/>
              <w:topLinePunct w:val="0"/>
              <w:autoSpaceDE/>
              <w:autoSpaceDN/>
              <w:bidi w:val="0"/>
              <w:adjustRightInd/>
              <w:snapToGrid/>
              <w:spacing w:line="240" w:lineRule="auto"/>
              <w:jc w:val="center"/>
              <w:textAlignment w:val="auto"/>
              <w:outlineLvl w:val="2"/>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sz w:val="22"/>
                <w:szCs w:val="22"/>
                <w:highlight w:val="none"/>
                <w:lang w:val="en-US" w:eastAsia="zh-CN"/>
              </w:rPr>
              <w:t>6</w:t>
            </w:r>
          </w:p>
        </w:tc>
        <w:tc>
          <w:tcPr>
            <w:tcW w:w="3448" w:type="dxa"/>
            <w:tcBorders>
              <w:top w:val="nil"/>
              <w:left w:val="nil"/>
              <w:bottom w:val="nil"/>
              <w:right w:val="single" w:color="auto" w:sz="4" w:space="0"/>
            </w:tcBorders>
            <w:noWrap w:val="0"/>
            <w:vAlign w:val="center"/>
          </w:tcPr>
          <w:p w14:paraId="1755A161">
            <w:pPr>
              <w:keepNext w:val="0"/>
              <w:keepLines w:val="0"/>
              <w:pageBreakBefore w:val="0"/>
              <w:kinsoku/>
              <w:wordWrap/>
              <w:overflowPunct/>
              <w:topLinePunct w:val="0"/>
              <w:autoSpaceDE/>
              <w:autoSpaceDN/>
              <w:bidi w:val="0"/>
              <w:adjustRightInd/>
              <w:snapToGrid/>
              <w:spacing w:line="240" w:lineRule="auto"/>
              <w:jc w:val="left"/>
              <w:textAlignment w:val="auto"/>
              <w:outlineLvl w:val="2"/>
              <w:rPr>
                <w:rFonts w:hint="eastAsia" w:ascii="宋体" w:hAnsi="宋体" w:eastAsia="宋体" w:cs="宋体"/>
                <w:b w:val="0"/>
                <w:bCs w:val="0"/>
                <w:color w:val="auto"/>
                <w:sz w:val="22"/>
                <w:szCs w:val="22"/>
                <w:highlight w:val="none"/>
              </w:rPr>
            </w:pPr>
            <w:r>
              <w:rPr>
                <w:rFonts w:hint="eastAsia" w:ascii="宋体" w:hAnsi="宋体" w:eastAsia="宋体" w:cs="宋体"/>
                <w:b w:val="0"/>
                <w:bCs w:val="0"/>
                <w:color w:val="auto"/>
                <w:sz w:val="22"/>
                <w:szCs w:val="22"/>
                <w:highlight w:val="none"/>
                <w:lang w:eastAsia="zh-CN"/>
              </w:rPr>
              <w:t>中国制式电源</w:t>
            </w:r>
          </w:p>
        </w:tc>
        <w:tc>
          <w:tcPr>
            <w:tcW w:w="1115" w:type="dxa"/>
            <w:tcBorders>
              <w:top w:val="nil"/>
              <w:left w:val="nil"/>
              <w:bottom w:val="nil"/>
              <w:right w:val="single" w:color="auto" w:sz="4" w:space="0"/>
            </w:tcBorders>
            <w:noWrap/>
            <w:vAlign w:val="center"/>
          </w:tcPr>
          <w:p w14:paraId="73F1B113">
            <w:pPr>
              <w:keepNext w:val="0"/>
              <w:keepLines w:val="0"/>
              <w:pageBreakBefore w:val="0"/>
              <w:kinsoku/>
              <w:wordWrap/>
              <w:overflowPunct/>
              <w:topLinePunct w:val="0"/>
              <w:autoSpaceDE/>
              <w:autoSpaceDN/>
              <w:bidi w:val="0"/>
              <w:adjustRightInd/>
              <w:snapToGrid/>
              <w:spacing w:line="240" w:lineRule="auto"/>
              <w:jc w:val="center"/>
              <w:textAlignment w:val="auto"/>
              <w:outlineLvl w:val="2"/>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sz w:val="22"/>
                <w:szCs w:val="22"/>
                <w:highlight w:val="none"/>
                <w:lang w:val="en-US" w:eastAsia="zh-CN"/>
              </w:rPr>
              <w:t>1</w:t>
            </w:r>
          </w:p>
        </w:tc>
        <w:tc>
          <w:tcPr>
            <w:tcW w:w="1113" w:type="dxa"/>
            <w:tcBorders>
              <w:top w:val="nil"/>
              <w:left w:val="nil"/>
              <w:bottom w:val="nil"/>
              <w:right w:val="single" w:color="auto" w:sz="4" w:space="0"/>
            </w:tcBorders>
            <w:noWrap/>
            <w:vAlign w:val="center"/>
          </w:tcPr>
          <w:p w14:paraId="7EA9F83D">
            <w:pPr>
              <w:keepNext w:val="0"/>
              <w:keepLines w:val="0"/>
              <w:pageBreakBefore w:val="0"/>
              <w:kinsoku/>
              <w:wordWrap/>
              <w:overflowPunct/>
              <w:topLinePunct w:val="0"/>
              <w:autoSpaceDE/>
              <w:autoSpaceDN/>
              <w:bidi w:val="0"/>
              <w:adjustRightInd/>
              <w:snapToGrid/>
              <w:spacing w:line="240" w:lineRule="auto"/>
              <w:jc w:val="center"/>
              <w:textAlignment w:val="auto"/>
              <w:outlineLvl w:val="2"/>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sz w:val="22"/>
                <w:szCs w:val="22"/>
                <w:highlight w:val="none"/>
                <w:lang w:val="en-US" w:eastAsia="zh-CN"/>
              </w:rPr>
              <w:t>个</w:t>
            </w:r>
          </w:p>
        </w:tc>
      </w:tr>
      <w:tr w14:paraId="54B821E0">
        <w:tblPrEx>
          <w:tblCellMar>
            <w:top w:w="0" w:type="dxa"/>
            <w:left w:w="108" w:type="dxa"/>
            <w:bottom w:w="0" w:type="dxa"/>
            <w:right w:w="108" w:type="dxa"/>
          </w:tblCellMar>
        </w:tblPrEx>
        <w:trPr>
          <w:trHeight w:val="333" w:hRule="atLeast"/>
        </w:trPr>
        <w:tc>
          <w:tcPr>
            <w:tcW w:w="860" w:type="dxa"/>
            <w:tcBorders>
              <w:top w:val="nil"/>
              <w:left w:val="single" w:color="auto" w:sz="4" w:space="0"/>
              <w:bottom w:val="single" w:color="auto" w:sz="4" w:space="0"/>
              <w:right w:val="single" w:color="auto" w:sz="4" w:space="0"/>
            </w:tcBorders>
            <w:noWrap w:val="0"/>
            <w:vAlign w:val="center"/>
          </w:tcPr>
          <w:p w14:paraId="0F9BDD7D">
            <w:pPr>
              <w:keepNext w:val="0"/>
              <w:keepLines w:val="0"/>
              <w:pageBreakBefore w:val="0"/>
              <w:kinsoku/>
              <w:wordWrap/>
              <w:overflowPunct/>
              <w:topLinePunct w:val="0"/>
              <w:autoSpaceDE/>
              <w:autoSpaceDN/>
              <w:bidi w:val="0"/>
              <w:adjustRightInd/>
              <w:snapToGrid/>
              <w:spacing w:line="240" w:lineRule="auto"/>
              <w:jc w:val="center"/>
              <w:textAlignment w:val="auto"/>
              <w:outlineLvl w:val="2"/>
              <w:rPr>
                <w:rFonts w:hint="default" w:ascii="宋体" w:hAnsi="宋体" w:eastAsia="宋体" w:cs="宋体"/>
                <w:b w:val="0"/>
                <w:bCs w:val="0"/>
                <w:color w:val="auto"/>
                <w:sz w:val="22"/>
                <w:szCs w:val="22"/>
                <w:highlight w:val="none"/>
                <w:lang w:val="en-US" w:eastAsia="zh-CN"/>
              </w:rPr>
            </w:pPr>
            <w:r>
              <w:rPr>
                <w:rFonts w:hint="eastAsia" w:ascii="宋体" w:hAnsi="宋体" w:cs="宋体"/>
                <w:b w:val="0"/>
                <w:bCs w:val="0"/>
                <w:color w:val="auto"/>
                <w:sz w:val="22"/>
                <w:szCs w:val="22"/>
                <w:highlight w:val="none"/>
                <w:lang w:val="en-US" w:eastAsia="zh-CN"/>
              </w:rPr>
              <w:t>7</w:t>
            </w:r>
          </w:p>
        </w:tc>
        <w:tc>
          <w:tcPr>
            <w:tcW w:w="3448" w:type="dxa"/>
            <w:tcBorders>
              <w:top w:val="nil"/>
              <w:left w:val="nil"/>
              <w:bottom w:val="single" w:color="auto" w:sz="4" w:space="0"/>
              <w:right w:val="single" w:color="auto" w:sz="4" w:space="0"/>
            </w:tcBorders>
            <w:noWrap w:val="0"/>
            <w:vAlign w:val="center"/>
          </w:tcPr>
          <w:p w14:paraId="3BA0364E">
            <w:pPr>
              <w:keepNext w:val="0"/>
              <w:keepLines w:val="0"/>
              <w:pageBreakBefore w:val="0"/>
              <w:kinsoku/>
              <w:wordWrap/>
              <w:overflowPunct/>
              <w:topLinePunct w:val="0"/>
              <w:autoSpaceDE/>
              <w:autoSpaceDN/>
              <w:bidi w:val="0"/>
              <w:adjustRightInd/>
              <w:snapToGrid/>
              <w:spacing w:line="240" w:lineRule="auto"/>
              <w:jc w:val="left"/>
              <w:textAlignment w:val="auto"/>
              <w:outlineLvl w:val="2"/>
              <w:rPr>
                <w:rFonts w:hint="default" w:ascii="宋体" w:hAnsi="宋体" w:eastAsia="宋体" w:cs="宋体"/>
                <w:b w:val="0"/>
                <w:bCs w:val="0"/>
                <w:color w:val="auto"/>
                <w:sz w:val="22"/>
                <w:szCs w:val="22"/>
                <w:highlight w:val="none"/>
                <w:lang w:val="en-US" w:eastAsia="zh-CN"/>
              </w:rPr>
            </w:pPr>
            <w:r>
              <w:rPr>
                <w:rFonts w:hint="eastAsia" w:ascii="宋体" w:hAnsi="宋体" w:cs="宋体"/>
                <w:color w:val="auto"/>
                <w:sz w:val="24"/>
                <w:szCs w:val="24"/>
                <w:highlight w:val="none"/>
                <w:lang w:val="en-US" w:eastAsia="zh-CN"/>
              </w:rPr>
              <w:t>无线摇控器</w:t>
            </w:r>
          </w:p>
        </w:tc>
        <w:tc>
          <w:tcPr>
            <w:tcW w:w="1115" w:type="dxa"/>
            <w:tcBorders>
              <w:top w:val="nil"/>
              <w:left w:val="nil"/>
              <w:bottom w:val="single" w:color="auto" w:sz="4" w:space="0"/>
              <w:right w:val="single" w:color="auto" w:sz="4" w:space="0"/>
            </w:tcBorders>
            <w:shd w:val="clear" w:color="auto" w:fill="auto"/>
            <w:noWrap/>
            <w:vAlign w:val="center"/>
          </w:tcPr>
          <w:p w14:paraId="28665E6E">
            <w:pPr>
              <w:keepNext w:val="0"/>
              <w:keepLines w:val="0"/>
              <w:pageBreakBefore w:val="0"/>
              <w:kinsoku/>
              <w:wordWrap/>
              <w:overflowPunct/>
              <w:topLinePunct w:val="0"/>
              <w:autoSpaceDE/>
              <w:autoSpaceDN/>
              <w:bidi w:val="0"/>
              <w:adjustRightInd/>
              <w:snapToGrid/>
              <w:spacing w:line="240" w:lineRule="auto"/>
              <w:jc w:val="center"/>
              <w:textAlignment w:val="auto"/>
              <w:outlineLvl w:val="2"/>
              <w:rPr>
                <w:rFonts w:hint="eastAsia" w:ascii="宋体" w:hAnsi="宋体" w:eastAsia="宋体" w:cs="宋体"/>
                <w:b w:val="0"/>
                <w:bCs w:val="0"/>
                <w:color w:val="auto"/>
                <w:kern w:val="2"/>
                <w:sz w:val="22"/>
                <w:szCs w:val="22"/>
                <w:highlight w:val="none"/>
                <w:lang w:val="en-US" w:eastAsia="zh-CN" w:bidi="ar-SA"/>
                <w14:ligatures w14:val="none"/>
              </w:rPr>
            </w:pPr>
            <w:r>
              <w:rPr>
                <w:rFonts w:hint="eastAsia" w:ascii="宋体" w:hAnsi="宋体" w:eastAsia="宋体" w:cs="宋体"/>
                <w:b w:val="0"/>
                <w:bCs w:val="0"/>
                <w:color w:val="auto"/>
                <w:sz w:val="22"/>
                <w:szCs w:val="22"/>
                <w:highlight w:val="none"/>
                <w:lang w:val="en-US" w:eastAsia="zh-CN"/>
              </w:rPr>
              <w:t>1</w:t>
            </w:r>
          </w:p>
        </w:tc>
        <w:tc>
          <w:tcPr>
            <w:tcW w:w="1113" w:type="dxa"/>
            <w:tcBorders>
              <w:top w:val="nil"/>
              <w:left w:val="nil"/>
              <w:bottom w:val="single" w:color="auto" w:sz="4" w:space="0"/>
              <w:right w:val="single" w:color="auto" w:sz="4" w:space="0"/>
            </w:tcBorders>
            <w:shd w:val="clear" w:color="auto" w:fill="auto"/>
            <w:noWrap/>
            <w:vAlign w:val="center"/>
          </w:tcPr>
          <w:p w14:paraId="4BA24921">
            <w:pPr>
              <w:keepNext w:val="0"/>
              <w:keepLines w:val="0"/>
              <w:pageBreakBefore w:val="0"/>
              <w:kinsoku/>
              <w:wordWrap/>
              <w:overflowPunct/>
              <w:topLinePunct w:val="0"/>
              <w:autoSpaceDE/>
              <w:autoSpaceDN/>
              <w:bidi w:val="0"/>
              <w:adjustRightInd/>
              <w:snapToGrid/>
              <w:spacing w:line="240" w:lineRule="auto"/>
              <w:jc w:val="center"/>
              <w:textAlignment w:val="auto"/>
              <w:outlineLvl w:val="2"/>
              <w:rPr>
                <w:rFonts w:hint="eastAsia" w:ascii="宋体" w:hAnsi="宋体" w:eastAsia="宋体" w:cs="宋体"/>
                <w:b w:val="0"/>
                <w:bCs w:val="0"/>
                <w:color w:val="auto"/>
                <w:kern w:val="2"/>
                <w:sz w:val="22"/>
                <w:szCs w:val="22"/>
                <w:highlight w:val="none"/>
                <w:lang w:val="en-US" w:eastAsia="zh-CN" w:bidi="ar-SA"/>
                <w14:ligatures w14:val="none"/>
              </w:rPr>
            </w:pPr>
            <w:r>
              <w:rPr>
                <w:rFonts w:hint="eastAsia" w:ascii="宋体" w:hAnsi="宋体" w:eastAsia="宋体" w:cs="宋体"/>
                <w:b w:val="0"/>
                <w:bCs w:val="0"/>
                <w:color w:val="auto"/>
                <w:sz w:val="22"/>
                <w:szCs w:val="22"/>
                <w:highlight w:val="none"/>
                <w:lang w:val="en-US" w:eastAsia="zh-CN"/>
              </w:rPr>
              <w:t>个</w:t>
            </w:r>
          </w:p>
        </w:tc>
      </w:tr>
    </w:tbl>
    <w:p w14:paraId="1F3F34F7">
      <w:pPr>
        <w:pStyle w:val="6"/>
        <w:rPr>
          <w:rFonts w:hint="default"/>
          <w:color w:val="auto"/>
          <w:highlight w:val="none"/>
          <w:lang w:val="en-US" w:eastAsia="zh-CN"/>
        </w:rPr>
      </w:pPr>
    </w:p>
    <w:p w14:paraId="6B2F413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Lines="0" w:beforeAutospacing="0" w:after="0" w:afterAutospacing="0" w:line="360" w:lineRule="auto"/>
        <w:ind w:left="0" w:right="0" w:firstLine="0"/>
        <w:jc w:val="both"/>
        <w:rPr>
          <w:rFonts w:hint="eastAsia" w:ascii="宋体" w:hAnsi="宋体" w:eastAsia="宋体" w:cs="宋体"/>
          <w:color w:val="auto"/>
          <w:sz w:val="30"/>
          <w:szCs w:val="30"/>
          <w:highlight w:val="none"/>
          <w:lang w:val="en-US" w:eastAsia="zh-CN"/>
        </w:rPr>
      </w:pPr>
      <w:r>
        <w:rPr>
          <w:rFonts w:hint="eastAsia" w:ascii="宋体" w:hAnsi="宋体" w:eastAsia="宋体" w:cs="宋体"/>
          <w:color w:val="auto"/>
          <w:sz w:val="30"/>
          <w:szCs w:val="30"/>
          <w:highlight w:val="none"/>
          <w:lang w:val="en-US" w:eastAsia="zh-CN"/>
        </w:rPr>
        <w:t>四、商务条款：</w:t>
      </w:r>
    </w:p>
    <w:p w14:paraId="5FEABF3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一、</w:t>
      </w:r>
      <w:r>
        <w:rPr>
          <w:rFonts w:hint="eastAsia" w:ascii="宋体" w:hAnsi="宋体" w:eastAsia="宋体" w:cs="宋体"/>
          <w:b/>
          <w:bCs/>
          <w:color w:val="auto"/>
          <w:sz w:val="21"/>
          <w:szCs w:val="21"/>
          <w:highlight w:val="none"/>
        </w:rPr>
        <w:t>标的提供的时间</w:t>
      </w:r>
      <w:r>
        <w:rPr>
          <w:rFonts w:hint="eastAsia" w:ascii="宋体" w:hAnsi="宋体" w:eastAsia="宋体" w:cs="宋体"/>
          <w:b/>
          <w:bCs/>
          <w:color w:val="auto"/>
          <w:sz w:val="21"/>
          <w:szCs w:val="21"/>
          <w:highlight w:val="none"/>
          <w:lang w:eastAsia="zh-CN"/>
        </w:rPr>
        <w:t>：</w:t>
      </w:r>
      <w:r>
        <w:rPr>
          <w:rFonts w:hint="eastAsia" w:ascii="宋体" w:hAnsi="宋体" w:eastAsia="宋体" w:cs="宋体"/>
          <w:color w:val="auto"/>
          <w:sz w:val="21"/>
          <w:szCs w:val="21"/>
          <w:highlight w:val="none"/>
          <w:lang w:val="en-US" w:eastAsia="zh-CN"/>
        </w:rPr>
        <w:t>合同签定后30日内交货</w:t>
      </w:r>
    </w:p>
    <w:p w14:paraId="35FF78C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二、</w:t>
      </w:r>
      <w:r>
        <w:rPr>
          <w:rFonts w:hint="eastAsia" w:ascii="宋体" w:hAnsi="宋体" w:eastAsia="宋体" w:cs="宋体"/>
          <w:b/>
          <w:bCs/>
          <w:color w:val="auto"/>
          <w:sz w:val="21"/>
          <w:szCs w:val="21"/>
          <w:highlight w:val="none"/>
        </w:rPr>
        <w:t>标的提供的地点</w:t>
      </w:r>
      <w:r>
        <w:rPr>
          <w:rFonts w:hint="eastAsia" w:ascii="宋体" w:hAnsi="宋体" w:eastAsia="宋体" w:cs="宋体"/>
          <w:b/>
          <w:bCs/>
          <w:color w:val="auto"/>
          <w:sz w:val="21"/>
          <w:szCs w:val="21"/>
          <w:highlight w:val="none"/>
          <w:lang w:eastAsia="zh-CN"/>
        </w:rPr>
        <w:t>：</w:t>
      </w:r>
      <w:bookmarkStart w:id="0" w:name="_GoBack"/>
      <w:bookmarkEnd w:id="0"/>
      <w:r>
        <w:rPr>
          <w:rFonts w:hint="eastAsia" w:ascii="宋体" w:hAnsi="宋体" w:eastAsia="宋体" w:cs="宋体"/>
          <w:b/>
          <w:bCs/>
          <w:color w:val="auto"/>
          <w:sz w:val="21"/>
          <w:szCs w:val="21"/>
          <w:highlight w:val="none"/>
          <w:lang w:val="en-US" w:eastAsia="zh-CN"/>
        </w:rPr>
        <w:t>采购人指定的地点</w:t>
      </w:r>
    </w:p>
    <w:p w14:paraId="06B639D0">
      <w:pPr>
        <w:pStyle w:val="15"/>
        <w:spacing w:beforeLines="0" w:line="360" w:lineRule="auto"/>
        <w:jc w:val="both"/>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三、付款方式：</w:t>
      </w:r>
      <w:r>
        <w:rPr>
          <w:rFonts w:hint="eastAsia" w:ascii="宋体" w:hAnsi="宋体" w:eastAsia="宋体" w:cs="宋体"/>
          <w:b w:val="0"/>
          <w:bCs w:val="0"/>
          <w:color w:val="auto"/>
          <w:sz w:val="21"/>
          <w:szCs w:val="21"/>
          <w:highlight w:val="none"/>
          <w:lang w:val="en-US" w:eastAsia="zh-CN"/>
        </w:rPr>
        <w:t>1.全部设备验收合格后六个月内由甲方向乙方支付合同总金额的60%。</w:t>
      </w:r>
    </w:p>
    <w:p w14:paraId="3E2DE458">
      <w:pPr>
        <w:pStyle w:val="15"/>
        <w:spacing w:beforeLines="0" w:line="360" w:lineRule="auto"/>
        <w:jc w:val="both"/>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2.验收合格后满一年由甲方向乙方支付合同总金额的30%。</w:t>
      </w:r>
    </w:p>
    <w:p w14:paraId="4A53DE49">
      <w:pPr>
        <w:pStyle w:val="15"/>
        <w:spacing w:beforeLines="0" w:line="360" w:lineRule="auto"/>
        <w:jc w:val="both"/>
        <w:rPr>
          <w:rFonts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w:t>
      </w:r>
      <w:r>
        <w:rPr>
          <w:rFonts w:ascii="宋体" w:hAnsi="宋体" w:eastAsia="宋体" w:cs="宋体"/>
          <w:color w:val="auto"/>
          <w:sz w:val="21"/>
          <w:szCs w:val="21"/>
          <w:highlight w:val="none"/>
        </w:rPr>
        <w:t>质保期满后，由甲方向乙方支付合同总金额的10%。</w:t>
      </w:r>
    </w:p>
    <w:p w14:paraId="6F2B2C04">
      <w:pPr>
        <w:pStyle w:val="15"/>
        <w:spacing w:beforeLines="0" w:line="360" w:lineRule="auto"/>
        <w:jc w:val="both"/>
        <w:rPr>
          <w:rFonts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w:t>
      </w:r>
      <w:r>
        <w:rPr>
          <w:rFonts w:ascii="宋体" w:hAnsi="宋体" w:eastAsia="宋体" w:cs="宋体"/>
          <w:color w:val="auto"/>
          <w:sz w:val="21"/>
          <w:szCs w:val="21"/>
          <w:highlight w:val="none"/>
        </w:rPr>
        <w:t>合同款项以人民币转账方式支付。每次付款前乙方凭以下材料提出付款申请：（1）正式等额发票；（2）合同；（3）中标通知书；（4）验收报告。</w:t>
      </w:r>
    </w:p>
    <w:p w14:paraId="36C8501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bCs/>
          <w:color w:val="auto"/>
          <w:sz w:val="21"/>
          <w:szCs w:val="21"/>
          <w:highlight w:val="none"/>
          <w:lang w:eastAsia="zh-CN"/>
        </w:rPr>
      </w:pPr>
      <w:r>
        <w:rPr>
          <w:rFonts w:hint="eastAsia" w:cs="宋体"/>
          <w:b/>
          <w:bCs/>
          <w:color w:val="auto"/>
          <w:sz w:val="21"/>
          <w:szCs w:val="21"/>
          <w:highlight w:val="none"/>
          <w:lang w:val="en-US" w:eastAsia="zh-CN"/>
        </w:rPr>
        <w:t>四、</w:t>
      </w:r>
      <w:r>
        <w:rPr>
          <w:rFonts w:hint="eastAsia" w:ascii="宋体" w:hAnsi="宋体" w:eastAsia="宋体" w:cs="宋体"/>
          <w:b/>
          <w:bCs/>
          <w:color w:val="auto"/>
          <w:sz w:val="21"/>
          <w:szCs w:val="21"/>
          <w:highlight w:val="none"/>
        </w:rPr>
        <w:t>验收要求</w:t>
      </w:r>
      <w:r>
        <w:rPr>
          <w:rFonts w:hint="eastAsia" w:ascii="宋体" w:hAnsi="宋体" w:eastAsia="宋体" w:cs="宋体"/>
          <w:b/>
          <w:bCs/>
          <w:color w:val="auto"/>
          <w:sz w:val="21"/>
          <w:szCs w:val="21"/>
          <w:highlight w:val="none"/>
          <w:lang w:eastAsia="zh-CN"/>
        </w:rPr>
        <w:t>：</w:t>
      </w:r>
    </w:p>
    <w:p w14:paraId="79FA0CA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420" w:firstLineChars="200"/>
        <w:jc w:val="both"/>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中标人应根据所提交的验收方案和实施办法，自行组织设备和人员，</w:t>
      </w:r>
      <w:r>
        <w:rPr>
          <w:rFonts w:hint="eastAsia" w:cs="宋体"/>
          <w:b w:val="0"/>
          <w:bCs w:val="0"/>
          <w:color w:val="auto"/>
          <w:sz w:val="21"/>
          <w:szCs w:val="21"/>
          <w:highlight w:val="none"/>
          <w:lang w:val="en-US" w:eastAsia="zh-CN"/>
        </w:rPr>
        <w:t>由采购人组成的验收小组</w:t>
      </w:r>
      <w:r>
        <w:rPr>
          <w:rFonts w:hint="eastAsia" w:ascii="宋体" w:hAnsi="宋体" w:eastAsia="宋体" w:cs="宋体"/>
          <w:b w:val="0"/>
          <w:bCs w:val="0"/>
          <w:color w:val="auto"/>
          <w:sz w:val="21"/>
          <w:szCs w:val="21"/>
          <w:highlight w:val="none"/>
          <w:lang w:eastAsia="zh-CN"/>
        </w:rPr>
        <w:t xml:space="preserve">现场进行测试和验收。 </w:t>
      </w:r>
    </w:p>
    <w:p w14:paraId="7E51C58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（1）开箱检验。</w:t>
      </w:r>
    </w:p>
    <w:p w14:paraId="41FBC0E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 xml:space="preserve"> 1.1 所有设备、器材在开箱时必须完好，无破损。配置与装箱单相符。数量、质量及性能不低于合同要求。</w:t>
      </w:r>
    </w:p>
    <w:p w14:paraId="73B56B0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 xml:space="preserve"> 1.2 拆箱后，中标人应对其全部产品、零件、配件、用户许可证书、资料、介质造册登记，并与装箱单对比，如有出入应立即书面记录，由供货商解决，如影响安装则按合同有关条款处理。登记册作为验收文档之一。 </w:t>
      </w:r>
    </w:p>
    <w:p w14:paraId="783DE9A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（2）系统测试。系统安装完成后，按照系统要求的基本功能逐一测试。 如系统测试中发现设备性能指标或功能上不符合标书和合同时，将被看作性能不合格，设备使用单位有权拒收并要求赔偿；</w:t>
      </w:r>
    </w:p>
    <w:p w14:paraId="3FFB67F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 xml:space="preserve"> （3）产品验收要求。 </w:t>
      </w:r>
    </w:p>
    <w:p w14:paraId="4CC0B9A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 xml:space="preserve">3.1 要求对全部设备、产品、型号、规格、数量、外型、外观、包装及资料、文件（如装箱单、保修单、随箱介质等）的验收。 </w:t>
      </w:r>
    </w:p>
    <w:p w14:paraId="6B73577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3.</w:t>
      </w:r>
      <w:r>
        <w:rPr>
          <w:rFonts w:hint="eastAsia" w:cs="宋体"/>
          <w:b w:val="0"/>
          <w:bCs w:val="0"/>
          <w:color w:val="auto"/>
          <w:sz w:val="21"/>
          <w:szCs w:val="21"/>
          <w:highlight w:val="none"/>
          <w:lang w:val="en-US" w:eastAsia="zh-CN"/>
        </w:rPr>
        <w:t>2</w:t>
      </w:r>
      <w:r>
        <w:rPr>
          <w:rFonts w:hint="eastAsia" w:ascii="宋体" w:hAnsi="宋体" w:eastAsia="宋体" w:cs="宋体"/>
          <w:b w:val="0"/>
          <w:bCs w:val="0"/>
          <w:color w:val="auto"/>
          <w:sz w:val="21"/>
          <w:szCs w:val="21"/>
          <w:highlight w:val="none"/>
          <w:lang w:eastAsia="zh-CN"/>
        </w:rPr>
        <w:t xml:space="preserve"> 货物若有国家标准按照国家标准验收，若无国家标准按行业标准验收，为原制造商制造的全新产品，整机无污染，无侵权行为、表面无划损、无任何缺陷隐患，在中国境内可依常规安全合法使用。货物属于医疗器械的，应取得国家药品监督管理局颁发的</w:t>
      </w:r>
      <w:r>
        <w:rPr>
          <w:rFonts w:hint="default" w:ascii="宋体" w:hAnsi="宋体" w:eastAsia="宋体" w:cs="宋体"/>
          <w:b w:val="0"/>
          <w:bCs w:val="0"/>
          <w:color w:val="auto"/>
          <w:sz w:val="21"/>
          <w:szCs w:val="21"/>
          <w:highlight w:val="none"/>
          <w:lang w:eastAsia="zh-CN"/>
        </w:rPr>
        <w:t>《医疗器械注册证》。货物属于放射性同位素或射线装置的，中标人应承诺具备有效的《辐射安全许可证》（许可范围涵盖所供设备类别）；在设备验收交付时，中标人须完成以下行政审批事项，并将受理回执或批准文件作为验收文档之一：</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（1）建设项目职业病危害放射防护预评价审核；</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（2）职业病放射防护设施竣工验收；</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（3）《放射诊疗许可证》设备登记或变更；</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（4）《辐射安全许可证》设备台账增补。</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因中标人原因导致上述审批延误、无法完成设备合法使用的，视为逾期交货，中标人承担违约责任。</w:t>
      </w:r>
    </w:p>
    <w:p w14:paraId="08842A7D">
      <w:pPr>
        <w:widowControl w:val="0"/>
        <w:spacing w:line="360" w:lineRule="auto"/>
        <w:outlineLvl w:val="1"/>
        <w:rPr>
          <w:rFonts w:hint="default" w:ascii="宋体" w:hAnsi="宋体" w:cs="宋体"/>
          <w:bCs w:val="0"/>
          <w:color w:val="auto"/>
          <w:kern w:val="44"/>
          <w:sz w:val="21"/>
          <w:szCs w:val="21"/>
          <w:highlight w:val="none"/>
          <w:lang w:bidi="ar"/>
        </w:rPr>
      </w:pPr>
      <w:r>
        <w:rPr>
          <w:rFonts w:hint="eastAsia" w:ascii="宋体" w:hAnsi="宋体" w:eastAsia="宋体" w:cs="宋体"/>
          <w:b w:val="0"/>
          <w:bCs w:val="0"/>
          <w:color w:val="auto"/>
          <w:sz w:val="21"/>
          <w:szCs w:val="21"/>
          <w:highlight w:val="none"/>
          <w:lang w:eastAsia="zh-CN"/>
        </w:rPr>
        <w:t xml:space="preserve"> </w:t>
      </w:r>
      <w:r>
        <w:rPr>
          <w:rFonts w:hint="eastAsia" w:ascii="宋体" w:hAnsi="宋体" w:cs="宋体"/>
          <w:b w:val="0"/>
          <w:bCs w:val="0"/>
          <w:color w:val="auto"/>
          <w:sz w:val="21"/>
          <w:szCs w:val="21"/>
          <w:highlight w:val="none"/>
          <w:lang w:val="en-US" w:eastAsia="zh-CN"/>
        </w:rPr>
        <w:t>3.3</w:t>
      </w:r>
      <w:r>
        <w:rPr>
          <w:rFonts w:hint="default" w:ascii="宋体" w:hAnsi="宋体" w:cs="宋体"/>
          <w:bCs w:val="0"/>
          <w:color w:val="auto"/>
          <w:kern w:val="44"/>
          <w:sz w:val="21"/>
          <w:szCs w:val="21"/>
          <w:highlight w:val="none"/>
          <w:lang w:bidi="ar"/>
        </w:rPr>
        <w:t>如设备属于国家强制计量或检定的设备，则乙方须提供国家计量或检定机关所出具的合格证书，甲方可协助乙方联系有关部门进行检测，但相关检测费用由乙方承担。</w:t>
      </w:r>
    </w:p>
    <w:p w14:paraId="4E6A44D3">
      <w:pPr>
        <w:pStyle w:val="2"/>
        <w:jc w:val="left"/>
        <w:rPr>
          <w:rFonts w:hint="default" w:ascii="宋体" w:hAnsi="宋体" w:eastAsia="宋体" w:cs="宋体"/>
          <w:bCs w:val="0"/>
          <w:color w:val="auto"/>
          <w:kern w:val="44"/>
          <w:sz w:val="21"/>
          <w:szCs w:val="21"/>
          <w:highlight w:val="none"/>
          <w:lang w:bidi="ar"/>
        </w:rPr>
      </w:pPr>
      <w:r>
        <w:rPr>
          <w:rFonts w:hint="eastAsia" w:ascii="宋体" w:hAnsi="宋体" w:cs="宋体"/>
          <w:bCs w:val="0"/>
          <w:color w:val="auto"/>
          <w:kern w:val="44"/>
          <w:sz w:val="21"/>
          <w:szCs w:val="21"/>
          <w:highlight w:val="none"/>
          <w:lang w:val="en-US" w:eastAsia="zh-CN" w:bidi="ar"/>
        </w:rPr>
        <w:t>3.4</w:t>
      </w:r>
      <w:r>
        <w:rPr>
          <w:rFonts w:hint="default" w:ascii="宋体" w:hAnsi="宋体" w:eastAsia="宋体" w:cs="宋体"/>
          <w:bCs w:val="0"/>
          <w:color w:val="auto"/>
          <w:kern w:val="44"/>
          <w:sz w:val="21"/>
          <w:szCs w:val="21"/>
          <w:highlight w:val="none"/>
          <w:lang w:bidi="ar"/>
        </w:rPr>
        <w:t>如设备需接入甲方院方系统的，则验收前由乙方负责接入院方系统，具体实施及相关费用由乙方承担。</w:t>
      </w:r>
    </w:p>
    <w:p w14:paraId="4700C0A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3.</w:t>
      </w:r>
      <w:r>
        <w:rPr>
          <w:rFonts w:hint="eastAsia" w:cs="宋体"/>
          <w:b w:val="0"/>
          <w:bCs w:val="0"/>
          <w:color w:val="auto"/>
          <w:sz w:val="21"/>
          <w:szCs w:val="21"/>
          <w:highlight w:val="none"/>
          <w:lang w:val="en-US" w:eastAsia="zh-CN"/>
        </w:rPr>
        <w:t>5</w:t>
      </w:r>
      <w:r>
        <w:rPr>
          <w:rFonts w:hint="eastAsia" w:ascii="宋体" w:hAnsi="宋体" w:eastAsia="宋体" w:cs="宋体"/>
          <w:b w:val="0"/>
          <w:bCs w:val="0"/>
          <w:color w:val="auto"/>
          <w:sz w:val="21"/>
          <w:szCs w:val="21"/>
          <w:highlight w:val="none"/>
          <w:lang w:eastAsia="zh-CN"/>
        </w:rPr>
        <w:t xml:space="preserve"> 货物为原厂商未启封全新包装，出具出厂合格证，序列号、包装箱号与出厂批号一致，并可追索查阅。所有随设备的附件必须齐全。 </w:t>
      </w:r>
    </w:p>
    <w:p w14:paraId="048CC9E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3.</w:t>
      </w:r>
      <w:r>
        <w:rPr>
          <w:rFonts w:hint="eastAsia" w:cs="宋体"/>
          <w:b w:val="0"/>
          <w:bCs w:val="0"/>
          <w:color w:val="auto"/>
          <w:sz w:val="21"/>
          <w:szCs w:val="21"/>
          <w:highlight w:val="none"/>
          <w:lang w:val="en-US" w:eastAsia="zh-CN"/>
        </w:rPr>
        <w:t>6</w:t>
      </w:r>
      <w:r>
        <w:rPr>
          <w:rFonts w:hint="eastAsia" w:ascii="宋体" w:hAnsi="宋体" w:eastAsia="宋体" w:cs="宋体"/>
          <w:b w:val="0"/>
          <w:bCs w:val="0"/>
          <w:color w:val="auto"/>
          <w:sz w:val="21"/>
          <w:szCs w:val="21"/>
          <w:highlight w:val="none"/>
          <w:lang w:eastAsia="zh-CN"/>
        </w:rPr>
        <w:t xml:space="preserve"> 采购人作为履约验收主体，负责组成验收小组，设备安装调试完毕并经中标人自检合格后，中标人应书面向采购人提出验收申请。采购人应在收到验收申请后15个工作日内组织验收。</w:t>
      </w:r>
      <w:r>
        <w:rPr>
          <w:rFonts w:hint="eastAsia" w:cs="宋体"/>
          <w:b w:val="0"/>
          <w:bCs w:val="0"/>
          <w:color w:val="auto"/>
          <w:sz w:val="21"/>
          <w:szCs w:val="21"/>
          <w:highlight w:val="none"/>
          <w:lang w:val="en-US" w:eastAsia="zh-CN"/>
        </w:rPr>
        <w:t>验收</w:t>
      </w:r>
      <w:r>
        <w:rPr>
          <w:rFonts w:hint="eastAsia" w:ascii="宋体" w:hAnsi="宋体" w:eastAsia="宋体" w:cs="宋体"/>
          <w:b w:val="0"/>
          <w:bCs w:val="0"/>
          <w:color w:val="auto"/>
          <w:sz w:val="21"/>
          <w:szCs w:val="21"/>
          <w:highlight w:val="none"/>
          <w:lang w:eastAsia="zh-CN"/>
        </w:rPr>
        <w:t>按国家有关规定、规范及中标人的投标文件中承诺的内容</w:t>
      </w:r>
      <w:r>
        <w:rPr>
          <w:rFonts w:hint="eastAsia" w:cs="宋体"/>
          <w:b w:val="0"/>
          <w:bCs w:val="0"/>
          <w:color w:val="auto"/>
          <w:sz w:val="21"/>
          <w:szCs w:val="21"/>
          <w:highlight w:val="none"/>
          <w:lang w:val="en-US" w:eastAsia="zh-CN"/>
        </w:rPr>
        <w:t>执</w:t>
      </w:r>
      <w:r>
        <w:rPr>
          <w:rFonts w:hint="eastAsia" w:ascii="宋体" w:hAnsi="宋体" w:eastAsia="宋体" w:cs="宋体"/>
          <w:b w:val="0"/>
          <w:bCs w:val="0"/>
          <w:color w:val="auto"/>
          <w:sz w:val="21"/>
          <w:szCs w:val="21"/>
          <w:highlight w:val="none"/>
          <w:lang w:eastAsia="zh-CN"/>
        </w:rPr>
        <w:t xml:space="preserve">行，必要时邀请相关的第三方专业人员、机构或参与本次项目的其他投标人参与验收。因货物质量问题发生争议时，由采购人所在地省级市场监督管理部门认可的医疗器械检测机构或国家卫生健康委认可的第三方检测机构进行鉴定。鉴定费先由中标人垫付。货物符合质量技术标准的，鉴定费由采购人承担；否则鉴定费由中标人承担。 </w:t>
      </w:r>
    </w:p>
    <w:p w14:paraId="4F79ED0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w:t>
      </w:r>
      <w:r>
        <w:rPr>
          <w:rFonts w:hint="default" w:ascii="宋体" w:hAnsi="宋体" w:eastAsia="宋体" w:cs="宋体"/>
          <w:b w:val="0"/>
          <w:bCs w:val="0"/>
          <w:color w:val="auto"/>
          <w:sz w:val="21"/>
          <w:szCs w:val="21"/>
          <w:highlight w:val="none"/>
          <w:lang w:eastAsia="zh-CN"/>
        </w:rPr>
        <w:t>4</w:t>
      </w:r>
      <w:r>
        <w:rPr>
          <w:rFonts w:hint="eastAsia" w:ascii="宋体" w:hAnsi="宋体" w:eastAsia="宋体" w:cs="宋体"/>
          <w:b w:val="0"/>
          <w:bCs w:val="0"/>
          <w:color w:val="auto"/>
          <w:sz w:val="21"/>
          <w:szCs w:val="21"/>
          <w:highlight w:val="none"/>
          <w:lang w:eastAsia="zh-CN"/>
        </w:rPr>
        <w:t>）</w:t>
      </w:r>
      <w:r>
        <w:rPr>
          <w:rFonts w:hint="default" w:ascii="宋体" w:hAnsi="宋体" w:eastAsia="宋体" w:cs="宋体"/>
          <w:b w:val="0"/>
          <w:bCs w:val="0"/>
          <w:color w:val="auto"/>
          <w:sz w:val="21"/>
          <w:szCs w:val="21"/>
          <w:highlight w:val="none"/>
          <w:lang w:eastAsia="zh-CN"/>
        </w:rPr>
        <w:t>信息系统对接与数据互联互通验收</w:t>
      </w:r>
    </w:p>
    <w:p w14:paraId="313EA6A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default"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4.1 接口对接要求</w:t>
      </w:r>
    </w:p>
    <w:p w14:paraId="4764906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420" w:firstLineChars="200"/>
        <w:jc w:val="both"/>
        <w:textAlignment w:val="auto"/>
        <w:rPr>
          <w:rFonts w:hint="eastAsia"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中标人应负责所供医疗设备与采购人现有医院信息系统（HIS）、影像归档与通信系统（PACS）、实验室信息系统（LIS）等的对接集成。对接内容至少包括：</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（1）患者信息获取：通过HL7/FHIR标准接口或Web Service方式，从HIS自动获取患者姓名、性别、年龄、住院号、检查申请单号等信息，不得采用人工录入方式。</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（2）检查指令接收：接收HIS或电子病历（EMR）下达的检查医嘱，设备工作列表（Worklist）应能自动同步待检患者队列。</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（3）结果报告回传：设备生成的诊断报告、图像、数值结果应自动回传至HIS/EMR系统，实现报告在线调阅，报告回传成功率≥99.5%。</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（4）状态反馈：设备检查状态（已登记、进行中、已完成）应实时反馈至HIS，供临床科室实时查询。</w:t>
      </w:r>
    </w:p>
    <w:p w14:paraId="3993635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default"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4.2 接口性能验收</w:t>
      </w:r>
    </w:p>
    <w:p w14:paraId="3F7F7F7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（1）接口并发能力：支持门诊高峰期并发请求量不低于200用户/秒，平均响应时间≤2秒。</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（2）稳定性测试：接口需通过72小时持续运行压力测试，无内存泄漏、无进程死锁、无数据积压。</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（3）数据准确性：比对HIS下发指令与设备接收信息，数据字段完整率100%，字段映射正确率100%。</w:t>
      </w:r>
    </w:p>
    <w:p w14:paraId="60C0272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default"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4.3 文档与交付物</w:t>
      </w:r>
    </w:p>
    <w:p w14:paraId="4223C68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default"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（1）中标人须提供接口技术文档（含接口协议、数据结构、调用示例、字段映射表）。</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（2）提供第三方接口测试报告（可选用Postman/Eolink等工具，或由采购人信息部门现场验证）。</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（3）提供数据字典和系统表结构说明（涉及设备工作站数据库时）</w:t>
      </w:r>
    </w:p>
    <w:p w14:paraId="183FFDF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default"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w:t>
      </w:r>
      <w:r>
        <w:rPr>
          <w:rFonts w:hint="default" w:ascii="宋体" w:hAnsi="宋体" w:eastAsia="宋体" w:cs="宋体"/>
          <w:b w:val="0"/>
          <w:bCs w:val="0"/>
          <w:color w:val="auto"/>
          <w:sz w:val="21"/>
          <w:szCs w:val="21"/>
          <w:highlight w:val="none"/>
          <w:lang w:eastAsia="zh-CN"/>
        </w:rPr>
        <w:t>5</w:t>
      </w:r>
      <w:r>
        <w:rPr>
          <w:rFonts w:hint="eastAsia" w:ascii="宋体" w:hAnsi="宋体" w:eastAsia="宋体" w:cs="宋体"/>
          <w:b w:val="0"/>
          <w:bCs w:val="0"/>
          <w:color w:val="auto"/>
          <w:sz w:val="21"/>
          <w:szCs w:val="21"/>
          <w:highlight w:val="none"/>
          <w:lang w:eastAsia="zh-CN"/>
        </w:rPr>
        <w:t>）</w:t>
      </w:r>
      <w:r>
        <w:rPr>
          <w:rFonts w:hint="default" w:ascii="宋体" w:hAnsi="宋体" w:eastAsia="宋体" w:cs="宋体"/>
          <w:b w:val="0"/>
          <w:bCs w:val="0"/>
          <w:color w:val="auto"/>
          <w:sz w:val="21"/>
          <w:szCs w:val="21"/>
          <w:highlight w:val="none"/>
          <w:lang w:eastAsia="zh-CN"/>
        </w:rPr>
        <w:t xml:space="preserve"> 行政审批协助义务（适用于放射诊疗设备）</w:t>
      </w:r>
    </w:p>
    <w:p w14:paraId="1207C86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default"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5.1 中标人义务</w:t>
      </w:r>
    </w:p>
    <w:p w14:paraId="7A8042D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420" w:firstLineChars="200"/>
        <w:jc w:val="both"/>
        <w:textAlignment w:val="auto"/>
        <w:rPr>
          <w:rFonts w:hint="default"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所供设备属于《放射诊疗管理规定》所界定的放射诊疗设备（含CT、DR、C臂、DSA、医用加速器、核医学设备等）的，中标人应履行以下协助义务：</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（1）提供验收检测：设备安装完毕后，中标人应协调设备生产厂家或受其委托的、具备相应资质的第三方检测机构，对设备进行验收检测，出具符合国家标准的《验收检测报告》。</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（2）提供申报材料：协助采购人准备放射诊疗许可/变更申报所需的设备参数表、合格证明、安装调试报告、检测报告、中文说明书、防护性能指标文件等。</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（3）配合现场审核：配合卫生健康行政部门或生态环境部门组织的现场审核，安排技术人员解答设备性能、防护设施相关问题。</w:t>
      </w:r>
    </w:p>
    <w:p w14:paraId="6FC0A50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default"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5.2 时间节点控制</w:t>
      </w:r>
    </w:p>
    <w:p w14:paraId="3267F88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default"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（1）中标人应在设备安装调试完成后10个工作日内完成验收检测并提交检测报告。</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（2）因中标人原因延迟提交检测报告或申报材料，导致采购人无法在设备到货后60日内取得《放射诊疗许可证》设备登记的，每逾期一日，中标人向采购人支付合同总价款万分之五的违约金。</w:t>
      </w:r>
    </w:p>
    <w:p w14:paraId="071730E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default"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5.3 交付标准</w:t>
      </w:r>
    </w:p>
    <w:p w14:paraId="6C40160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420" w:firstLineChars="200"/>
        <w:jc w:val="both"/>
        <w:textAlignment w:val="auto"/>
        <w:rPr>
          <w:rFonts w:hint="default"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本项目最终验收的必备条件之一：采购人已在《放射诊疗许可证》副本完成该设备的登记，或在《辐射安全许可证》台账中完成该设备增补。未完成前述行政许可登记的，不予进行最终验收付款。</w:t>
      </w:r>
    </w:p>
    <w:p w14:paraId="477FA5A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default"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lang w:val="en-US" w:eastAsia="zh-CN"/>
        </w:rPr>
        <w:t>6）</w:t>
      </w:r>
      <w:r>
        <w:rPr>
          <w:rFonts w:hint="default" w:ascii="宋体" w:hAnsi="宋体" w:eastAsia="宋体" w:cs="宋体"/>
          <w:b w:val="0"/>
          <w:bCs w:val="0"/>
          <w:color w:val="auto"/>
          <w:sz w:val="21"/>
          <w:szCs w:val="21"/>
          <w:highlight w:val="none"/>
          <w:lang w:eastAsia="zh-CN"/>
        </w:rPr>
        <w:t>文档交付与培训验收</w:t>
      </w:r>
    </w:p>
    <w:p w14:paraId="7901813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420" w:firstLineChars="200"/>
        <w:jc w:val="both"/>
        <w:textAlignment w:val="auto"/>
        <w:rPr>
          <w:rFonts w:hint="eastAsia"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中标人应交付的文档包括但不限于：产品说明书（中文）、安装手册、维修手册、操作培训视频/课件、系统软件源代码（如涉及二次开发）、第三方接口测试报告、医疗器械注册证及附件、辐射安全许可证复印件（中标人）、设备验收检测报告、培训签到表及考核记录。软件类产品还需提供：需求规格说明书、概要设计、详细设计、数据库设计说明书、测试报告、第三方代码安全审计报告</w:t>
      </w:r>
    </w:p>
    <w:p w14:paraId="74725580">
      <w:pPr>
        <w:pStyle w:val="3"/>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rPr>
        <w:t>履约保证金</w:t>
      </w:r>
      <w:r>
        <w:rPr>
          <w:rFonts w:hint="eastAsia" w:ascii="宋体" w:hAnsi="宋体" w:eastAsia="宋体" w:cs="宋体"/>
          <w:b/>
          <w:bCs/>
          <w:color w:val="auto"/>
          <w:sz w:val="21"/>
          <w:szCs w:val="21"/>
          <w:highlight w:val="none"/>
          <w:lang w:eastAsia="zh-CN"/>
        </w:rPr>
        <w:t>：</w:t>
      </w:r>
      <w:r>
        <w:rPr>
          <w:rFonts w:hint="eastAsia" w:ascii="宋体" w:hAnsi="宋体" w:eastAsia="宋体" w:cs="宋体"/>
          <w:b/>
          <w:bCs/>
          <w:color w:val="auto"/>
          <w:sz w:val="21"/>
          <w:szCs w:val="21"/>
          <w:highlight w:val="none"/>
          <w:lang w:val="en-US" w:eastAsia="zh-CN"/>
        </w:rPr>
        <w:t>无</w:t>
      </w:r>
    </w:p>
    <w:p w14:paraId="064245F3">
      <w:pPr>
        <w:pStyle w:val="3"/>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default"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rPr>
        <w:t>其他</w:t>
      </w:r>
      <w:r>
        <w:rPr>
          <w:rFonts w:hint="eastAsia" w:ascii="宋体" w:hAnsi="宋体" w:eastAsia="宋体" w:cs="宋体"/>
          <w:b/>
          <w:bCs/>
          <w:color w:val="auto"/>
          <w:sz w:val="21"/>
          <w:szCs w:val="21"/>
          <w:highlight w:val="none"/>
          <w:lang w:eastAsia="zh-CN"/>
        </w:rPr>
        <w:t>：</w:t>
      </w:r>
    </w:p>
    <w:p w14:paraId="20DED957">
      <w:pPr>
        <w:pStyle w:val="3"/>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bCs/>
          <w:color w:val="auto"/>
          <w:sz w:val="21"/>
          <w:szCs w:val="21"/>
          <w:highlight w:val="none"/>
        </w:rPr>
        <w:t>质量保证及售后服务</w:t>
      </w:r>
      <w:r>
        <w:rPr>
          <w:rFonts w:hint="eastAsia" w:ascii="宋体" w:hAnsi="宋体" w:eastAsia="宋体" w:cs="宋体"/>
          <w:b/>
          <w:bCs/>
          <w:color w:val="auto"/>
          <w:sz w:val="21"/>
          <w:szCs w:val="21"/>
          <w:highlight w:val="none"/>
          <w:lang w:eastAsia="zh-CN"/>
        </w:rPr>
        <w:t>：</w:t>
      </w:r>
      <w:r>
        <w:rPr>
          <w:rFonts w:hint="eastAsia" w:ascii="宋体" w:hAnsi="宋体" w:eastAsia="宋体" w:cs="宋体"/>
          <w:b w:val="0"/>
          <w:bCs w:val="0"/>
          <w:color w:val="auto"/>
          <w:sz w:val="21"/>
          <w:szCs w:val="21"/>
          <w:highlight w:val="none"/>
        </w:rPr>
        <w:t>中标人和产品供货商对提供的整体产品原厂整机保修期不低于</w:t>
      </w:r>
      <w:r>
        <w:rPr>
          <w:rFonts w:hint="eastAsia" w:cs="宋体"/>
          <w:b w:val="0"/>
          <w:bCs w:val="0"/>
          <w:color w:val="auto"/>
          <w:sz w:val="21"/>
          <w:szCs w:val="21"/>
          <w:highlight w:val="none"/>
          <w:u w:val="none"/>
          <w:lang w:val="en-US" w:eastAsia="zh-CN"/>
        </w:rPr>
        <w:t>3</w:t>
      </w:r>
      <w:r>
        <w:rPr>
          <w:rFonts w:hint="eastAsia" w:ascii="宋体" w:hAnsi="宋体" w:eastAsia="宋体" w:cs="宋体"/>
          <w:b w:val="0"/>
          <w:bCs w:val="0"/>
          <w:color w:val="auto"/>
          <w:sz w:val="21"/>
          <w:szCs w:val="21"/>
          <w:highlight w:val="none"/>
        </w:rPr>
        <w:t>年（技术参数中有要求的以技术参数要求为准）。</w:t>
      </w:r>
    </w:p>
    <w:p w14:paraId="0B1DCD52">
      <w:pPr>
        <w:pStyle w:val="3"/>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leftChars="0" w:right="0" w:rightChars="0" w:firstLine="0" w:firstLineChars="0"/>
        <w:jc w:val="both"/>
        <w:textAlignment w:val="auto"/>
        <w:outlineLvl w:val="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质量保证及售后服务</w:t>
      </w:r>
      <w:r>
        <w:rPr>
          <w:rFonts w:hint="eastAsia" w:ascii="宋体" w:hAnsi="宋体" w:eastAsia="宋体" w:cs="宋体"/>
          <w:b/>
          <w:bCs/>
          <w:color w:val="auto"/>
          <w:sz w:val="21"/>
          <w:szCs w:val="21"/>
          <w:highlight w:val="none"/>
          <w:lang w:val="en-US" w:eastAsia="zh-CN"/>
        </w:rPr>
        <w:t>:</w:t>
      </w:r>
    </w:p>
    <w:p w14:paraId="60B7B603">
      <w:pPr>
        <w:pStyle w:val="3"/>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Chars="0" w:right="0" w:rightChars="0"/>
        <w:jc w:val="both"/>
        <w:textAlignment w:val="auto"/>
        <w:outlineLvl w:val="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中标人应保证所供设备是</w:t>
      </w:r>
      <w:r>
        <w:rPr>
          <w:rFonts w:hint="eastAsia" w:cs="宋体"/>
          <w:b w:val="0"/>
          <w:bCs w:val="0"/>
          <w:color w:val="auto"/>
          <w:sz w:val="21"/>
          <w:szCs w:val="21"/>
          <w:highlight w:val="none"/>
          <w:lang w:val="en-US" w:eastAsia="zh-CN"/>
        </w:rPr>
        <w:t>国产设备验收时半年内、进口设备验收时一年内</w:t>
      </w:r>
      <w:r>
        <w:rPr>
          <w:rFonts w:hint="eastAsia" w:ascii="宋体" w:hAnsi="宋体" w:eastAsia="宋体" w:cs="宋体"/>
          <w:b w:val="0"/>
          <w:bCs w:val="0"/>
          <w:color w:val="auto"/>
          <w:sz w:val="21"/>
          <w:szCs w:val="21"/>
          <w:highlight w:val="none"/>
        </w:rPr>
        <w:t xml:space="preserve">生产的（技术参数中有要求的以技术参数要求为准），全新的、未使用过的设备，并符合国家有关标准、制造厂标准及合同技术标准要求。如果设备的质量或规格与合同不符，或证实设备是有缺陷的，包括潜在的缺陷或使用不符合要求的材料等，中标人应在接到采购人通知后3日内负责更换符合标准的同型号设备，所产生的费用由中标人承担。同时，中标人应按合同规定，相应延长设备保修期。 </w:t>
      </w:r>
    </w:p>
    <w:p w14:paraId="669F9207">
      <w:pPr>
        <w:pStyle w:val="3"/>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leftChars="0" w:right="0" w:rightChars="0" w:firstLine="0" w:firstLineChars="0"/>
        <w:jc w:val="both"/>
        <w:textAlignment w:val="auto"/>
        <w:outlineLvl w:val="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保修期、质保期均按合同设备交齐给采购人对设备及其质量技术全部验收合格并交付使用且签署《验收文件》（注：《验收文件》是指已加盖采购人印章确认设备之验收合格交付使用时间的书面报告正式文件）之日起计算。</w:t>
      </w:r>
    </w:p>
    <w:p w14:paraId="29941429">
      <w:pPr>
        <w:pStyle w:val="3"/>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leftChars="0" w:right="0" w:rightChars="0" w:firstLine="0" w:firstLineChars="0"/>
        <w:jc w:val="both"/>
        <w:textAlignment w:val="auto"/>
        <w:outlineLvl w:val="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 xml:space="preserve">在保修期内，如设备非因采购人的人为原因而出现质量问题，采购人有权向中标人提出质量异议，中标人应负责包修、包换或包退，承担修理、调换或退货的实际费用；如中标人不能修复或不能退换，均按不能交货处理；中标人保证在接到故障电话后30分钟内响应用户要求、12小时内派员上门现场维护并在48小时内排除故障修复使用，如在规定时间内不能修复解决，则提供相同型号设备给采购人作为代替使用，确保设备的正常运作和使用；属于保修期后而在质保期内的并且不属于中标人质量问题的事项，可以优惠价格双方商定，材料费用由采购人承担，中标人免收材料费以外的任何费用。 </w:t>
      </w:r>
    </w:p>
    <w:p w14:paraId="62EDFF51">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Chars="0" w:right="0" w:rightChars="0"/>
        <w:jc w:val="both"/>
        <w:textAlignment w:val="auto"/>
        <w:outlineLvl w:val="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4、对设备拥有核心技术，维修备件充足，所有问题现场解决。</w:t>
      </w:r>
    </w:p>
    <w:p w14:paraId="49D56C88">
      <w:pPr>
        <w:pStyle w:val="3"/>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leftChars="0" w:right="0" w:rightChars="0" w:firstLine="0" w:firstLineChars="0"/>
        <w:jc w:val="both"/>
        <w:textAlignment w:val="auto"/>
        <w:outlineLvl w:val="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培训要求</w:t>
      </w:r>
      <w:r>
        <w:rPr>
          <w:rFonts w:hint="eastAsia" w:ascii="宋体" w:hAnsi="宋体" w:eastAsia="宋体" w:cs="宋体"/>
          <w:b/>
          <w:bCs/>
          <w:color w:val="auto"/>
          <w:sz w:val="21"/>
          <w:szCs w:val="21"/>
          <w:highlight w:val="none"/>
          <w:lang w:val="en-US" w:eastAsia="zh-CN"/>
        </w:rPr>
        <w:t>:</w:t>
      </w:r>
    </w:p>
    <w:p w14:paraId="024E2507">
      <w:pPr>
        <w:pStyle w:val="3"/>
        <w:keepNext w:val="0"/>
        <w:keepLines w:val="0"/>
        <w:pageBreakBefore w:val="0"/>
        <w:widowControl/>
        <w:numPr>
          <w:ilvl w:val="0"/>
          <w:numId w:val="5"/>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Chars="0" w:right="0" w:rightChars="0"/>
        <w:jc w:val="both"/>
        <w:textAlignment w:val="auto"/>
        <w:outlineLvl w:val="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 xml:space="preserve">中标人至少必须满足本章要求的培训服务，中标人须提供详细的培训计划。所有培训费用（含培训教材费）及各项支出由中标人承担。 </w:t>
      </w:r>
    </w:p>
    <w:p w14:paraId="5ACD7966">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right="0" w:rightChars="0"/>
        <w:jc w:val="both"/>
        <w:textAlignment w:val="auto"/>
        <w:outlineLvl w:val="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2、培训内容与课程要求供软硬件的安装、配置培训。中标人必须提供相应的应用软件技术和系统操作等方面的培训。有关应用软件的操作培训课程，培训应该在系统试运行前完成。中标人须在投标文件中提出全面、详细的培训课程以及时间表，并在合同签定后征得采购人同意后实施。对于所有培训，中标人必须派出具有相应专业资格和实际工作相应的工程师进行培训，中标人须为所有被培训人员提供培训用文字资料和讲义等相关用品。所有的资料必须是中文书写。</w:t>
      </w:r>
    </w:p>
    <w:p w14:paraId="32EFC114">
      <w:pPr>
        <w:keepNext w:val="0"/>
        <w:keepLines w:val="0"/>
        <w:pageBreakBefore w:val="0"/>
        <w:numPr>
          <w:ilvl w:val="0"/>
          <w:numId w:val="3"/>
        </w:numPr>
        <w:kinsoku/>
        <w:wordWrap/>
        <w:overflowPunct/>
        <w:topLinePunct w:val="0"/>
        <w:autoSpaceDE/>
        <w:autoSpaceDN/>
        <w:bidi w:val="0"/>
        <w:adjustRightInd/>
        <w:snapToGrid/>
        <w:spacing w:before="0" w:beforeLines="0" w:line="360" w:lineRule="auto"/>
        <w:ind w:left="0" w:leftChars="0" w:firstLine="0" w:firstLineChars="0"/>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val="0"/>
          <w:bCs w:val="0"/>
          <w:color w:val="auto"/>
          <w:sz w:val="21"/>
          <w:szCs w:val="21"/>
          <w:highlight w:val="none"/>
        </w:rPr>
        <w:t xml:space="preserve">★ </w:t>
      </w:r>
      <w:r>
        <w:rPr>
          <w:rFonts w:hint="eastAsia" w:ascii="宋体" w:hAnsi="宋体" w:eastAsia="宋体" w:cs="宋体"/>
          <w:b/>
          <w:bCs/>
          <w:color w:val="auto"/>
          <w:sz w:val="21"/>
          <w:szCs w:val="21"/>
          <w:highlight w:val="none"/>
          <w:lang w:val="en-US" w:eastAsia="zh-CN"/>
        </w:rPr>
        <w:t>报价要求：</w:t>
      </w:r>
    </w:p>
    <w:p w14:paraId="2D8CFBC8">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1. 本项目为交钥匙工程。</w:t>
      </w:r>
      <w:r>
        <w:rPr>
          <w:rFonts w:hint="eastAsia" w:ascii="宋体" w:hAnsi="宋体" w:eastAsia="宋体" w:cs="宋体"/>
          <w:b w:val="0"/>
          <w:bCs w:val="0"/>
          <w:color w:val="auto"/>
          <w:sz w:val="21"/>
          <w:szCs w:val="21"/>
          <w:highlight w:val="none"/>
        </w:rPr>
        <w:br w:type="textWrapping"/>
      </w:r>
      <w:r>
        <w:rPr>
          <w:rFonts w:hint="eastAsia" w:ascii="宋体" w:hAnsi="宋体" w:eastAsia="宋体" w:cs="宋体"/>
          <w:b w:val="0"/>
          <w:bCs w:val="0"/>
          <w:color w:val="auto"/>
          <w:sz w:val="21"/>
          <w:szCs w:val="21"/>
          <w:highlight w:val="none"/>
        </w:rPr>
        <w:t>投标人报价须为人民币含税包干价。投标总价包含为完成本项目所需的一切费用，采购人不再支付投标总价以外的任何费用。投标人应在《报价一览表》中详细列明各项分项报价，如有缺漏项，视同已包含在总价中，中标后不作任何调整。</w:t>
      </w:r>
    </w:p>
    <w:p w14:paraId="6B7833DD">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2. 报价构成（包含但不限于以下全部费用）：</w:t>
      </w:r>
    </w:p>
    <w:p w14:paraId="1ACADB11">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2.1 货物费用</w:t>
      </w:r>
      <w:r>
        <w:rPr>
          <w:rFonts w:hint="eastAsia" w:ascii="宋体" w:hAnsi="宋体" w:cs="宋体"/>
          <w:b w:val="0"/>
          <w:bCs w:val="0"/>
          <w:color w:val="auto"/>
          <w:sz w:val="21"/>
          <w:szCs w:val="21"/>
          <w:highlight w:val="none"/>
          <w:lang w:eastAsia="zh-CN"/>
        </w:rPr>
        <w:t>，</w:t>
      </w:r>
      <w:r>
        <w:rPr>
          <w:rFonts w:hint="eastAsia" w:ascii="宋体" w:hAnsi="宋体" w:cs="宋体"/>
          <w:b w:val="0"/>
          <w:bCs w:val="0"/>
          <w:color w:val="auto"/>
          <w:sz w:val="21"/>
          <w:szCs w:val="21"/>
          <w:highlight w:val="none"/>
          <w:lang w:val="en-US" w:eastAsia="zh-CN"/>
        </w:rPr>
        <w:t>包括：</w:t>
      </w:r>
      <w:r>
        <w:rPr>
          <w:rFonts w:hint="eastAsia" w:ascii="宋体" w:hAnsi="宋体" w:eastAsia="宋体" w:cs="宋体"/>
          <w:b w:val="0"/>
          <w:bCs w:val="0"/>
          <w:color w:val="auto"/>
          <w:sz w:val="21"/>
          <w:szCs w:val="21"/>
          <w:highlight w:val="none"/>
        </w:rPr>
        <w:t>产品主机价</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标准附件、备品备件、易损件、专用工具</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随配软件（含操作系统、应用软件、数据库等）的永久使用许可费</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所有相关配件、零配件</w:t>
      </w:r>
      <w:r>
        <w:rPr>
          <w:rFonts w:hint="eastAsia" w:ascii="宋体" w:hAnsi="宋体" w:cs="宋体"/>
          <w:b w:val="0"/>
          <w:bCs w:val="0"/>
          <w:color w:val="auto"/>
          <w:sz w:val="21"/>
          <w:szCs w:val="21"/>
          <w:highlight w:val="none"/>
          <w:lang w:eastAsia="zh-CN"/>
        </w:rPr>
        <w:t>。</w:t>
      </w:r>
    </w:p>
    <w:p w14:paraId="041D823B">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2.2 运抵交付费用</w:t>
      </w:r>
      <w:r>
        <w:rPr>
          <w:rFonts w:hint="eastAsia" w:ascii="宋体" w:hAnsi="宋体" w:cs="宋体"/>
          <w:b w:val="0"/>
          <w:bCs w:val="0"/>
          <w:color w:val="auto"/>
          <w:sz w:val="21"/>
          <w:szCs w:val="21"/>
          <w:highlight w:val="none"/>
          <w:lang w:eastAsia="zh-CN"/>
        </w:rPr>
        <w:t>，</w:t>
      </w:r>
      <w:r>
        <w:rPr>
          <w:rFonts w:hint="eastAsia" w:ascii="宋体" w:hAnsi="宋体" w:cs="宋体"/>
          <w:b w:val="0"/>
          <w:bCs w:val="0"/>
          <w:color w:val="auto"/>
          <w:sz w:val="21"/>
          <w:szCs w:val="21"/>
          <w:highlight w:val="none"/>
          <w:lang w:val="en-US" w:eastAsia="zh-CN"/>
        </w:rPr>
        <w:t>包括：</w:t>
      </w:r>
      <w:r>
        <w:rPr>
          <w:rFonts w:hint="eastAsia" w:ascii="宋体" w:hAnsi="宋体" w:eastAsia="宋体" w:cs="宋体"/>
          <w:b w:val="0"/>
          <w:bCs w:val="0"/>
          <w:color w:val="auto"/>
          <w:sz w:val="21"/>
          <w:szCs w:val="21"/>
          <w:highlight w:val="none"/>
        </w:rPr>
        <w:t>包装费</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运输费（含二次搬运、场内转运）</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装卸费</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仓储费</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保险费</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商检费（如涉及进口）</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银行费用</w:t>
      </w:r>
      <w:r>
        <w:rPr>
          <w:rFonts w:hint="eastAsia" w:ascii="宋体" w:hAnsi="宋体" w:cs="宋体"/>
          <w:b w:val="0"/>
          <w:bCs w:val="0"/>
          <w:color w:val="auto"/>
          <w:sz w:val="21"/>
          <w:szCs w:val="21"/>
          <w:highlight w:val="none"/>
          <w:lang w:eastAsia="zh-CN"/>
        </w:rPr>
        <w:t>，</w:t>
      </w:r>
    </w:p>
    <w:p w14:paraId="6B5CEAC3">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2.3 安装调试费用</w:t>
      </w:r>
      <w:r>
        <w:rPr>
          <w:rFonts w:hint="eastAsia" w:ascii="宋体" w:hAnsi="宋体" w:cs="宋体"/>
          <w:b w:val="0"/>
          <w:bCs w:val="0"/>
          <w:color w:val="auto"/>
          <w:sz w:val="21"/>
          <w:szCs w:val="21"/>
          <w:highlight w:val="none"/>
          <w:lang w:eastAsia="zh-CN"/>
        </w:rPr>
        <w:t>，</w:t>
      </w:r>
      <w:r>
        <w:rPr>
          <w:rFonts w:hint="eastAsia" w:ascii="宋体" w:hAnsi="宋体" w:cs="宋体"/>
          <w:b w:val="0"/>
          <w:bCs w:val="0"/>
          <w:color w:val="auto"/>
          <w:sz w:val="21"/>
          <w:szCs w:val="21"/>
          <w:highlight w:val="none"/>
          <w:lang w:val="en-US" w:eastAsia="zh-CN"/>
        </w:rPr>
        <w:t>包括：</w:t>
      </w:r>
      <w:r>
        <w:rPr>
          <w:rFonts w:hint="eastAsia" w:ascii="宋体" w:hAnsi="宋体" w:eastAsia="宋体" w:cs="宋体"/>
          <w:b w:val="0"/>
          <w:bCs w:val="0"/>
          <w:color w:val="auto"/>
          <w:sz w:val="21"/>
          <w:szCs w:val="21"/>
          <w:highlight w:val="none"/>
        </w:rPr>
        <w:t>安装费（含安装所需全部耗材、辅材）</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调试费</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安装条件改造费（包括但不限于：机房/场地必要的电路、水路、网络、承重、屏蔽、防护等改造费用，以及因现场条件与投标人预期不符而产生的所有适应性调整费用）</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脚手架搭拆费、吊装费、水电接入费</w:t>
      </w:r>
      <w:r>
        <w:rPr>
          <w:rFonts w:hint="eastAsia" w:ascii="宋体" w:hAnsi="宋体" w:cs="宋体"/>
          <w:b w:val="0"/>
          <w:bCs w:val="0"/>
          <w:color w:val="auto"/>
          <w:sz w:val="21"/>
          <w:szCs w:val="21"/>
          <w:highlight w:val="none"/>
          <w:lang w:eastAsia="zh-CN"/>
        </w:rPr>
        <w:t>。</w:t>
      </w:r>
    </w:p>
    <w:p w14:paraId="49197321">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2.4 检测与验收费用</w:t>
      </w:r>
      <w:r>
        <w:rPr>
          <w:rFonts w:hint="eastAsia" w:ascii="宋体" w:hAnsi="宋体" w:cs="宋体"/>
          <w:b w:val="0"/>
          <w:bCs w:val="0"/>
          <w:color w:val="auto"/>
          <w:sz w:val="21"/>
          <w:szCs w:val="21"/>
          <w:highlight w:val="none"/>
          <w:lang w:eastAsia="zh-CN"/>
        </w:rPr>
        <w:t>，</w:t>
      </w:r>
      <w:r>
        <w:rPr>
          <w:rFonts w:hint="eastAsia" w:ascii="宋体" w:hAnsi="宋体" w:cs="宋体"/>
          <w:b w:val="0"/>
          <w:bCs w:val="0"/>
          <w:color w:val="auto"/>
          <w:sz w:val="21"/>
          <w:szCs w:val="21"/>
          <w:highlight w:val="none"/>
          <w:lang w:val="en-US" w:eastAsia="zh-CN"/>
        </w:rPr>
        <w:t>包括：</w:t>
      </w:r>
      <w:r>
        <w:rPr>
          <w:rFonts w:hint="eastAsia" w:ascii="宋体" w:hAnsi="宋体" w:eastAsia="宋体" w:cs="宋体"/>
          <w:b w:val="0"/>
          <w:bCs w:val="0"/>
          <w:color w:val="auto"/>
          <w:sz w:val="21"/>
          <w:szCs w:val="21"/>
          <w:highlight w:val="none"/>
        </w:rPr>
        <w:t>出厂检验费</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到货开箱检验费</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安装后的验收检测费（含国家强制性的验收检测、状态检测、稳定性检测等）</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计量检定费（如属于国家强制检定计量器具）</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质量监督检验部门及相关第三方检测机构的全部验收费</w:t>
      </w:r>
      <w:r>
        <w:rPr>
          <w:rFonts w:hint="eastAsia" w:ascii="宋体" w:hAnsi="宋体" w:cs="宋体"/>
          <w:b w:val="0"/>
          <w:bCs w:val="0"/>
          <w:color w:val="auto"/>
          <w:sz w:val="21"/>
          <w:szCs w:val="21"/>
          <w:highlight w:val="none"/>
          <w:lang w:eastAsia="zh-CN"/>
        </w:rPr>
        <w:t>。</w:t>
      </w:r>
    </w:p>
    <w:p w14:paraId="008D03AD">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2.5 技术服务与培训费用</w:t>
      </w:r>
      <w:r>
        <w:rPr>
          <w:rFonts w:hint="eastAsia" w:ascii="宋体" w:hAnsi="宋体" w:cs="宋体"/>
          <w:b w:val="0"/>
          <w:bCs w:val="0"/>
          <w:color w:val="auto"/>
          <w:sz w:val="21"/>
          <w:szCs w:val="21"/>
          <w:highlight w:val="none"/>
          <w:lang w:eastAsia="zh-CN"/>
        </w:rPr>
        <w:t>，</w:t>
      </w:r>
      <w:r>
        <w:rPr>
          <w:rFonts w:hint="eastAsia" w:ascii="宋体" w:hAnsi="宋体" w:cs="宋体"/>
          <w:b w:val="0"/>
          <w:bCs w:val="0"/>
          <w:color w:val="auto"/>
          <w:sz w:val="21"/>
          <w:szCs w:val="21"/>
          <w:highlight w:val="none"/>
          <w:lang w:val="en-US" w:eastAsia="zh-CN"/>
        </w:rPr>
        <w:t>包括：</w:t>
      </w:r>
      <w:r>
        <w:rPr>
          <w:rFonts w:hint="eastAsia" w:ascii="宋体" w:hAnsi="宋体" w:eastAsia="宋体" w:cs="宋体"/>
          <w:b w:val="0"/>
          <w:bCs w:val="0"/>
          <w:color w:val="auto"/>
          <w:sz w:val="21"/>
          <w:szCs w:val="21"/>
          <w:highlight w:val="none"/>
        </w:rPr>
        <w:t>现场技术指导费</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操作人员培训费（含教材、资料、考核证书等）</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维修工程师培训费</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数字化对接服务费（与医院HIS、PACS、LIS等系统的接口开发、调试、测试及永久使用授权费）</w:t>
      </w:r>
      <w:r>
        <w:rPr>
          <w:rFonts w:hint="eastAsia" w:ascii="宋体" w:hAnsi="宋体" w:cs="宋体"/>
          <w:b w:val="0"/>
          <w:bCs w:val="0"/>
          <w:color w:val="auto"/>
          <w:sz w:val="21"/>
          <w:szCs w:val="21"/>
          <w:highlight w:val="none"/>
          <w:lang w:eastAsia="zh-CN"/>
        </w:rPr>
        <w:t>。</w:t>
      </w:r>
    </w:p>
    <w:p w14:paraId="648D971F">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2.6 行政审批协助费用</w:t>
      </w:r>
      <w:r>
        <w:rPr>
          <w:rFonts w:hint="eastAsia" w:ascii="宋体" w:hAnsi="宋体" w:cs="宋体"/>
          <w:b w:val="0"/>
          <w:bCs w:val="0"/>
          <w:color w:val="auto"/>
          <w:sz w:val="21"/>
          <w:szCs w:val="21"/>
          <w:highlight w:val="none"/>
          <w:lang w:eastAsia="zh-CN"/>
        </w:rPr>
        <w:t>，</w:t>
      </w:r>
    </w:p>
    <w:p w14:paraId="0DDD76E9">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医疗器械注册证核验：中标人须提供所投产品的《医疗器械注册证》及附件，相关费用已包含在报价中。</w:t>
      </w:r>
    </w:p>
    <w:p w14:paraId="58E575C8">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放射诊疗设备专项服务：如所投产品属于射线装置或放射性同位素设备，中标人须承担以下工作所涉及的全部费用——</w:t>
      </w:r>
    </w:p>
    <w:p w14:paraId="4E7032F8">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完成职业病危害放射防护预评价、控制效果评价及竣工验收；</w:t>
      </w:r>
    </w:p>
    <w:p w14:paraId="2601567E">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完成《放射诊疗许可证》的设备增项/变更；</w:t>
      </w:r>
    </w:p>
    <w:p w14:paraId="76AFA846">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完成《辐射安全许可证》的设备台账增补。</w:t>
      </w:r>
      <w:r>
        <w:rPr>
          <w:rFonts w:hint="eastAsia" w:ascii="宋体" w:hAnsi="宋体" w:eastAsia="宋体" w:cs="宋体"/>
          <w:b w:val="0"/>
          <w:bCs w:val="0"/>
          <w:color w:val="auto"/>
          <w:sz w:val="21"/>
          <w:szCs w:val="21"/>
          <w:highlight w:val="none"/>
        </w:rPr>
        <w:br w:type="textWrapping"/>
      </w:r>
      <w:r>
        <w:rPr>
          <w:rFonts w:hint="eastAsia" w:ascii="宋体" w:hAnsi="宋体" w:eastAsia="宋体" w:cs="宋体"/>
          <w:b w:val="0"/>
          <w:bCs w:val="0"/>
          <w:color w:val="auto"/>
          <w:sz w:val="21"/>
          <w:szCs w:val="21"/>
          <w:highlight w:val="none"/>
        </w:rPr>
        <w:t>上述行政审批工作未完成、导致设备无法按期投入临床使用的，视为中标人逾期交货。</w:t>
      </w:r>
    </w:p>
    <w:p w14:paraId="3B653F49">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2.7 售后服务费用</w:t>
      </w:r>
      <w:r>
        <w:rPr>
          <w:rFonts w:hint="eastAsia" w:ascii="宋体" w:hAnsi="宋体" w:cs="宋体"/>
          <w:b w:val="0"/>
          <w:bCs w:val="0"/>
          <w:color w:val="auto"/>
          <w:sz w:val="21"/>
          <w:szCs w:val="21"/>
          <w:highlight w:val="none"/>
          <w:lang w:eastAsia="zh-CN"/>
        </w:rPr>
        <w:t>，</w:t>
      </w:r>
      <w:r>
        <w:rPr>
          <w:rFonts w:hint="eastAsia" w:ascii="宋体" w:hAnsi="宋体" w:cs="宋体"/>
          <w:b w:val="0"/>
          <w:bCs w:val="0"/>
          <w:color w:val="auto"/>
          <w:sz w:val="21"/>
          <w:szCs w:val="21"/>
          <w:highlight w:val="none"/>
          <w:lang w:val="en-US" w:eastAsia="zh-CN"/>
        </w:rPr>
        <w:t>包括：</w:t>
      </w:r>
      <w:r>
        <w:rPr>
          <w:rFonts w:hint="eastAsia" w:ascii="宋体" w:hAnsi="宋体" w:eastAsia="宋体" w:cs="宋体"/>
          <w:b w:val="0"/>
          <w:bCs w:val="0"/>
          <w:color w:val="auto"/>
          <w:sz w:val="21"/>
          <w:szCs w:val="21"/>
          <w:highlight w:val="none"/>
        </w:rPr>
        <w:t>质保期内全部维修、保养、零配件更换费用</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故障响应、现场检修、技术支持费用</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质保期满后首次年检/强检费用（如采购文件有明确要求）</w:t>
      </w:r>
    </w:p>
    <w:p w14:paraId="416CEA3C">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2.8 其他费用</w:t>
      </w:r>
      <w:r>
        <w:rPr>
          <w:rFonts w:hint="eastAsia" w:ascii="宋体" w:hAnsi="宋体" w:cs="宋体"/>
          <w:b w:val="0"/>
          <w:bCs w:val="0"/>
          <w:color w:val="auto"/>
          <w:sz w:val="21"/>
          <w:szCs w:val="21"/>
          <w:highlight w:val="none"/>
          <w:lang w:eastAsia="zh-CN"/>
        </w:rPr>
        <w:t>，</w:t>
      </w:r>
      <w:r>
        <w:rPr>
          <w:rFonts w:hint="eastAsia" w:ascii="宋体" w:hAnsi="宋体" w:cs="宋体"/>
          <w:b w:val="0"/>
          <w:bCs w:val="0"/>
          <w:color w:val="auto"/>
          <w:sz w:val="21"/>
          <w:szCs w:val="21"/>
          <w:highlight w:val="none"/>
          <w:lang w:val="en-US" w:eastAsia="zh-CN"/>
        </w:rPr>
        <w:t>包括：</w:t>
      </w:r>
      <w:r>
        <w:rPr>
          <w:rFonts w:hint="eastAsia" w:ascii="宋体" w:hAnsi="宋体" w:eastAsia="宋体" w:cs="宋体"/>
          <w:b w:val="0"/>
          <w:bCs w:val="0"/>
          <w:color w:val="auto"/>
          <w:sz w:val="21"/>
          <w:szCs w:val="21"/>
          <w:highlight w:val="none"/>
        </w:rPr>
        <w:t>税金（增值税及附加）</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采购文件约定</w:t>
      </w:r>
      <w:r>
        <w:rPr>
          <w:rFonts w:hint="eastAsia" w:ascii="宋体" w:hAnsi="宋体" w:cs="宋体"/>
          <w:b w:val="0"/>
          <w:bCs w:val="0"/>
          <w:color w:val="auto"/>
          <w:sz w:val="21"/>
          <w:szCs w:val="21"/>
          <w:highlight w:val="none"/>
          <w:lang w:val="en-US" w:eastAsia="zh-CN"/>
        </w:rPr>
        <w:t>的费用，</w:t>
      </w:r>
      <w:r>
        <w:rPr>
          <w:rFonts w:hint="eastAsia" w:ascii="宋体" w:hAnsi="宋体" w:eastAsia="宋体" w:cs="宋体"/>
          <w:b w:val="0"/>
          <w:bCs w:val="0"/>
          <w:color w:val="auto"/>
          <w:sz w:val="21"/>
          <w:szCs w:val="21"/>
          <w:highlight w:val="none"/>
        </w:rPr>
        <w:t>合同实施过程中可预见的及不可预见的所有风险费用</w:t>
      </w:r>
    </w:p>
    <w:p w14:paraId="4020BF99">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3. 报价约束</w:t>
      </w:r>
    </w:p>
    <w:p w14:paraId="7061C134">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投标报价不得超过采购预算（最高限价），否则按无效投标处理。</w:t>
      </w:r>
    </w:p>
    <w:p w14:paraId="7657506C">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投标人须对所投包内所有产品和内容进行唯一报价，不接受选择性报价、浮动报价或附有条件报价。</w:t>
      </w:r>
    </w:p>
    <w:p w14:paraId="25B5810D">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中标后，投标人不得以任何理由（包括但不限于现场条件复杂、工程量增加、市场价格上涨等）要求追加费用。</w:t>
      </w:r>
    </w:p>
    <w:p w14:paraId="1B8D0C22">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 xml:space="preserve"> </w:t>
      </w:r>
    </w:p>
    <w:p w14:paraId="6B1E9915">
      <w:pPr>
        <w:pStyle w:val="3"/>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leftChars="0" w:right="0" w:rightChars="0" w:firstLine="0" w:firstLineChars="0"/>
        <w:jc w:val="both"/>
        <w:textAlignment w:val="auto"/>
        <w:outlineLvl w:val="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保密要求</w:t>
      </w:r>
    </w:p>
    <w:p w14:paraId="1B8D403D">
      <w:pPr>
        <w:pStyle w:val="3"/>
        <w:keepNext w:val="0"/>
        <w:keepLines w:val="0"/>
        <w:pageBreakBefore w:val="0"/>
        <w:widowControl/>
        <w:numPr>
          <w:ilvl w:val="0"/>
          <w:numId w:val="6"/>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Chars="0" w:right="0" w:rightChars="0"/>
        <w:jc w:val="both"/>
        <w:textAlignment w:val="auto"/>
        <w:outlineLvl w:val="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中标人须与采购单位签订保密协议书。</w:t>
      </w:r>
    </w:p>
    <w:p w14:paraId="3BC6D5A3">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right="0" w:rightChars="0"/>
        <w:jc w:val="both"/>
        <w:textAlignment w:val="auto"/>
        <w:outlineLvl w:val="0"/>
        <w:rPr>
          <w:rFonts w:hint="eastAsia" w:eastAsia="宋体"/>
          <w:color w:val="auto"/>
          <w:sz w:val="30"/>
          <w:szCs w:val="30"/>
          <w:highlight w:val="none"/>
          <w:lang w:val="en-US" w:eastAsia="zh-CN"/>
        </w:rPr>
      </w:pPr>
      <w:r>
        <w:rPr>
          <w:rFonts w:hint="eastAsia" w:ascii="宋体" w:hAnsi="宋体" w:eastAsia="宋体" w:cs="宋体"/>
          <w:b w:val="0"/>
          <w:bCs w:val="0"/>
          <w:color w:val="auto"/>
          <w:sz w:val="21"/>
          <w:szCs w:val="21"/>
          <w:highlight w:val="none"/>
        </w:rPr>
        <w:t>2、中标人不能私自复制或留存、私自开发应用、对外公布数据，或提供数据给第三方使用。中标人须承诺按照国家、省有关法规文件规定，开展生产工作、履行保密责任，如中标人在项目实施过程中造成数据泄漏或违反其它保密条例的，将追究法律责任。采购人对于知悉中标人的有关合同事宜同样负有保密义务。</w:t>
      </w:r>
    </w:p>
    <w:p w14:paraId="09B4CD62">
      <w:pPr>
        <w:spacing w:beforeLines="0" w:line="360" w:lineRule="auto"/>
        <w:rPr>
          <w:color w:val="auto"/>
          <w:highlight w:val="none"/>
        </w:rPr>
      </w:pPr>
    </w:p>
    <w:sectPr>
      <w:footerReference r:id="rId3"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68EA3C">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201CCF6">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201CCF6">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5CE80D"/>
    <w:multiLevelType w:val="singleLevel"/>
    <w:tmpl w:val="945CE80D"/>
    <w:lvl w:ilvl="0" w:tentative="0">
      <w:start w:val="5"/>
      <w:numFmt w:val="chineseCounting"/>
      <w:suff w:val="nothing"/>
      <w:lvlText w:val="%1、"/>
      <w:lvlJc w:val="left"/>
      <w:rPr>
        <w:rFonts w:hint="eastAsia"/>
      </w:rPr>
    </w:lvl>
  </w:abstractNum>
  <w:abstractNum w:abstractNumId="1">
    <w:nsid w:val="E817728B"/>
    <w:multiLevelType w:val="singleLevel"/>
    <w:tmpl w:val="E817728B"/>
    <w:lvl w:ilvl="0" w:tentative="0">
      <w:start w:val="1"/>
      <w:numFmt w:val="decimal"/>
      <w:suff w:val="nothing"/>
      <w:lvlText w:val="%1、"/>
      <w:lvlJc w:val="left"/>
    </w:lvl>
  </w:abstractNum>
  <w:abstractNum w:abstractNumId="2">
    <w:nsid w:val="17B3C4F8"/>
    <w:multiLevelType w:val="singleLevel"/>
    <w:tmpl w:val="17B3C4F8"/>
    <w:lvl w:ilvl="0" w:tentative="0">
      <w:start w:val="1"/>
      <w:numFmt w:val="chineseCounting"/>
      <w:suff w:val="nothing"/>
      <w:lvlText w:val="（%1）"/>
      <w:lvlJc w:val="left"/>
      <w:rPr>
        <w:rFonts w:hint="eastAsia"/>
      </w:rPr>
    </w:lvl>
  </w:abstractNum>
  <w:abstractNum w:abstractNumId="3">
    <w:nsid w:val="254B9F25"/>
    <w:multiLevelType w:val="singleLevel"/>
    <w:tmpl w:val="254B9F25"/>
    <w:lvl w:ilvl="0" w:tentative="0">
      <w:start w:val="1"/>
      <w:numFmt w:val="decimal"/>
      <w:suff w:val="nothing"/>
      <w:lvlText w:val="%1、"/>
      <w:lvlJc w:val="left"/>
    </w:lvl>
  </w:abstractNum>
  <w:abstractNum w:abstractNumId="4">
    <w:nsid w:val="2B7BFE92"/>
    <w:multiLevelType w:val="singleLevel"/>
    <w:tmpl w:val="2B7BFE92"/>
    <w:lvl w:ilvl="0" w:tentative="0">
      <w:start w:val="1"/>
      <w:numFmt w:val="decimal"/>
      <w:suff w:val="nothing"/>
      <w:lvlText w:val="%1、"/>
      <w:lvlJc w:val="left"/>
    </w:lvl>
  </w:abstractNum>
  <w:abstractNum w:abstractNumId="5">
    <w:nsid w:val="41B5D8F4"/>
    <w:multiLevelType w:val="singleLevel"/>
    <w:tmpl w:val="41B5D8F4"/>
    <w:lvl w:ilvl="0" w:tentative="0">
      <w:start w:val="1"/>
      <w:numFmt w:val="decimal"/>
      <w:suff w:val="nothing"/>
      <w:lvlText w:val="%1、"/>
      <w:lvlJc w:val="left"/>
    </w:lvl>
  </w:abstractNum>
  <w:num w:numId="1">
    <w:abstractNumId w:val="1"/>
  </w:num>
  <w:num w:numId="2">
    <w:abstractNumId w:val="0"/>
  </w:num>
  <w:num w:numId="3">
    <w:abstractNumId w:val="2"/>
  </w:num>
  <w:num w:numId="4">
    <w:abstractNumId w:val="3"/>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A7C1749"/>
    <w:rsid w:val="0C681DEC"/>
    <w:rsid w:val="10F85AD8"/>
    <w:rsid w:val="1F923AE4"/>
    <w:rsid w:val="20C9632E"/>
    <w:rsid w:val="2B6A3250"/>
    <w:rsid w:val="2EEA0B7C"/>
    <w:rsid w:val="349D0CA7"/>
    <w:rsid w:val="3A7C1749"/>
    <w:rsid w:val="3B5F1F97"/>
    <w:rsid w:val="3C2C3D8D"/>
    <w:rsid w:val="3DCC37A6"/>
    <w:rsid w:val="3E867EC2"/>
    <w:rsid w:val="4556724D"/>
    <w:rsid w:val="488B5B98"/>
    <w:rsid w:val="48DC0DD3"/>
    <w:rsid w:val="51A51D9A"/>
    <w:rsid w:val="53933738"/>
    <w:rsid w:val="53965353"/>
    <w:rsid w:val="561104ED"/>
    <w:rsid w:val="592F0152"/>
    <w:rsid w:val="5BBF0129"/>
    <w:rsid w:val="5EAC2CE3"/>
    <w:rsid w:val="66EA2E83"/>
    <w:rsid w:val="6A8224AE"/>
    <w:rsid w:val="70DD6C98"/>
    <w:rsid w:val="748C0CD6"/>
    <w:rsid w:val="785004DD"/>
    <w:rsid w:val="7C6B56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qFormat/>
    <w:uiPriority w:val="0"/>
    <w:pPr>
      <w:spacing w:before="100" w:beforeAutospacing="1" w:after="100" w:afterAutospacing="1"/>
      <w:jc w:val="left"/>
      <w:outlineLvl w:val="0"/>
    </w:pPr>
    <w:rPr>
      <w:rFonts w:hint="eastAsia" w:ascii="宋体" w:hAnsi="宋体" w:eastAsia="宋体" w:cs="宋体"/>
      <w:b/>
      <w:bCs/>
      <w:kern w:val="44"/>
      <w:sz w:val="48"/>
      <w:szCs w:val="48"/>
      <w:lang w:val="en-US" w:eastAsia="zh-CN" w:bidi="ar"/>
    </w:rPr>
  </w:style>
  <w:style w:type="paragraph" w:styleId="2">
    <w:name w:val="heading 3"/>
    <w:basedOn w:val="1"/>
    <w:next w:val="1"/>
    <w:unhideWhenUsed/>
    <w:qFormat/>
    <w:uiPriority w:val="9"/>
    <w:pPr>
      <w:keepNext/>
      <w:keepLines/>
      <w:spacing w:after="414" w:line="264" w:lineRule="auto"/>
      <w:ind w:left="70" w:hanging="10"/>
      <w:jc w:val="center"/>
      <w:outlineLvl w:val="2"/>
    </w:pPr>
    <w:rPr>
      <w:rFonts w:ascii="微软雅黑" w:hAnsi="微软雅黑" w:eastAsia="微软雅黑" w:cs="微软雅黑"/>
      <w:color w:val="000000"/>
      <w:kern w:val="2"/>
      <w:sz w:val="28"/>
      <w:szCs w:val="22"/>
      <w:lang w:val="en-US" w:eastAsia="zh-CN" w:bidi="ar-SA"/>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4">
    <w:name w:val="Normal Indent"/>
    <w:basedOn w:val="1"/>
    <w:unhideWhenUsed/>
    <w:qFormat/>
    <w:uiPriority w:val="99"/>
    <w:pPr>
      <w:ind w:firstLine="420" w:firstLineChars="200"/>
    </w:pPr>
  </w:style>
  <w:style w:type="paragraph" w:styleId="5">
    <w:name w:val="annotation text"/>
    <w:basedOn w:val="1"/>
    <w:qFormat/>
    <w:uiPriority w:val="0"/>
    <w:pPr>
      <w:jc w:val="left"/>
    </w:pPr>
  </w:style>
  <w:style w:type="paragraph" w:styleId="6">
    <w:name w:val="Body Text"/>
    <w:basedOn w:val="1"/>
    <w:next w:val="1"/>
    <w:qFormat/>
    <w:uiPriority w:val="0"/>
    <w:pPr>
      <w:ind w:firstLine="482" w:firstLineChars="200"/>
    </w:pPr>
    <w:rPr>
      <w:rFonts w:hAnsi="宋体"/>
      <w:color w:val="000000"/>
      <w:szCs w:val="24"/>
      <w:lang w:val="zh-CN"/>
    </w:rPr>
  </w:style>
  <w:style w:type="paragraph" w:styleId="7">
    <w:name w:val="Body Text Indent 2"/>
    <w:basedOn w:val="1"/>
    <w:qFormat/>
    <w:uiPriority w:val="0"/>
    <w:pPr>
      <w:spacing w:after="120" w:line="480" w:lineRule="auto"/>
      <w:ind w:left="420" w:leftChars="20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Body Text First Indent"/>
    <w:basedOn w:val="6"/>
    <w:qFormat/>
    <w:uiPriority w:val="0"/>
    <w:pPr>
      <w:spacing w:after="120"/>
      <w:ind w:firstLine="420"/>
    </w:pPr>
    <w:rPr>
      <w:sz w:val="21"/>
      <w:szCs w:val="24"/>
      <w:lang w:val="zh-CN"/>
    </w:rPr>
  </w:style>
  <w:style w:type="table" w:styleId="12">
    <w:name w:val="Table Grid"/>
    <w:basedOn w:val="11"/>
    <w:qFormat/>
    <w:uiPriority w:val="59"/>
    <w:pPr>
      <w:widowControl w:val="0"/>
      <w:jc w:val="both"/>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annotation reference"/>
    <w:basedOn w:val="13"/>
    <w:qFormat/>
    <w:uiPriority w:val="0"/>
    <w:rPr>
      <w:sz w:val="21"/>
      <w:szCs w:val="21"/>
    </w:rPr>
  </w:style>
  <w:style w:type="paragraph" w:customStyle="1" w:styleId="15">
    <w:name w:val="null3"/>
    <w:qFormat/>
    <w:uiPriority w:val="0"/>
    <w:rPr>
      <w:rFonts w:hint="eastAsia" w:ascii="Calibri" w:hAnsi="Calibri" w:eastAsia="宋体" w:cs="Times New Roman"/>
      <w:lang w:val="en-US" w:eastAsia="zh-Hans"/>
    </w:rPr>
  </w:style>
  <w:style w:type="paragraph" w:styleId="16">
    <w:name w:val="List Paragraph"/>
    <w:basedOn w:val="1"/>
    <w:qFormat/>
    <w:uiPriority w:val="34"/>
    <w:pPr>
      <w:widowControl/>
      <w:ind w:left="720"/>
      <w:jc w:val="left"/>
    </w:pPr>
    <w:rPr>
      <w:rFonts w:ascii="Calibri" w:hAnsi="Calibri"/>
      <w:szCs w:val="24"/>
      <w:lang w:eastAsia="en-US" w:bidi="en-US"/>
    </w:rPr>
  </w:style>
  <w:style w:type="table" w:customStyle="1" w:styleId="17">
    <w:name w:val="网格表 1 浅色1"/>
    <w:basedOn w:val="11"/>
    <w:qFormat/>
    <w:uiPriority w:val="46"/>
    <w:rPr>
      <w:rFonts w:ascii="Calibri" w:hAnsi="Calibri"/>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character" w:customStyle="1" w:styleId="18">
    <w:name w:val="font21"/>
    <w:basedOn w:val="13"/>
    <w:qFormat/>
    <w:uiPriority w:val="0"/>
    <w:rPr>
      <w:rFonts w:hint="eastAsia" w:ascii="微软雅黑" w:hAnsi="微软雅黑" w:eastAsia="微软雅黑" w:cs="微软雅黑"/>
      <w:color w:val="000000"/>
      <w:sz w:val="18"/>
      <w:szCs w:val="18"/>
      <w:u w:val="none"/>
    </w:rPr>
  </w:style>
  <w:style w:type="paragraph" w:customStyle="1" w:styleId="19">
    <w:name w:val="Table Text"/>
    <w:basedOn w:val="1"/>
    <w:semiHidden/>
    <w:qFormat/>
    <w:uiPriority w:val="0"/>
    <w:rPr>
      <w:rFonts w:ascii="宋体" w:hAnsi="宋体" w:eastAsia="宋体" w:cs="宋体"/>
      <w:sz w:val="20"/>
      <w:szCs w:val="20"/>
      <w:lang w:val="en-US" w:eastAsia="en-US" w:bidi="ar-SA"/>
    </w:rPr>
  </w:style>
  <w:style w:type="paragraph" w:customStyle="1" w:styleId="20">
    <w:name w:val="表格文字"/>
    <w:basedOn w:val="1"/>
    <w:qFormat/>
    <w:uiPriority w:val="0"/>
    <w:pPr>
      <w:jc w:val="left"/>
    </w:pPr>
    <w:rPr>
      <w:rFonts w:ascii="Calibri" w:hAnsi="Calibri" w:eastAsia="宋体" w:cs="Times New Roman"/>
      <w:spacing w:val="10"/>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7692</Words>
  <Characters>8129</Characters>
  <Lines>0</Lines>
  <Paragraphs>0</Paragraphs>
  <TotalTime>0</TotalTime>
  <ScaleCrop>false</ScaleCrop>
  <LinksUpToDate>false</LinksUpToDate>
  <CharactersWithSpaces>8200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2026-02-26T04:14:00Z</dcterms:created>
  <dc:creator>熙罗</dc:creator>
  <cp:lastModifiedBy>熙罗</cp:lastModifiedBy>
  <dcterms:modified xsi:type="dcterms:W3CDTF">2026-03-05T12:47:59Z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58596A255C4849D49957CCDDF3398ACD_11</vt:lpwstr>
  </property>
  <property fmtid="{D5CDD505-2E9C-101B-9397-08002B2CF9AE}" pid="4" name="KSOTemplateDocerSaveRecord">
    <vt:lpwstr>eyJoZGlkIjoiODQyZDFiZTVhYTNkMGJlNTRhZmQwY2U5Y2YyY2U3YzUiLCJ1c2VySWQiOiI0OTczNzkzMjMifQ==</vt:lpwstr>
  </property>
</Properties>
</file>