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BCD7E">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cs="宋体"/>
          <w:b/>
          <w:bCs/>
          <w:color w:val="auto"/>
          <w:kern w:val="0"/>
          <w:sz w:val="36"/>
          <w:szCs w:val="36"/>
          <w:highlight w:val="none"/>
          <w:lang w:val="en-US" w:eastAsia="zh-CN" w:bidi="ar"/>
        </w:rPr>
        <w:t>70视频眼震图仪</w:t>
      </w:r>
      <w:r>
        <w:rPr>
          <w:rFonts w:hint="eastAsia" w:ascii="宋体" w:hAnsi="宋体" w:eastAsia="宋体" w:cs="宋体"/>
          <w:b/>
          <w:bCs/>
          <w:color w:val="auto"/>
          <w:kern w:val="0"/>
          <w:sz w:val="36"/>
          <w:szCs w:val="36"/>
          <w:highlight w:val="none"/>
          <w:lang w:val="en-US" w:eastAsia="zh-CN" w:bidi="ar"/>
        </w:rPr>
        <w:t>用户需求书</w:t>
      </w:r>
    </w:p>
    <w:p w14:paraId="0118F6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5A476F0C">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4FDE97B7">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6A305FA7">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4A6D1C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192375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40" w:firstLineChars="200"/>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采购预算及最高限价或耗材的最高限价:按第二阶段调查后确定</w:t>
      </w:r>
    </w:p>
    <w:p w14:paraId="0A6268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40" w:firstLineChars="200"/>
        <w:jc w:val="both"/>
        <w:textAlignment w:val="auto"/>
        <w:rPr>
          <w:rFonts w:hint="eastAsia" w:cs="宋体"/>
          <w:b/>
          <w:bCs/>
          <w:color w:val="auto"/>
          <w:sz w:val="21"/>
          <w:szCs w:val="21"/>
          <w:highlight w:val="none"/>
          <w:lang w:val="en-US" w:eastAsia="zh-CN"/>
        </w:rPr>
      </w:pPr>
      <w:r>
        <w:rPr>
          <w:rFonts w:hint="eastAsia" w:ascii="宋体" w:hAnsi="宋体" w:eastAsia="宋体" w:cs="宋体"/>
          <w:b w:val="0"/>
          <w:bCs w:val="0"/>
          <w:color w:val="auto"/>
          <w:sz w:val="22"/>
          <w:szCs w:val="22"/>
          <w:highlight w:val="none"/>
          <w:lang w:val="en-US" w:eastAsia="zh-CN"/>
        </w:rPr>
        <w:t>项目类型为货物类，采购品目：</w:t>
      </w:r>
      <w:r>
        <w:rPr>
          <w:rFonts w:hint="eastAsia" w:cs="宋体"/>
          <w:b/>
          <w:bCs/>
          <w:color w:val="auto"/>
          <w:sz w:val="21"/>
          <w:szCs w:val="21"/>
          <w:highlight w:val="none"/>
          <w:lang w:val="en-US" w:eastAsia="zh-CN"/>
        </w:rPr>
        <w:t>医用光学仪器（A02320400）</w:t>
      </w:r>
    </w:p>
    <w:p w14:paraId="4835F8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2" w:firstLineChars="200"/>
        <w:jc w:val="both"/>
        <w:textAlignment w:val="auto"/>
        <w:rPr>
          <w:rFonts w:hint="eastAsia" w:cs="宋体"/>
          <w:b/>
          <w:bCs/>
          <w:color w:val="auto"/>
          <w:sz w:val="21"/>
          <w:szCs w:val="21"/>
          <w:highlight w:val="none"/>
          <w:lang w:val="en-US" w:eastAsia="zh-CN"/>
        </w:rPr>
      </w:pPr>
      <w:r>
        <w:rPr>
          <w:rFonts w:hint="eastAsia" w:cs="宋体"/>
          <w:b/>
          <w:bCs/>
          <w:color w:val="auto"/>
          <w:sz w:val="21"/>
          <w:szCs w:val="21"/>
          <w:highlight w:val="none"/>
          <w:lang w:val="en-US" w:eastAsia="zh-CN"/>
        </w:rPr>
        <w:t>本项目采购包采购标的对应的中小企业划分标准所属行业为：工业</w:t>
      </w:r>
    </w:p>
    <w:p w14:paraId="7EF3E2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1413C206">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一、设备主要用途</w:t>
      </w:r>
    </w:p>
    <w:p w14:paraId="07730274">
      <w:pPr>
        <w:keepNext w:val="0"/>
        <w:keepLines w:val="0"/>
        <w:pageBreakBefore w:val="0"/>
        <w:widowControl w:val="0"/>
        <w:kinsoku/>
        <w:wordWrap/>
        <w:overflowPunct/>
        <w:topLinePunct w:val="0"/>
        <w:autoSpaceDE/>
        <w:autoSpaceDN/>
        <w:bidi w:val="0"/>
        <w:adjustRightInd/>
        <w:snapToGrid w:val="0"/>
        <w:spacing w:line="360" w:lineRule="auto"/>
        <w:ind w:firstLine="240" w:firstLineChars="100"/>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医疗机构内用于记录眼震及眼动轨迹，辅助诊断眩晕症；</w:t>
      </w:r>
    </w:p>
    <w:p w14:paraId="3A98FE96">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二、主机眼罩参数：（“▲”或一般参数有注明的投标人须提供厂家白皮书或说明书等有效证明材料，且验收时提供出厂检测报告</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w:t>
      </w:r>
    </w:p>
    <w:p w14:paraId="6246CE1A">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1.具备三种不同分辨率对应的帧率:1920*1440  60fps；640*480 60fps；320*240 440fps；（须提供厂家白皮书或说明书等有效证明材料）</w:t>
      </w:r>
    </w:p>
    <w:p w14:paraId="30C64532">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color w:val="auto"/>
          <w:sz w:val="24"/>
          <w:szCs w:val="24"/>
          <w:highlight w:val="none"/>
        </w:rPr>
        <w:t>双眼眼罩设计，可以完成左、右双眼的检查</w:t>
      </w:r>
      <w:r>
        <w:rPr>
          <w:rFonts w:hint="eastAsia" w:ascii="宋体" w:hAnsi="宋体" w:eastAsia="宋体" w:cs="宋体"/>
          <w:b w:val="0"/>
          <w:bCs w:val="0"/>
          <w:color w:val="auto"/>
          <w:kern w:val="0"/>
          <w:sz w:val="24"/>
          <w:szCs w:val="24"/>
          <w:highlight w:val="none"/>
        </w:rPr>
        <w:t>。</w:t>
      </w:r>
    </w:p>
    <w:p w14:paraId="5153D3FE">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3.眼罩具备眼震数据，曲线，波形，视频等关键参数采集，记录，分析功能</w:t>
      </w:r>
    </w:p>
    <w:p w14:paraId="17BC26FC">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kern w:val="0"/>
          <w:sz w:val="24"/>
          <w:szCs w:val="24"/>
          <w:highlight w:val="none"/>
        </w:rPr>
        <w:t>3D眼震分析功能</w:t>
      </w:r>
      <w:r>
        <w:rPr>
          <w:rFonts w:hint="eastAsia" w:ascii="宋体" w:hAnsi="宋体" w:eastAsia="宋体" w:cs="宋体"/>
          <w:b w:val="0"/>
          <w:bCs w:val="0"/>
          <w:color w:val="auto"/>
          <w:kern w:val="0"/>
          <w:sz w:val="24"/>
          <w:szCs w:val="24"/>
          <w:highlight w:val="none"/>
          <w:lang w:eastAsia="zh-CN"/>
        </w:rPr>
        <w:t>：具备</w:t>
      </w:r>
      <w:r>
        <w:rPr>
          <w:rFonts w:hint="eastAsia" w:ascii="宋体" w:hAnsi="宋体" w:eastAsia="宋体" w:cs="宋体"/>
          <w:b w:val="0"/>
          <w:bCs w:val="0"/>
          <w:color w:val="auto"/>
          <w:kern w:val="0"/>
          <w:sz w:val="24"/>
          <w:szCs w:val="24"/>
          <w:highlight w:val="none"/>
        </w:rPr>
        <w:t>同步描记并分析水平、垂直、扭转眼震曲线，全面评估眼球运动状态。</w:t>
      </w:r>
    </w:p>
    <w:p w14:paraId="7FA49E69">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color w:val="auto"/>
          <w:sz w:val="24"/>
          <w:szCs w:val="24"/>
          <w:highlight w:val="none"/>
        </w:rPr>
        <w:t>自动追踪瞳孔位置，实时追踪眼球动态，高清传输每一帧画面</w:t>
      </w:r>
    </w:p>
    <w:p w14:paraId="70EB1BD5">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6.</w:t>
      </w:r>
      <w:r>
        <w:rPr>
          <w:rFonts w:hint="eastAsia" w:ascii="宋体" w:hAnsi="宋体" w:eastAsia="宋体" w:cs="宋体"/>
          <w:b w:val="0"/>
          <w:bCs w:val="0"/>
          <w:color w:val="auto"/>
          <w:kern w:val="0"/>
          <w:sz w:val="24"/>
          <w:szCs w:val="24"/>
          <w:highlight w:val="none"/>
          <w:lang w:eastAsia="zh-CN"/>
        </w:rPr>
        <w:t>眼球追踪：具备实时追踪眼球动态，高清视频数据传输通道。</w:t>
      </w:r>
    </w:p>
    <w:p w14:paraId="70A3759F">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7.水平眼动识别准确度：识别误差范围：±1.2°，-30°（左）≤ 眼动范围 ≤ +30°（右）；（须提供厂家白皮书或说明书等有效证明材料）</w:t>
      </w:r>
    </w:p>
    <w:p w14:paraId="332548BC">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8.垂直眼动识别准确度：识别误差范围：±1.2°；-30°（下）≤ 眼动范围 ≤ +30°（上）；（须提供厂家白皮书或说明书等有效证明材料）</w:t>
      </w:r>
    </w:p>
    <w:p w14:paraId="39B01E1D">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9.▲轴向眼动识别准确度：识别误差范围：±1°，-18°（逆时针）≤ 眼动范围 ≤ +18°（顺时针）；（须提供厂家白皮书或说明书等有效证明材料）</w:t>
      </w:r>
    </w:p>
    <w:p w14:paraId="11C68D6A">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color w:val="auto"/>
          <w:sz w:val="24"/>
          <w:szCs w:val="24"/>
          <w:highlight w:val="none"/>
        </w:rPr>
        <w:t>▲</w:t>
      </w:r>
      <w:r>
        <w:rPr>
          <w:rFonts w:hint="eastAsia" w:ascii="宋体" w:hAnsi="宋体" w:eastAsia="宋体" w:cs="宋体"/>
          <w:b w:val="0"/>
          <w:bCs w:val="0"/>
          <w:color w:val="auto"/>
          <w:sz w:val="24"/>
          <w:szCs w:val="24"/>
          <w:highlight w:val="none"/>
          <w:lang w:val="en-US" w:eastAsia="zh-CN"/>
        </w:rPr>
        <w:t>头动速度识别准确度：头动速度识别准确度误差范围±3°/s，速度范围（±250°/s）；（须提供厂家白皮书或说明书等有效证明材料）</w:t>
      </w:r>
    </w:p>
    <w:p w14:paraId="189D2F34">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11.眼动刺激信号准确度：频率准确度（正弦波、方波）误差范围±3%，速度准确度误差范围±6%</w:t>
      </w:r>
    </w:p>
    <w:p w14:paraId="0CA615AF">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12.固视抑制功能：具备固视抑制灯，自动完成固视抑制计算；</w:t>
      </w:r>
    </w:p>
    <w:p w14:paraId="36D962C5">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13.设备使用年限：有效使用年限≥8年；</w:t>
      </w:r>
    </w:p>
    <w:p w14:paraId="7683AD03">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三、主机试验模块：（设备验收时提供检验报告）</w:t>
      </w:r>
    </w:p>
    <w:p w14:paraId="3E8D7F90">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color w:val="auto"/>
          <w:sz w:val="24"/>
          <w:szCs w:val="24"/>
          <w:highlight w:val="none"/>
        </w:rPr>
        <w:t>▲</w:t>
      </w:r>
      <w:r>
        <w:rPr>
          <w:rFonts w:hint="eastAsia" w:ascii="宋体" w:hAnsi="宋体" w:eastAsia="宋体" w:cs="宋体"/>
          <w:b w:val="0"/>
          <w:bCs w:val="0"/>
          <w:color w:val="auto"/>
          <w:sz w:val="24"/>
          <w:szCs w:val="24"/>
          <w:highlight w:val="none"/>
          <w:lang w:val="en-US" w:eastAsia="zh-CN"/>
        </w:rPr>
        <w:t>试验模块配置：</w:t>
      </w:r>
      <w:r>
        <w:rPr>
          <w:rFonts w:hint="eastAsia" w:ascii="宋体" w:hAnsi="宋体" w:eastAsia="宋体" w:cs="宋体"/>
          <w:b w:val="0"/>
          <w:color w:val="auto"/>
          <w:sz w:val="24"/>
          <w:szCs w:val="24"/>
          <w:highlight w:val="none"/>
        </w:rPr>
        <w:t>功能模块：校准试验、自发性眼震试验，位置试验（静态、动态）、温度试验、视动试验（水平、垂直）、平稳追踪试验（水平、垂直）、扫视试验（水平、垂直）、凝视试验（水平、垂直）、视频头脉冲试验（甩头、甩头抑制）、VVOR/VORS等试验；</w:t>
      </w:r>
      <w:r>
        <w:rPr>
          <w:rFonts w:hint="eastAsia" w:ascii="宋体" w:hAnsi="宋体" w:eastAsia="宋体" w:cs="宋体"/>
          <w:b w:val="0"/>
          <w:bCs w:val="0"/>
          <w:color w:val="auto"/>
          <w:kern w:val="0"/>
          <w:sz w:val="24"/>
          <w:szCs w:val="24"/>
          <w:highlight w:val="none"/>
          <w:lang w:val="en-US" w:eastAsia="zh-CN"/>
        </w:rPr>
        <w:t>可实现自定义试验组合；</w:t>
      </w:r>
    </w:p>
    <w:p w14:paraId="0F09D857">
      <w:pPr>
        <w:pStyle w:val="7"/>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w:t>
      </w:r>
      <w:r>
        <w:rPr>
          <w:rFonts w:hint="eastAsia" w:ascii="宋体" w:hAnsi="宋体" w:eastAsia="宋体" w:cs="宋体"/>
          <w:b w:val="0"/>
          <w:color w:val="auto"/>
          <w:sz w:val="24"/>
          <w:szCs w:val="24"/>
          <w:highlight w:val="none"/>
          <w:lang w:eastAsia="zh-CN"/>
        </w:rPr>
        <w:t>其中</w:t>
      </w:r>
      <w:r>
        <w:rPr>
          <w:rFonts w:hint="eastAsia" w:ascii="宋体" w:hAnsi="宋体" w:eastAsia="宋体" w:cs="宋体"/>
          <w:b w:val="0"/>
          <w:color w:val="auto"/>
          <w:sz w:val="24"/>
          <w:szCs w:val="24"/>
          <w:highlight w:val="none"/>
        </w:rPr>
        <w:t>视频头脉冲试验（甩头、甩头抑制）：可以选择单独完成左眼、右眼和双眼的甩头试验检查，可进行VVOR、VORS等试验</w:t>
      </w:r>
      <w:r>
        <w:rPr>
          <w:rFonts w:hint="eastAsia" w:ascii="宋体" w:hAnsi="宋体" w:eastAsia="宋体" w:cs="宋体"/>
          <w:b w:val="0"/>
          <w:color w:val="auto"/>
          <w:sz w:val="24"/>
          <w:szCs w:val="24"/>
          <w:highlight w:val="none"/>
          <w:lang w:eastAsia="zh-CN"/>
        </w:rPr>
        <w:t>；</w:t>
      </w:r>
    </w:p>
    <w:p w14:paraId="133A6CA7">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3.基本要求：自主研发诊断软件，视频图像清晰，包含视频储存与回放功能；</w:t>
      </w:r>
    </w:p>
    <w:p w14:paraId="18503DF5">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4.可描记并分析眼球水平、垂直、扭转3D运动曲线与结果，出具眼震报告；</w:t>
      </w:r>
    </w:p>
    <w:p w14:paraId="1FF437C0">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5.▲四位一体同步显示：眼动视频、体位视频、眼震曲线、SPV值四位一体同步显示；可自动分析慢相角速度，且播放速度可调</w:t>
      </w:r>
    </w:p>
    <w:p w14:paraId="3D0E974D">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color w:val="auto"/>
          <w:sz w:val="24"/>
          <w:szCs w:val="24"/>
          <w:highlight w:val="none"/>
        </w:rPr>
        <w:t>分析功能：每个实验可以单独获取的眼震数据，并进行独立分析；具备精确的眼震分析图；可以分析病人有无眼震，显示眼震的方向以及慢相角速度；精度</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color w:val="auto"/>
          <w:sz w:val="24"/>
          <w:szCs w:val="24"/>
          <w:highlight w:val="none"/>
        </w:rPr>
        <w:t>0.1度</w:t>
      </w:r>
      <w:r>
        <w:rPr>
          <w:rFonts w:hint="eastAsia" w:ascii="宋体" w:hAnsi="宋体" w:eastAsia="宋体" w:cs="宋体"/>
          <w:b w:val="0"/>
          <w:color w:val="auto"/>
          <w:sz w:val="24"/>
          <w:szCs w:val="24"/>
          <w:highlight w:val="none"/>
          <w:lang w:eastAsia="zh-CN"/>
        </w:rPr>
        <w:t>；</w:t>
      </w:r>
    </w:p>
    <w:p w14:paraId="1115C56E">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7.▲提供国家认可的第三方检验机构（如CMA、CNAS)出具的检验报告；</w:t>
      </w:r>
    </w:p>
    <w:p w14:paraId="72B10A74">
      <w:pPr>
        <w:pStyle w:val="2"/>
        <w:spacing w:line="360" w:lineRule="auto"/>
        <w:ind w:firstLine="0" w:firstLineChars="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val="en-US" w:eastAsia="zh-CN"/>
        </w:rPr>
        <w:t>8.</w:t>
      </w:r>
      <w:r>
        <w:rPr>
          <w:rFonts w:hint="eastAsia" w:ascii="宋体" w:hAnsi="宋体" w:eastAsia="宋体" w:cs="宋体"/>
          <w:b w:val="0"/>
          <w:color w:val="auto"/>
          <w:sz w:val="24"/>
          <w:szCs w:val="24"/>
          <w:highlight w:val="none"/>
        </w:rPr>
        <w:t>内置问诊表：包含总结、眩晕及平衡失调、听力下降、耳鸣、步态失调、头痛、既往史、家族史、个人史和过往诊断治疗史等。</w:t>
      </w:r>
    </w:p>
    <w:p w14:paraId="1E97BD5F">
      <w:pPr>
        <w:pStyle w:val="2"/>
        <w:spacing w:line="360" w:lineRule="auto"/>
        <w:ind w:firstLine="0" w:firstLineChars="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val="en-US" w:eastAsia="zh-CN"/>
        </w:rPr>
        <w:t>9.</w:t>
      </w:r>
      <w:r>
        <w:rPr>
          <w:rFonts w:hint="eastAsia" w:ascii="宋体" w:hAnsi="宋体" w:eastAsia="宋体" w:cs="宋体"/>
          <w:b w:val="0"/>
          <w:color w:val="auto"/>
          <w:sz w:val="24"/>
          <w:szCs w:val="24"/>
          <w:highlight w:val="none"/>
        </w:rPr>
        <w:t>诊断报告：单独打印每个实验的分析数据图以及医生的初诊结果，可以展示专家会诊后的病例报告。</w:t>
      </w:r>
    </w:p>
    <w:p w14:paraId="07AA1CD3">
      <w:pPr>
        <w:pStyle w:val="2"/>
        <w:spacing w:line="360" w:lineRule="auto"/>
        <w:ind w:firstLine="0" w:firstLineChars="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val="en-US" w:eastAsia="zh-CN"/>
        </w:rPr>
        <w:t>10.</w:t>
      </w:r>
      <w:r>
        <w:rPr>
          <w:rFonts w:hint="eastAsia" w:ascii="宋体" w:hAnsi="宋体" w:eastAsia="宋体" w:cs="宋体"/>
          <w:b w:val="0"/>
          <w:color w:val="auto"/>
          <w:sz w:val="24"/>
          <w:szCs w:val="24"/>
          <w:highlight w:val="none"/>
        </w:rPr>
        <w:t>体位视频：同步体位视频采集，方便回顾实验时判断眼震方向</w:t>
      </w:r>
    </w:p>
    <w:p w14:paraId="13F6352D">
      <w:pPr>
        <w:pStyle w:val="2"/>
        <w:spacing w:line="360" w:lineRule="auto"/>
        <w:ind w:firstLine="0" w:firstLineChars="0"/>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val="en-US" w:eastAsia="zh-CN"/>
        </w:rPr>
        <w:t>11.具备</w:t>
      </w:r>
      <w:r>
        <w:rPr>
          <w:rFonts w:hint="eastAsia" w:ascii="宋体" w:hAnsi="宋体" w:eastAsia="宋体" w:cs="宋体"/>
          <w:b w:val="0"/>
          <w:color w:val="auto"/>
          <w:sz w:val="24"/>
          <w:szCs w:val="24"/>
          <w:highlight w:val="none"/>
        </w:rPr>
        <w:t>远程数据传输</w:t>
      </w:r>
      <w:r>
        <w:rPr>
          <w:rFonts w:hint="eastAsia" w:ascii="宋体" w:hAnsi="宋体" w:eastAsia="宋体" w:cs="宋体"/>
          <w:b w:val="0"/>
          <w:color w:val="auto"/>
          <w:sz w:val="24"/>
          <w:szCs w:val="24"/>
          <w:highlight w:val="none"/>
          <w:lang w:eastAsia="zh-CN"/>
        </w:rPr>
        <w:t>功能；</w:t>
      </w:r>
    </w:p>
    <w:p w14:paraId="6580799C">
      <w:pPr>
        <w:rPr>
          <w:rFonts w:hint="eastAsia" w:ascii="宋体" w:cs="宋体"/>
          <w:color w:val="auto"/>
          <w:sz w:val="24"/>
          <w:szCs w:val="32"/>
          <w:highlight w:val="none"/>
          <w:lang w:val="en-US" w:eastAsia="zh-CN"/>
        </w:rPr>
      </w:pPr>
      <w:r>
        <w:rPr>
          <w:rFonts w:hint="eastAsia" w:ascii="宋体" w:cs="宋体"/>
          <w:b w:val="0"/>
          <w:color w:val="auto"/>
          <w:sz w:val="24"/>
          <w:szCs w:val="24"/>
          <w:highlight w:val="none"/>
          <w:lang w:val="en-US" w:eastAsia="zh-CN"/>
        </w:rPr>
        <w:t>12</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color w:val="auto"/>
          <w:sz w:val="24"/>
          <w:szCs w:val="32"/>
          <w:highlight w:val="none"/>
          <w:lang w:val="en-US" w:eastAsia="zh-CN"/>
        </w:rPr>
        <w:t>具备冷热刺激功能</w:t>
      </w:r>
      <w:r>
        <w:rPr>
          <w:rFonts w:hint="eastAsia" w:ascii="宋体" w:cs="宋体"/>
          <w:color w:val="auto"/>
          <w:sz w:val="24"/>
          <w:szCs w:val="32"/>
          <w:highlight w:val="none"/>
          <w:lang w:val="en-US" w:eastAsia="zh-CN"/>
        </w:rPr>
        <w:t>；</w:t>
      </w:r>
    </w:p>
    <w:p w14:paraId="256D6DE4">
      <w:pPr>
        <w:rPr>
          <w:rFonts w:hint="eastAsia" w:ascii="宋体" w:hAnsi="宋体" w:eastAsia="宋体" w:cs="宋体"/>
          <w:color w:val="auto"/>
          <w:sz w:val="24"/>
          <w:szCs w:val="32"/>
          <w:highlight w:val="none"/>
          <w:lang w:val="en-US" w:eastAsia="zh-CN"/>
        </w:rPr>
      </w:pPr>
      <w:r>
        <w:rPr>
          <w:rFonts w:hint="eastAsia" w:ascii="宋体" w:cs="宋体"/>
          <w:color w:val="auto"/>
          <w:sz w:val="24"/>
          <w:szCs w:val="32"/>
          <w:highlight w:val="none"/>
          <w:lang w:val="en-US" w:eastAsia="zh-CN"/>
        </w:rPr>
        <w:t>13.具有</w:t>
      </w:r>
      <w:r>
        <w:rPr>
          <w:rFonts w:hint="eastAsia" w:ascii="宋体" w:hAnsi="宋体" w:eastAsia="宋体" w:cs="宋体"/>
          <w:color w:val="auto"/>
          <w:sz w:val="24"/>
          <w:szCs w:val="32"/>
          <w:highlight w:val="none"/>
          <w:lang w:val="en-US" w:eastAsia="zh-CN"/>
        </w:rPr>
        <w:t>前庭功能康复训练功能</w:t>
      </w:r>
      <w:r>
        <w:rPr>
          <w:rFonts w:hint="eastAsia" w:ascii="宋体" w:cs="宋体"/>
          <w:color w:val="auto"/>
          <w:sz w:val="24"/>
          <w:szCs w:val="32"/>
          <w:highlight w:val="none"/>
          <w:lang w:val="en-US" w:eastAsia="zh-CN"/>
        </w:rPr>
        <w:t>；</w:t>
      </w:r>
    </w:p>
    <w:p w14:paraId="6228CA96">
      <w:pPr>
        <w:pStyle w:val="2"/>
        <w:spacing w:line="360" w:lineRule="auto"/>
        <w:ind w:firstLine="0" w:firstLineChars="0"/>
        <w:rPr>
          <w:rFonts w:hint="eastAsia" w:ascii="宋体" w:hAnsi="宋体" w:eastAsia="宋体" w:cs="宋体"/>
          <w:b/>
          <w:bCs/>
          <w:color w:val="auto"/>
          <w:sz w:val="24"/>
          <w:szCs w:val="24"/>
          <w:highlight w:val="none"/>
          <w:lang w:eastAsia="zh-CN"/>
        </w:rPr>
      </w:pPr>
      <w:r>
        <w:rPr>
          <w:rFonts w:hint="eastAsia" w:ascii="宋体" w:cs="宋体"/>
          <w:b w:val="0"/>
          <w:color w:val="auto"/>
          <w:sz w:val="24"/>
          <w:szCs w:val="24"/>
          <w:highlight w:val="none"/>
          <w:lang w:val="en-US" w:eastAsia="zh-CN"/>
        </w:rPr>
        <w:t>13</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主要配置：</w:t>
      </w:r>
    </w:p>
    <w:p w14:paraId="03B2E3BC">
      <w:pPr>
        <w:pStyle w:val="2"/>
        <w:spacing w:line="360" w:lineRule="auto"/>
        <w:rPr>
          <w:rFonts w:hint="eastAsia" w:ascii="宋体" w:cs="宋体"/>
          <w:color w:val="auto"/>
          <w:sz w:val="24"/>
          <w:highlight w:val="none"/>
          <w:lang w:val="en-US" w:eastAsia="zh-CN"/>
        </w:rPr>
      </w:pPr>
      <w:r>
        <w:rPr>
          <w:rFonts w:hint="eastAsia" w:ascii="宋体" w:hAnsi="宋体" w:eastAsia="宋体" w:cs="宋体"/>
          <w:b w:val="0"/>
          <w:color w:val="auto"/>
          <w:sz w:val="24"/>
          <w:szCs w:val="24"/>
          <w:highlight w:val="none"/>
        </w:rPr>
        <w:t>主机眼罩1套、LED视靶(50寸)1台、脚踏开关1个、数据电缆1套、说明书1本、</w:t>
      </w:r>
      <w:r>
        <w:rPr>
          <w:rFonts w:hint="eastAsia" w:ascii="宋体" w:hAnsi="宋体" w:eastAsia="宋体" w:cs="宋体"/>
          <w:b w:val="0"/>
          <w:color w:val="auto"/>
          <w:sz w:val="24"/>
          <w:szCs w:val="24"/>
          <w:highlight w:val="none"/>
          <w:lang w:eastAsia="zh-CN"/>
        </w:rPr>
        <w:t>系统操控</w:t>
      </w:r>
      <w:r>
        <w:rPr>
          <w:rFonts w:hint="eastAsia" w:ascii="宋体" w:hAnsi="宋体" w:eastAsia="宋体" w:cs="宋体"/>
          <w:b w:val="0"/>
          <w:color w:val="auto"/>
          <w:sz w:val="24"/>
          <w:szCs w:val="24"/>
          <w:highlight w:val="none"/>
        </w:rPr>
        <w:t>电脑1台、打印机1台</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lang w:val="en-US" w:eastAsia="zh-CN"/>
        </w:rPr>
        <w:t>座椅1个</w:t>
      </w:r>
      <w:r>
        <w:rPr>
          <w:rFonts w:hint="eastAsia" w:ascii="宋体" w:cs="宋体"/>
          <w:b w:val="0"/>
          <w:color w:val="auto"/>
          <w:sz w:val="24"/>
          <w:szCs w:val="24"/>
          <w:highlight w:val="none"/>
          <w:lang w:val="en-US" w:eastAsia="zh-CN"/>
        </w:rPr>
        <w:t>、</w:t>
      </w:r>
      <w:r>
        <w:rPr>
          <w:rFonts w:hint="eastAsia" w:ascii="宋体" w:hAnsi="宋体" w:eastAsia="宋体" w:cs="宋体"/>
          <w:b w:val="0"/>
          <w:bCs w:val="0"/>
          <w:color w:val="auto"/>
          <w:sz w:val="24"/>
          <w:szCs w:val="24"/>
          <w:highlight w:val="none"/>
        </w:rPr>
        <w:t>前庭气体刺激器1台</w:t>
      </w:r>
      <w:r>
        <w:rPr>
          <w:rFonts w:hint="eastAsia" w:ascii="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软件</w:t>
      </w:r>
      <w:r>
        <w:rPr>
          <w:rFonts w:hint="eastAsia" w:ascii="宋体" w:hAnsi="宋体" w:cs="宋体"/>
          <w:color w:val="auto"/>
          <w:sz w:val="24"/>
          <w:szCs w:val="24"/>
          <w:highlight w:val="none"/>
          <w:lang w:val="en-US" w:eastAsia="zh-CN"/>
        </w:rPr>
        <w:t>1套（要求带</w:t>
      </w:r>
      <w:r>
        <w:rPr>
          <w:rFonts w:hint="eastAsia" w:ascii="宋体" w:hAnsi="宋体" w:eastAsia="宋体" w:cs="宋体"/>
          <w:color w:val="auto"/>
          <w:sz w:val="24"/>
          <w:szCs w:val="24"/>
          <w:highlight w:val="none"/>
          <w:lang w:val="en-US" w:eastAsia="zh-CN"/>
        </w:rPr>
        <w:t>智能分析、AI功能等</w:t>
      </w:r>
      <w:r>
        <w:rPr>
          <w:rFonts w:hint="eastAsia" w:ascii="宋体" w:hAnsi="宋体" w:cs="宋体"/>
          <w:color w:val="auto"/>
          <w:sz w:val="24"/>
          <w:szCs w:val="24"/>
          <w:highlight w:val="none"/>
          <w:lang w:val="en-US" w:eastAsia="zh-CN"/>
        </w:rPr>
        <w:t>）</w:t>
      </w:r>
    </w:p>
    <w:p w14:paraId="483BE854">
      <w:pPr>
        <w:pStyle w:val="2"/>
        <w:rPr>
          <w:rFonts w:hint="eastAsia" w:ascii="宋体" w:hAnsi="宋体" w:eastAsia="宋体" w:cs="宋体"/>
          <w:b/>
          <w:bCs/>
          <w:color w:val="auto"/>
          <w:sz w:val="24"/>
          <w:szCs w:val="24"/>
          <w:highlight w:val="none"/>
          <w:lang w:val="en-US" w:eastAsia="zh-CN"/>
        </w:rPr>
      </w:pPr>
    </w:p>
    <w:p w14:paraId="4760D3D4">
      <w:pPr>
        <w:pStyle w:val="7"/>
        <w:spacing w:line="360" w:lineRule="auto"/>
        <w:rPr>
          <w:rFonts w:hint="default" w:ascii="宋体" w:hAnsi="宋体" w:eastAsia="宋体" w:cs="宋体"/>
          <w:b/>
          <w:bCs/>
          <w:color w:val="auto"/>
          <w:sz w:val="24"/>
          <w:szCs w:val="24"/>
          <w:highlight w:val="none"/>
          <w:lang w:val="en-US" w:eastAsia="zh-CN"/>
        </w:rPr>
      </w:pPr>
    </w:p>
    <w:p w14:paraId="33032F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13E266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highlight w:val="none"/>
          <w:lang w:val="en-US" w:eastAsia="zh-CN"/>
        </w:rPr>
        <w:t>合同签定后30日内交货</w:t>
      </w:r>
    </w:p>
    <w:p w14:paraId="55A68D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bookmarkStart w:id="0" w:name="_GoBack"/>
      <w:bookmarkEnd w:id="0"/>
      <w:r>
        <w:rPr>
          <w:rFonts w:hint="eastAsia" w:ascii="宋体" w:hAnsi="宋体" w:eastAsia="宋体" w:cs="宋体"/>
          <w:b/>
          <w:bCs/>
          <w:color w:val="auto"/>
          <w:sz w:val="21"/>
          <w:szCs w:val="21"/>
          <w:highlight w:val="none"/>
          <w:lang w:val="en-US" w:eastAsia="zh-CN"/>
        </w:rPr>
        <w:t>采购人指定的地点</w:t>
      </w:r>
    </w:p>
    <w:p w14:paraId="09314646">
      <w:pPr>
        <w:pStyle w:val="16"/>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三、付款方式：</w:t>
      </w:r>
      <w:r>
        <w:rPr>
          <w:rFonts w:hint="eastAsia" w:ascii="宋体" w:hAnsi="宋体" w:eastAsia="宋体" w:cs="宋体"/>
          <w:b w:val="0"/>
          <w:bCs w:val="0"/>
          <w:color w:val="auto"/>
          <w:sz w:val="21"/>
          <w:szCs w:val="21"/>
          <w:highlight w:val="none"/>
          <w:lang w:val="en-US" w:eastAsia="zh-CN"/>
        </w:rPr>
        <w:t>1.全部设备验收合格后六个月内由甲方向乙方支付合同总金额的60%。</w:t>
      </w:r>
    </w:p>
    <w:p w14:paraId="7C5DF94C">
      <w:pPr>
        <w:pStyle w:val="16"/>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2.验收合格后满一年由甲方向乙方支付合同总金额的30%。</w:t>
      </w:r>
    </w:p>
    <w:p w14:paraId="4701CE0C">
      <w:pPr>
        <w:pStyle w:val="16"/>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质保期满后，由甲方向乙方支付合同总金额的10%。</w:t>
      </w:r>
    </w:p>
    <w:p w14:paraId="5DD2C849">
      <w:pPr>
        <w:pStyle w:val="16"/>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合同款项以人民币转账方式支付。每次付款前乙方凭以下材料提出付款申请：（1）正式等额发票；（2）合同；（3）中标通知书；（4）验收报告。</w:t>
      </w:r>
    </w:p>
    <w:p w14:paraId="68A91A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6F35FC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17D42F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130FA5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579FE4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14D638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5BDAD1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5C1B15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7D0619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7153093A">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eastAsia="宋体" w:cs="宋体"/>
          <w:b w:val="0"/>
          <w:bCs w:val="0"/>
          <w:color w:val="auto"/>
          <w:sz w:val="21"/>
          <w:szCs w:val="21"/>
          <w:highlight w:val="none"/>
          <w:lang w:eastAsia="zh-CN"/>
        </w:rPr>
        <w:t xml:space="preserve"> </w:t>
      </w: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1090F235">
      <w:pPr>
        <w:pStyle w:val="4"/>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49F2D3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2D461E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239113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5A54B6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400CA0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00DE4D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4F67F4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561206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57D6AB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56BB7D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44A521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64C926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7CA3E6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503733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51F848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6BB8AB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7A65CC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7533F8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077A54A6">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72B81891">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6B86A014">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279CD9F7">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5CD5D675">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7F9A76F2">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6BB74372">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10D008D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5D988E29">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69C074C9">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670E8F3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66F1248F">
      <w:pPr>
        <w:keepNext w:val="0"/>
        <w:keepLines w:val="0"/>
        <w:pageBreakBefore w:val="0"/>
        <w:numPr>
          <w:ilvl w:val="0"/>
          <w:numId w:val="3"/>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12B59B0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5D617C3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63CD323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62B7219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2058A33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694B613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77F6CB0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25AE278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4445FCD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71B981A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12A71D1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6B0524A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67467E4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58EF281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07A0DE4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1006D44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40BE276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6A4A178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517D545D">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17D55ED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53C83428">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16FD81EF">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7117B75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7FEEA6DB">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5AED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0725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10725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17B3C4F8"/>
    <w:multiLevelType w:val="singleLevel"/>
    <w:tmpl w:val="17B3C4F8"/>
    <w:lvl w:ilvl="0" w:tentative="0">
      <w:start w:val="1"/>
      <w:numFmt w:val="chineseCounting"/>
      <w:suff w:val="nothing"/>
      <w:lvlText w:val="（%1）"/>
      <w:lvlJc w:val="left"/>
      <w:rPr>
        <w:rFonts w:hint="eastAsia"/>
      </w:rPr>
    </w:lvl>
  </w:abstractNum>
  <w:abstractNum w:abstractNumId="3">
    <w:nsid w:val="254B9F25"/>
    <w:multiLevelType w:val="singleLevel"/>
    <w:tmpl w:val="254B9F25"/>
    <w:lvl w:ilvl="0" w:tentative="0">
      <w:start w:val="1"/>
      <w:numFmt w:val="decimal"/>
      <w:suff w:val="nothing"/>
      <w:lvlText w:val="%1、"/>
      <w:lvlJc w:val="left"/>
    </w:lvl>
  </w:abstractNum>
  <w:abstractNum w:abstractNumId="4">
    <w:nsid w:val="2B7BFE92"/>
    <w:multiLevelType w:val="singleLevel"/>
    <w:tmpl w:val="2B7BFE92"/>
    <w:lvl w:ilvl="0" w:tentative="0">
      <w:start w:val="1"/>
      <w:numFmt w:val="decimal"/>
      <w:suff w:val="nothing"/>
      <w:lvlText w:val="%1、"/>
      <w:lvlJc w:val="left"/>
    </w:lvl>
  </w:abstractNum>
  <w:abstractNum w:abstractNumId="5">
    <w:nsid w:val="41B5D8F4"/>
    <w:multiLevelType w:val="singleLevel"/>
    <w:tmpl w:val="41B5D8F4"/>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C681DEC"/>
    <w:rsid w:val="10F85AD8"/>
    <w:rsid w:val="1247564B"/>
    <w:rsid w:val="19DB1246"/>
    <w:rsid w:val="1F923AE4"/>
    <w:rsid w:val="20B50492"/>
    <w:rsid w:val="20C9632E"/>
    <w:rsid w:val="2B6A3250"/>
    <w:rsid w:val="2EEA0B7C"/>
    <w:rsid w:val="330C1FFB"/>
    <w:rsid w:val="3A7C1749"/>
    <w:rsid w:val="3B5F1F97"/>
    <w:rsid w:val="3DCC37A6"/>
    <w:rsid w:val="3E867EC2"/>
    <w:rsid w:val="4556724D"/>
    <w:rsid w:val="488B5B98"/>
    <w:rsid w:val="48DC0DD3"/>
    <w:rsid w:val="51A51D9A"/>
    <w:rsid w:val="53933738"/>
    <w:rsid w:val="561104ED"/>
    <w:rsid w:val="592F0152"/>
    <w:rsid w:val="5BBF0129"/>
    <w:rsid w:val="5EAC2CE3"/>
    <w:rsid w:val="62FF6933"/>
    <w:rsid w:val="69336BE3"/>
    <w:rsid w:val="6A8224AE"/>
    <w:rsid w:val="70DD6C98"/>
    <w:rsid w:val="78500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4">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firstLine="482" w:firstLineChars="200"/>
    </w:pPr>
    <w:rPr>
      <w:rFonts w:hAnsi="宋体"/>
      <w:color w:val="000000"/>
      <w:szCs w:val="24"/>
      <w:lang w:val="zh-CN"/>
    </w:rPr>
  </w:style>
  <w:style w:type="paragraph" w:styleId="5">
    <w:name w:val="Normal Indent"/>
    <w:basedOn w:val="1"/>
    <w:unhideWhenUsed/>
    <w:qFormat/>
    <w:uiPriority w:val="99"/>
    <w:pPr>
      <w:ind w:firstLine="420" w:firstLineChars="200"/>
    </w:pPr>
  </w:style>
  <w:style w:type="paragraph" w:styleId="6">
    <w:name w:val="annotation text"/>
    <w:basedOn w:val="1"/>
    <w:qFormat/>
    <w:uiPriority w:val="0"/>
    <w:pPr>
      <w:jc w:val="left"/>
    </w:pPr>
  </w:style>
  <w:style w:type="paragraph" w:styleId="7">
    <w:name w:val="Plain Text"/>
    <w:basedOn w:val="1"/>
    <w:qFormat/>
    <w:uiPriority w:val="0"/>
    <w:rPr>
      <w:rFonts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2"/>
    <w:qFormat/>
    <w:uiPriority w:val="0"/>
    <w:pPr>
      <w:spacing w:after="120"/>
      <w:ind w:firstLine="420"/>
    </w:pPr>
    <w:rPr>
      <w:sz w:val="21"/>
      <w:szCs w:val="24"/>
      <w:lang w:val="zh-CN"/>
    </w:rPr>
  </w:style>
  <w:style w:type="table" w:styleId="13">
    <w:name w:val="Table Grid"/>
    <w:basedOn w:val="12"/>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qFormat/>
    <w:uiPriority w:val="0"/>
    <w:rPr>
      <w:sz w:val="21"/>
      <w:szCs w:val="21"/>
    </w:rPr>
  </w:style>
  <w:style w:type="paragraph" w:customStyle="1" w:styleId="16">
    <w:name w:val="null3"/>
    <w:qFormat/>
    <w:uiPriority w:val="0"/>
    <w:rPr>
      <w:rFonts w:hint="eastAsia" w:ascii="Calibri" w:hAnsi="Calibri" w:eastAsia="宋体" w:cs="Times New Roman"/>
      <w:lang w:val="en-US" w:eastAsia="zh-Hans"/>
    </w:rPr>
  </w:style>
  <w:style w:type="paragraph" w:styleId="17">
    <w:name w:val="List Paragraph"/>
    <w:basedOn w:val="1"/>
    <w:qFormat/>
    <w:uiPriority w:val="34"/>
    <w:pPr>
      <w:widowControl/>
      <w:ind w:left="720"/>
      <w:jc w:val="left"/>
    </w:pPr>
    <w:rPr>
      <w:rFonts w:ascii="Calibri" w:hAnsi="Calibri"/>
      <w:szCs w:val="24"/>
      <w:lang w:eastAsia="en-US" w:bidi="en-US"/>
    </w:rPr>
  </w:style>
  <w:style w:type="table" w:customStyle="1" w:styleId="18">
    <w:name w:val="网格表 1 浅色1"/>
    <w:basedOn w:val="12"/>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font21"/>
    <w:basedOn w:val="14"/>
    <w:qFormat/>
    <w:uiPriority w:val="0"/>
    <w:rPr>
      <w:rFonts w:hint="eastAsia" w:ascii="微软雅黑" w:hAnsi="微软雅黑" w:eastAsia="微软雅黑" w:cs="微软雅黑"/>
      <w:color w:val="000000"/>
      <w:sz w:val="18"/>
      <w:szCs w:val="18"/>
      <w:u w:val="none"/>
    </w:rPr>
  </w:style>
  <w:style w:type="paragraph" w:customStyle="1" w:styleId="20">
    <w:name w:val="Table Text"/>
    <w:basedOn w:val="1"/>
    <w:semiHidden/>
    <w:qFormat/>
    <w:uiPriority w:val="0"/>
    <w:rPr>
      <w:rFonts w:ascii="宋体" w:hAnsi="宋体" w:eastAsia="宋体" w:cs="宋体"/>
      <w:sz w:val="20"/>
      <w:szCs w:val="20"/>
      <w:lang w:val="en-US" w:eastAsia="en-US" w:bidi="ar-SA"/>
    </w:rPr>
  </w:style>
  <w:style w:type="paragraph" w:customStyle="1" w:styleId="21">
    <w:name w:val="表格文字"/>
    <w:basedOn w:val="1"/>
    <w:qFormat/>
    <w:uiPriority w:val="0"/>
    <w:pPr>
      <w:jc w:val="left"/>
    </w:pPr>
    <w:rPr>
      <w:rFonts w:ascii="Calibri" w:hAnsi="Calibri" w:eastAsia="宋体" w:cs="Times New Roman"/>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7806</Words>
  <Characters>8104</Characters>
  <Lines>0</Lines>
  <Paragraphs>0</Paragraphs>
  <TotalTime>10</TotalTime>
  <ScaleCrop>false</ScaleCrop>
  <LinksUpToDate>false</LinksUpToDate>
  <CharactersWithSpaces>8158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