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440001-2024-34762</w:t>
      </w:r>
    </w:p>
    <w:p>
      <w:pPr>
        <w:pStyle w:val="null3"/>
        <w:jc w:val="center"/>
        <w:outlineLvl w:val="3"/>
      </w:pPr>
      <w:r>
        <w:rPr>
          <w:sz w:val="24"/>
          <w:b/>
        </w:rPr>
        <w:t>采购项目编号：</w:t>
      </w:r>
      <w:r>
        <w:rPr>
          <w:sz w:val="24"/>
          <w:b/>
        </w:rPr>
        <w:t>GDYD240578</w:t>
      </w:r>
    </w:p>
    <w:p>
      <w:pPr>
        <w:pStyle w:val="null3"/>
        <w:jc w:val="center"/>
        <w:outlineLvl w:val="3"/>
      </w:pPr>
      <w:r>
        <w:rPr>
          <w:sz w:val="24"/>
          <w:b/>
        </w:rPr>
        <w:t>项目名称：</w:t>
      </w:r>
      <w:r>
        <w:rPr>
          <w:sz w:val="24"/>
          <w:b/>
        </w:rPr>
        <w:t>广东开放大学2024年常规课程自建技术服务采购项目</w:t>
      </w:r>
    </w:p>
    <w:p>
      <w:pPr>
        <w:pStyle w:val="null3"/>
        <w:jc w:val="center"/>
        <w:outlineLvl w:val="3"/>
      </w:pPr>
      <w:r>
        <w:rPr>
          <w:sz w:val="24"/>
          <w:b/>
        </w:rPr>
        <w:t>采购人：</w:t>
      </w:r>
      <w:r>
        <w:rPr>
          <w:sz w:val="24"/>
          <w:b/>
        </w:rPr>
        <w:t>广东开放大学（广东理工职业学院）</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广东开放大学（广东理工职业学院）</w:t>
      </w:r>
      <w:r>
        <w:rPr/>
        <w:t>的委托，采用</w:t>
      </w:r>
      <w:r>
        <w:rPr/>
        <w:t>竞争性磋商</w:t>
      </w:r>
      <w:r>
        <w:rPr/>
        <w:t>方式组织采购</w:t>
      </w:r>
      <w:r>
        <w:rPr/>
        <w:t>广东开放大学2024年常规课程自建技术服务采购项目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广东开放大学2024年常规课程自建技术服务采购项目</w:t>
      </w:r>
    </w:p>
    <w:p>
      <w:pPr>
        <w:pStyle w:val="null3"/>
        <w:ind w:firstLine="480"/>
      </w:pPr>
      <w:r>
        <w:rPr/>
        <w:t>采购计划编号：</w:t>
      </w:r>
      <w:r>
        <w:rPr/>
        <w:t>440001-2024-34762</w:t>
      </w:r>
    </w:p>
    <w:p>
      <w:pPr>
        <w:pStyle w:val="null3"/>
        <w:ind w:firstLine="480"/>
      </w:pPr>
      <w:r>
        <w:rPr/>
        <w:t>采购项目编号：</w:t>
      </w:r>
      <w:r>
        <w:rPr/>
        <w:t>GDYD240578</w:t>
      </w:r>
    </w:p>
    <w:p>
      <w:pPr>
        <w:pStyle w:val="null3"/>
        <w:ind w:firstLine="480"/>
      </w:pPr>
      <w:r>
        <w:rPr/>
        <w:t>采购方式：</w:t>
      </w:r>
      <w:r>
        <w:rPr/>
        <w:t>竞争性磋商</w:t>
      </w:r>
    </w:p>
    <w:p>
      <w:pPr>
        <w:pStyle w:val="null3"/>
        <w:ind w:firstLine="480"/>
      </w:pPr>
      <w:r>
        <w:rPr/>
        <w:t>预算金额：</w:t>
      </w:r>
      <w:r>
        <w:rPr/>
        <w:t>1,185,300.00</w:t>
      </w:r>
      <w:r>
        <w:rPr/>
        <w:t>元</w:t>
      </w:r>
    </w:p>
    <w:p>
      <w:pPr>
        <w:pStyle w:val="null3"/>
        <w:outlineLvl w:val="3"/>
      </w:pPr>
      <w:r>
        <w:rPr>
          <w:sz w:val="24"/>
          <w:b/>
        </w:rPr>
        <w:t>2.项目内容及需求情况（采购项目技术规格、参数及要求）</w:t>
      </w:r>
    </w:p>
    <w:p>
      <w:pPr>
        <w:pStyle w:val="null3"/>
      </w:pPr>
      <w:r>
        <w:rPr/>
        <w:t>采购包1(2024年常规课程自建技术服务采购1):</w:t>
      </w:r>
    </w:p>
    <w:p>
      <w:pPr>
        <w:pStyle w:val="null3"/>
      </w:pPr>
      <w:r>
        <w:rPr/>
        <w:t>采购包预算金额：657,500.00元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2024年常规课程自建技术服务采购1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657,500.00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采购包2(2024年常规课程自建技术服务采购2):</w:t>
      </w:r>
    </w:p>
    <w:p>
      <w:pPr>
        <w:pStyle w:val="null3"/>
      </w:pPr>
      <w:r>
        <w:rPr/>
        <w:t>采购包预算金额：527,800.00元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2024年常规课程自建技术服务采购2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527,800.00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p>
      <w:pPr>
        <w:pStyle w:val="null3"/>
      </w:pPr>
      <w:r>
        <w:rPr/>
        <w:t>2）有依法缴纳税收和社会保障资金的良好记录：提供投标（响应）截止日前6个月内任意1个月依法缴纳税收和社会保障资金的相关材料，或提供相应承诺函（格式自拟）。</w:t>
      </w:r>
    </w:p>
    <w:p>
      <w:pPr>
        <w:pStyle w:val="null3"/>
      </w:pPr>
      <w:r>
        <w:rPr/>
        <w:t>3）具有良好的商业信誉和健全的财务会计制度：提供2023年度财务状况报告或2024年基本开户行出具的资信证明，或最近一期财务报表（本项仅适用在投标（响应）截止日所在年度成立的法人或其他组织），或提供相应承诺函（格式自拟）。</w:t>
      </w:r>
    </w:p>
    <w:p>
      <w:pPr>
        <w:pStyle w:val="null3"/>
      </w:pPr>
      <w:r>
        <w:rPr/>
        <w:t>4）履行合同所必需的设备和专业技术能力：提供履行合同所必需的设备和专业技术能力的证明材料或提供相应承诺函（格式自拟）。</w:t>
      </w:r>
    </w:p>
    <w:p>
      <w:pPr>
        <w:pStyle w:val="null3"/>
      </w:pPr>
      <w:r>
        <w:rPr/>
        <w:t>5）参加采购活动前3年内，在经营活动中没有重大违法记录：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采购包1（2024年常规课程自建技术服务采购1）：</w:t>
      </w:r>
      <w:r>
        <w:rPr/>
        <w:t>本项目属于整体专门面向中小企业采购的项目，服务全部必须由符合政策要求的中小企业或监狱企业或残疾人福利性单位承接。本服务采购项目的中小企业划分标准所属行业为：软件和信息技术服务业。（根据《财政部 司法部关于政府采购支持监狱企业发展有关问题的通知》和《财政部民政部 中国残疾人联合会关于促进残疾人就业政府采购政策的通知》，监狱企业和残疾人福利性单位视同小型、微型企业。）</w:t>
      </w:r>
    </w:p>
    <w:p>
      <w:pPr>
        <w:pStyle w:val="null3"/>
        <w:jc w:val="left"/>
      </w:pPr>
      <w:r>
        <w:rPr/>
        <w:t>采购包2（2024年常规课程自建技术服务采购2）：</w:t>
      </w:r>
      <w:r>
        <w:rPr/>
        <w:t>本项目属于整体专门面向中小企业采购的项目，服务全部必须由符合政策要求的中小企业或监狱企业或残疾人福利性单位承接。本服务采购项目的中小企业划分标准所属行业为：软件和信息技术服务业。（根据《财政部 司法部关于政府采购支持监狱企业发展有关问题的通知》和《财政部民政部 中国残疾人联合会关于促进残疾人就业政府采购政策的通知》，监狱企业和残疾人福利性单位视同小型、微型企业。）</w:t>
      </w:r>
    </w:p>
    <w:p>
      <w:pPr>
        <w:pStyle w:val="null3"/>
        <w:outlineLvl w:val="3"/>
      </w:pPr>
      <w:r>
        <w:rPr>
          <w:sz w:val="24"/>
          <w:b/>
        </w:rPr>
        <w:t>3.本项目特定的资格要求：</w:t>
      </w:r>
    </w:p>
    <w:p>
      <w:pPr>
        <w:pStyle w:val="null3"/>
      </w:pPr>
      <w:r>
        <w:rPr/>
        <w:t>采购包1（2024年常规课程自建技术服务采购1）：</w:t>
      </w:r>
    </w:p>
    <w:p>
      <w:pPr>
        <w:pStyle w:val="null3"/>
      </w:pPr>
      <w:r>
        <w:rPr/>
        <w:t>1)供应商未被列入“信用中国”网站(www.creditchina.gov.cn)“记录失信被执行人或重大税收违法失信主体或政府采购严重违法失信行为”记录名单；不处于中国政府采购(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响应承诺函相关承诺要求内容。</w:t>
      </w:r>
    </w:p>
    <w:p>
      <w:pPr>
        <w:pStyle w:val="null3"/>
      </w:pPr>
      <w:r>
        <w:rPr/>
        <w:t>3)本项目不接受联合体参与响应。</w:t>
      </w:r>
    </w:p>
    <w:p>
      <w:pPr>
        <w:pStyle w:val="null3"/>
      </w:pPr>
      <w:r>
        <w:rPr/>
        <w:t>采购包2（2024年常规课程自建技术服务采购2）：</w:t>
      </w:r>
    </w:p>
    <w:p>
      <w:pPr>
        <w:pStyle w:val="null3"/>
      </w:pPr>
      <w:r>
        <w:rPr/>
        <w:t>1)供应商未被列入“信用中国”网站(www.creditchina.gov.cn)“记录失信被执行人或重大税收违法失信主体或政府采购严重违法失信行为”记录名单；不处于中国政府采购(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响应承诺函相关承诺要求内容。</w:t>
      </w:r>
    </w:p>
    <w:p>
      <w:pPr>
        <w:pStyle w:val="null3"/>
      </w:pPr>
      <w:r>
        <w:rPr/>
        <w:t>3)本项目不接受联合体参与响应。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广东开放大学（广东理工职业学院）</w:t>
      </w:r>
    </w:p>
    <w:p>
      <w:pPr>
        <w:pStyle w:val="null3"/>
        <w:ind w:firstLine="480"/>
      </w:pPr>
      <w:r>
        <w:rPr/>
        <w:t>地址：</w:t>
      </w:r>
      <w:r>
        <w:rPr/>
        <w:t>广州市越秀区下塘西路1号</w:t>
      </w:r>
    </w:p>
    <w:p>
      <w:pPr>
        <w:pStyle w:val="null3"/>
        <w:ind w:firstLine="480"/>
      </w:pPr>
      <w:r>
        <w:rPr/>
        <w:t>联系方式：</w:t>
      </w:r>
      <w:r>
        <w:rPr/>
        <w:t>020-87253411</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广州市越秀区越秀北路222号越良大厦6楼</w:t>
      </w:r>
    </w:p>
    <w:p>
      <w:pPr>
        <w:pStyle w:val="null3"/>
        <w:ind w:firstLine="480"/>
      </w:pPr>
      <w:r>
        <w:rPr/>
        <w:t xml:space="preserve"> 联系方式：</w:t>
      </w:r>
      <w:r>
        <w:rPr/>
        <w:t>020-83642820-807</w:t>
      </w:r>
    </w:p>
    <w:p>
      <w:pPr>
        <w:pStyle w:val="null3"/>
        <w:outlineLvl w:val="3"/>
      </w:pPr>
      <w:r>
        <w:rPr>
          <w:sz w:val="24"/>
          <w:b/>
        </w:rPr>
        <w:t xml:space="preserve"> 3.项目联系方式</w:t>
      </w:r>
    </w:p>
    <w:p>
      <w:pPr>
        <w:pStyle w:val="null3"/>
        <w:ind w:firstLine="480"/>
      </w:pPr>
      <w:r>
        <w:rPr/>
        <w:t xml:space="preserve"> 项目联系人：</w:t>
      </w:r>
      <w:r>
        <w:rPr/>
        <w:t>黄工、罗工</w:t>
      </w:r>
    </w:p>
    <w:p>
      <w:pPr>
        <w:pStyle w:val="null3"/>
        <w:ind w:firstLine="480"/>
      </w:pPr>
      <w:r>
        <w:rPr/>
        <w:t xml:space="preserve"> 电话：</w:t>
      </w:r>
      <w:r>
        <w:rPr/>
        <w:t>020-83642820-807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（一）项目</w:t>
      </w:r>
      <w:r>
        <w:rPr>
          <w:sz w:val="21"/>
          <w:b/>
          <w:color w:val="000000"/>
        </w:rPr>
        <w:t>描述和内容概要</w:t>
      </w:r>
    </w:p>
    <w:p>
      <w:pPr>
        <w:pStyle w:val="null3"/>
        <w:ind w:firstLine="420"/>
        <w:jc w:val="both"/>
      </w:pPr>
      <w:r>
        <w:rPr>
          <w:sz w:val="21"/>
          <w:color w:val="000000"/>
        </w:rPr>
        <w:t>1</w:t>
      </w:r>
      <w:r>
        <w:rPr>
          <w:sz w:val="21"/>
          <w:color w:val="000000"/>
        </w:rPr>
        <w:t>、项目名称：广东开放大学2024年常规课程自建技术服务采购项目。</w:t>
      </w:r>
    </w:p>
    <w:p>
      <w:pPr>
        <w:pStyle w:val="null3"/>
        <w:ind w:firstLine="420"/>
        <w:jc w:val="both"/>
      </w:pPr>
      <w:r>
        <w:rPr>
          <w:sz w:val="21"/>
          <w:color w:val="000000"/>
        </w:rPr>
        <w:t>2</w:t>
      </w:r>
      <w:r>
        <w:rPr>
          <w:sz w:val="21"/>
          <w:color w:val="000000"/>
        </w:rPr>
        <w:t>、项目内容：采购人共采购42门在线课程建设的技术服务，分为两个采购包，采购包1为21门，采购包2为21门。</w:t>
      </w:r>
    </w:p>
    <w:p>
      <w:pPr>
        <w:pStyle w:val="null3"/>
        <w:ind w:firstLine="420"/>
        <w:jc w:val="both"/>
      </w:pPr>
      <w:r>
        <w:rPr>
          <w:sz w:val="21"/>
          <w:color w:val="000000"/>
        </w:rPr>
        <w:t>3</w:t>
      </w:r>
      <w:r>
        <w:rPr>
          <w:sz w:val="21"/>
          <w:color w:val="000000"/>
        </w:rPr>
        <w:t>、本项目包1和包2兼投不兼中，分别确定1名成交供应商，即包1的第一成交候选人/成交供应商不能成为包2的成交候选人/成交供应商。按采购包的顺序进行评审，依次按照评标总得分由高到低的顺序，每包组推荐三名成交候选人。已获得包1的第一成交候选人/成交供应商资格的，如参加后面采购包的报价，将不能通过符合性审查。包2从具有成交候选人资格的供应商中，排名最高的成交供应商为第一成交候选人，排名次高的供应商为第二成交候选人，以此类推。</w:t>
      </w:r>
    </w:p>
    <w:p>
      <w:pPr>
        <w:pStyle w:val="null3"/>
        <w:ind w:firstLine="420"/>
        <w:jc w:val="both"/>
      </w:pPr>
      <w:r>
        <w:rPr>
          <w:sz w:val="21"/>
          <w:color w:val="000000"/>
        </w:rPr>
        <w:t>4</w:t>
      </w:r>
      <w:r>
        <w:rPr>
          <w:sz w:val="21"/>
          <w:color w:val="000000"/>
        </w:rPr>
        <w:t>、在线课程建设分为课程资源建设和课程上线与运维两部分。课程资源建设主要是制作课程教学视音频形式，以微课形式录制，每个微课时长约10分钟。课程视音频资源时长按照学分确定，每学分建设120-160分钟的成品视音频资源。成品实际时长根据采购人课程需要设定，成交供应商课程资源建设工作量以采购人实际建设数量为准。课程上线与运维包括课程资源部署与课程上线、课程教学运行与维护、课程共享与推广（包括课程相关项目申报）等。</w:t>
      </w:r>
    </w:p>
    <w:p>
      <w:pPr>
        <w:pStyle w:val="null3"/>
        <w:ind w:firstLine="420"/>
        <w:jc w:val="both"/>
      </w:pPr>
      <w:r>
        <w:rPr>
          <w:sz w:val="21"/>
          <w:color w:val="000000"/>
        </w:rPr>
        <w:t>5</w:t>
      </w:r>
      <w:r>
        <w:rPr>
          <w:sz w:val="21"/>
          <w:color w:val="000000"/>
        </w:rPr>
        <w:t>、项目预算：在线课程建设技术服务费单价的最高限价为</w:t>
      </w:r>
      <w:r>
        <w:rPr>
          <w:sz w:val="21"/>
          <w:b/>
          <w:color w:val="000000"/>
        </w:rPr>
        <w:t>100元/分钟</w:t>
      </w:r>
      <w:r>
        <w:rPr>
          <w:sz w:val="21"/>
          <w:color w:val="000000"/>
        </w:rPr>
        <w:t>。供应商根据技术服务费单价最高限价自行报价。</w:t>
      </w:r>
    </w:p>
    <w:p>
      <w:pPr>
        <w:pStyle w:val="null3"/>
        <w:ind w:firstLine="420"/>
        <w:jc w:val="both"/>
      </w:pPr>
      <w:r>
        <w:rPr>
          <w:sz w:val="21"/>
          <w:color w:val="000000"/>
        </w:rPr>
        <w:t>6</w:t>
      </w:r>
      <w:r>
        <w:rPr>
          <w:sz w:val="21"/>
          <w:color w:val="000000"/>
        </w:rPr>
        <w:t>、本项目课程视频资源建设总时长约11,853分钟,项目采购预算1,185,300元。其中采购包1时长约6575分钟，最高限价657,500.00元；采购包2时长约5278分钟，最高限价527,800.00元。（详见（二）课程清单）</w:t>
      </w:r>
    </w:p>
    <w:p>
      <w:pPr>
        <w:pStyle w:val="null3"/>
        <w:ind w:firstLine="420"/>
        <w:jc w:val="both"/>
      </w:pPr>
      <w:r>
        <w:rPr>
          <w:sz w:val="21"/>
          <w:color w:val="000000"/>
        </w:rPr>
        <w:t>7</w:t>
      </w:r>
      <w:r>
        <w:rPr>
          <w:sz w:val="21"/>
          <w:color w:val="000000"/>
        </w:rPr>
        <w:t>、经费来源：财政性资金。</w:t>
      </w:r>
    </w:p>
    <w:p>
      <w:pPr>
        <w:pStyle w:val="null3"/>
        <w:ind w:firstLine="420"/>
        <w:jc w:val="both"/>
      </w:pPr>
      <w:r>
        <w:rPr>
          <w:sz w:val="21"/>
          <w:color w:val="000000"/>
        </w:rPr>
        <w:t>8</w:t>
      </w:r>
      <w:r>
        <w:rPr>
          <w:sz w:val="21"/>
          <w:color w:val="000000"/>
        </w:rPr>
        <w:t>、项目地址：广州市越秀区下塘西路1号广东开放大学。</w:t>
      </w:r>
    </w:p>
    <w:p>
      <w:pPr>
        <w:pStyle w:val="null3"/>
        <w:ind w:firstLine="420"/>
        <w:jc w:val="both"/>
      </w:pPr>
      <w:r>
        <w:rPr>
          <w:sz w:val="21"/>
          <w:color w:val="000000"/>
        </w:rPr>
        <w:t>9</w:t>
      </w:r>
      <w:r>
        <w:rPr>
          <w:sz w:val="21"/>
          <w:color w:val="000000"/>
        </w:rPr>
        <w:t>、预计完成时间：自合同生效之日起半年。</w:t>
      </w:r>
    </w:p>
    <w:p>
      <w:pPr>
        <w:pStyle w:val="null3"/>
        <w:jc w:val="both"/>
      </w:pPr>
      <w:r>
        <w:rPr/>
        <w:t xml:space="preserve"> </w:t>
      </w:r>
    </w:p>
    <w:p>
      <w:pPr>
        <w:pStyle w:val="null3"/>
        <w:jc w:val="both"/>
      </w:pPr>
      <w:r>
        <w:rPr>
          <w:sz w:val="21"/>
          <w:b/>
          <w:color w:val="000000"/>
        </w:rPr>
        <w:t>（二）课程清单</w:t>
      </w:r>
    </w:p>
    <w:p>
      <w:pPr>
        <w:pStyle w:val="null3"/>
        <w:jc w:val="left"/>
      </w:pPr>
      <w:r>
        <w:rPr>
          <w:sz w:val="21"/>
          <w:b/>
          <w:color w:val="000000"/>
        </w:rPr>
        <w:t xml:space="preserve">采购包1                 </w:t>
      </w:r>
    </w:p>
    <w:tbl>
      <w:tblPr>
        <w:tblW w:w="0" w:type="auto"/>
        <w:tblBorders>
          <w:top w:val="single"/>
          <w:left w:val="single"/>
          <w:bottom w:val="single"/>
          <w:right w:val="single"/>
          <w:insideH w:val="single"/>
          <w:insideV w:val="single"/>
        </w:tblBorders>
      </w:tblPr>
      <w:tblGrid>
        <w:gridCol w:w="672"/>
        <w:gridCol w:w="2015"/>
        <w:gridCol w:w="3191"/>
        <w:gridCol w:w="840"/>
        <w:gridCol w:w="1344"/>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20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所属学院</w:t>
            </w:r>
          </w:p>
        </w:tc>
        <w:tc>
          <w:tcPr>
            <w:tcW w:type="dxa" w:w="31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课程名称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学分</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预计视频时长</w:t>
            </w:r>
          </w:p>
          <w:p>
            <w:pPr>
              <w:pStyle w:val="null3"/>
              <w:jc w:val="center"/>
            </w:pPr>
            <w:r>
              <w:rPr>
                <w:sz w:val="21"/>
                <w:b/>
                <w:color w:val="000000"/>
              </w:rPr>
              <w:t>（分钟）</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工程技术学院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计算机网络技术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工程技术学院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ARM</w:t>
            </w:r>
            <w:r>
              <w:rPr>
                <w:sz w:val="21"/>
                <w:color w:val="000000"/>
              </w:rPr>
              <w:t>嵌入式系统基础与应用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工程技术学院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物联网应用工程师考证</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机电工程学院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电机与电气控制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机电工程学院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认证咨询实务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机电工程学院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数控编程与加工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机电工程学院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标准化法律法规</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机电工程学院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电工电子技术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人工智能学院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数码摄影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人工智能学院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图像处理技术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人工智能学院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Photoshop</w:t>
            </w:r>
            <w:r>
              <w:rPr>
                <w:sz w:val="21"/>
                <w:color w:val="000000"/>
              </w:rPr>
              <w:t>图像处理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人工智能学院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软件测试技术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535</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人工智能学院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深度学习基础与实践</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人工智能学院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Python We</w:t>
            </w:r>
            <w:r>
              <w:rPr>
                <w:sz w:val="21"/>
                <w:color w:val="000000"/>
              </w:rPr>
              <w:t>本科开发</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数字声音处理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AI</w:t>
            </w:r>
            <w:r>
              <w:rPr>
                <w:sz w:val="21"/>
                <w:color w:val="000000"/>
              </w:rPr>
              <w:t>高职教育C技术与应用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语言学概论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420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三维建模设计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矢量图形设计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影视广告策划与制作</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文化传播与设计学院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数字艺术欣赏</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64</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6575</w:t>
            </w:r>
          </w:p>
        </w:tc>
      </w:tr>
    </w:tbl>
    <w:p>
      <w:pPr>
        <w:pStyle w:val="null3"/>
        <w:jc w:val="left"/>
      </w:pPr>
      <w:r>
        <w:rPr>
          <w:sz w:val="21"/>
          <w:b/>
          <w:color w:val="000000"/>
        </w:rPr>
        <w:t xml:space="preserve">采购包2                 </w:t>
      </w:r>
    </w:p>
    <w:tbl>
      <w:tblPr>
        <w:tblW w:w="0" w:type="auto"/>
        <w:tblBorders>
          <w:top w:val="single"/>
          <w:left w:val="single"/>
          <w:bottom w:val="single"/>
          <w:right w:val="single"/>
          <w:insideH w:val="single"/>
          <w:insideV w:val="single"/>
        </w:tblBorders>
      </w:tblPr>
      <w:tblGrid>
        <w:gridCol w:w="672"/>
        <w:gridCol w:w="2015"/>
        <w:gridCol w:w="3191"/>
        <w:gridCol w:w="840"/>
        <w:gridCol w:w="1344"/>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20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所属学院</w:t>
            </w:r>
          </w:p>
        </w:tc>
        <w:tc>
          <w:tcPr>
            <w:tcW w:type="dxa" w:w="31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课程名称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学分</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预计视频时长（分钟）</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电子商务管理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120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管理会计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120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国际金融原理与实务（国际金融与外汇理财）</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证券投资基金</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金融数字产品营销（金融服务营销）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供应链与物流管理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公司概论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基础会计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税务会计实务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120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社群运营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150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自媒体运营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240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市场营销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个人保险规划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国际贸易</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363</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零售门店O2O运营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120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统计基础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320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数据化运营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355</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短视频与直播营销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智慧农业企业经营与管理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330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经济管理学院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农村电商政策解读与创业案例分析</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360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创新创业学院</w:t>
            </w: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大学生创业基础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200</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64</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5278</w:t>
            </w:r>
          </w:p>
        </w:tc>
      </w:tr>
    </w:tbl>
    <w:p>
      <w:pPr>
        <w:pStyle w:val="null3"/>
        <w:ind w:firstLine="420"/>
        <w:jc w:val="left"/>
      </w:pPr>
      <w:r>
        <w:rPr/>
        <w:t xml:space="preserve"> </w:t>
      </w:r>
    </w:p>
    <w:p>
      <w:pPr>
        <w:pStyle w:val="null3"/>
        <w:jc w:val="both"/>
      </w:pPr>
      <w:r>
        <w:rPr>
          <w:sz w:val="21"/>
          <w:b/>
          <w:color w:val="000000"/>
        </w:rPr>
        <w:t>（三）投标（响应）说明</w:t>
      </w:r>
    </w:p>
    <w:p>
      <w:pPr>
        <w:pStyle w:val="null3"/>
        <w:ind w:firstLine="420"/>
        <w:jc w:val="both"/>
      </w:pPr>
      <w:r>
        <w:rPr>
          <w:sz w:val="21"/>
          <w:color w:val="000000"/>
        </w:rPr>
        <w:t>1.</w:t>
      </w:r>
      <w:r>
        <w:rPr>
          <w:sz w:val="21"/>
          <w:color w:val="000000"/>
        </w:rPr>
        <w:t>供应商必须对所投采购包内所有采购内容或服务进行整体响应，任何只对采购包部分内容进行响应都被视为该采购包响应无效。</w:t>
      </w:r>
    </w:p>
    <w:p>
      <w:pPr>
        <w:pStyle w:val="null3"/>
        <w:ind w:firstLine="420"/>
        <w:jc w:val="both"/>
      </w:pPr>
      <w:r>
        <w:rPr>
          <w:sz w:val="21"/>
          <w:color w:val="000000"/>
        </w:rPr>
        <w:t>2.</w:t>
      </w:r>
      <w:r>
        <w:rPr>
          <w:sz w:val="21"/>
          <w:color w:val="000000"/>
        </w:rPr>
        <w:t>本项目各采购包均属于专门面向中小企业采购的项目。采购标的对应的中小企业划分标准所属行业为：</w:t>
      </w:r>
      <w:r>
        <w:rPr>
          <w:sz w:val="21"/>
          <w:b/>
          <w:color w:val="000000"/>
        </w:rPr>
        <w:t>软件和信息技术服务业</w:t>
      </w:r>
      <w:r>
        <w:rPr>
          <w:sz w:val="21"/>
          <w:color w:val="000000"/>
        </w:rPr>
        <w:t>。注：监狱企业、残疾人福利单位视同小型、微型企业。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按磋商文件第六章响应文件格式与要求）。</w:t>
      </w:r>
    </w:p>
    <w:p>
      <w:pPr>
        <w:pStyle w:val="null3"/>
        <w:ind w:firstLine="420"/>
        <w:jc w:val="both"/>
      </w:pPr>
      <w:r>
        <w:rPr>
          <w:sz w:val="21"/>
          <w:color w:val="000000"/>
        </w:rPr>
        <w:t>3.</w:t>
      </w:r>
      <w:r>
        <w:rPr>
          <w:sz w:val="21"/>
          <w:color w:val="000000"/>
        </w:rPr>
        <w:t>采购需求中，凡标有“★”的地方均被视为实质性条款。供应商要特别加以注意，必须对此响应并完全满足或优于这些要求。若有一项带“★”的条款未响应或不满足，将按无效响应处理。凡标有“▲”的地方为采购人重点关注的参数和条款，如不满足将严重影响评分。</w:t>
      </w:r>
    </w:p>
    <w:p>
      <w:pPr>
        <w:pStyle w:val="null3"/>
        <w:ind w:firstLine="420"/>
        <w:jc w:val="both"/>
      </w:pPr>
      <w:r>
        <w:rPr>
          <w:sz w:val="21"/>
          <w:color w:val="000000"/>
        </w:rPr>
        <w:t>4.</w:t>
      </w:r>
      <w:r>
        <w:rPr>
          <w:sz w:val="21"/>
          <w:color w:val="000000"/>
        </w:rPr>
        <w:t>响应供应商应保证采购人在中华人民共和国使用该服务或服务的任何一部分时，免受第三方提出的侵犯其专利权、商标权、著作权或其它知识产权的起诉。供应商因知识产权与第三方产生的一切纠纷均与采购人无关，采购人不承担任何责任。</w:t>
      </w:r>
    </w:p>
    <w:p>
      <w:pPr>
        <w:pStyle w:val="null3"/>
        <w:ind w:firstLine="420"/>
        <w:jc w:val="both"/>
      </w:pPr>
      <w:r>
        <w:rPr>
          <w:sz w:val="21"/>
          <w:color w:val="000000"/>
        </w:rPr>
        <w:t>5.</w:t>
      </w:r>
      <w:r>
        <w:rPr>
          <w:sz w:val="21"/>
          <w:color w:val="000000"/>
        </w:rPr>
        <w:t>用户需求书中要求提供证明材料（如证书、检测报告、合同等）的条款，供应商应严格按照其要求在响应文件中提供证明材料，不提供或者提供不齐全或者无法认定的，该项条款视作不满足要求。</w:t>
      </w:r>
    </w:p>
    <w:p>
      <w:pPr>
        <w:pStyle w:val="null3"/>
        <w:ind w:firstLine="420"/>
        <w:jc w:val="both"/>
      </w:pPr>
      <w:r>
        <w:rPr/>
        <w:t xml:space="preserve"> </w:t>
      </w:r>
    </w:p>
    <w:p>
      <w:pPr>
        <w:pStyle w:val="null3"/>
      </w:pPr>
      <w:r>
        <w:rPr/>
        <w:t>采购包1（2024年常规课程自建技术服务采购1）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预计完成时间：自合同生效之日起半年。（详见附表一服务要求）</w:t>
            </w:r>
          </w:p>
        </w:tc>
      </w:tr>
      <w:tr>
        <w:tc>
          <w:tcPr>
            <w:tcW w:type="dxa" w:w="4153"/>
          </w:tcPr>
          <w:p>
            <w:pPr>
              <w:pStyle w:val="null3"/>
            </w:pPr>
            <w:r>
              <w:rPr/>
              <w:t>标的提供的地点</w:t>
            </w:r>
          </w:p>
        </w:tc>
        <w:tc>
          <w:tcPr>
            <w:tcW w:type="dxa" w:w="4153"/>
          </w:tcPr>
          <w:p>
            <w:pPr>
              <w:pStyle w:val="null3"/>
            </w:pPr>
            <w:r>
              <w:rPr/>
              <w:t>广州市越秀区下塘西路1号广东开放大学。</w:t>
            </w:r>
          </w:p>
        </w:tc>
      </w:tr>
      <w:tr>
        <w:tc>
          <w:tcPr>
            <w:tcW w:type="dxa" w:w="4153"/>
          </w:tcPr>
          <w:p>
            <w:pPr>
              <w:pStyle w:val="null3"/>
            </w:pPr>
            <w:r>
              <w:rPr/>
              <w:t>付款方式</w:t>
            </w:r>
          </w:p>
        </w:tc>
        <w:tc>
          <w:tcPr>
            <w:tcW w:type="dxa" w:w="4153"/>
          </w:tcPr>
          <w:p>
            <w:pPr>
              <w:pStyle w:val="null3"/>
            </w:pPr>
            <w:r>
              <w:rPr/>
              <w:t>1期：支付比例30%,付款说明：1、签订合同且采购人收到成交供应商开具的发票之日起10个工作日内，向成交供应商支付合同总价（根据成交单价和预计时长工作量计算的预估总价）的30%。2、成交供应商应向采购人提供与支付金额相符的有效发票，且收款方、出具发票方、合同乙方均必须与成交供应商名称一致。3、付款方式：采用支票、银行汇票、电汇三种形式。</w:t>
            </w:r>
          </w:p>
          <w:p>
            <w:pPr>
              <w:pStyle w:val="null3"/>
            </w:pPr>
            <w:r>
              <w:rPr/>
              <w:t>2期：支付比例70%,付款说明：成交供应商完成项目建设，经采购人验收合格，在采购人收到有效发票后10个工作日内按成交供应商实际完成的工作量和成交单价支付至合同结算价的100%。发票要求和付款方式同1期。</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1期：按广东开放大学（广东理工职业学院）相关规定进行验收。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★报价要求，单价报价，本采购包设单价最高限价（100元/分钟），供应商按要求报出响应单价（元/分钟）。响应单价不得高于单价最高限价，否则其响应将被认定为无效。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2024年常规课程自建技术服务采购1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657,500.00</w:t>
            </w:r>
          </w:p>
        </w:tc>
        <w:tc>
          <w:tcPr>
            <w:tcW w:type="dxa" w:w="933"/>
          </w:tcPr>
          <w:p>
            <w:pPr>
              <w:pStyle w:val="null3"/>
              <w:jc w:val="right"/>
            </w:pPr>
            <w:r>
              <w:rPr/>
              <w:t>657,500.00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2024年常规课程自建技术服务采购1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45" w:after="45"/>
              <w:jc w:val="both"/>
            </w:pPr>
            <w:r>
              <w:rPr>
                <w:sz w:val="22"/>
                <w:b/>
              </w:rPr>
              <w:t>一、</w:t>
            </w:r>
            <w:r>
              <w:rPr>
                <w:sz w:val="22"/>
                <w:b/>
              </w:rPr>
              <w:t>项目总体要求</w:t>
            </w:r>
          </w:p>
          <w:p>
            <w:pPr>
              <w:pStyle w:val="null3"/>
              <w:ind w:firstLine="420"/>
              <w:jc w:val="both"/>
            </w:pPr>
            <w:r>
              <w:rPr>
                <w:sz w:val="22"/>
              </w:rPr>
              <w:t>1.</w:t>
            </w:r>
            <w:r>
              <w:rPr>
                <w:sz w:val="22"/>
              </w:rPr>
              <w:t>成交供应商依法开展相关的工作，对工作情况的真实性、准确性负责。</w:t>
            </w:r>
          </w:p>
          <w:p>
            <w:pPr>
              <w:pStyle w:val="null3"/>
              <w:ind w:firstLine="420"/>
              <w:jc w:val="both"/>
            </w:pPr>
            <w:r>
              <w:rPr>
                <w:sz w:val="22"/>
              </w:rPr>
              <w:t>2.</w:t>
            </w:r>
            <w:r>
              <w:rPr>
                <w:sz w:val="22"/>
              </w:rPr>
              <w:t>为了确保工作总体进度，成交供应商应及时就工作进度、重大事项向采购人进行沟通。</w:t>
            </w:r>
          </w:p>
          <w:p>
            <w:pPr>
              <w:pStyle w:val="null3"/>
              <w:ind w:firstLine="420"/>
              <w:jc w:val="both"/>
            </w:pPr>
            <w:r>
              <w:rPr>
                <w:sz w:val="22"/>
              </w:rPr>
              <w:t>3.</w:t>
            </w:r>
            <w:r>
              <w:rPr>
                <w:sz w:val="22"/>
              </w:rPr>
              <w:t>成交供应商在相关工作过程中遇到重大问题，应及时反馈、报告采购人。</w:t>
            </w:r>
          </w:p>
          <w:p>
            <w:pPr>
              <w:pStyle w:val="null3"/>
              <w:ind w:firstLine="420"/>
              <w:jc w:val="both"/>
            </w:pPr>
            <w:r>
              <w:rPr>
                <w:sz w:val="22"/>
              </w:rPr>
              <w:t>4.</w:t>
            </w:r>
            <w:r>
              <w:rPr>
                <w:sz w:val="22"/>
              </w:rPr>
              <w:t>成交供应商派出的工作人员须有信息标准化技术及教育信息技术相应经验，熟悉业务，熟悉政策，胜任所从事的工作。派出的团队人员包括但不限于：课程经理（不少于2人）、课程顾问(编导) （不少于2人，不可兼任）、专业摄影师（不少于2人，不可兼任）、媒体制作技术人员（不少于2人，不可兼任）、视频工程师（不少于2人）、课程专员（不少于2人）。</w:t>
            </w:r>
          </w:p>
          <w:p>
            <w:pPr>
              <w:pStyle w:val="null3"/>
              <w:ind w:firstLine="420"/>
              <w:jc w:val="both"/>
            </w:pPr>
            <w:r>
              <w:rPr>
                <w:sz w:val="22"/>
              </w:rPr>
              <w:t>5.</w:t>
            </w:r>
            <w:r>
              <w:rPr>
                <w:sz w:val="22"/>
              </w:rPr>
              <w:t>成交供应商派出的工作人员不得向采购人收取或变相收取任何费用。</w:t>
            </w:r>
          </w:p>
          <w:p>
            <w:pPr>
              <w:pStyle w:val="null3"/>
              <w:ind w:firstLine="420"/>
              <w:jc w:val="both"/>
            </w:pPr>
            <w:r>
              <w:rPr>
                <w:sz w:val="22"/>
              </w:rPr>
              <w:t>6.</w:t>
            </w:r>
            <w:r>
              <w:rPr>
                <w:sz w:val="22"/>
              </w:rPr>
              <w:t>成交供应商派出的工作人员应完整、准确、真实地反映和记录工作情况，做好各类资料的归集、存档和保管工作。</w:t>
            </w:r>
          </w:p>
          <w:p>
            <w:pPr>
              <w:pStyle w:val="null3"/>
              <w:ind w:firstLine="420"/>
              <w:jc w:val="both"/>
            </w:pPr>
            <w:r>
              <w:rPr>
                <w:sz w:val="22"/>
              </w:rPr>
              <w:t>7.</w:t>
            </w:r>
            <w:r>
              <w:rPr>
                <w:sz w:val="22"/>
              </w:rPr>
              <w:t>成交供应商派出的工作人员不能胜任采购人工作的，采购人有权要求调换工作人员。</w:t>
            </w:r>
          </w:p>
          <w:p>
            <w:pPr>
              <w:pStyle w:val="null3"/>
              <w:ind w:firstLine="420"/>
              <w:jc w:val="both"/>
            </w:pPr>
            <w:r>
              <w:rPr>
                <w:sz w:val="22"/>
              </w:rPr>
              <w:t>8.</w:t>
            </w:r>
            <w:r>
              <w:rPr>
                <w:sz w:val="22"/>
              </w:rPr>
              <w:t>成交供应商派出的工作人员和工作地点应相对稳定，对曾经参与过同类项目的工作人员在后续项目开展时要优先选派。</w:t>
            </w:r>
          </w:p>
          <w:p>
            <w:pPr>
              <w:pStyle w:val="null3"/>
              <w:ind w:firstLine="420"/>
              <w:jc w:val="both"/>
            </w:pPr>
            <w:r>
              <w:rPr>
                <w:sz w:val="22"/>
              </w:rPr>
              <w:t>9.</w:t>
            </w:r>
            <w:r>
              <w:rPr>
                <w:sz w:val="22"/>
              </w:rPr>
              <w:t>成交供应商不得将成交项目转让或分包给他人，否则采购人有权单方终止合同，由此产生的一切经济损失由成交供应商自行承担。</w:t>
            </w:r>
          </w:p>
          <w:p>
            <w:pPr>
              <w:pStyle w:val="null3"/>
              <w:ind w:firstLine="420"/>
              <w:jc w:val="both"/>
            </w:pPr>
            <w:r>
              <w:rPr>
                <w:sz w:val="22"/>
              </w:rPr>
              <w:t>10.</w:t>
            </w:r>
            <w:r>
              <w:rPr>
                <w:sz w:val="22"/>
              </w:rPr>
              <w:t>成交供应商在合同履行期间内保证对采购人的服务响应，成交后不得拒绝采购人分配的任务。成交供应商在服务期内没能达到响应文件承诺的服务要求或成交供应商未按要求履行合同义务或成交供应商的资质在服务期内发生变化不再符合要求，采购人均有权单方终止合同,由此产生的一切经济损失由成交供应商自行承担。</w:t>
            </w:r>
          </w:p>
          <w:p>
            <w:pPr>
              <w:pStyle w:val="null3"/>
              <w:ind w:firstLine="420"/>
              <w:jc w:val="both"/>
            </w:pPr>
            <w:r>
              <w:rPr>
                <w:sz w:val="22"/>
              </w:rPr>
              <w:t>11.</w:t>
            </w:r>
            <w:r>
              <w:rPr>
                <w:sz w:val="22"/>
              </w:rPr>
              <w:t>成交供应商须接受采购人对采购项目的过程监督、管理。</w:t>
            </w:r>
          </w:p>
        </w:tc>
      </w:tr>
      <w:tr>
        <w:tc>
          <w:tcPr>
            <w:tcW w:type="dxa" w:w="2076"/>
          </w:tcPr>
          <w:p/>
        </w:tc>
        <w:tc>
          <w:tcPr>
            <w:tcW w:type="dxa" w:w="415"/>
          </w:tcPr>
          <w:p>
            <w:pPr>
              <w:pStyle w:val="null3"/>
            </w:pPr>
            <w:r>
              <w:rPr/>
              <w:t>2</w:t>
            </w:r>
          </w:p>
        </w:tc>
        <w:tc>
          <w:tcPr>
            <w:tcW w:type="dxa" w:w="5814"/>
          </w:tcPr>
          <w:p>
            <w:pPr>
              <w:pStyle w:val="null3"/>
              <w:spacing w:before="45" w:after="45"/>
              <w:jc w:val="both"/>
            </w:pPr>
            <w:r>
              <w:rPr>
                <w:sz w:val="22"/>
                <w:b/>
              </w:rPr>
              <w:t>二、技术要求</w:t>
            </w:r>
          </w:p>
          <w:p>
            <w:pPr>
              <w:pStyle w:val="null3"/>
            </w:pPr>
            <w:r>
              <w:rPr>
                <w:sz w:val="22"/>
              </w:rPr>
              <w:t xml:space="preserve">       采购人与成交供应商签订具体的在线课程资源建设合同，明确在线课程资源建设要求、建设费用与质量标准等。成交供应商应在合同签订后</w:t>
            </w:r>
            <w:r>
              <w:rPr>
                <w:sz w:val="22"/>
                <w:b/>
              </w:rPr>
              <w:t>15个工作日内</w:t>
            </w:r>
            <w:r>
              <w:rPr>
                <w:sz w:val="22"/>
              </w:rPr>
              <w:t>编制项目建设实施方案并报采购人审核。课程责任教师根据项目合同和建设项目实施方案，与成交供应商共同进行在线课程教学设计，成交供应商提供在线课程资源建设及相关服务，建设完成后提交采购人验收。课程资源建设文件及其相关源素材按要求分类整理好后需在成交供应商自有存储保存2年以上。具体服务内容要求如下：</w:t>
            </w:r>
          </w:p>
        </w:tc>
      </w:tr>
      <w:tr>
        <w:tc>
          <w:tcPr>
            <w:tcW w:type="dxa" w:w="2076"/>
          </w:tcPr>
          <w:p/>
        </w:tc>
        <w:tc>
          <w:tcPr>
            <w:tcW w:type="dxa" w:w="415"/>
          </w:tcPr>
          <w:p>
            <w:pPr>
              <w:pStyle w:val="null3"/>
            </w:pPr>
            <w:r>
              <w:rPr/>
              <w:t>3</w:t>
            </w:r>
          </w:p>
        </w:tc>
        <w:tc>
          <w:tcPr>
            <w:tcW w:type="dxa" w:w="5814"/>
          </w:tcPr>
          <w:p>
            <w:pPr>
              <w:pStyle w:val="null3"/>
              <w:ind w:firstLine="420"/>
              <w:jc w:val="both"/>
            </w:pPr>
            <w:r>
              <w:rPr>
                <w:sz w:val="22"/>
                <w:b/>
              </w:rPr>
              <w:t>（一）课程设计服务</w:t>
            </w:r>
          </w:p>
          <w:p>
            <w:pPr>
              <w:pStyle w:val="null3"/>
              <w:ind w:firstLine="440"/>
              <w:jc w:val="both"/>
            </w:pPr>
            <w:r>
              <w:rPr>
                <w:sz w:val="22"/>
              </w:rPr>
              <w:t>1</w:t>
            </w:r>
            <w:r>
              <w:rPr>
                <w:sz w:val="22"/>
              </w:rPr>
              <w:t>、参与课程设计</w:t>
            </w:r>
          </w:p>
          <w:p>
            <w:pPr>
              <w:pStyle w:val="null3"/>
              <w:ind w:firstLine="440"/>
              <w:jc w:val="both"/>
            </w:pPr>
            <w:r>
              <w:rPr>
                <w:sz w:val="22"/>
              </w:rPr>
              <w:t>在教师到供应商拍摄场地前，供应商需先与教师商定拍摄时间、场地、机位数，教师团队拍摄顺序，并制定拍摄计划安排表。根据拍摄计划，按照不同的场景、要求进行前期准备，和教师确定准备材料。</w:t>
            </w:r>
          </w:p>
          <w:p>
            <w:pPr>
              <w:pStyle w:val="null3"/>
              <w:ind w:firstLine="440"/>
              <w:jc w:val="both"/>
            </w:pPr>
            <w:r>
              <w:rPr>
                <w:sz w:val="22"/>
              </w:rPr>
              <w:t>配合教师制作课程电子教案。电子教案整体效果应风格统一、色彩协调、美观大方。色彩的选配应与课程科目相吻合；图片清晰、不可加长或压窄，防止变形。</w:t>
            </w:r>
          </w:p>
          <w:p>
            <w:pPr>
              <w:pStyle w:val="null3"/>
              <w:ind w:firstLine="440"/>
              <w:jc w:val="both"/>
            </w:pPr>
            <w:r>
              <w:rPr>
                <w:sz w:val="22"/>
                <w:color w:val="000000"/>
              </w:rPr>
              <w:t>鼓励利用新媒体技术建设特色鲜明的课程资源，如建设数字虚拟人课程资源等。</w:t>
            </w:r>
          </w:p>
        </w:tc>
      </w:tr>
      <w:tr>
        <w:tc>
          <w:tcPr>
            <w:tcW w:type="dxa" w:w="2076"/>
          </w:tcPr>
          <w:p/>
        </w:tc>
        <w:tc>
          <w:tcPr>
            <w:tcW w:type="dxa" w:w="415"/>
          </w:tcPr>
          <w:p>
            <w:pPr>
              <w:pStyle w:val="null3"/>
            </w:pPr>
            <w:r>
              <w:rPr/>
              <w:t>4</w:t>
            </w:r>
          </w:p>
        </w:tc>
        <w:tc>
          <w:tcPr>
            <w:tcW w:type="dxa" w:w="5814"/>
          </w:tcPr>
          <w:p>
            <w:pPr>
              <w:pStyle w:val="null3"/>
              <w:ind w:firstLine="420"/>
              <w:jc w:val="both"/>
            </w:pPr>
            <w:r>
              <w:rPr>
                <w:sz w:val="22"/>
              </w:rPr>
              <w:t>2</w:t>
            </w:r>
            <w:r>
              <w:rPr>
                <w:sz w:val="22"/>
              </w:rPr>
              <w:t>、提供多种拍摄场景</w:t>
            </w:r>
          </w:p>
          <w:p>
            <w:pPr>
              <w:pStyle w:val="null3"/>
              <w:ind w:firstLine="420"/>
              <w:jc w:val="both"/>
            </w:pPr>
            <w:r>
              <w:rPr>
                <w:sz w:val="22"/>
              </w:rPr>
              <w:t>根据课程视频制作需要，视频拍摄需提供多种拍摄场地，进行教学场景的设计与布景（每门课程不少于2种，具体视课程性质而定）。常见的拍摄场景有：课堂实录、录屏操作、棚拍置景、虚拟抠像、室外实景、讨论互动、实践操作、情景演绎等。</w:t>
            </w:r>
          </w:p>
        </w:tc>
      </w:tr>
      <w:tr>
        <w:tc>
          <w:tcPr>
            <w:tcW w:type="dxa" w:w="2076"/>
          </w:tcPr>
          <w:p/>
        </w:tc>
        <w:tc>
          <w:tcPr>
            <w:tcW w:type="dxa" w:w="415"/>
          </w:tcPr>
          <w:p>
            <w:pPr>
              <w:pStyle w:val="null3"/>
            </w:pPr>
            <w:r>
              <w:rPr/>
              <w:t>5</w:t>
            </w:r>
          </w:p>
        </w:tc>
        <w:tc>
          <w:tcPr>
            <w:tcW w:type="dxa" w:w="5814"/>
          </w:tcPr>
          <w:p>
            <w:pPr>
              <w:pStyle w:val="null3"/>
              <w:ind w:firstLine="420"/>
              <w:jc w:val="both"/>
            </w:pPr>
            <w:r>
              <w:rPr>
                <w:sz w:val="22"/>
              </w:rPr>
              <w:t>3</w:t>
            </w:r>
            <w:r>
              <w:rPr>
                <w:sz w:val="22"/>
              </w:rPr>
              <w:t>、引领课程资源录制</w:t>
            </w:r>
          </w:p>
          <w:p>
            <w:pPr>
              <w:pStyle w:val="null3"/>
              <w:ind w:firstLine="420"/>
              <w:jc w:val="both"/>
            </w:pPr>
            <w:r>
              <w:rPr>
                <w:sz w:val="22"/>
              </w:rPr>
              <w:t>根据拍摄技术标准和课程内容，设计贴合教师授课特点的拍摄形式，与教师沟通说明拍摄要求，并协助提供着装意见；安排专人协助教师搜集各类课程资料和辅助资源，包括图片、视频、文档等，美化设计 PPT 课件、题库等教学资源。</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20"/>
              <w:jc w:val="both"/>
            </w:pPr>
            <w:r>
              <w:rPr>
                <w:sz w:val="22"/>
                <w:b/>
              </w:rPr>
              <w:t>（二）视频拍摄服务</w:t>
            </w:r>
          </w:p>
          <w:p>
            <w:pPr>
              <w:pStyle w:val="null3"/>
              <w:ind w:firstLine="420"/>
              <w:jc w:val="both"/>
            </w:pPr>
            <w:r>
              <w:rPr>
                <w:sz w:val="22"/>
              </w:rPr>
              <w:t>★1、采用2机位或以上进行实景拍摄，所用摄像机分辨率不低于1920*1080，录制视频宽高比16:9，视频帧率为25帧/秒，配备专业录音设备、专业影视摄影镝灯，LED面光灯等。根据需要，提供辅助记忆设备（提词器）。</w:t>
            </w:r>
          </w:p>
        </w:tc>
      </w:tr>
      <w:tr>
        <w:tc>
          <w:tcPr>
            <w:tcW w:type="dxa" w:w="2076"/>
          </w:tcPr>
          <w:p/>
        </w:tc>
        <w:tc>
          <w:tcPr>
            <w:tcW w:type="dxa" w:w="415"/>
          </w:tcPr>
          <w:p>
            <w:pPr>
              <w:pStyle w:val="null3"/>
            </w:pPr>
            <w:r>
              <w:rPr/>
              <w:t>7</w:t>
            </w:r>
          </w:p>
        </w:tc>
        <w:tc>
          <w:tcPr>
            <w:tcW w:type="dxa" w:w="5814"/>
          </w:tcPr>
          <w:p>
            <w:pPr>
              <w:pStyle w:val="null3"/>
            </w:pPr>
            <w:r>
              <w:rPr>
                <w:sz w:val="22"/>
              </w:rPr>
              <w:t xml:space="preserve">       2</w:t>
            </w:r>
            <w:r>
              <w:rPr>
                <w:sz w:val="22"/>
              </w:rPr>
              <w:t>、根据实际情况选择适当的拍摄方式，与后期制作统筹策划，确保成片中的多媒体演示及板书完整、清晰。视频构图合理，画面主体突出；人像及肢体动作以及配合讲授选用的板书、画板、教具实物、模型和实验设备等均不能超出镜头所及范围。</w:t>
            </w:r>
          </w:p>
        </w:tc>
      </w:tr>
      <w:tr>
        <w:tc>
          <w:tcPr>
            <w:tcW w:type="dxa" w:w="2076"/>
          </w:tcPr>
          <w:p/>
        </w:tc>
        <w:tc>
          <w:tcPr>
            <w:tcW w:type="dxa" w:w="415"/>
          </w:tcPr>
          <w:p>
            <w:pPr>
              <w:pStyle w:val="null3"/>
            </w:pPr>
            <w:r>
              <w:rPr/>
              <w:t>8</w:t>
            </w:r>
          </w:p>
        </w:tc>
        <w:tc>
          <w:tcPr>
            <w:tcW w:type="dxa" w:w="5814"/>
          </w:tcPr>
          <w:p>
            <w:pPr>
              <w:pStyle w:val="null3"/>
            </w:pPr>
            <w:r>
              <w:rPr>
                <w:sz w:val="22"/>
              </w:rPr>
              <w:t xml:space="preserve">       3</w:t>
            </w:r>
            <w:r>
              <w:rPr>
                <w:sz w:val="22"/>
              </w:rPr>
              <w:t>、拍摄环境应光线充足、安静；演播室背景颜色、图案不宜过多，画面应简洁、明快，有利于营造课堂气氛。</w:t>
            </w:r>
          </w:p>
        </w:tc>
      </w:tr>
      <w:tr>
        <w:tc>
          <w:tcPr>
            <w:tcW w:type="dxa" w:w="2076"/>
          </w:tcPr>
          <w:p/>
        </w:tc>
        <w:tc>
          <w:tcPr>
            <w:tcW w:type="dxa" w:w="415"/>
          </w:tcPr>
          <w:p>
            <w:pPr>
              <w:pStyle w:val="null3"/>
            </w:pPr>
            <w:r>
              <w:rPr/>
              <w:t>9</w:t>
            </w:r>
          </w:p>
        </w:tc>
        <w:tc>
          <w:tcPr>
            <w:tcW w:type="dxa" w:w="5814"/>
          </w:tcPr>
          <w:p>
            <w:pPr>
              <w:pStyle w:val="null3"/>
            </w:pPr>
            <w:r>
              <w:rPr>
                <w:sz w:val="22"/>
              </w:rPr>
              <w:t xml:space="preserve">       4</w:t>
            </w:r>
            <w:r>
              <w:rPr>
                <w:sz w:val="22"/>
              </w:rPr>
              <w:t>、拍摄前需帮助教师简单化妆，引导教师保持最佳状态。</w:t>
            </w:r>
          </w:p>
        </w:tc>
      </w:tr>
      <w:tr>
        <w:tc>
          <w:tcPr>
            <w:tcW w:type="dxa" w:w="2076"/>
          </w:tcPr>
          <w:p/>
        </w:tc>
        <w:tc>
          <w:tcPr>
            <w:tcW w:type="dxa" w:w="415"/>
          </w:tcPr>
          <w:p>
            <w:pPr>
              <w:pStyle w:val="null3"/>
            </w:pPr>
            <w:r>
              <w:rPr/>
              <w:t>10</w:t>
            </w:r>
          </w:p>
        </w:tc>
        <w:tc>
          <w:tcPr>
            <w:tcW w:type="dxa" w:w="5814"/>
          </w:tcPr>
          <w:p>
            <w:pPr>
              <w:pStyle w:val="null3"/>
            </w:pPr>
            <w:r>
              <w:rPr>
                <w:sz w:val="22"/>
              </w:rPr>
              <w:t xml:space="preserve">       5</w:t>
            </w:r>
            <w:r>
              <w:rPr>
                <w:sz w:val="22"/>
              </w:rPr>
              <w:t>、使用资料、图片、外景实拍、实验和表演等形象化教学手段，应符合教学内容要求，与讲授内容联系紧密，手段选用恰当。选用影视作品或自拍素材，应注明素材来源。</w:t>
            </w:r>
          </w:p>
        </w:tc>
      </w:tr>
      <w:tr>
        <w:tc>
          <w:tcPr>
            <w:tcW w:type="dxa" w:w="2076"/>
          </w:tcPr>
          <w:p/>
        </w:tc>
        <w:tc>
          <w:tcPr>
            <w:tcW w:type="dxa" w:w="415"/>
          </w:tcPr>
          <w:p>
            <w:pPr>
              <w:pStyle w:val="null3"/>
            </w:pPr>
            <w:r>
              <w:rPr/>
              <w:t>11</w:t>
            </w:r>
          </w:p>
        </w:tc>
        <w:tc>
          <w:tcPr>
            <w:tcW w:type="dxa" w:w="5814"/>
          </w:tcPr>
          <w:p>
            <w:pPr>
              <w:pStyle w:val="null3"/>
            </w:pPr>
            <w:r>
              <w:rPr>
                <w:sz w:val="22"/>
              </w:rPr>
              <w:t xml:space="preserve">       6</w:t>
            </w:r>
            <w:r>
              <w:rPr>
                <w:sz w:val="22"/>
              </w:rPr>
              <w:t>、动画的设计与使用要与课程内容相贴切，能够发挥良好的教学效果。动画的实现须流畅、合理、图像清晰，具有较强的可视性。</w:t>
            </w:r>
          </w:p>
        </w:tc>
      </w:tr>
      <w:tr>
        <w:tc>
          <w:tcPr>
            <w:tcW w:type="dxa" w:w="2076"/>
          </w:tcPr>
          <w:p/>
        </w:tc>
        <w:tc>
          <w:tcPr>
            <w:tcW w:type="dxa" w:w="415"/>
          </w:tcPr>
          <w:p>
            <w:pPr>
              <w:pStyle w:val="null3"/>
            </w:pPr>
            <w:r>
              <w:rPr/>
              <w:t>12</w:t>
            </w:r>
          </w:p>
        </w:tc>
        <w:tc>
          <w:tcPr>
            <w:tcW w:type="dxa" w:w="5814"/>
          </w:tcPr>
          <w:p>
            <w:pPr>
              <w:pStyle w:val="null3"/>
            </w:pPr>
            <w:r>
              <w:rPr>
                <w:sz w:val="22"/>
              </w:rPr>
              <w:t xml:space="preserve">      7</w:t>
            </w:r>
            <w:r>
              <w:rPr>
                <w:sz w:val="22"/>
              </w:rPr>
              <w:t>、和教师保持充分沟通，拍摄前针对每门课程提供不少于 1 次的试拍机会，以确定本门课程的拍摄手法、制作风格等。</w:t>
            </w:r>
          </w:p>
        </w:tc>
      </w:tr>
      <w:tr>
        <w:tc>
          <w:tcPr>
            <w:tcW w:type="dxa" w:w="2076"/>
          </w:tcPr>
          <w:p>
            <w:pPr>
              <w:pStyle w:val="null3"/>
            </w:pPr>
            <w:r>
              <w:rPr/>
              <w:t>▲</w:t>
            </w:r>
          </w:p>
        </w:tc>
        <w:tc>
          <w:tcPr>
            <w:tcW w:type="dxa" w:w="415"/>
          </w:tcPr>
          <w:p>
            <w:pPr>
              <w:pStyle w:val="null3"/>
            </w:pPr>
            <w:r>
              <w:rPr/>
              <w:t>13</w:t>
            </w:r>
          </w:p>
        </w:tc>
        <w:tc>
          <w:tcPr>
            <w:tcW w:type="dxa" w:w="5814"/>
          </w:tcPr>
          <w:p>
            <w:pPr>
              <w:pStyle w:val="null3"/>
              <w:ind w:firstLine="420"/>
              <w:jc w:val="both"/>
            </w:pPr>
            <w:r>
              <w:rPr>
                <w:sz w:val="22"/>
                <w:b/>
              </w:rPr>
              <w:t>（三）后期制作服务</w:t>
            </w:r>
          </w:p>
          <w:p>
            <w:pPr>
              <w:pStyle w:val="null3"/>
              <w:ind w:firstLine="420"/>
              <w:jc w:val="both"/>
            </w:pPr>
            <w:r>
              <w:rPr>
                <w:sz w:val="22"/>
              </w:rPr>
              <w:t>▲1、使用专业的非线性编辑系统：例如EDIUS、Premiere等对源音视频进行最基本的处理（如抠像、颜色校正、双声道处理）。使用视频编辑系统进行视频降噪，音频降噪，以保证视频画面质量。</w:t>
            </w:r>
          </w:p>
        </w:tc>
      </w:tr>
      <w:tr>
        <w:tc>
          <w:tcPr>
            <w:tcW w:type="dxa" w:w="2076"/>
          </w:tcPr>
          <w:p/>
        </w:tc>
        <w:tc>
          <w:tcPr>
            <w:tcW w:type="dxa" w:w="415"/>
          </w:tcPr>
          <w:p>
            <w:pPr>
              <w:pStyle w:val="null3"/>
            </w:pPr>
            <w:r>
              <w:rPr/>
              <w:t>14</w:t>
            </w:r>
          </w:p>
        </w:tc>
        <w:tc>
          <w:tcPr>
            <w:tcW w:type="dxa" w:w="5814"/>
          </w:tcPr>
          <w:p>
            <w:pPr>
              <w:pStyle w:val="null3"/>
            </w:pPr>
            <w:r>
              <w:rPr>
                <w:sz w:val="22"/>
              </w:rPr>
              <w:t xml:space="preserve">       2</w:t>
            </w:r>
            <w:r>
              <w:rPr>
                <w:sz w:val="22"/>
              </w:rPr>
              <w:t>、</w:t>
            </w:r>
            <w:r>
              <w:rPr>
                <w:sz w:val="22"/>
                <w:color w:val="000000"/>
              </w:rPr>
              <w:t>视频资源。</w:t>
            </w:r>
            <w:r>
              <w:rPr>
                <w:sz w:val="22"/>
              </w:rPr>
              <w:t>图像同步性能稳定，不存在失帧现象，CTL 同步控制信号必须连续，图像无抖动跳跃，色彩无突变，编辑点处图像稳定。图像信噪比不低于 55dB，无明显杂波。白平衡正确，无明显偏色，多机拍摄的镜头衔接处无明显色差。视频全讯号幅度为 1Ⅴp-p，最大不超过1.1Ⅴp-p。</w:t>
            </w:r>
          </w:p>
        </w:tc>
      </w:tr>
      <w:tr>
        <w:tc>
          <w:tcPr>
            <w:tcW w:type="dxa" w:w="2076"/>
          </w:tcPr>
          <w:p/>
        </w:tc>
        <w:tc>
          <w:tcPr>
            <w:tcW w:type="dxa" w:w="415"/>
          </w:tcPr>
          <w:p>
            <w:pPr>
              <w:pStyle w:val="null3"/>
            </w:pPr>
            <w:r>
              <w:rPr/>
              <w:t>15</w:t>
            </w:r>
          </w:p>
        </w:tc>
        <w:tc>
          <w:tcPr>
            <w:tcW w:type="dxa" w:w="5814"/>
          </w:tcPr>
          <w:p>
            <w:pPr>
              <w:pStyle w:val="null3"/>
            </w:pPr>
            <w:r>
              <w:rPr>
                <w:sz w:val="22"/>
              </w:rPr>
              <w:t xml:space="preserve">       3</w:t>
            </w:r>
            <w:r>
              <w:rPr>
                <w:sz w:val="22"/>
              </w:rPr>
              <w:t>、视频处理。视频压缩采用 H.264/AVC（MPEG-4 Part10）编码、使用二次编码、不包含字幕的 MP4 格式。动态码流的最低码率不得低于1024Kb。</w:t>
            </w:r>
          </w:p>
        </w:tc>
      </w:tr>
      <w:tr>
        <w:tc>
          <w:tcPr>
            <w:tcW w:type="dxa" w:w="2076"/>
          </w:tcPr>
          <w:p/>
        </w:tc>
        <w:tc>
          <w:tcPr>
            <w:tcW w:type="dxa" w:w="415"/>
          </w:tcPr>
          <w:p>
            <w:pPr>
              <w:pStyle w:val="null3"/>
            </w:pPr>
            <w:r>
              <w:rPr/>
              <w:t>16</w:t>
            </w:r>
          </w:p>
        </w:tc>
        <w:tc>
          <w:tcPr>
            <w:tcW w:type="dxa" w:w="5814"/>
          </w:tcPr>
          <w:p>
            <w:pPr>
              <w:pStyle w:val="null3"/>
            </w:pPr>
            <w:r>
              <w:rPr>
                <w:sz w:val="22"/>
              </w:rPr>
              <w:t xml:space="preserve">       4</w:t>
            </w:r>
            <w:r>
              <w:rPr>
                <w:sz w:val="22"/>
              </w:rPr>
              <w:t>、音频资源。声音和画面要求同步，无交流声或其他杂音等缺陷。伴音清晰、饱满、圆润，无失真、噪音杂音干扰、音量忽大忽小现象；解说声与现场声无明显比例失调，解说声与背景音乐无明显比例失调。</w:t>
            </w:r>
          </w:p>
        </w:tc>
      </w:tr>
      <w:tr>
        <w:tc>
          <w:tcPr>
            <w:tcW w:type="dxa" w:w="2076"/>
          </w:tcPr>
          <w:p/>
        </w:tc>
        <w:tc>
          <w:tcPr>
            <w:tcW w:type="dxa" w:w="415"/>
          </w:tcPr>
          <w:p>
            <w:pPr>
              <w:pStyle w:val="null3"/>
            </w:pPr>
            <w:r>
              <w:rPr/>
              <w:t>17</w:t>
            </w:r>
          </w:p>
        </w:tc>
        <w:tc>
          <w:tcPr>
            <w:tcW w:type="dxa" w:w="5814"/>
          </w:tcPr>
          <w:p>
            <w:pPr>
              <w:pStyle w:val="null3"/>
            </w:pPr>
            <w:r>
              <w:rPr>
                <w:sz w:val="22"/>
              </w:rPr>
              <w:t xml:space="preserve">       5</w:t>
            </w:r>
            <w:r>
              <w:rPr>
                <w:sz w:val="22"/>
              </w:rPr>
              <w:t>、音频处理。音频压缩采用 AAC（MPEG4 Part3）格式采样率 48KHz音频码流率 128Kbps（恒定）必须是双声道，必须做混音处理。</w:t>
            </w:r>
          </w:p>
        </w:tc>
      </w:tr>
      <w:tr>
        <w:tc>
          <w:tcPr>
            <w:tcW w:type="dxa" w:w="2076"/>
          </w:tcPr>
          <w:p/>
        </w:tc>
        <w:tc>
          <w:tcPr>
            <w:tcW w:type="dxa" w:w="415"/>
          </w:tcPr>
          <w:p>
            <w:pPr>
              <w:pStyle w:val="null3"/>
            </w:pPr>
            <w:r>
              <w:rPr/>
              <w:t>18</w:t>
            </w:r>
          </w:p>
        </w:tc>
        <w:tc>
          <w:tcPr>
            <w:tcW w:type="dxa" w:w="5814"/>
          </w:tcPr>
          <w:p>
            <w:pPr>
              <w:pStyle w:val="null3"/>
            </w:pPr>
            <w:r>
              <w:rPr>
                <w:sz w:val="22"/>
              </w:rPr>
              <w:t xml:space="preserve">       6</w:t>
            </w:r>
            <w:r>
              <w:rPr>
                <w:sz w:val="22"/>
              </w:rPr>
              <w:t>、字幕。独立字幕采用 UTF-8 编码，SRT 格式保存，时间轴准确，文字错误率不能超过1%。如后续课程需增加英文字幕，配合老师完成英文字幕制作。</w:t>
            </w:r>
          </w:p>
        </w:tc>
      </w:tr>
      <w:tr>
        <w:tc>
          <w:tcPr>
            <w:tcW w:type="dxa" w:w="2076"/>
          </w:tcPr>
          <w:p/>
        </w:tc>
        <w:tc>
          <w:tcPr>
            <w:tcW w:type="dxa" w:w="415"/>
          </w:tcPr>
          <w:p>
            <w:pPr>
              <w:pStyle w:val="null3"/>
            </w:pPr>
            <w:r>
              <w:rPr/>
              <w:t>19</w:t>
            </w:r>
          </w:p>
        </w:tc>
        <w:tc>
          <w:tcPr>
            <w:tcW w:type="dxa" w:w="5814"/>
          </w:tcPr>
          <w:p>
            <w:pPr>
              <w:pStyle w:val="null3"/>
            </w:pPr>
            <w:r>
              <w:rPr>
                <w:sz w:val="22"/>
              </w:rPr>
              <w:t xml:space="preserve">       7</w:t>
            </w:r>
            <w:r>
              <w:rPr>
                <w:sz w:val="22"/>
              </w:rPr>
              <w:t>、封面与片头。每门课程制作现课程特色、形式新颖的课程封面。课程片头采取学校统一制作的视频资源片头。</w:t>
            </w:r>
          </w:p>
        </w:tc>
      </w:tr>
      <w:tr>
        <w:tc>
          <w:tcPr>
            <w:tcW w:type="dxa" w:w="2076"/>
          </w:tcPr>
          <w:p/>
        </w:tc>
        <w:tc>
          <w:tcPr>
            <w:tcW w:type="dxa" w:w="415"/>
          </w:tcPr>
          <w:p>
            <w:pPr>
              <w:pStyle w:val="null3"/>
            </w:pPr>
            <w:r>
              <w:rPr/>
              <w:t>20</w:t>
            </w:r>
          </w:p>
        </w:tc>
        <w:tc>
          <w:tcPr>
            <w:tcW w:type="dxa" w:w="5814"/>
          </w:tcPr>
          <w:p>
            <w:pPr>
              <w:pStyle w:val="null3"/>
            </w:pPr>
            <w:r>
              <w:rPr>
                <w:sz w:val="22"/>
              </w:rPr>
              <w:t xml:space="preserve">       8</w:t>
            </w:r>
            <w:r>
              <w:rPr>
                <w:sz w:val="22"/>
              </w:rPr>
              <w:t>、课程风格：根据主讲人所讲内容，理清脉络，划分成品结构，确定成品整体风格，并且确保不存在涉及政治、民族矛盾、宗教矛盾等不符合法律法规和公序良俗的字眼出现，最后编辑出最终的制作脚本。</w:t>
            </w:r>
          </w:p>
        </w:tc>
      </w:tr>
      <w:tr>
        <w:tc>
          <w:tcPr>
            <w:tcW w:type="dxa" w:w="2076"/>
          </w:tcPr>
          <w:p/>
        </w:tc>
        <w:tc>
          <w:tcPr>
            <w:tcW w:type="dxa" w:w="415"/>
          </w:tcPr>
          <w:p>
            <w:pPr>
              <w:pStyle w:val="null3"/>
            </w:pPr>
            <w:r>
              <w:rPr/>
              <w:t>21</w:t>
            </w:r>
          </w:p>
        </w:tc>
        <w:tc>
          <w:tcPr>
            <w:tcW w:type="dxa" w:w="5814"/>
          </w:tcPr>
          <w:p>
            <w:pPr>
              <w:pStyle w:val="null3"/>
            </w:pPr>
            <w:r>
              <w:rPr>
                <w:sz w:val="22"/>
              </w:rPr>
              <w:t xml:space="preserve">       9</w:t>
            </w:r>
            <w:r>
              <w:rPr>
                <w:sz w:val="22"/>
              </w:rPr>
              <w:t>、视频编辑：使用专业非线性编辑系统：例如EDIUS、Premiere等剪掉不必要的废镜头，制作完之后，添加必要的背景音乐，保证制作的片花无错误、无硬伤，画面美观，排版规范、逻辑完整。所有内容编辑结束之后，最后渲染成片。</w:t>
            </w:r>
          </w:p>
        </w:tc>
      </w:tr>
      <w:tr>
        <w:tc>
          <w:tcPr>
            <w:tcW w:type="dxa" w:w="2076"/>
          </w:tcPr>
          <w:p/>
        </w:tc>
        <w:tc>
          <w:tcPr>
            <w:tcW w:type="dxa" w:w="415"/>
          </w:tcPr>
          <w:p>
            <w:pPr>
              <w:pStyle w:val="null3"/>
            </w:pPr>
            <w:r>
              <w:rPr/>
              <w:t>22</w:t>
            </w:r>
          </w:p>
        </w:tc>
        <w:tc>
          <w:tcPr>
            <w:tcW w:type="dxa" w:w="5814"/>
          </w:tcPr>
          <w:p>
            <w:pPr>
              <w:pStyle w:val="null3"/>
            </w:pPr>
            <w:r>
              <w:rPr>
                <w:sz w:val="22"/>
              </w:rPr>
              <w:t xml:space="preserve">       10</w:t>
            </w:r>
            <w:r>
              <w:rPr>
                <w:sz w:val="22"/>
              </w:rPr>
              <w:t>、片尾制作：制作课程片尾，包括版权单位、制作单位、录制时间等信息。</w:t>
            </w:r>
          </w:p>
        </w:tc>
      </w:tr>
      <w:tr>
        <w:tc>
          <w:tcPr>
            <w:tcW w:type="dxa" w:w="2076"/>
          </w:tcPr>
          <w:p/>
        </w:tc>
        <w:tc>
          <w:tcPr>
            <w:tcW w:type="dxa" w:w="415"/>
          </w:tcPr>
          <w:p>
            <w:pPr>
              <w:pStyle w:val="null3"/>
            </w:pPr>
            <w:r>
              <w:rPr/>
              <w:t>23</w:t>
            </w:r>
          </w:p>
        </w:tc>
        <w:tc>
          <w:tcPr>
            <w:tcW w:type="dxa" w:w="5814"/>
          </w:tcPr>
          <w:p>
            <w:pPr>
              <w:pStyle w:val="null3"/>
            </w:pPr>
            <w:r>
              <w:rPr>
                <w:sz w:val="22"/>
              </w:rPr>
              <w:t xml:space="preserve">       11</w:t>
            </w:r>
            <w:r>
              <w:rPr>
                <w:sz w:val="22"/>
              </w:rPr>
              <w:t>、成品输出：所有内容编辑结束之后，生成高清制式的成品。</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sz w:val="22"/>
              </w:rPr>
              <w:t xml:space="preserve">       ★12、版权：课程资源建设的成品所用素材资源不能有知识产权的纠纷。如产生法律纠纷，成交供应商需承担一切与之相关的法律责任（响应时需提供承诺函，不提供的视作不响应。）。所有课程资源的版权属于采购人，不得外泄所拍资料和所制作的成品，未经采购人书面许可不得以任何方式提供给第三方。</w:t>
            </w:r>
          </w:p>
        </w:tc>
      </w:tr>
      <w:tr>
        <w:tc>
          <w:tcPr>
            <w:tcW w:type="dxa" w:w="2076"/>
          </w:tcPr>
          <w:p>
            <w:pPr>
              <w:pStyle w:val="null3"/>
            </w:pPr>
            <w:r>
              <w:rPr/>
              <w:t>▲</w:t>
            </w:r>
          </w:p>
        </w:tc>
        <w:tc>
          <w:tcPr>
            <w:tcW w:type="dxa" w:w="415"/>
          </w:tcPr>
          <w:p>
            <w:pPr>
              <w:pStyle w:val="null3"/>
            </w:pPr>
            <w:r>
              <w:rPr/>
              <w:t>25</w:t>
            </w:r>
          </w:p>
        </w:tc>
        <w:tc>
          <w:tcPr>
            <w:tcW w:type="dxa" w:w="5814"/>
          </w:tcPr>
          <w:p>
            <w:pPr>
              <w:pStyle w:val="null3"/>
              <w:ind w:firstLine="420"/>
              <w:jc w:val="both"/>
            </w:pPr>
            <w:r>
              <w:rPr>
                <w:sz w:val="22"/>
                <w:b/>
              </w:rPr>
              <w:t>▲（四）平台上传服务</w:t>
            </w:r>
          </w:p>
          <w:p>
            <w:pPr>
              <w:pStyle w:val="null3"/>
              <w:ind w:firstLine="440"/>
              <w:jc w:val="both"/>
            </w:pPr>
            <w:r>
              <w:rPr>
                <w:sz w:val="22"/>
              </w:rPr>
              <w:t>将在线课程资源按照统一的课程模板和标准上传到采购人指定的教学平台，对上传的资料进行页面美化，以保证课程的整体美观。提供咨询服务和课程运行质量辅助服务。上传的资源适用于PC及移动设备，不能出现排版混乱、图片显示不全等问题。</w:t>
            </w:r>
          </w:p>
          <w:p>
            <w:pPr>
              <w:pStyle w:val="null3"/>
              <w:ind w:firstLine="440"/>
              <w:jc w:val="both"/>
            </w:pPr>
            <w:r>
              <w:rPr>
                <w:sz w:val="22"/>
              </w:rPr>
              <w:t>为了保证教学平台的稳定安全运行，成交供应商应当具有足够的网络资源平台的信息安全保障能力，涉及课程资源平台操作的人员应当具备相关安全技术能力，防止出现课程资源盗链接。</w:t>
            </w:r>
          </w:p>
        </w:tc>
      </w:tr>
      <w:tr>
        <w:tc>
          <w:tcPr>
            <w:tcW w:type="dxa" w:w="2076"/>
          </w:tcPr>
          <w:p/>
        </w:tc>
        <w:tc>
          <w:tcPr>
            <w:tcW w:type="dxa" w:w="415"/>
          </w:tcPr>
          <w:p>
            <w:pPr>
              <w:pStyle w:val="null3"/>
            </w:pPr>
            <w:r>
              <w:rPr/>
              <w:t>26</w:t>
            </w:r>
          </w:p>
        </w:tc>
        <w:tc>
          <w:tcPr>
            <w:tcW w:type="dxa" w:w="5814"/>
          </w:tcPr>
          <w:p>
            <w:pPr>
              <w:pStyle w:val="null3"/>
              <w:ind w:firstLine="420"/>
              <w:jc w:val="both"/>
            </w:pPr>
            <w:r>
              <w:rPr>
                <w:sz w:val="22"/>
                <w:b/>
              </w:rPr>
              <w:t>（五）课程后期维护更新</w:t>
            </w:r>
          </w:p>
          <w:p>
            <w:pPr>
              <w:pStyle w:val="null3"/>
              <w:ind w:firstLine="420"/>
              <w:jc w:val="both"/>
            </w:pPr>
            <w:r>
              <w:rPr>
                <w:sz w:val="22"/>
              </w:rPr>
              <w:t>课程上线运行一年内，成交供应商需提供必要的课程资源维护服务，以保障所建设资源的正常运行。</w:t>
            </w:r>
          </w:p>
        </w:tc>
      </w:tr>
      <w:tr>
        <w:tc>
          <w:tcPr>
            <w:tcW w:type="dxa" w:w="2076"/>
          </w:tcPr>
          <w:p/>
        </w:tc>
        <w:tc>
          <w:tcPr>
            <w:tcW w:type="dxa" w:w="415"/>
          </w:tcPr>
          <w:p>
            <w:pPr>
              <w:pStyle w:val="null3"/>
            </w:pPr>
            <w:r>
              <w:rPr/>
              <w:t>27</w:t>
            </w:r>
          </w:p>
        </w:tc>
        <w:tc>
          <w:tcPr>
            <w:tcW w:type="dxa" w:w="5814"/>
          </w:tcPr>
          <w:p>
            <w:pPr>
              <w:pStyle w:val="null3"/>
              <w:ind w:firstLine="420"/>
              <w:jc w:val="both"/>
            </w:pPr>
            <w:r>
              <w:rPr>
                <w:sz w:val="22"/>
                <w:b/>
              </w:rPr>
              <w:t>（六）服务响应时间</w:t>
            </w:r>
          </w:p>
          <w:p>
            <w:pPr>
              <w:pStyle w:val="null3"/>
              <w:ind w:firstLine="420"/>
              <w:jc w:val="both"/>
            </w:pPr>
            <w:r>
              <w:rPr>
                <w:sz w:val="22"/>
              </w:rPr>
              <w:t>成交供应商应根据建设项目实施方案按时安排场地、设备和人员开展工作。</w:t>
            </w:r>
          </w:p>
        </w:tc>
      </w:tr>
      <w:tr>
        <w:tc>
          <w:tcPr>
            <w:tcW w:type="dxa" w:w="2076"/>
          </w:tcPr>
          <w:p/>
        </w:tc>
        <w:tc>
          <w:tcPr>
            <w:tcW w:type="dxa" w:w="415"/>
          </w:tcPr>
          <w:p>
            <w:pPr>
              <w:pStyle w:val="null3"/>
            </w:pPr>
            <w:r>
              <w:rPr/>
              <w:t>28</w:t>
            </w:r>
          </w:p>
        </w:tc>
        <w:tc>
          <w:tcPr>
            <w:tcW w:type="dxa" w:w="5814"/>
          </w:tcPr>
          <w:p>
            <w:pPr>
              <w:pStyle w:val="null3"/>
              <w:ind w:firstLine="420"/>
              <w:jc w:val="both"/>
            </w:pPr>
            <w:r>
              <w:rPr>
                <w:sz w:val="22"/>
                <w:b/>
              </w:rPr>
              <w:t>（七）功能标准：</w:t>
            </w:r>
          </w:p>
          <w:tbl>
            <w:tblPr>
              <w:tblBorders>
                <w:top w:val="none" w:color="000000" w:sz="4"/>
                <w:left w:val="none" w:color="000000" w:sz="4"/>
                <w:bottom w:val="none" w:color="000000" w:sz="4"/>
                <w:right w:val="none" w:color="000000" w:sz="4"/>
                <w:insideH w:val="none"/>
                <w:insideV w:val="none"/>
              </w:tblBorders>
            </w:tblPr>
            <w:tblGrid>
              <w:gridCol w:w="514"/>
              <w:gridCol w:w="1371"/>
              <w:gridCol w:w="3713"/>
            </w:tblGrid>
            <w:tr>
              <w:tc>
                <w:tcPr>
                  <w:tcW w:type="dxa" w:w="51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tcPr>
                <w:p>
                  <w:pPr>
                    <w:pStyle w:val="null3"/>
                    <w:jc w:val="center"/>
                  </w:pPr>
                  <w:r>
                    <w:rPr>
                      <w:sz w:val="22"/>
                    </w:rPr>
                    <w:t>序号</w:t>
                  </w:r>
                </w:p>
              </w:tc>
              <w:tc>
                <w:tcPr>
                  <w:tcW w:type="dxa" w:w="1371"/>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sz w:val="22"/>
                    </w:rPr>
                    <w:t>项目</w:t>
                  </w:r>
                </w:p>
              </w:tc>
              <w:tc>
                <w:tcPr>
                  <w:tcW w:type="dxa" w:w="3713"/>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sz w:val="22"/>
                    </w:rPr>
                    <w:t>标准</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视频格式</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MP4</w:t>
                  </w:r>
                  <w:r>
                    <w:rPr>
                      <w:sz w:val="22"/>
                    </w:rPr>
                    <w:t>格式</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视频编码方式(Codec)</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H.264</w:t>
                  </w:r>
                </w:p>
                <w:p>
                  <w:pPr>
                    <w:pStyle w:val="null3"/>
                    <w:jc w:val="both"/>
                  </w:pPr>
                  <w:r>
                    <w:rPr>
                      <w:sz w:val="22"/>
                    </w:rPr>
                    <w:t>（视频压缩采用H.264 编码方式，封装格式采用MP4）</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视频分辨率</w:t>
                  </w:r>
                </w:p>
                <w:p>
                  <w:pPr>
                    <w:pStyle w:val="null3"/>
                    <w:jc w:val="both"/>
                  </w:pPr>
                  <w:r>
                    <w:rPr>
                      <w:sz w:val="22"/>
                    </w:rPr>
                    <w:t>(Resolution)</w:t>
                  </w:r>
                </w:p>
                <w:p>
                  <w:pPr>
                    <w:pStyle w:val="null3"/>
                    <w:jc w:val="both"/>
                  </w:pP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（1）提交的高清成片，分辨率不低于1080P（1920×1080 像素，16:9）；</w:t>
                  </w:r>
                </w:p>
                <w:p>
                  <w:pPr>
                    <w:pStyle w:val="null3"/>
                    <w:jc w:val="both"/>
                  </w:pPr>
                  <w:r>
                    <w:rPr>
                      <w:sz w:val="22"/>
                    </w:rPr>
                    <w:t>（2）单个视频文件大小不能超过1GB；</w:t>
                  </w:r>
                </w:p>
                <w:p>
                  <w:pPr>
                    <w:pStyle w:val="null3"/>
                    <w:jc w:val="both"/>
                  </w:pPr>
                  <w:r>
                    <w:rPr>
                      <w:sz w:val="22"/>
                    </w:rPr>
                    <w:t>（3）上传单个视频文件大小不能超过400M</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视频帧率</w:t>
                  </w:r>
                </w:p>
                <w:p>
                  <w:pPr>
                    <w:pStyle w:val="null3"/>
                    <w:jc w:val="both"/>
                  </w:pPr>
                  <w:r>
                    <w:rPr>
                      <w:sz w:val="22"/>
                    </w:rPr>
                    <w:t>(Frame Rate)</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（1）25 fps（fps:每秒帧数）；</w:t>
                  </w:r>
                </w:p>
                <w:p>
                  <w:pPr>
                    <w:pStyle w:val="null3"/>
                    <w:jc w:val="both"/>
                  </w:pPr>
                  <w:r>
                    <w:rPr>
                      <w:sz w:val="22"/>
                    </w:rPr>
                    <w:t>（2）扫描方式为逐行扫描</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视频码率</w:t>
                  </w:r>
                </w:p>
                <w:p>
                  <w:pPr>
                    <w:pStyle w:val="null3"/>
                    <w:jc w:val="both"/>
                  </w:pPr>
                  <w:r>
                    <w:rPr>
                      <w:sz w:val="22"/>
                    </w:rPr>
                    <w:t>(Bit Rate)</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不低于8 Mbps</w:t>
                  </w:r>
                </w:p>
                <w:p>
                  <w:pPr>
                    <w:pStyle w:val="null3"/>
                    <w:jc w:val="both"/>
                  </w:pPr>
                  <w:r>
                    <w:rPr>
                      <w:sz w:val="22"/>
                    </w:rPr>
                    <w:t>（bps：每秒比特数）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图像效果</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ind w:left="120"/>
                    <w:jc w:val="both"/>
                  </w:pPr>
                  <w:r>
                    <w:rPr>
                      <w:sz w:val="22"/>
                    </w:rPr>
                    <w:t>图像不过亮、过暗；</w:t>
                  </w:r>
                </w:p>
                <w:p>
                  <w:pPr>
                    <w:pStyle w:val="null3"/>
                    <w:numPr>
                      <w:ilvl w:val="0"/>
                      <w:numId w:val="1"/>
                    </w:numPr>
                    <w:ind w:left="120"/>
                    <w:jc w:val="both"/>
                  </w:pPr>
                  <w:r>
                    <w:rPr>
                      <w:sz w:val="22"/>
                    </w:rPr>
                    <w:t>画面无摩尔纹；</w:t>
                  </w:r>
                </w:p>
                <w:p>
                  <w:pPr>
                    <w:pStyle w:val="null3"/>
                    <w:numPr>
                      <w:ilvl w:val="0"/>
                      <w:numId w:val="1"/>
                    </w:numPr>
                    <w:ind w:left="120"/>
                    <w:jc w:val="both"/>
                  </w:pPr>
                  <w:r>
                    <w:rPr>
                      <w:sz w:val="22"/>
                    </w:rPr>
                    <w:t>人、物移动时无拖影、耀光现象；</w:t>
                  </w:r>
                </w:p>
                <w:p>
                  <w:pPr>
                    <w:pStyle w:val="null3"/>
                    <w:numPr>
                      <w:ilvl w:val="0"/>
                      <w:numId w:val="1"/>
                    </w:numPr>
                    <w:ind w:left="120"/>
                    <w:jc w:val="both"/>
                  </w:pPr>
                  <w:r>
                    <w:rPr>
                      <w:sz w:val="22"/>
                    </w:rPr>
                    <w:t>无其它图像质量问题</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音频格式</w:t>
                  </w:r>
                </w:p>
                <w:p>
                  <w:pPr>
                    <w:pStyle w:val="null3"/>
                    <w:jc w:val="both"/>
                  </w:pPr>
                  <w:r>
                    <w:rPr>
                      <w:sz w:val="22"/>
                    </w:rPr>
                    <w:t>(Audio)</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线性高级音频编码格式，Linear AAC(Advanced Audio Coding)</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音频采样率</w:t>
                  </w:r>
                </w:p>
                <w:p>
                  <w:pPr>
                    <w:pStyle w:val="null3"/>
                    <w:jc w:val="both"/>
                  </w:pPr>
                  <w:r>
                    <w:rPr>
                      <w:sz w:val="22"/>
                    </w:rPr>
                    <w:t>(Sample Rate)</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采样率不低于48kHz，16位采样</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音频码率</w:t>
                  </w:r>
                </w:p>
                <w:p>
                  <w:pPr>
                    <w:pStyle w:val="null3"/>
                    <w:jc w:val="both"/>
                  </w:pPr>
                  <w:r>
                    <w:rPr>
                      <w:sz w:val="22"/>
                    </w:rPr>
                    <w:t>(Bit Rate)</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不低于1.4Mbps</w:t>
                  </w:r>
                </w:p>
                <w:p>
                  <w:pPr>
                    <w:pStyle w:val="null3"/>
                    <w:jc w:val="both"/>
                  </w:pPr>
                  <w:r>
                    <w:rPr>
                      <w:sz w:val="22"/>
                    </w:rPr>
                    <w:t>（bps：每秒比特数）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音频声道</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应采用双声道，做混音处理</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音频信噪比</w:t>
                  </w:r>
                </w:p>
                <w:p>
                  <w:pPr>
                    <w:pStyle w:val="null3"/>
                    <w:jc w:val="both"/>
                  </w:pPr>
                  <w:r>
                    <w:rPr>
                      <w:sz w:val="22"/>
                    </w:rPr>
                    <w:t>(SNR)</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大于50dB</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声画同步</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课程视频的声画同步</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声音效果</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35"/>
                    <w:jc w:val="both"/>
                  </w:pPr>
                  <w:r>
                    <w:rPr>
                      <w:sz w:val="22"/>
                    </w:rPr>
                    <w:t>（1）伴音清晰、饱满、圆润，无失真、噪声杂音干扰、音量忽大忽小现象；</w:t>
                  </w:r>
                </w:p>
                <w:p>
                  <w:pPr>
                    <w:pStyle w:val="null3"/>
                    <w:ind w:left="435"/>
                    <w:jc w:val="both"/>
                  </w:pPr>
                  <w:r>
                    <w:rPr>
                      <w:sz w:val="22"/>
                    </w:rPr>
                    <w:t>（2）解说声与现场声无明显重音，音轨区分清晰；解说声与背景音乐无明显重音，音轨区分清晰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剪辑</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（1）剪辑衔接自然；</w:t>
                  </w:r>
                </w:p>
                <w:p>
                  <w:pPr>
                    <w:pStyle w:val="null3"/>
                    <w:jc w:val="both"/>
                  </w:pPr>
                  <w:r>
                    <w:rPr>
                      <w:sz w:val="22"/>
                    </w:rPr>
                    <w:t>（2）无漏帧现象；</w:t>
                  </w:r>
                </w:p>
                <w:p>
                  <w:pPr>
                    <w:pStyle w:val="null3"/>
                    <w:jc w:val="both"/>
                  </w:pPr>
                  <w:r>
                    <w:rPr>
                      <w:sz w:val="22"/>
                    </w:rPr>
                    <w:t>（3）声音无断档；</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15</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后期动画文字</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35"/>
                    <w:jc w:val="both"/>
                  </w:pPr>
                  <w:r>
                    <w:rPr>
                      <w:sz w:val="22"/>
                    </w:rPr>
                    <w:t>（1）后期制作的动画、显示的文字（非字幕文件），展现效果清晰、内容明确、无错误</w:t>
                  </w:r>
                </w:p>
                <w:p>
                  <w:pPr>
                    <w:pStyle w:val="null3"/>
                    <w:jc w:val="both"/>
                  </w:pPr>
                  <w:r>
                    <w:rPr>
                      <w:sz w:val="22"/>
                    </w:rPr>
                    <w:t>（2）同一门课程中字体风格一致</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16</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字幕要求</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ind w:left="120"/>
                    <w:jc w:val="both"/>
                  </w:pPr>
                  <w:r>
                    <w:rPr>
                      <w:sz w:val="22"/>
                    </w:rPr>
                    <w:t>中文授课视频提供对应的中文字幕</w:t>
                  </w:r>
                </w:p>
                <w:p>
                  <w:pPr>
                    <w:pStyle w:val="null3"/>
                    <w:numPr>
                      <w:ilvl w:val="0"/>
                      <w:numId w:val="1"/>
                    </w:numPr>
                    <w:ind w:left="120"/>
                    <w:jc w:val="both"/>
                  </w:pPr>
                  <w:r>
                    <w:rPr>
                      <w:sz w:val="22"/>
                    </w:rPr>
                    <w:t>英文授课视频提供相应的英文字幕</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17</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字幕文件格式</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字幕不能固定加在视频上，必须提供独立的SRT格式字幕文件。</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18</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字幕编码</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中文字幕必须采用UTF-8编码</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19</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字幕时间轴</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时间轴准确，字幕出现时间与视频声音一致</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字幕字数要求</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（1）每屏只有一行字幕；</w:t>
                  </w:r>
                </w:p>
                <w:p>
                  <w:pPr>
                    <w:pStyle w:val="null3"/>
                    <w:jc w:val="both"/>
                  </w:pPr>
                  <w:r>
                    <w:rPr>
                      <w:sz w:val="22"/>
                    </w:rPr>
                    <w:t>（2）每行不超过20个字；</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字幕文字内容</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字幕文字错误率不能超过1%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片头</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（1）时长应不超过20秒；</w:t>
                  </w:r>
                </w:p>
                <w:p>
                  <w:pPr>
                    <w:pStyle w:val="null3"/>
                    <w:jc w:val="both"/>
                  </w:pPr>
                  <w:r>
                    <w:rPr>
                      <w:sz w:val="22"/>
                    </w:rPr>
                    <w:t>（2）应使用体现课程所属院校、机构特色的素材；</w:t>
                  </w:r>
                </w:p>
                <w:p>
                  <w:pPr>
                    <w:pStyle w:val="null3"/>
                    <w:ind w:left="435"/>
                    <w:jc w:val="both"/>
                  </w:pPr>
                  <w:r>
                    <w:rPr>
                      <w:sz w:val="22"/>
                    </w:rPr>
                    <w:t>（3）应包括校名及Logo、课程名称、主讲教师姓名、专业技术职务、单位等信息</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片尾</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（1）时长应不超过20秒；</w:t>
                  </w:r>
                </w:p>
                <w:p>
                  <w:pPr>
                    <w:pStyle w:val="null3"/>
                    <w:ind w:left="435"/>
                    <w:jc w:val="both"/>
                  </w:pPr>
                  <w:r>
                    <w:rPr>
                      <w:sz w:val="22"/>
                    </w:rPr>
                    <w:t>（2）应包括版权单位、制作单位、可以有鸣谢单位或个人信息</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视频LOGO</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视频的相应位置应加上课程所属院校、机构统一设计的Logo标志，标志应明显、且不影响视频内容的显示</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25</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视频长度</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10</w:t>
                  </w:r>
                  <w:r>
                    <w:rPr>
                      <w:sz w:val="22"/>
                    </w:rPr>
                    <w:t>分钟以内</w:t>
                  </w:r>
                </w:p>
              </w:tc>
            </w:tr>
          </w:tbl>
          <w:p/>
        </w:tc>
      </w:tr>
      <w:tr>
        <w:tc>
          <w:tcPr>
            <w:tcW w:type="dxa" w:w="2076"/>
          </w:tcPr>
          <w:p/>
        </w:tc>
        <w:tc>
          <w:tcPr>
            <w:tcW w:type="dxa" w:w="415"/>
          </w:tcPr>
          <w:p>
            <w:pPr>
              <w:pStyle w:val="null3"/>
            </w:pPr>
            <w:r>
              <w:rPr/>
              <w:t>29</w:t>
            </w:r>
          </w:p>
        </w:tc>
        <w:tc>
          <w:tcPr>
            <w:tcW w:type="dxa" w:w="5814"/>
          </w:tcPr>
          <w:p>
            <w:pPr>
              <w:pStyle w:val="null3"/>
              <w:ind w:firstLine="420"/>
              <w:jc w:val="both"/>
            </w:pPr>
            <w:r>
              <w:rPr>
                <w:sz w:val="22"/>
                <w:b/>
              </w:rPr>
              <w:t>（八）其他要求</w:t>
            </w:r>
          </w:p>
          <w:p>
            <w:pPr>
              <w:pStyle w:val="null3"/>
              <w:ind w:firstLine="440"/>
              <w:jc w:val="both"/>
            </w:pPr>
            <w:r>
              <w:rPr>
                <w:sz w:val="22"/>
              </w:rPr>
              <w:t>1</w:t>
            </w:r>
            <w:r>
              <w:rPr>
                <w:sz w:val="22"/>
              </w:rPr>
              <w:t>、录制场地要求</w:t>
            </w:r>
          </w:p>
          <w:p>
            <w:pPr>
              <w:pStyle w:val="null3"/>
              <w:ind w:firstLine="440"/>
              <w:jc w:val="both"/>
            </w:pPr>
            <w:r>
              <w:rPr>
                <w:sz w:val="22"/>
              </w:rPr>
              <w:t>（1）根据课程内容需求，搭建拍摄场景。</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sz w:val="22"/>
              </w:rPr>
              <w:t>▲（2）录制场地为教学实境或专业摄影棚，不得在镜头中出现有广告嫌疑或与课程无关的标识等内容。</w:t>
            </w:r>
          </w:p>
        </w:tc>
      </w:tr>
      <w:tr>
        <w:tc>
          <w:tcPr>
            <w:tcW w:type="dxa" w:w="2076"/>
          </w:tcPr>
          <w:p/>
        </w:tc>
        <w:tc>
          <w:tcPr>
            <w:tcW w:type="dxa" w:w="415"/>
          </w:tcPr>
          <w:p>
            <w:pPr>
              <w:pStyle w:val="null3"/>
            </w:pPr>
            <w:r>
              <w:rPr/>
              <w:t>31</w:t>
            </w:r>
          </w:p>
        </w:tc>
        <w:tc>
          <w:tcPr>
            <w:tcW w:type="dxa" w:w="5814"/>
          </w:tcPr>
          <w:p>
            <w:pPr>
              <w:pStyle w:val="null3"/>
            </w:pPr>
            <w:r>
              <w:rPr>
                <w:sz w:val="22"/>
              </w:rPr>
              <w:t>（3）录制场地要求光线充足、环境安静，保证多媒体展示或板书清楚，单个录播场地面积在30平方米或以上。</w:t>
            </w:r>
          </w:p>
        </w:tc>
      </w:tr>
      <w:tr>
        <w:tc>
          <w:tcPr>
            <w:tcW w:type="dxa" w:w="2076"/>
          </w:tcPr>
          <w:p>
            <w:pPr>
              <w:pStyle w:val="null3"/>
            </w:pPr>
            <w:r>
              <w:rPr/>
              <w:t>▲</w:t>
            </w:r>
          </w:p>
        </w:tc>
        <w:tc>
          <w:tcPr>
            <w:tcW w:type="dxa" w:w="415"/>
          </w:tcPr>
          <w:p>
            <w:pPr>
              <w:pStyle w:val="null3"/>
            </w:pPr>
            <w:r>
              <w:rPr/>
              <w:t>32</w:t>
            </w:r>
          </w:p>
        </w:tc>
        <w:tc>
          <w:tcPr>
            <w:tcW w:type="dxa" w:w="5814"/>
          </w:tcPr>
          <w:p>
            <w:pPr>
              <w:pStyle w:val="null3"/>
              <w:ind w:firstLine="440"/>
              <w:jc w:val="both"/>
            </w:pPr>
            <w:r>
              <w:rPr>
                <w:sz w:val="22"/>
              </w:rPr>
              <w:t>2</w:t>
            </w:r>
            <w:r>
              <w:rPr>
                <w:sz w:val="22"/>
              </w:rPr>
              <w:t>、拍摄、制作及设备要求要求</w:t>
            </w:r>
          </w:p>
          <w:p>
            <w:pPr>
              <w:pStyle w:val="null3"/>
            </w:pPr>
            <w:r>
              <w:rPr>
                <w:sz w:val="22"/>
              </w:rPr>
              <w:t>▲（1）拍摄方式：根据课程内容，采用2机位或以上实景拍摄，机位设置应满足完整记录授课过程或授课教师的要求，能很好的还原课堂教学氛围并保持画面的美观。</w:t>
            </w:r>
          </w:p>
        </w:tc>
      </w:tr>
      <w:tr>
        <w:tc>
          <w:tcPr>
            <w:tcW w:type="dxa" w:w="2076"/>
          </w:tcPr>
          <w:p/>
        </w:tc>
        <w:tc>
          <w:tcPr>
            <w:tcW w:type="dxa" w:w="415"/>
          </w:tcPr>
          <w:p>
            <w:pPr>
              <w:pStyle w:val="null3"/>
            </w:pPr>
            <w:r>
              <w:rPr/>
              <w:t>33</w:t>
            </w:r>
          </w:p>
        </w:tc>
        <w:tc>
          <w:tcPr>
            <w:tcW w:type="dxa" w:w="5814"/>
          </w:tcPr>
          <w:p>
            <w:pPr>
              <w:pStyle w:val="null3"/>
            </w:pPr>
            <w:r>
              <w:rPr>
                <w:sz w:val="22"/>
              </w:rPr>
              <w:t>（2）录像设备：使用不少于2台分辨率1920*1080及以上广播级摄像机（含4K级）、电影摄像机或全画幅单反照相机等设备拍摄多景别实景视频，营造“一对一”授课的感觉。</w:t>
            </w:r>
          </w:p>
        </w:tc>
      </w:tr>
      <w:tr>
        <w:tc>
          <w:tcPr>
            <w:tcW w:type="dxa" w:w="2076"/>
          </w:tcPr>
          <w:p/>
        </w:tc>
        <w:tc>
          <w:tcPr>
            <w:tcW w:type="dxa" w:w="415"/>
          </w:tcPr>
          <w:p>
            <w:pPr>
              <w:pStyle w:val="null3"/>
            </w:pPr>
            <w:r>
              <w:rPr/>
              <w:t>34</w:t>
            </w:r>
          </w:p>
        </w:tc>
        <w:tc>
          <w:tcPr>
            <w:tcW w:type="dxa" w:w="5814"/>
          </w:tcPr>
          <w:p>
            <w:pPr>
              <w:pStyle w:val="null3"/>
            </w:pPr>
            <w:r>
              <w:rPr>
                <w:sz w:val="22"/>
              </w:rPr>
              <w:t>（3）录音设备：使用专业的录音设备录制，信噪比不低于50dB。</w:t>
            </w:r>
          </w:p>
        </w:tc>
      </w:tr>
      <w:tr>
        <w:tc>
          <w:tcPr>
            <w:tcW w:type="dxa" w:w="2076"/>
          </w:tcPr>
          <w:p/>
        </w:tc>
        <w:tc>
          <w:tcPr>
            <w:tcW w:type="dxa" w:w="415"/>
          </w:tcPr>
          <w:p>
            <w:pPr>
              <w:pStyle w:val="null3"/>
            </w:pPr>
            <w:r>
              <w:rPr/>
              <w:t>35</w:t>
            </w:r>
          </w:p>
        </w:tc>
        <w:tc>
          <w:tcPr>
            <w:tcW w:type="dxa" w:w="5814"/>
          </w:tcPr>
          <w:p>
            <w:pPr>
              <w:pStyle w:val="null3"/>
            </w:pPr>
            <w:r>
              <w:rPr>
                <w:sz w:val="22"/>
              </w:rPr>
              <w:t>（4）灯光设备：专业影视摄影镝灯，LED面光灯等。</w:t>
            </w:r>
          </w:p>
        </w:tc>
      </w:tr>
      <w:tr>
        <w:tc>
          <w:tcPr>
            <w:tcW w:type="dxa" w:w="2076"/>
          </w:tcPr>
          <w:p/>
        </w:tc>
        <w:tc>
          <w:tcPr>
            <w:tcW w:type="dxa" w:w="415"/>
          </w:tcPr>
          <w:p>
            <w:pPr>
              <w:pStyle w:val="null3"/>
            </w:pPr>
            <w:r>
              <w:rPr/>
              <w:t>36</w:t>
            </w:r>
          </w:p>
        </w:tc>
        <w:tc>
          <w:tcPr>
            <w:tcW w:type="dxa" w:w="5814"/>
          </w:tcPr>
          <w:p>
            <w:pPr>
              <w:pStyle w:val="null3"/>
            </w:pPr>
            <w:r>
              <w:rPr>
                <w:sz w:val="22"/>
              </w:rPr>
              <w:t>（5）辅助记忆设备（提词器）1套。</w:t>
            </w:r>
          </w:p>
        </w:tc>
      </w:tr>
      <w:tr>
        <w:tc>
          <w:tcPr>
            <w:tcW w:type="dxa" w:w="2076"/>
          </w:tcPr>
          <w:p/>
        </w:tc>
        <w:tc>
          <w:tcPr>
            <w:tcW w:type="dxa" w:w="415"/>
          </w:tcPr>
          <w:p>
            <w:pPr>
              <w:pStyle w:val="null3"/>
            </w:pPr>
            <w:r>
              <w:rPr/>
              <w:t>37</w:t>
            </w:r>
          </w:p>
        </w:tc>
        <w:tc>
          <w:tcPr>
            <w:tcW w:type="dxa" w:w="5814"/>
          </w:tcPr>
          <w:p>
            <w:pPr>
              <w:pStyle w:val="null3"/>
            </w:pPr>
            <w:r>
              <w:rPr>
                <w:sz w:val="22"/>
              </w:rPr>
              <w:t>（6）后期制作：使用非线性编辑系统，根据在线课程需要为视频配套字幕。</w:t>
            </w:r>
          </w:p>
        </w:tc>
      </w:tr>
      <w:tr>
        <w:tc>
          <w:tcPr>
            <w:tcW w:type="dxa" w:w="2076"/>
          </w:tcPr>
          <w:p/>
        </w:tc>
        <w:tc>
          <w:tcPr>
            <w:tcW w:type="dxa" w:w="415"/>
          </w:tcPr>
          <w:p>
            <w:pPr>
              <w:pStyle w:val="null3"/>
            </w:pPr>
            <w:r>
              <w:rPr/>
              <w:t>38</w:t>
            </w:r>
          </w:p>
        </w:tc>
        <w:tc>
          <w:tcPr>
            <w:tcW w:type="dxa" w:w="5814"/>
          </w:tcPr>
          <w:p>
            <w:pPr>
              <w:pStyle w:val="null3"/>
            </w:pPr>
            <w:r>
              <w:rPr>
                <w:sz w:val="21"/>
                <w:b/>
              </w:rPr>
              <w:t xml:space="preserve">       备注：供应商应在响应文件中提供满足全部在线课程建设所需的包括但不限于场地、摄像设备、录音设备、后期制作设备等的详细设备清单列表，并清晰标明所在页码</w:t>
            </w:r>
            <w:r>
              <w:rPr>
                <w:sz w:val="21"/>
              </w:rPr>
              <w:t>。</w:t>
            </w:r>
          </w:p>
        </w:tc>
      </w:tr>
      <w:tr>
        <w:tc>
          <w:tcPr>
            <w:tcW w:type="dxa" w:w="2076"/>
          </w:tcPr>
          <w:p/>
        </w:tc>
        <w:tc>
          <w:tcPr>
            <w:tcW w:type="dxa" w:w="415"/>
          </w:tcPr>
          <w:p>
            <w:pPr>
              <w:pStyle w:val="null3"/>
            </w:pPr>
            <w:r>
              <w:rPr/>
              <w:t>39</w:t>
            </w:r>
          </w:p>
        </w:tc>
        <w:tc>
          <w:tcPr>
            <w:tcW w:type="dxa" w:w="5814"/>
          </w:tcPr>
          <w:p>
            <w:pPr>
              <w:pStyle w:val="null3"/>
              <w:ind w:firstLine="440"/>
              <w:jc w:val="both"/>
            </w:pPr>
            <w:r>
              <w:rPr>
                <w:sz w:val="22"/>
              </w:rPr>
              <w:t>3</w:t>
            </w:r>
            <w:r>
              <w:rPr>
                <w:sz w:val="22"/>
              </w:rPr>
              <w:t>、人员要求</w:t>
            </w:r>
          </w:p>
          <w:p>
            <w:pPr>
              <w:pStyle w:val="null3"/>
            </w:pPr>
            <w:r>
              <w:rPr>
                <w:sz w:val="22"/>
              </w:rPr>
              <w:t>（1）课程编导：本科或以上学历，3年以上教学设计经验，负责跟教师沟通需要准备的材料、协助教师进行课程脚本的设计、拍摄环境的选择、拍摄过程中的记录等。共同形成资源建设方案，指导并配合教师制作电子教案，负责面向教师的资源建设培训。（不少于2人，不可兼任）</w:t>
            </w:r>
          </w:p>
        </w:tc>
      </w:tr>
      <w:tr>
        <w:tc>
          <w:tcPr>
            <w:tcW w:type="dxa" w:w="2076"/>
          </w:tcPr>
          <w:p/>
        </w:tc>
        <w:tc>
          <w:tcPr>
            <w:tcW w:type="dxa" w:w="415"/>
          </w:tcPr>
          <w:p>
            <w:pPr>
              <w:pStyle w:val="null3"/>
            </w:pPr>
            <w:r>
              <w:rPr/>
              <w:t>40</w:t>
            </w:r>
          </w:p>
        </w:tc>
        <w:tc>
          <w:tcPr>
            <w:tcW w:type="dxa" w:w="5814"/>
          </w:tcPr>
          <w:p>
            <w:pPr>
              <w:pStyle w:val="null3"/>
            </w:pPr>
            <w:r>
              <w:rPr>
                <w:sz w:val="22"/>
              </w:rPr>
              <w:t>（2）专业摄像师：3年以上相关从业经验，熟悉白平衡调试、机位的摆放、音频设备的测试，灯光的调试等。负责课程资源的拍摄与录制。（不少于2人，不可兼任）</w:t>
            </w:r>
          </w:p>
        </w:tc>
      </w:tr>
      <w:tr>
        <w:tc>
          <w:tcPr>
            <w:tcW w:type="dxa" w:w="2076"/>
          </w:tcPr>
          <w:p/>
        </w:tc>
        <w:tc>
          <w:tcPr>
            <w:tcW w:type="dxa" w:w="415"/>
          </w:tcPr>
          <w:p>
            <w:pPr>
              <w:pStyle w:val="null3"/>
            </w:pPr>
            <w:r>
              <w:rPr/>
              <w:t>41</w:t>
            </w:r>
          </w:p>
        </w:tc>
        <w:tc>
          <w:tcPr>
            <w:tcW w:type="dxa" w:w="5814"/>
          </w:tcPr>
          <w:p>
            <w:pPr>
              <w:pStyle w:val="null3"/>
            </w:pPr>
            <w:r>
              <w:rPr>
                <w:sz w:val="22"/>
              </w:rPr>
              <w:t>（3）媒体制作技术人员：熟练使用视音频处理相关软件如AE、Photoshop、3DMax、Maya等，负责课件特效制作，及平台课程页面的美化。（不少于2人，不可兼任）</w:t>
            </w:r>
          </w:p>
        </w:tc>
      </w:tr>
      <w:tr>
        <w:tc>
          <w:tcPr>
            <w:tcW w:type="dxa" w:w="2076"/>
          </w:tcPr>
          <w:p/>
        </w:tc>
        <w:tc>
          <w:tcPr>
            <w:tcW w:type="dxa" w:w="415"/>
          </w:tcPr>
          <w:p>
            <w:pPr>
              <w:pStyle w:val="null3"/>
            </w:pPr>
            <w:r>
              <w:rPr/>
              <w:t>42</w:t>
            </w:r>
          </w:p>
        </w:tc>
        <w:tc>
          <w:tcPr>
            <w:tcW w:type="dxa" w:w="5814"/>
          </w:tcPr>
          <w:p>
            <w:pPr>
              <w:pStyle w:val="null3"/>
              <w:spacing w:before="45" w:after="45"/>
              <w:jc w:val="both"/>
            </w:pPr>
            <w:r>
              <w:rPr>
                <w:sz w:val="22"/>
                <w:b/>
              </w:rPr>
              <w:t>三、服务要求</w:t>
            </w:r>
          </w:p>
          <w:p>
            <w:pPr>
              <w:pStyle w:val="null3"/>
            </w:pPr>
            <w:r>
              <w:rPr>
                <w:sz w:val="22"/>
              </w:rPr>
              <w:t>1</w:t>
            </w:r>
            <w:r>
              <w:rPr>
                <w:sz w:val="22"/>
              </w:rPr>
              <w:t>、</w:t>
            </w:r>
            <w:r>
              <w:rPr>
                <w:sz w:val="22"/>
                <w:b/>
              </w:rPr>
              <w:t>交付时间：</w:t>
            </w:r>
            <w:r>
              <w:rPr>
                <w:sz w:val="22"/>
              </w:rPr>
              <w:t>自合同生效之日起半年内交付成品，具体拍摄时间由成交供应商编制项目实施方案并经采购人审核通过后确定。</w:t>
            </w:r>
          </w:p>
        </w:tc>
      </w:tr>
      <w:tr>
        <w:tc>
          <w:tcPr>
            <w:tcW w:type="dxa" w:w="2076"/>
          </w:tcPr>
          <w:p/>
        </w:tc>
        <w:tc>
          <w:tcPr>
            <w:tcW w:type="dxa" w:w="415"/>
          </w:tcPr>
          <w:p>
            <w:pPr>
              <w:pStyle w:val="null3"/>
            </w:pPr>
            <w:r>
              <w:rPr/>
              <w:t>43</w:t>
            </w:r>
          </w:p>
        </w:tc>
        <w:tc>
          <w:tcPr>
            <w:tcW w:type="dxa" w:w="5814"/>
          </w:tcPr>
          <w:p>
            <w:pPr>
              <w:pStyle w:val="null3"/>
            </w:pPr>
            <w:r>
              <w:rPr>
                <w:sz w:val="22"/>
              </w:rPr>
              <w:t>2</w:t>
            </w:r>
            <w:r>
              <w:rPr>
                <w:sz w:val="22"/>
              </w:rPr>
              <w:t>、</w:t>
            </w:r>
            <w:r>
              <w:rPr>
                <w:sz w:val="22"/>
                <w:b/>
              </w:rPr>
              <w:t>交付地点：</w:t>
            </w:r>
            <w:r>
              <w:rPr>
                <w:sz w:val="22"/>
              </w:rPr>
              <w:t>广州市越秀区下塘西路1号广东开放大学。</w:t>
            </w:r>
          </w:p>
        </w:tc>
      </w:tr>
      <w:tr>
        <w:tc>
          <w:tcPr>
            <w:tcW w:type="dxa" w:w="2076"/>
          </w:tcPr>
          <w:p/>
        </w:tc>
        <w:tc>
          <w:tcPr>
            <w:tcW w:type="dxa" w:w="415"/>
          </w:tcPr>
          <w:p>
            <w:pPr>
              <w:pStyle w:val="null3"/>
            </w:pPr>
            <w:r>
              <w:rPr/>
              <w:t>44</w:t>
            </w:r>
          </w:p>
        </w:tc>
        <w:tc>
          <w:tcPr>
            <w:tcW w:type="dxa" w:w="5814"/>
          </w:tcPr>
          <w:p>
            <w:pPr>
              <w:pStyle w:val="null3"/>
              <w:jc w:val="both"/>
            </w:pPr>
            <w:r>
              <w:rPr>
                <w:sz w:val="22"/>
              </w:rPr>
              <w:t>3</w:t>
            </w:r>
            <w:r>
              <w:rPr>
                <w:sz w:val="22"/>
              </w:rPr>
              <w:t>、</w:t>
            </w:r>
            <w:r>
              <w:rPr>
                <w:sz w:val="22"/>
                <w:b/>
              </w:rPr>
              <w:t>交付要求：</w:t>
            </w:r>
            <w:r>
              <w:rPr>
                <w:sz w:val="22"/>
              </w:rPr>
              <w:t>课程视音频资源交付为分课程交付，提供分课程成品视音频，用于项目验收和课程教学。</w:t>
            </w:r>
          </w:p>
          <w:p>
            <w:pPr>
              <w:pStyle w:val="null3"/>
              <w:jc w:val="both"/>
            </w:pPr>
            <w:r>
              <w:rPr>
                <w:sz w:val="22"/>
              </w:rPr>
              <w:t xml:space="preserve">       分课程交付存储设2个文件夹，1个为视音频成品文件夹，存储视音频课程资源成品，文件夹命名规则：课程名称；二级文件夹命名规则：节次+节标题+拍摄日期（日期格式为年  月  日，如：20121204）。1个为其他文件夹，存储“</w:t>
            </w:r>
            <w:r>
              <w:rPr>
                <w:sz w:val="22"/>
              </w:rPr>
              <w:t>资源交接明细表和课程基本数据表”。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采购包2（2024年常规课程自建技术服务采购2）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预计完成时间：自合同生效之日起半年。（详见附表一服务要求）</w:t>
            </w:r>
          </w:p>
        </w:tc>
      </w:tr>
      <w:tr>
        <w:tc>
          <w:tcPr>
            <w:tcW w:type="dxa" w:w="4153"/>
          </w:tcPr>
          <w:p>
            <w:pPr>
              <w:pStyle w:val="null3"/>
            </w:pPr>
            <w:r>
              <w:rPr/>
              <w:t>标的提供的地点</w:t>
            </w:r>
          </w:p>
        </w:tc>
        <w:tc>
          <w:tcPr>
            <w:tcW w:type="dxa" w:w="4153"/>
          </w:tcPr>
          <w:p>
            <w:pPr>
              <w:pStyle w:val="null3"/>
            </w:pPr>
            <w:r>
              <w:rPr/>
              <w:t>广州市越秀区下塘西路1号广东开放大学。</w:t>
            </w:r>
          </w:p>
        </w:tc>
      </w:tr>
      <w:tr>
        <w:tc>
          <w:tcPr>
            <w:tcW w:type="dxa" w:w="4153"/>
          </w:tcPr>
          <w:p>
            <w:pPr>
              <w:pStyle w:val="null3"/>
            </w:pPr>
            <w:r>
              <w:rPr/>
              <w:t>付款方式</w:t>
            </w:r>
          </w:p>
        </w:tc>
        <w:tc>
          <w:tcPr>
            <w:tcW w:type="dxa" w:w="4153"/>
          </w:tcPr>
          <w:p>
            <w:pPr>
              <w:pStyle w:val="null3"/>
            </w:pPr>
            <w:r>
              <w:rPr/>
              <w:t>1期：支付比例30%,付款说明：1、签订合同且采购人收到成交供应商开具的发票之日起10个工作日内，向成交供应商支付合同总价（根据成交单价和预计时长工作量计算的预估总价）的30%。2、成交供应商应向采购人提供与支付金额相符的有效发票，且收款方、出具发票方、合同乙方均必须与成交供应商名称一致。3、付款方式：采用支票、银行汇票、电汇三种形式。</w:t>
            </w:r>
          </w:p>
          <w:p>
            <w:pPr>
              <w:pStyle w:val="null3"/>
            </w:pPr>
            <w:r>
              <w:rPr/>
              <w:t>2期：支付比例70%,付款说明：成交供应商完成项目建设，经采购人验收合格，在采购人收到有效发票后10个工作日内按成交供应商实际完成的工作量和成交单价支付至合同结算价的100%。发票要求和付款方式同1期。</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1期：按广东开放大学（广东理工职业学院）相关规定进行验收。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★报价要求，单价报价，本采购包设单价最高限价（100元/分钟），供应商按要求报出响应单价（元/分钟）。响应单价不得高于单价最高限价，否则其响应将被认定为无效。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2024年常规课程自建技术服务采购2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527,800.00</w:t>
            </w:r>
          </w:p>
        </w:tc>
        <w:tc>
          <w:tcPr>
            <w:tcW w:type="dxa" w:w="933"/>
          </w:tcPr>
          <w:p>
            <w:pPr>
              <w:pStyle w:val="null3"/>
              <w:jc w:val="right"/>
            </w:pPr>
            <w:r>
              <w:rPr/>
              <w:t>527,800.00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2024年常规课程自建技术服务采购2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具体要求详见采购包1附表一。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广东开放大学（广东理工职业学院）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包1和包2兼投不兼中，分别确定1名成交供应商，即包1的第一成交候选人/成交供应商不能成为包2的成交候选人/成交供应商。按采购包的顺序进行评审，依次按照评标总得分由高到低的顺序，每包组推荐三名成交候选人。已获得包1的第一成交候选人/成交供应商资格的，如参加后面采购包的报价，将不能通过符合性审查。包2从具有成交候选人资格的供应商中，排名最高的成交供应商为第一成交候选人，排名次高的供应商为第二成交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文件“计价格[2002]1980号文”、“发改办价格[2003]857号文”和“发改价格[2011]534号文”的规定标准下浮20%执行，按采购包分别计算和收取。按上述方式计算的服务费不足5000元的，按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备用纸质响应文件、非加密电子版响应文件的递交（由供应商自行选择是否提交纸质文件），供应商应在提交响应文件截止时间前将纸质响应文件送（寄）达指定收件地点（邮寄方式的以送达签收时间为准）。 1）开启日前（不含开启日）收件地点：广州市越秀区越秀北路222号越良大厦6楼；收件人：罗工，13829746020； 2）开启日当天（截止时间前）收件地点：广州市越秀区越秀北路222号越良大厦13楼会议室。</w:t>
            </w:r>
          </w:p>
          <w:p>
            <w:pPr>
              <w:pStyle w:val="null3"/>
              <w:jc w:val="left"/>
            </w:pPr>
            <w:r>
              <w:rPr/>
              <w:t>二、政府采购合同融资，符合条件的供应商在中标（成交）后需要融资时可以申请政府采购合同融资。（查询网址：http://czt.gd.gov.cn/tzgg/content/post_2998457.html）</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w:t>
      </w:r>
    </w:p>
    <w:p>
      <w:pPr>
        <w:pStyle w:val="null3"/>
        <w:ind w:firstLine="480"/>
      </w:pPr>
      <w:r>
        <w:rPr/>
        <w:t>电话：</w:t>
      </w:r>
      <w:r>
        <w:rPr/>
        <w:t>020-83642820-807</w:t>
      </w:r>
    </w:p>
    <w:p>
      <w:pPr>
        <w:pStyle w:val="null3"/>
        <w:ind w:firstLine="480"/>
      </w:pPr>
      <w:r>
        <w:rPr/>
        <w:t>传真：</w:t>
      </w:r>
      <w:r>
        <w:rPr/>
        <w:t>020-83642820-822</w:t>
      </w:r>
    </w:p>
    <w:p>
      <w:pPr>
        <w:pStyle w:val="null3"/>
        <w:ind w:firstLine="480"/>
      </w:pPr>
      <w:r>
        <w:rPr/>
        <w:t>邮箱：</w:t>
      </w:r>
      <w:r>
        <w:rPr/>
        <w:t>gdyd_project@163.com</w:t>
      </w:r>
    </w:p>
    <w:p>
      <w:pPr>
        <w:pStyle w:val="null3"/>
        <w:ind w:firstLine="480"/>
      </w:pPr>
      <w:r>
        <w:rPr/>
        <w:t>地址：</w:t>
      </w:r>
      <w:r>
        <w:rPr/>
        <w:t>广州市越秀区越秀北路222号越良大厦6楼</w:t>
      </w:r>
    </w:p>
    <w:p>
      <w:pPr>
        <w:pStyle w:val="null3"/>
        <w:ind w:firstLine="480"/>
      </w:pPr>
      <w:r>
        <w:rPr/>
        <w:t>邮编：</w:t>
      </w:r>
      <w:r>
        <w:rPr/>
        <w:t>510055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常规课程自建技术服务采购1)：综合评分法,是指响应文件满足磋商文件全部实质性要求，且按照评审因素的量化指标评审得分最高的投标人为成交候选人的评标方法。（最低报价不是成交的唯一依据。）</w:t>
      </w:r>
    </w:p>
    <w:p>
      <w:pPr>
        <w:pStyle w:val="null3"/>
      </w:pPr>
      <w:r>
        <w:rPr/>
        <w:t>采购包2(2024年常规课程自建技术服务采购2)：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采购包1（2024年常规课程自建技术服务采购1）：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采购包2（2024年常规课程自建技术服务采购2）：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采购包1（2024年常规课程自建技术服务采购1）：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提供投标（响应）截止日前6个月内任意1个月依法缴纳税收和社会保障资金的相关材料，或提供相应承诺函（格式自拟）。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提供2023年度财务状况报告或2024年基本开户行出具的资信证明，或最近一期财务报表（本项仅适用在投标（响应）截止日所在年度成立的法人或其他组织），或提供相应承诺函（格式自拟）。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提供履行合同所必需的设备和专业技术能力的证明材料或提供相应承诺函（格式自拟）。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响应承诺函相关承诺要求内容。</w:t>
            </w:r>
          </w:p>
        </w:tc>
      </w:tr>
      <w:tr>
        <w:tc>
          <w:tcPr>
            <w:tcW w:type="dxa" w:w="890"/>
          </w:tcPr>
          <w:p>
            <w:pPr>
              <w:pStyle w:val="null3"/>
            </w:pPr>
            <w:r>
              <w:rPr/>
              <w:t>8</w:t>
            </w:r>
          </w:p>
        </w:tc>
        <w:tc>
          <w:tcPr>
            <w:tcW w:type="dxa" w:w="3178"/>
          </w:tcPr>
          <w:p>
            <w:pPr>
              <w:pStyle w:val="null3"/>
            </w:pPr>
            <w:r>
              <w:rPr/>
              <w:t>关于联合体</w:t>
            </w:r>
          </w:p>
        </w:tc>
        <w:tc>
          <w:tcPr>
            <w:tcW w:type="dxa" w:w="4238"/>
          </w:tcPr>
          <w:p>
            <w:pPr>
              <w:pStyle w:val="null3"/>
            </w:pPr>
            <w:r>
              <w:rPr/>
              <w:t>本项目不接受联合体参与响应。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的项目，服务全部必须由符合政策要求的中小企业或监狱企业或残疾人福利性单位承接。本服务采购项目的中小企业划分标准所属行业为：软件和信息技术服务业。（根据《财政部 司法部关于政府采购支持监狱企业发展有关问题的通知》和《财政部民政部 中国残疾人联合会关于促进残疾人就业政府采购政策的通知》，监狱企业和残疾人福利性单位视同小型、微型企业。）</w:t>
            </w:r>
          </w:p>
        </w:tc>
      </w:tr>
    </w:tbl>
    <w:p>
      <w:pPr>
        <w:pStyle w:val="null3"/>
      </w:pPr>
      <w:r>
        <w:rPr/>
        <w:t>采购包2（2024年常规课程自建技术服务采购2）：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提供投标（响应）截止日前6个月内任意1个月依法缴纳税收和社会保障资金的相关材料，或提供相应承诺函（格式自拟）。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提供2023年度财务状况报告或2024年基本开户行出具的资信证明，或最近一期财务报表（本项仅适用在投标（响应）截止日所在年度成立的法人或其他组织），或提供相应承诺函（格式自拟）。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提供履行合同所必需的设备和专业技术能力的证明材料或提供相应承诺函（格式自拟）。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响应承诺函相关承诺要求内容。</w:t>
            </w:r>
          </w:p>
        </w:tc>
      </w:tr>
      <w:tr>
        <w:tc>
          <w:tcPr>
            <w:tcW w:type="dxa" w:w="890"/>
          </w:tcPr>
          <w:p>
            <w:pPr>
              <w:pStyle w:val="null3"/>
            </w:pPr>
            <w:r>
              <w:rPr/>
              <w:t>8</w:t>
            </w:r>
          </w:p>
        </w:tc>
        <w:tc>
          <w:tcPr>
            <w:tcW w:type="dxa" w:w="3178"/>
          </w:tcPr>
          <w:p>
            <w:pPr>
              <w:pStyle w:val="null3"/>
            </w:pPr>
            <w:r>
              <w:rPr/>
              <w:t>关于联合体</w:t>
            </w:r>
          </w:p>
        </w:tc>
        <w:tc>
          <w:tcPr>
            <w:tcW w:type="dxa" w:w="4238"/>
          </w:tcPr>
          <w:p>
            <w:pPr>
              <w:pStyle w:val="null3"/>
            </w:pPr>
            <w:r>
              <w:rPr/>
              <w:t>本项目不接受联合体参与响应。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的项目，服务全部必须由符合政策要求的中小企业或监狱企业或残疾人福利性单位承接。本服务采购项目的中小企业划分标准所属行业为：软件和信息技术服务业。（根据《财政部 司法部关于政府采购支持监狱企业发展有关问题的通知》和《财政部民政部 中国残疾人联合会关于促进残疾人就业政府采购政策的通知》，监狱企业和残疾人福利性单位视同小型、微型企业。）</w:t>
            </w:r>
          </w:p>
        </w:tc>
      </w:tr>
    </w:tbl>
    <w:p>
      <w:pPr>
        <w:pStyle w:val="null3"/>
        <w:ind w:firstLine="480"/>
      </w:pPr>
      <w:r>
        <w:rPr/>
        <w:t>表二符合性审查表：</w:t>
      </w:r>
    </w:p>
    <w:p>
      <w:pPr>
        <w:pStyle w:val="null3"/>
      </w:pPr>
      <w:r>
        <w:rPr/>
        <w:t>采购包1（2024年常规课程自建技术服务采购1）：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响应报价是固定价且是唯一的，未超过本项目规定的报价范围。</w:t>
            </w:r>
          </w:p>
        </w:tc>
      </w:tr>
      <w:tr>
        <w:tc>
          <w:tcPr>
            <w:tcW w:type="dxa" w:w="890"/>
          </w:tcPr>
          <w:p>
            <w:pPr>
              <w:pStyle w:val="null3"/>
            </w:pPr>
            <w:r>
              <w:rPr/>
              <w:t>2</w:t>
            </w:r>
          </w:p>
        </w:tc>
        <w:tc>
          <w:tcPr>
            <w:tcW w:type="dxa" w:w="3178"/>
          </w:tcPr>
          <w:p>
            <w:pPr>
              <w:pStyle w:val="null3"/>
            </w:pPr>
            <w:r>
              <w:rPr/>
              <w:t>响应文件完整性</w:t>
            </w:r>
          </w:p>
        </w:tc>
        <w:tc>
          <w:tcPr>
            <w:tcW w:type="dxa" w:w="4238"/>
          </w:tcPr>
          <w:p>
            <w:pPr>
              <w:pStyle w:val="null3"/>
            </w:pPr>
            <w:r>
              <w:rPr/>
              <w:t>响应文件完整且编排有序，无重大错漏，并按要求签署、盖章。</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响应有效期满足招标文件要求。</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满足磋商文件中要求的实质性响应的技术标准与要求和其他实质性条款的（含标注★号条款）。</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串通投标（响应）情形</w:t>
            </w:r>
          </w:p>
        </w:tc>
        <w:tc>
          <w:tcPr>
            <w:tcW w:type="dxa" w:w="4238"/>
          </w:tcPr>
          <w:p>
            <w:pPr>
              <w:pStyle w:val="null3"/>
            </w:pPr>
            <w:r>
              <w:rPr/>
              <w:t>未出现法律法规及磋商文件所列的视为串通投标（响应）情形。</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不属于法律、法规、规章、磋商文件规定无效投标（响应）的其他情形。</w:t>
            </w:r>
          </w:p>
        </w:tc>
      </w:tr>
    </w:tbl>
    <w:p>
      <w:pPr>
        <w:pStyle w:val="null3"/>
      </w:pPr>
      <w:r>
        <w:rPr/>
        <w:t>采购包2（2024年常规课程自建技术服务采购2）：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响应报价是固定价且是唯一的，未超过本项目规定的报价范围。</w:t>
            </w:r>
          </w:p>
        </w:tc>
      </w:tr>
      <w:tr>
        <w:tc>
          <w:tcPr>
            <w:tcW w:type="dxa" w:w="890"/>
          </w:tcPr>
          <w:p>
            <w:pPr>
              <w:pStyle w:val="null3"/>
            </w:pPr>
            <w:r>
              <w:rPr/>
              <w:t>2</w:t>
            </w:r>
          </w:p>
        </w:tc>
        <w:tc>
          <w:tcPr>
            <w:tcW w:type="dxa" w:w="3178"/>
          </w:tcPr>
          <w:p>
            <w:pPr>
              <w:pStyle w:val="null3"/>
            </w:pPr>
            <w:r>
              <w:rPr/>
              <w:t>响应文件完整性</w:t>
            </w:r>
          </w:p>
        </w:tc>
        <w:tc>
          <w:tcPr>
            <w:tcW w:type="dxa" w:w="4238"/>
          </w:tcPr>
          <w:p>
            <w:pPr>
              <w:pStyle w:val="null3"/>
            </w:pPr>
            <w:r>
              <w:rPr/>
              <w:t>响应文件完整且编排有序，无重大错漏，并按要求签署、盖章。</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响应有效期满足招标文件要求。</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满足磋商文件中要求的实质性响应的技术标准与要求和其他实质性条款的（含标注★号条款）。</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串通投标（响应）情形</w:t>
            </w:r>
          </w:p>
        </w:tc>
        <w:tc>
          <w:tcPr>
            <w:tcW w:type="dxa" w:w="4238"/>
          </w:tcPr>
          <w:p>
            <w:pPr>
              <w:pStyle w:val="null3"/>
            </w:pPr>
            <w:r>
              <w:rPr/>
              <w:t>未出现法律法规及磋商文件所列的视为串通投标（响应）情形。</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9</w:t>
            </w:r>
          </w:p>
        </w:tc>
        <w:tc>
          <w:tcPr>
            <w:tcW w:type="dxa" w:w="3178"/>
          </w:tcPr>
          <w:p>
            <w:pPr>
              <w:pStyle w:val="null3"/>
            </w:pPr>
            <w:r>
              <w:rPr/>
              <w:t>兼投不兼中</w:t>
            </w:r>
          </w:p>
        </w:tc>
        <w:tc>
          <w:tcPr>
            <w:tcW w:type="dxa" w:w="4238"/>
          </w:tcPr>
          <w:p>
            <w:pPr>
              <w:pStyle w:val="null3"/>
            </w:pPr>
            <w:r>
              <w:rPr/>
              <w:t>未获得采购包1的第一成交候选人/成交供应商资格</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不属于法律、法规、规章、磋商文件规定无效投标（响应）的其他情形。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采购包1(2024年常规课程自建技术服务采购1):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(25.0分)</w:t>
            </w:r>
          </w:p>
        </w:tc>
        <w:tc>
          <w:tcPr>
            <w:tcW w:type="dxa" w:w="5076"/>
          </w:tcPr>
          <w:p>
            <w:pPr>
              <w:pStyle w:val="null3"/>
              <w:jc w:val="left"/>
            </w:pPr>
            <w:r>
              <w:rPr/>
              <w:t>根据供应商对《采购需求》附表一具体技术(参数)要求的非★条款的响应情况进行评审，基础得分25分，在此基础上： 1、重要条款项（标注▲号项，共4项）基础分10分，在此基础上每项负偏离或未响应扣2.5分；最高扣至0分。 2、一般条款项（不带▲号项，共62项）基础分15分，负偏离总数≤10条的，每出现一处负偏离，扣1分；一般技术参数负偏离总数＞10条的，扣分=10+[（负偏离总数-10）/（62-10）]×5分。（最终得分保留小数点后两位，第三位四舍五入） 注：1.供应商应如实填写《技术和服务要求响应表》，并按要求提供证明文件（如有要求），否则评标委员会有权视相应技术参数响应不符合招标要求。 2.附表一序号列中每一个序号对应内容均以一项单独的条款计算（28（七）功能标准的表格除外，以25项计算）。</w:t>
            </w:r>
          </w:p>
        </w:tc>
      </w:tr>
      <w:tr>
        <w:tc>
          <w:tcPr>
            <w:tcW w:type="dxa" w:w="922"/>
            <w:gridSpan w:val="2"/>
            <w:vMerge/>
          </w:tcPr>
          <w:p/>
        </w:tc>
        <w:tc>
          <w:tcPr>
            <w:tcW w:type="dxa" w:w="2307"/>
          </w:tcPr>
          <w:p>
            <w:pPr>
              <w:pStyle w:val="null3"/>
              <w:jc w:val="left"/>
            </w:pPr>
            <w:r>
              <w:rPr/>
              <w:t>现场演示 (10.0分)</w:t>
            </w:r>
            <w:r>
              <w:rPr/>
              <w:t>，（等次分值选择：</w:t>
            </w:r>
            <w:r>
              <w:rPr/>
              <w:t>0.0;</w:t>
            </w:r>
            <w:r>
              <w:rPr/>
              <w:t>1.0;</w:t>
            </w:r>
            <w:r>
              <w:rPr/>
              <w:t>2.0;</w:t>
            </w:r>
            <w:r>
              <w:rPr/>
              <w:t>3.0;</w:t>
            </w:r>
            <w:r>
              <w:rPr/>
              <w:t>4.0;</w:t>
            </w:r>
            <w:r>
              <w:rPr/>
              <w:t>5.0;</w:t>
            </w:r>
            <w:r>
              <w:rPr/>
              <w:t>6.0;</w:t>
            </w:r>
            <w:r>
              <w:rPr/>
              <w:t>8.0;</w:t>
            </w:r>
            <w:r>
              <w:rPr/>
              <w:t>10.0;</w:t>
            </w:r>
            <w:r>
              <w:rPr/>
              <w:t>）</w:t>
            </w:r>
          </w:p>
        </w:tc>
        <w:tc>
          <w:tcPr>
            <w:tcW w:type="dxa" w:w="5076"/>
          </w:tcPr>
          <w:p>
            <w:pPr>
              <w:pStyle w:val="null3"/>
              <w:jc w:val="left"/>
            </w:pPr>
            <w:r>
              <w:rPr/>
              <w:t>供应商对所提供技术服务的重点情况进行展示： （1）根据演示内容对《采购需求》附表一技术要求的响应程度进行评审，包括供应商可提供的拍摄录制场景和环境条件，视频拍摄和课程设计制作的软件支持与多媒体硬件配置等： ①场景配备条件完善多样，软硬件完备，切合项目实际需求有利于用户实施，得5分；②场景配备和软硬件齐全，符合项目需求，得3分；③场景配备和软硬件简单，不能完全满足项目需求或者有缺陷，得1分；④未提供该项演示不得分。 （2）同类项目的成品演示，同时介绍视频风格、制作思路和设计重点等：视频风格友好，思路清晰设计有创意，效果切合项目实际需要得5分；视频风格一般，思路完整设计普通，效果符合项目实际需要得3分；视频风格和设计有不足，效果不能完全满足项目实际需要得1分；④未提供该项演示不得分。 注：演示方式为视频或PPT，每家供应商演示时间不超过10分钟，现场可提供宽带上网和投影设备，其他演示所需设备请供应商自备并做好相关演示准备。</w:t>
            </w:r>
          </w:p>
        </w:tc>
      </w:tr>
      <w:tr>
        <w:tc>
          <w:tcPr>
            <w:tcW w:type="dxa" w:w="922"/>
            <w:gridSpan w:val="2"/>
            <w:vMerge/>
          </w:tcPr>
          <w:p/>
        </w:tc>
        <w:tc>
          <w:tcPr>
            <w:tcW w:type="dxa" w:w="2307"/>
          </w:tcPr>
          <w:p>
            <w:pPr>
              <w:pStyle w:val="null3"/>
              <w:jc w:val="left"/>
            </w:pPr>
            <w:r>
              <w:rPr/>
              <w:t>总体服务方案 (10.0分)</w:t>
            </w:r>
            <w:r>
              <w:rPr/>
              <w:t>，（等次分值选择：</w:t>
            </w:r>
            <w:r>
              <w:rPr/>
              <w:t>0.0;</w:t>
            </w:r>
            <w:r>
              <w:rPr/>
              <w:t>1.0;</w:t>
            </w:r>
            <w:r>
              <w:rPr/>
              <w:t>4.0;</w:t>
            </w:r>
            <w:r>
              <w:rPr/>
              <w:t>7.0;</w:t>
            </w:r>
            <w:r>
              <w:rPr/>
              <w:t>10.0;</w:t>
            </w:r>
            <w:r>
              <w:rPr/>
              <w:t>）</w:t>
            </w:r>
          </w:p>
        </w:tc>
        <w:tc>
          <w:tcPr>
            <w:tcW w:type="dxa" w:w="5076"/>
          </w:tcPr>
          <w:p>
            <w:pPr>
              <w:pStyle w:val="null3"/>
              <w:jc w:val="left"/>
            </w:pPr>
            <w:r>
              <w:rPr/>
              <w:t>根据供应商总体服务方案（包括但不限于①整体实施计划和流程、设计方案、技术支持、个性化服务；②录制场地、制作工具和资源配备能力等）进行综合评审： （1）切合用户实际需要，总体实施方案内容详尽完善，服务流程全面清晰，录制过程资源齐全，能够提供虚拟数字人等体现人工智能、新媒体技术应用的资源制作方案，得10分； （2）满足用户实际需要，总体实施方案内容完整，服务流程清楚，录制过程资源可满足项目需求，得7分； （3）基本符合用户实际需要，总体实施方案和服务流程内容简单，录制过程资源不够丰富，得4分； （4）符合用户实际主要需要，总体实施方案简单或有欠缺，服务流程和录制资源不足，得1分； （5）不提供，得0分。</w:t>
            </w:r>
          </w:p>
        </w:tc>
      </w:tr>
      <w:tr>
        <w:tc>
          <w:tcPr>
            <w:tcW w:type="dxa" w:w="922"/>
            <w:gridSpan w:val="2"/>
            <w:vMerge/>
          </w:tcPr>
          <w:p/>
        </w:tc>
        <w:tc>
          <w:tcPr>
            <w:tcW w:type="dxa" w:w="2307"/>
          </w:tcPr>
          <w:p>
            <w:pPr>
              <w:pStyle w:val="null3"/>
              <w:jc w:val="left"/>
            </w:pPr>
            <w:r>
              <w:rPr/>
              <w:t>质量控制、进度控制方案与措施 (5.0分)</w:t>
            </w:r>
            <w:r>
              <w:rPr/>
              <w:t>，（等次分值选择：</w:t>
            </w:r>
            <w:r>
              <w:rPr/>
              <w:t>0.0;</w:t>
            </w:r>
            <w:r>
              <w:rPr/>
              <w:t>2.0;</w:t>
            </w:r>
            <w:r>
              <w:rPr/>
              <w:t>3.0;</w:t>
            </w:r>
            <w:r>
              <w:rPr/>
              <w:t>4.0;</w:t>
            </w:r>
            <w:r>
              <w:rPr/>
              <w:t>5.0;</w:t>
            </w:r>
            <w:r>
              <w:rPr/>
              <w:t>）</w:t>
            </w:r>
          </w:p>
        </w:tc>
        <w:tc>
          <w:tcPr>
            <w:tcW w:type="dxa" w:w="5076"/>
          </w:tcPr>
          <w:p>
            <w:pPr>
              <w:pStyle w:val="null3"/>
              <w:jc w:val="left"/>
            </w:pPr>
            <w:r>
              <w:rPr/>
              <w:t>根据供应商提供质量方案（包括但不限于质量管控流程、质量保证措施、进度计划等）进行综合评审： （1）质量控制方案内容完善详尽，质控流程和控制措施严密清晰，切合实际得5分；（2）质量控制方案内容完整，流程和措施具体，符合实际得4分；（3）质量控制方案内容完整、有相关措施描述，基本符合实际得3分；（4）质量控制方案内容简单或有欠缺，不完全符合实际得2分；（5）不提供，得0分。</w:t>
            </w:r>
          </w:p>
        </w:tc>
      </w:tr>
      <w:tr>
        <w:tc>
          <w:tcPr>
            <w:tcW w:type="dxa" w:w="922"/>
            <w:gridSpan w:val="2"/>
            <w:vMerge/>
          </w:tcPr>
          <w:p/>
        </w:tc>
        <w:tc>
          <w:tcPr>
            <w:tcW w:type="dxa" w:w="2307"/>
          </w:tcPr>
          <w:p>
            <w:pPr>
              <w:pStyle w:val="null3"/>
              <w:jc w:val="left"/>
            </w:pPr>
            <w:r>
              <w:rPr/>
              <w:t>拟投入项目团队情况 (5.0分)</w:t>
            </w:r>
            <w:r>
              <w:rPr/>
              <w:t>，（等次分值选择：</w:t>
            </w:r>
            <w:r>
              <w:rPr/>
              <w:t>0.0;</w:t>
            </w:r>
            <w:r>
              <w:rPr/>
              <w:t>1.0;</w:t>
            </w:r>
            <w:r>
              <w:rPr/>
              <w:t>3.0;</w:t>
            </w:r>
            <w:r>
              <w:rPr/>
              <w:t>5.0;</w:t>
            </w:r>
            <w:r>
              <w:rPr/>
              <w:t>）</w:t>
            </w:r>
          </w:p>
        </w:tc>
        <w:tc>
          <w:tcPr>
            <w:tcW w:type="dxa" w:w="5076"/>
          </w:tcPr>
          <w:p>
            <w:pPr>
              <w:pStyle w:val="null3"/>
              <w:jc w:val="left"/>
            </w:pPr>
            <w:r>
              <w:rPr/>
              <w:t>综合评价服务团队人员配备情况、岗位配置和各项分工安排： （1）人员专业程度切合项目实际，全部项目人员有3年以上相关经验，岗位配置和分工合理明确，优于需求，得5分； （2）人员专业程度符合项目实际，不少于60%项目人员有3年以上相关经验，岗位配置可行，满足需求，得3分； （3）人员专业程度基本符合项目实际，不少于30%项目人员有3年以上相关经验，岗位配置简单或有欠缺，基本符合需求，得1分；（4）不提供，得0分。 注：提供上述人员的资格证明、学历证明、供应商出具的相关工作年限声明和类似项目的工作经验证明材料，其中工作年限以取得相关专业证书或相关专业毕业或工作年限声明为准（同时提供两个或以上有效证明的，按年限长的计算），并提供响应截止日之前3个月内任意1个月供应商为其购买的投保单或交纳社保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(20.0分)</w:t>
            </w:r>
          </w:p>
        </w:tc>
        <w:tc>
          <w:tcPr>
            <w:tcW w:type="dxa" w:w="5076"/>
          </w:tcPr>
          <w:p>
            <w:pPr>
              <w:pStyle w:val="null3"/>
              <w:jc w:val="left"/>
            </w:pPr>
            <w:r>
              <w:rPr/>
              <w:t>供应商自2023年1月1日以来（以合同签订时间为准） 1.能够提供同类在线课程建设项目经验，每提供一个得2分，最高分为16分。 2.能够提供虚拟数字人等体现人工智能、新媒体技术的项目建设案例，每提供一个得2分，最高4分。 注：需提供合同关键页（至少包括签订合同双方的单位名称、项目名称、项目内容、双方落款盖章、签订日期等关键页复印件），不按要求提供或无法认定的不得分。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 “同类项目经验”的项目获得用户出具的满意度优秀（或好、满意、良好等同等级评价的）的评价证明，每一个评价得1分，本项最高得5分。 注：提供用户出具的评价证明复印件，不提供不得分。同一用户单位出具的用户评价的不重复计分。不按要求提供或无法认定的不得分。</w:t>
            </w:r>
          </w:p>
        </w:tc>
      </w:tr>
      <w:tr>
        <w:tc>
          <w:tcPr>
            <w:tcW w:type="dxa" w:w="922"/>
            <w:gridSpan w:val="2"/>
            <w:vMerge/>
          </w:tcPr>
          <w:p/>
        </w:tc>
        <w:tc>
          <w:tcPr>
            <w:tcW w:type="dxa" w:w="2307"/>
          </w:tcPr>
          <w:p>
            <w:pPr>
              <w:pStyle w:val="null3"/>
              <w:jc w:val="left"/>
            </w:pPr>
            <w:r>
              <w:rPr/>
              <w:t>供应商认证情况 (5.0分)</w:t>
            </w:r>
          </w:p>
        </w:tc>
        <w:tc>
          <w:tcPr>
            <w:tcW w:type="dxa" w:w="5076"/>
          </w:tcPr>
          <w:p>
            <w:pPr>
              <w:pStyle w:val="null3"/>
              <w:jc w:val="left"/>
            </w:pPr>
            <w:r>
              <w:rPr/>
              <w:t>1.具有有效的质量管理体系认证证书，得3分； 2.具有有效的环境管理体系认证证书，得1分； 3.具有有效的职业健康安全管理体系认证证书，得1分。 注：需提供证书复印件（加盖公章）和在全国认证认可信息公共服务平台（http://cx.cnca.cn）证书状态查询结果打印页（加盖公章），证书状态应为“有效”。不按要求提供或无法认定的不得分。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采购包2(2024年常规课程自建技术服务采购2):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(25.0分)</w:t>
            </w:r>
          </w:p>
        </w:tc>
        <w:tc>
          <w:tcPr>
            <w:tcW w:type="dxa" w:w="5076"/>
          </w:tcPr>
          <w:p>
            <w:pPr>
              <w:pStyle w:val="null3"/>
              <w:jc w:val="left"/>
            </w:pPr>
            <w:r>
              <w:rPr/>
              <w:t>根据供应商对《采购需求》附表一具体技术(参数)要求的非★条款的响应情况进行评审，基础得分25分，在此基础上： 1、重要条款项（标注▲号项，共4项）基础分10分，在此基础上每项负偏离或未响应扣2.5分；最高扣至0分。 2、一般条款项（不带▲号项，共62项）基础分15分，负偏离总数≤10条的，每出现一处负偏离，扣1分；一般技术参数负偏离总数＞10条的，扣分=10+[（负偏离总数-10）/（62-10）]×5分。（最终得分保留小数点后两位，第三位四舍五入） 注：1.供应商应如实填写《技术和服务要求响应表》，并按要求提供证明文件（如有要求），否则评标委员会有权视相应技术参数响应不符合招标要求。 2.附表一序号列中每一个序号对应内容均以一项单独的条款计算（28（七）功能标准的表格除外，以25项计算）。</w:t>
            </w:r>
          </w:p>
        </w:tc>
      </w:tr>
      <w:tr>
        <w:tc>
          <w:tcPr>
            <w:tcW w:type="dxa" w:w="922"/>
            <w:gridSpan w:val="2"/>
            <w:vMerge/>
          </w:tcPr>
          <w:p/>
        </w:tc>
        <w:tc>
          <w:tcPr>
            <w:tcW w:type="dxa" w:w="2307"/>
          </w:tcPr>
          <w:p>
            <w:pPr>
              <w:pStyle w:val="null3"/>
              <w:jc w:val="left"/>
            </w:pPr>
            <w:r>
              <w:rPr/>
              <w:t>现场演示 (10.0分)</w:t>
            </w:r>
            <w:r>
              <w:rPr/>
              <w:t>，（等次分值选择：</w:t>
            </w:r>
            <w:r>
              <w:rPr/>
              <w:t>0.0;</w:t>
            </w:r>
            <w:r>
              <w:rPr/>
              <w:t>1.0;</w:t>
            </w:r>
            <w:r>
              <w:rPr/>
              <w:t>2.0;</w:t>
            </w:r>
            <w:r>
              <w:rPr/>
              <w:t>3.0;</w:t>
            </w:r>
            <w:r>
              <w:rPr/>
              <w:t>4.0;</w:t>
            </w:r>
            <w:r>
              <w:rPr/>
              <w:t>5.0;</w:t>
            </w:r>
            <w:r>
              <w:rPr/>
              <w:t>6.0;</w:t>
            </w:r>
            <w:r>
              <w:rPr/>
              <w:t>8.0;</w:t>
            </w:r>
            <w:r>
              <w:rPr/>
              <w:t>10.0;</w:t>
            </w:r>
            <w:r>
              <w:rPr/>
              <w:t>）</w:t>
            </w:r>
          </w:p>
        </w:tc>
        <w:tc>
          <w:tcPr>
            <w:tcW w:type="dxa" w:w="5076"/>
          </w:tcPr>
          <w:p>
            <w:pPr>
              <w:pStyle w:val="null3"/>
              <w:jc w:val="left"/>
            </w:pPr>
            <w:r>
              <w:rPr/>
              <w:t>供应商对所提供技术服务的重点情况进行展示： （1）根据演示内容对《采购需求》附表一技术要求的响应程度进行评审，包括供应商可提供的拍摄录制场景和环境条件，视频拍摄和课程设计制作的软件支持与多媒体硬件配置等： ①场景配备条件完善多样，软硬件完备，切合项目实际需求有利于用户实施，得5分；②场景配备和软硬件齐全，符合项目需求，得3分；③场景配备和软硬件简单，不能完全满足项目需求或者有缺陷，得1分；④未提供该项演示不得分。 （2）同类项目的成品演示，同时介绍视频风格、制作思路和设计重点等：视频风格友好，思路清晰设计有创意，效果切合项目实际需要得5分；视频风格一般，思路完整设计普通，效果符合项目实际需要得3分；视频风格和设计有不足，效果不能完全满足项目实际需要得1分；④未提供该项演示不得分。 注：演示方式为视频或PPT，每家供应商演示时间不超过10分钟，现场可提供宽带上网和投影设备，其他演示所需设备请供应商自备并做好相关演示准备。</w:t>
            </w:r>
          </w:p>
        </w:tc>
      </w:tr>
      <w:tr>
        <w:tc>
          <w:tcPr>
            <w:tcW w:type="dxa" w:w="922"/>
            <w:gridSpan w:val="2"/>
            <w:vMerge/>
          </w:tcPr>
          <w:p/>
        </w:tc>
        <w:tc>
          <w:tcPr>
            <w:tcW w:type="dxa" w:w="2307"/>
          </w:tcPr>
          <w:p>
            <w:pPr>
              <w:pStyle w:val="null3"/>
              <w:jc w:val="left"/>
            </w:pPr>
            <w:r>
              <w:rPr/>
              <w:t>总体服务方案 (10.0分)</w:t>
            </w:r>
            <w:r>
              <w:rPr/>
              <w:t>，（等次分值选择：</w:t>
            </w:r>
            <w:r>
              <w:rPr/>
              <w:t>0.0;</w:t>
            </w:r>
            <w:r>
              <w:rPr/>
              <w:t>1.0;</w:t>
            </w:r>
            <w:r>
              <w:rPr/>
              <w:t>4.0;</w:t>
            </w:r>
            <w:r>
              <w:rPr/>
              <w:t>7.0;</w:t>
            </w:r>
            <w:r>
              <w:rPr/>
              <w:t>10.0;</w:t>
            </w:r>
            <w:r>
              <w:rPr/>
              <w:t>）</w:t>
            </w:r>
          </w:p>
        </w:tc>
        <w:tc>
          <w:tcPr>
            <w:tcW w:type="dxa" w:w="5076"/>
          </w:tcPr>
          <w:p>
            <w:pPr>
              <w:pStyle w:val="null3"/>
              <w:jc w:val="left"/>
            </w:pPr>
            <w:r>
              <w:rPr/>
              <w:t>根据供应商总体服务方案（包括但不限于①整体实施计划和流程、设计方案、技术支持、个性化服务；②录制场地、制作工具和资源配备能力等）进行综合评审： （1）切合用户实际需要，总体实施方案内容详尽完善，服务流程全面清晰，录制过程资源齐全，能够提供虚拟数字人等体现人工智能、新媒体技术应用的资源制作方案，得10分； （2）满足用户实际需要，总体实施方案内容完整，服务流程清楚，录制过程资源可满足项目需求，得7分； （3）基本符合用户实际需要，总体实施方案和服务流程内容简单，录制过程资源不够丰富，得4分； （4）符合用户实际主要需要，总体实施方案简单或有欠缺，服务流程和录制资源不足，得1分； （5）不提供，得0分。</w:t>
            </w:r>
          </w:p>
        </w:tc>
      </w:tr>
      <w:tr>
        <w:tc>
          <w:tcPr>
            <w:tcW w:type="dxa" w:w="922"/>
            <w:gridSpan w:val="2"/>
            <w:vMerge/>
          </w:tcPr>
          <w:p/>
        </w:tc>
        <w:tc>
          <w:tcPr>
            <w:tcW w:type="dxa" w:w="2307"/>
          </w:tcPr>
          <w:p>
            <w:pPr>
              <w:pStyle w:val="null3"/>
              <w:jc w:val="left"/>
            </w:pPr>
            <w:r>
              <w:rPr/>
              <w:t>质量控制、进度控制方案与措施 (5.0分)</w:t>
            </w:r>
            <w:r>
              <w:rPr/>
              <w:t>，（等次分值选择：</w:t>
            </w:r>
            <w:r>
              <w:rPr/>
              <w:t>0.0;</w:t>
            </w:r>
            <w:r>
              <w:rPr/>
              <w:t>2.0;</w:t>
            </w:r>
            <w:r>
              <w:rPr/>
              <w:t>3.0;</w:t>
            </w:r>
            <w:r>
              <w:rPr/>
              <w:t>4.0;</w:t>
            </w:r>
            <w:r>
              <w:rPr/>
              <w:t>5.0;</w:t>
            </w:r>
            <w:r>
              <w:rPr/>
              <w:t>）</w:t>
            </w:r>
          </w:p>
        </w:tc>
        <w:tc>
          <w:tcPr>
            <w:tcW w:type="dxa" w:w="5076"/>
          </w:tcPr>
          <w:p>
            <w:pPr>
              <w:pStyle w:val="null3"/>
              <w:jc w:val="left"/>
            </w:pPr>
            <w:r>
              <w:rPr/>
              <w:t>根据供应商提供质量方案（包括但不限于质量管控流程、质量保证措施、进度计划等）进行综合评审： （1）质量控制方案内容完善详尽，质控流程和控制措施严密清晰，切合实际得5分；（2）质量控制方案内容完整，流程和措施具体，符合实际得4分；（3）质量控制方案内容完整、有相关措施描述，基本符合实际得3分；（4）质量控制方案内容简单或有欠缺，不完全符合实际得2分；（5）不提供，得0分。</w:t>
            </w:r>
          </w:p>
        </w:tc>
      </w:tr>
      <w:tr>
        <w:tc>
          <w:tcPr>
            <w:tcW w:type="dxa" w:w="922"/>
            <w:gridSpan w:val="2"/>
            <w:vMerge/>
          </w:tcPr>
          <w:p/>
        </w:tc>
        <w:tc>
          <w:tcPr>
            <w:tcW w:type="dxa" w:w="2307"/>
          </w:tcPr>
          <w:p>
            <w:pPr>
              <w:pStyle w:val="null3"/>
              <w:jc w:val="left"/>
            </w:pPr>
            <w:r>
              <w:rPr/>
              <w:t>拟投入项目团队情况 (5.0分)</w:t>
            </w:r>
            <w:r>
              <w:rPr/>
              <w:t>，（等次分值选择：</w:t>
            </w:r>
            <w:r>
              <w:rPr/>
              <w:t>0.0;</w:t>
            </w:r>
            <w:r>
              <w:rPr/>
              <w:t>1.0;</w:t>
            </w:r>
            <w:r>
              <w:rPr/>
              <w:t>3.0;</w:t>
            </w:r>
            <w:r>
              <w:rPr/>
              <w:t>5.0;</w:t>
            </w:r>
            <w:r>
              <w:rPr/>
              <w:t>）</w:t>
            </w:r>
          </w:p>
        </w:tc>
        <w:tc>
          <w:tcPr>
            <w:tcW w:type="dxa" w:w="5076"/>
          </w:tcPr>
          <w:p>
            <w:pPr>
              <w:pStyle w:val="null3"/>
              <w:jc w:val="left"/>
            </w:pPr>
            <w:r>
              <w:rPr/>
              <w:t>综合评价服务团队人员配备情况、岗位配置和各项分工安排： （1）人员专业程度切合项目实际，全部项目人员有3年以上相关经验，岗位配置和分工合理明确，优于需求，得5分； （2）人员专业程度符合项目实际，不少于60%项目人员有3年以上相关经验，岗位配置可行，满足需求，得3分； （3）人员专业程度基本符合项目实际，不少于30%项目人员有3年以上相关经验，岗位配置简单或有欠缺，基本符合需求，得1分；（4）不提供，得0分。 注：提供上述人员的资格证明、学历证明、供应商出具的相关工作年限声明和类似项目的工作经验证明材料，其中工作年限以取得相关专业证书或相关专业毕业或工作年限声明为准（同时提供两个或以上有效证明的，按年限长的计算），并提供响应截止日之前3个月内任意1个月供应商为其购买的投保单或交纳社保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(20.0分)</w:t>
            </w:r>
          </w:p>
        </w:tc>
        <w:tc>
          <w:tcPr>
            <w:tcW w:type="dxa" w:w="5076"/>
          </w:tcPr>
          <w:p>
            <w:pPr>
              <w:pStyle w:val="null3"/>
              <w:jc w:val="left"/>
            </w:pPr>
            <w:r>
              <w:rPr/>
              <w:t>供应商自2023年1月1日以来（以合同签订时间为准） 1.能够提供同类在线课程建设项目经验，每提供一个得2分，最高分为16分。 2.能够提供虚拟数字人等体现人工智能、新媒体技术的项目建设案例，每提供一个得2分，最高4分。 注：需提供合同关键页（至少包括签订合同双方的单位名称、项目名称、项目内容、双方落款盖章、签订日期等关键页复印件），不按要求提供或无法认定的不得分。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 “同类项目经验”的项目获得用户出具的满意度优秀（或好、满意、良好等同等级评价的）的评价证明，每一个评价得1分，本项最高得5分。 注：提供用户出具的评价证明复印件，不提供不得分。同一用户单位出具的用户评价的不重复计分。不按要求提供或无法认定的不得分。</w:t>
            </w:r>
          </w:p>
        </w:tc>
      </w:tr>
      <w:tr>
        <w:tc>
          <w:tcPr>
            <w:tcW w:type="dxa" w:w="922"/>
            <w:gridSpan w:val="2"/>
            <w:vMerge/>
          </w:tcPr>
          <w:p/>
        </w:tc>
        <w:tc>
          <w:tcPr>
            <w:tcW w:type="dxa" w:w="2307"/>
          </w:tcPr>
          <w:p>
            <w:pPr>
              <w:pStyle w:val="null3"/>
              <w:jc w:val="left"/>
            </w:pPr>
            <w:r>
              <w:rPr/>
              <w:t>供应商认证情况 (5.0分)</w:t>
            </w:r>
          </w:p>
        </w:tc>
        <w:tc>
          <w:tcPr>
            <w:tcW w:type="dxa" w:w="5076"/>
          </w:tcPr>
          <w:p>
            <w:pPr>
              <w:pStyle w:val="null3"/>
              <w:jc w:val="left"/>
            </w:pPr>
            <w:r>
              <w:rPr/>
              <w:t>1.具有有效的质量管理体系认证证书，得3分； 2.具有有效的环境管理体系认证证书，得1分； 3.具有有效的职业健康安全管理体系认证证书，得1分。 注：需提供证书复印件（加盖公章）和在全国认证认可信息公共服务平台（http://cx.cnca.cn）证书状态查询结果打印页（加盖公章），证书状态应为“有效”。不按要求提供或无法认定的不得分。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本采购包推荐三名成交候选人。将各有效磋商供应商按其评审总得分由高到低顺序排列。评审总得分相同的，按下列顺序比较确定：（1）技术评分（由高到低）；（2）商务评分（由高到低）；（3）最后报价（由低到高）。如以上都相同的，名次由评审委员会抽签确定。排名第一的磋商供应商为第一成交候选人，排名第二的磋商供应商为第二成交候选人，以此类推。</w:t>
      </w:r>
    </w:p>
    <w:p>
      <w:pPr>
        <w:pStyle w:val="null3"/>
      </w:pPr>
      <w:r>
        <w:rPr/>
        <w:t>采购包2：</w:t>
      </w:r>
    </w:p>
    <w:p>
      <w:pPr>
        <w:pStyle w:val="null3"/>
      </w:pPr>
      <w:r>
        <w:rPr/>
        <w:t>本采购包推荐三名成交候选人。将各有效磋商供应商按其评审总得分由高到低顺序排列。评审总得分相同的，按下列顺序比较确定：（1）技术评分（由高到低）；（2）商务评分（由高到低）；（3）最后报价（由低到高）。如以上都相同的，名次由评审委员会抽签确定。排名第一的磋商供应商为第一成交候选人，排名第二的磋商供应商为第二成交候选人，以此类推。</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i/>
        </w:rPr>
        <w:t>（本合同仅为合同的参考文本，合同签订双方可根据项目的具体要求进行修订）</w:t>
      </w:r>
    </w:p>
    <w:p>
      <w:pPr>
        <w:pStyle w:val="null3"/>
      </w:pPr>
      <w:r>
        <w:rPr/>
        <w:t xml:space="preserve"> </w:t>
      </w:r>
    </w:p>
    <w:p>
      <w:pPr>
        <w:pStyle w:val="null3"/>
      </w:pPr>
      <w:r>
        <w:rPr>
          <w:sz w:val="52"/>
          <w:b/>
          <w:color w:val="000000"/>
        </w:rPr>
        <w:t>广东开放大学（广东理工职业学院）采购</w:t>
      </w:r>
    </w:p>
    <w:p>
      <w:pPr>
        <w:pStyle w:val="null3"/>
        <w:jc w:val="center"/>
      </w:pPr>
      <w:r>
        <w:rPr>
          <w:sz w:val="52"/>
          <w:b/>
          <w:color w:val="000000"/>
        </w:rPr>
        <w:t>合同书</w:t>
      </w:r>
    </w:p>
    <w:p>
      <w:pPr>
        <w:pStyle w:val="null3"/>
        <w:jc w:val="both"/>
      </w:pPr>
      <w:r>
        <w:rPr>
          <w:sz w:val="28"/>
          <w:b/>
          <w:color w:val="000000"/>
        </w:rPr>
        <w:t>采购编号：</w:t>
      </w:r>
      <w:r>
        <w:rPr>
          <w:sz w:val="28"/>
          <w:b/>
          <w:color w:val="000000"/>
          <w:u w:val="single"/>
        </w:rPr>
        <w:t xml:space="preserve">                                     </w:t>
      </w:r>
    </w:p>
    <w:p>
      <w:pPr>
        <w:pStyle w:val="null3"/>
        <w:spacing w:before="240" w:after="240"/>
        <w:ind w:left="1545"/>
        <w:jc w:val="left"/>
      </w:pPr>
      <w:r>
        <w:rPr>
          <w:sz w:val="28"/>
          <w:b/>
          <w:color w:val="000000"/>
        </w:rPr>
        <w:t>项目名称：</w:t>
      </w:r>
      <w:r>
        <w:rPr>
          <w:sz w:val="28"/>
          <w:b/>
          <w:color w:val="000000"/>
          <w:u w:val="single"/>
        </w:rPr>
        <w:t xml:space="preserve">                                     </w:t>
      </w:r>
    </w:p>
    <w:p>
      <w:pPr>
        <w:pStyle w:val="null3"/>
        <w:jc w:val="both"/>
      </w:pPr>
      <w:r>
        <w:rPr>
          <w:sz w:val="24"/>
          <w:b/>
          <w:color w:val="000000"/>
        </w:rPr>
        <w:t>注：本合同仅为合同的参考文本，合同签订双方可根据项目的具体要求进行修订，但不得偏离实质性条款。</w:t>
      </w:r>
    </w:p>
    <w:p>
      <w:pPr>
        <w:pStyle w:val="null3"/>
      </w:pPr>
      <w:r>
        <w:rPr>
          <w:sz w:val="28"/>
          <w:b/>
          <w:color w:val="000000"/>
          <w:u w:val="single"/>
        </w:rPr>
        <w:t>广东开放大学（广东理工职业学院）</w:t>
      </w:r>
    </w:p>
    <w:p>
      <w:pPr>
        <w:pStyle w:val="null3"/>
        <w:jc w:val="center"/>
      </w:pPr>
      <w:r>
        <w:rPr>
          <w:sz w:val="28"/>
          <w:b/>
          <w:color w:val="000000"/>
          <w:u w:val="single"/>
        </w:rPr>
        <w:t>技术服务协议</w:t>
      </w:r>
    </w:p>
    <w:p>
      <w:pPr>
        <w:pStyle w:val="null3"/>
        <w:jc w:val="center"/>
      </w:pPr>
      <w:r>
        <w:rPr>
          <w:sz w:val="21"/>
        </w:rPr>
        <w:t xml:space="preserve"> </w:t>
      </w:r>
    </w:p>
    <w:p>
      <w:pPr>
        <w:pStyle w:val="null3"/>
        <w:jc w:val="both"/>
      </w:pPr>
      <w:r>
        <w:rPr>
          <w:sz w:val="21"/>
          <w:color w:val="000000"/>
        </w:rPr>
        <w:t>甲方：</w:t>
      </w:r>
      <w:r>
        <w:rPr>
          <w:sz w:val="21"/>
          <w:color w:val="000000"/>
          <w:u w:val="single"/>
        </w:rPr>
        <w:t>广东开放大学（广东理工职业学院）</w:t>
      </w:r>
      <w:r>
        <w:rPr>
          <w:sz w:val="21"/>
          <w:color w:val="000000"/>
        </w:rPr>
        <w:t xml:space="preserve">   乙方：</w:t>
      </w:r>
      <w:r>
        <w:rPr>
          <w:sz w:val="21"/>
          <w:color w:val="000000"/>
          <w:u w:val="single"/>
        </w:rPr>
        <w:t xml:space="preserve">                   </w:t>
      </w:r>
    </w:p>
    <w:p>
      <w:pPr>
        <w:pStyle w:val="null3"/>
        <w:jc w:val="both"/>
      </w:pPr>
      <w:r>
        <w:rPr>
          <w:sz w:val="21"/>
          <w:color w:val="000000"/>
        </w:rPr>
        <w:t>通信地址：</w:t>
      </w:r>
      <w:r>
        <w:rPr>
          <w:sz w:val="21"/>
          <w:color w:val="000000"/>
          <w:u w:val="single"/>
        </w:rPr>
        <w:t>广州市越秀区下塘西路1号</w:t>
      </w:r>
      <w:r>
        <w:rPr>
          <w:sz w:val="21"/>
          <w:color w:val="000000"/>
        </w:rPr>
        <w:t xml:space="preserve">       通信地址：</w:t>
      </w:r>
      <w:r>
        <w:rPr>
          <w:sz w:val="21"/>
          <w:color w:val="000000"/>
          <w:u w:val="single"/>
        </w:rPr>
        <w:t xml:space="preserve">                   </w:t>
      </w:r>
    </w:p>
    <w:p>
      <w:pPr>
        <w:pStyle w:val="null3"/>
        <w:jc w:val="both"/>
      </w:pPr>
      <w:r>
        <w:rPr>
          <w:sz w:val="21"/>
          <w:color w:val="000000"/>
        </w:rPr>
        <w:t>邮政编码：</w:t>
      </w:r>
      <w:r>
        <w:rPr>
          <w:sz w:val="21"/>
          <w:color w:val="000000"/>
          <w:u w:val="single"/>
        </w:rPr>
        <w:t xml:space="preserve">                    </w:t>
      </w:r>
      <w:r>
        <w:rPr>
          <w:sz w:val="21"/>
          <w:color w:val="000000"/>
        </w:rPr>
        <w:t xml:space="preserve">           邮政编码：</w:t>
      </w:r>
      <w:r>
        <w:rPr>
          <w:sz w:val="21"/>
          <w:color w:val="000000"/>
          <w:u w:val="single"/>
        </w:rPr>
        <w:t xml:space="preserve">                   </w:t>
      </w:r>
    </w:p>
    <w:p>
      <w:pPr>
        <w:pStyle w:val="null3"/>
        <w:jc w:val="both"/>
      </w:pPr>
      <w:r>
        <w:rPr>
          <w:sz w:val="21"/>
          <w:color w:val="000000"/>
        </w:rPr>
        <w:t>联系人：</w:t>
      </w:r>
      <w:r>
        <w:rPr>
          <w:sz w:val="21"/>
          <w:color w:val="000000"/>
          <w:u w:val="single"/>
        </w:rPr>
        <w:t xml:space="preserve">                    </w:t>
      </w:r>
      <w:r>
        <w:rPr>
          <w:sz w:val="21"/>
          <w:color w:val="000000"/>
        </w:rPr>
        <w:t xml:space="preserve">             联系人：</w:t>
      </w:r>
      <w:r>
        <w:rPr>
          <w:sz w:val="21"/>
          <w:color w:val="000000"/>
          <w:u w:val="single"/>
        </w:rPr>
        <w:t xml:space="preserve">                   </w:t>
      </w:r>
    </w:p>
    <w:p>
      <w:pPr>
        <w:pStyle w:val="null3"/>
        <w:jc w:val="both"/>
      </w:pPr>
      <w:r>
        <w:rPr>
          <w:sz w:val="21"/>
          <w:color w:val="000000"/>
        </w:rPr>
        <w:t>电话：</w:t>
      </w:r>
      <w:r>
        <w:rPr>
          <w:sz w:val="21"/>
          <w:color w:val="000000"/>
          <w:u w:val="single"/>
        </w:rPr>
        <w:t xml:space="preserve">                    </w:t>
      </w:r>
      <w:r>
        <w:rPr>
          <w:sz w:val="21"/>
          <w:color w:val="000000"/>
        </w:rPr>
        <w:t xml:space="preserve">               电话：</w:t>
      </w:r>
      <w:r>
        <w:rPr>
          <w:sz w:val="21"/>
          <w:color w:val="000000"/>
          <w:u w:val="single"/>
        </w:rPr>
        <w:t xml:space="preserve">                   </w:t>
      </w:r>
    </w:p>
    <w:p>
      <w:pPr>
        <w:pStyle w:val="null3"/>
        <w:jc w:val="both"/>
      </w:pPr>
      <w:r>
        <w:rPr>
          <w:sz w:val="21"/>
          <w:color w:val="000000"/>
        </w:rPr>
        <w:t>Email</w:t>
      </w:r>
      <w:r>
        <w:rPr>
          <w:sz w:val="21"/>
          <w:color w:val="000000"/>
        </w:rPr>
        <w:t>：</w:t>
      </w:r>
      <w:r>
        <w:rPr>
          <w:sz w:val="21"/>
          <w:color w:val="000000"/>
          <w:u w:val="single"/>
        </w:rPr>
        <w:t xml:space="preserve">                    </w:t>
      </w:r>
      <w:r>
        <w:rPr>
          <w:sz w:val="21"/>
          <w:color w:val="000000"/>
        </w:rPr>
        <w:t xml:space="preserve">              Email：</w:t>
      </w:r>
      <w:r>
        <w:rPr>
          <w:sz w:val="21"/>
          <w:color w:val="000000"/>
          <w:u w:val="single"/>
        </w:rPr>
        <w:t xml:space="preserve">                   </w:t>
      </w:r>
    </w:p>
    <w:p>
      <w:pPr>
        <w:pStyle w:val="null3"/>
        <w:ind w:firstLine="560"/>
        <w:jc w:val="both"/>
      </w:pPr>
      <w:r>
        <w:rPr>
          <w:sz w:val="21"/>
          <w:color w:val="000000"/>
        </w:rPr>
        <w:t>为满足甲方在线开放课程的教学需求，提高教学质量，甲、乙双方本着公平、自愿、合作的原则，就乙方为甲方提供             建设技术服务事宜签署本协议。</w:t>
      </w:r>
    </w:p>
    <w:p>
      <w:pPr>
        <w:pStyle w:val="null3"/>
        <w:ind w:firstLine="562"/>
        <w:jc w:val="both"/>
      </w:pPr>
      <w:r>
        <w:rPr>
          <w:sz w:val="21"/>
          <w:b/>
          <w:color w:val="000000"/>
        </w:rPr>
        <w:t>一、合作内容</w:t>
      </w:r>
    </w:p>
    <w:p>
      <w:pPr>
        <w:pStyle w:val="null3"/>
        <w:ind w:firstLine="560"/>
        <w:jc w:val="left"/>
      </w:pPr>
      <w:r>
        <w:rPr>
          <w:sz w:val="21"/>
          <w:color w:val="000000"/>
        </w:rPr>
        <w:t>乙方根据甲方需求，为甲方提供</w:t>
      </w:r>
      <w:r>
        <w:rPr>
          <w:sz w:val="21"/>
          <w:color w:val="000000"/>
          <w:u w:val="single"/>
        </w:rPr>
        <w:t xml:space="preserve">                            </w:t>
      </w:r>
      <w:r>
        <w:rPr>
          <w:sz w:val="21"/>
          <w:color w:val="000000"/>
        </w:rPr>
        <w:t>。乙方配合甲方进行在线课程的开发与建设，建设的课程资源供甲方有偿使用。</w:t>
      </w:r>
    </w:p>
    <w:p>
      <w:pPr>
        <w:pStyle w:val="null3"/>
        <w:ind w:firstLine="560"/>
        <w:jc w:val="left"/>
      </w:pPr>
      <w:r>
        <w:rPr>
          <w:sz w:val="21"/>
          <w:color w:val="000000"/>
        </w:rPr>
        <w:t>乙方提供的课程资源版权归甲方独有。</w:t>
      </w:r>
      <w:r>
        <w:rPr>
          <w:sz w:val="21"/>
          <w:color w:val="000000"/>
          <w:u w:val="single"/>
        </w:rPr>
        <w:t>服务费用以成交价格为准</w:t>
      </w:r>
      <w:r>
        <w:rPr>
          <w:sz w:val="21"/>
          <w:color w:val="000000"/>
        </w:rPr>
        <w:t>。</w:t>
      </w:r>
    </w:p>
    <w:p>
      <w:pPr>
        <w:pStyle w:val="null3"/>
        <w:ind w:firstLine="562"/>
        <w:jc w:val="both"/>
      </w:pPr>
      <w:r>
        <w:rPr>
          <w:sz w:val="21"/>
          <w:b/>
          <w:color w:val="000000"/>
        </w:rPr>
        <w:t>二、甲方权利与义务</w:t>
      </w:r>
    </w:p>
    <w:p>
      <w:pPr>
        <w:pStyle w:val="null3"/>
        <w:ind w:firstLine="560"/>
        <w:jc w:val="both"/>
      </w:pPr>
      <w:r>
        <w:rPr>
          <w:sz w:val="21"/>
          <w:color w:val="000000"/>
        </w:rPr>
        <w:t>1</w:t>
      </w:r>
      <w:r>
        <w:rPr>
          <w:sz w:val="21"/>
          <w:color w:val="000000"/>
        </w:rPr>
        <w:t>．甲方须详细告知乙方课程资源建设的全部技术要求。</w:t>
      </w:r>
    </w:p>
    <w:p>
      <w:pPr>
        <w:pStyle w:val="null3"/>
        <w:ind w:firstLine="560"/>
        <w:jc w:val="both"/>
      </w:pPr>
      <w:r>
        <w:rPr>
          <w:sz w:val="21"/>
          <w:color w:val="000000"/>
        </w:rPr>
        <w:t>2</w:t>
      </w:r>
      <w:r>
        <w:rPr>
          <w:sz w:val="21"/>
          <w:color w:val="000000"/>
        </w:rPr>
        <w:t>．甲方须指派工作人员对课程资源建设全过程进行管理，并对乙方在建设过程中的疑问进行及时解答与沟通。</w:t>
      </w:r>
    </w:p>
    <w:p>
      <w:pPr>
        <w:pStyle w:val="null3"/>
        <w:ind w:firstLine="560"/>
        <w:jc w:val="both"/>
      </w:pPr>
      <w:r>
        <w:rPr>
          <w:sz w:val="21"/>
          <w:color w:val="000000"/>
        </w:rPr>
        <w:t>3.</w:t>
      </w:r>
      <w:r>
        <w:rPr>
          <w:sz w:val="21"/>
          <w:color w:val="000000"/>
        </w:rPr>
        <w:t>甲方须在协议规定的时间内向乙方支付技术服务费用。</w:t>
      </w:r>
    </w:p>
    <w:p>
      <w:pPr>
        <w:pStyle w:val="null3"/>
        <w:ind w:firstLine="560"/>
        <w:jc w:val="both"/>
      </w:pPr>
      <w:r>
        <w:rPr>
          <w:sz w:val="21"/>
          <w:color w:val="000000"/>
        </w:rPr>
        <w:t>4</w:t>
      </w:r>
      <w:r>
        <w:rPr>
          <w:sz w:val="21"/>
          <w:color w:val="000000"/>
        </w:rPr>
        <w:t>．甲方在课程建设的过程中，有权随时了解建设进度和查看已建资源，并有权随时要求乙方对不符合要求的已建资源进行限时整改，若乙方拒绝整改或者逾期未整改，甲方有权终止服务。</w:t>
      </w:r>
    </w:p>
    <w:p>
      <w:pPr>
        <w:pStyle w:val="null3"/>
        <w:ind w:firstLine="560"/>
        <w:jc w:val="both"/>
      </w:pPr>
      <w:r>
        <w:rPr>
          <w:sz w:val="21"/>
          <w:color w:val="000000"/>
        </w:rPr>
        <w:t>5</w:t>
      </w:r>
      <w:r>
        <w:rPr>
          <w:sz w:val="21"/>
          <w:color w:val="000000"/>
        </w:rPr>
        <w:t>．甲方是已建课程资源的唯一版权所有人。</w:t>
      </w:r>
    </w:p>
    <w:p>
      <w:pPr>
        <w:pStyle w:val="null3"/>
        <w:ind w:firstLine="562"/>
        <w:jc w:val="both"/>
      </w:pPr>
      <w:r>
        <w:rPr>
          <w:sz w:val="21"/>
          <w:b/>
          <w:color w:val="000000"/>
        </w:rPr>
        <w:t>三、乙方权利与义务</w:t>
      </w:r>
    </w:p>
    <w:p>
      <w:pPr>
        <w:pStyle w:val="null3"/>
        <w:ind w:firstLine="560"/>
        <w:jc w:val="both"/>
      </w:pPr>
      <w:r>
        <w:rPr>
          <w:sz w:val="21"/>
          <w:color w:val="000000"/>
        </w:rPr>
        <w:t>1</w:t>
      </w:r>
      <w:r>
        <w:rPr>
          <w:sz w:val="21"/>
          <w:color w:val="000000"/>
        </w:rPr>
        <w:t>．乙方须在协议规定的时间内完成满足技术要求的在线课程资源建设，并将资源按要求完整上传至甲方规定的教学平台。若超时导致甲方无法正常开课，所有责任由乙方承担。</w:t>
      </w:r>
    </w:p>
    <w:p>
      <w:pPr>
        <w:pStyle w:val="null3"/>
        <w:ind w:firstLine="560"/>
        <w:jc w:val="both"/>
      </w:pPr>
      <w:r>
        <w:rPr>
          <w:sz w:val="21"/>
          <w:color w:val="000000"/>
        </w:rPr>
        <w:t>2</w:t>
      </w:r>
      <w:r>
        <w:rPr>
          <w:sz w:val="21"/>
          <w:color w:val="000000"/>
        </w:rPr>
        <w:t>．在课程建设完成后，乙方须向甲方提供完整的课程资源，包含但不限于课程视频资源、与视频资源配套的ppt和讲稿等。</w:t>
      </w:r>
    </w:p>
    <w:p>
      <w:pPr>
        <w:pStyle w:val="null3"/>
        <w:ind w:firstLine="560"/>
        <w:jc w:val="both"/>
      </w:pPr>
      <w:r>
        <w:rPr>
          <w:sz w:val="21"/>
          <w:color w:val="000000"/>
        </w:rPr>
        <w:t>3</w:t>
      </w:r>
      <w:r>
        <w:rPr>
          <w:sz w:val="21"/>
          <w:color w:val="000000"/>
        </w:rPr>
        <w:t>．乙方须保证课程资源成品所用素材材料不侵犯第三方的知识产权及其他权利。若因此导致甲方被追责，所有责任由乙方承担。</w:t>
      </w:r>
    </w:p>
    <w:p>
      <w:pPr>
        <w:pStyle w:val="null3"/>
        <w:ind w:firstLine="560"/>
        <w:jc w:val="both"/>
      </w:pPr>
      <w:r>
        <w:rPr>
          <w:sz w:val="21"/>
          <w:color w:val="000000"/>
        </w:rPr>
        <w:t>4</w:t>
      </w:r>
      <w:r>
        <w:rPr>
          <w:sz w:val="21"/>
          <w:color w:val="000000"/>
        </w:rPr>
        <w:t>．所有课程资源的版权独属于甲方，乙方不得外泄所有资源的成品与半成品，未经甲方许可不得以任何方式提供给第三方，也不可进行任何形式的二次创作。若发现乙方未经甲方许可，将资源进行二次利用或二次销售，甲方可追究乙方侵权的法律责任。</w:t>
      </w:r>
    </w:p>
    <w:p>
      <w:pPr>
        <w:pStyle w:val="null3"/>
        <w:ind w:firstLine="560"/>
        <w:jc w:val="both"/>
      </w:pPr>
      <w:r>
        <w:rPr>
          <w:sz w:val="21"/>
          <w:color w:val="000000"/>
        </w:rPr>
        <w:t>5</w:t>
      </w:r>
      <w:r>
        <w:rPr>
          <w:sz w:val="21"/>
          <w:color w:val="000000"/>
        </w:rPr>
        <w:t>．甲方按广东开放大学（广东理工职业学院）相关规定进行验收。若课程验收不合格，乙方须对资源进行整改，直至课程验收合格。</w:t>
      </w:r>
    </w:p>
    <w:p>
      <w:pPr>
        <w:pStyle w:val="null3"/>
        <w:ind w:firstLine="560"/>
        <w:jc w:val="both"/>
      </w:pPr>
      <w:r>
        <w:rPr>
          <w:sz w:val="21"/>
          <w:color w:val="000000"/>
        </w:rPr>
        <w:t>6</w:t>
      </w:r>
      <w:r>
        <w:rPr>
          <w:sz w:val="21"/>
          <w:color w:val="000000"/>
        </w:rPr>
        <w:t>．乙方有权要求甲方按照费用支付规则，在规定的时间内支付课程技术服务费用。若甲方逾期支付，乙方可向甲方追究逾期费用。</w:t>
      </w:r>
    </w:p>
    <w:p>
      <w:pPr>
        <w:pStyle w:val="null3"/>
        <w:ind w:firstLine="562"/>
        <w:jc w:val="both"/>
      </w:pPr>
      <w:r>
        <w:rPr>
          <w:sz w:val="21"/>
          <w:b/>
          <w:color w:val="000000"/>
        </w:rPr>
        <w:t>四、费用结算</w:t>
      </w:r>
    </w:p>
    <w:p>
      <w:pPr>
        <w:pStyle w:val="null3"/>
        <w:ind w:firstLine="562"/>
        <w:jc w:val="both"/>
      </w:pPr>
      <w:r>
        <w:rPr>
          <w:sz w:val="21"/>
          <w:b/>
          <w:color w:val="000000"/>
        </w:rPr>
        <w:t>（一）费用支付规则</w:t>
      </w:r>
    </w:p>
    <w:p>
      <w:pPr>
        <w:pStyle w:val="null3"/>
        <w:ind w:firstLine="562"/>
        <w:jc w:val="both"/>
      </w:pPr>
      <w:r>
        <w:rPr>
          <w:sz w:val="21"/>
          <w:i/>
          <w:color w:val="000000"/>
        </w:rPr>
        <w:t>1</w:t>
      </w:r>
      <w:r>
        <w:rPr>
          <w:sz w:val="21"/>
          <w:i/>
          <w:color w:val="000000"/>
        </w:rPr>
        <w:t>、按用户需求支付。</w:t>
      </w:r>
    </w:p>
    <w:p>
      <w:pPr>
        <w:pStyle w:val="null3"/>
        <w:ind w:firstLine="562"/>
        <w:jc w:val="both"/>
      </w:pPr>
      <w:r>
        <w:rPr>
          <w:sz w:val="21"/>
          <w:i/>
          <w:color w:val="000000"/>
        </w:rPr>
        <w:t>2</w:t>
      </w:r>
      <w:r>
        <w:rPr>
          <w:sz w:val="21"/>
          <w:i/>
          <w:color w:val="000000"/>
        </w:rPr>
        <w:t>、付款方式：采用支票、银行汇票、电汇三种形式。</w:t>
      </w:r>
    </w:p>
    <w:p>
      <w:pPr>
        <w:pStyle w:val="null3"/>
        <w:ind w:firstLine="562"/>
        <w:jc w:val="both"/>
      </w:pPr>
      <w:r>
        <w:rPr>
          <w:sz w:val="21"/>
          <w:b/>
          <w:color w:val="000000"/>
        </w:rPr>
        <w:t>（二）乙方账号信息</w:t>
      </w:r>
    </w:p>
    <w:p>
      <w:pPr>
        <w:pStyle w:val="null3"/>
        <w:ind w:firstLine="560"/>
        <w:jc w:val="left"/>
      </w:pPr>
      <w:r>
        <w:rPr>
          <w:sz w:val="21"/>
          <w:color w:val="000000"/>
        </w:rPr>
        <w:t>银行账号：</w:t>
      </w:r>
    </w:p>
    <w:p>
      <w:pPr>
        <w:pStyle w:val="null3"/>
        <w:ind w:firstLine="560"/>
        <w:jc w:val="left"/>
      </w:pPr>
      <w:r>
        <w:rPr>
          <w:sz w:val="21"/>
          <w:color w:val="000000"/>
        </w:rPr>
        <w:t>开户行：</w:t>
      </w:r>
    </w:p>
    <w:p>
      <w:pPr>
        <w:pStyle w:val="null3"/>
        <w:ind w:firstLine="562"/>
        <w:jc w:val="both"/>
      </w:pPr>
      <w:r>
        <w:rPr>
          <w:sz w:val="21"/>
          <w:b/>
          <w:color w:val="000000"/>
        </w:rPr>
        <w:t>五、版权所有</w:t>
      </w:r>
    </w:p>
    <w:p>
      <w:pPr>
        <w:pStyle w:val="null3"/>
        <w:ind w:firstLine="560"/>
        <w:jc w:val="both"/>
      </w:pPr>
      <w:r>
        <w:rPr>
          <w:sz w:val="21"/>
          <w:color w:val="000000"/>
        </w:rPr>
        <w:t>1</w:t>
      </w:r>
      <w:r>
        <w:rPr>
          <w:sz w:val="21"/>
          <w:color w:val="000000"/>
        </w:rPr>
        <w:t>．协议内完成的课程资源的知识产权归甲方所有。</w:t>
      </w:r>
    </w:p>
    <w:p>
      <w:pPr>
        <w:pStyle w:val="null3"/>
        <w:ind w:firstLine="560"/>
        <w:jc w:val="both"/>
      </w:pPr>
      <w:r>
        <w:rPr>
          <w:sz w:val="21"/>
          <w:color w:val="000000"/>
        </w:rPr>
        <w:t>2</w:t>
      </w:r>
      <w:r>
        <w:rPr>
          <w:sz w:val="21"/>
          <w:color w:val="000000"/>
        </w:rPr>
        <w:t>．乙方提供自有知识产权的课程内容及相关素材，必须确保在课程内容及相关素材上无知识产权纠纷。若发生产权纠纷，与甲方无关，因此导致甲方被权利人追诉而产生的赔偿费、律师费、公证费、诉讼费等均由乙方承担。</w:t>
      </w:r>
    </w:p>
    <w:p>
      <w:pPr>
        <w:pStyle w:val="null3"/>
        <w:ind w:firstLine="560"/>
        <w:jc w:val="both"/>
      </w:pPr>
      <w:r>
        <w:rPr>
          <w:sz w:val="21"/>
          <w:color w:val="000000"/>
        </w:rPr>
        <w:t>3</w:t>
      </w:r>
      <w:r>
        <w:rPr>
          <w:sz w:val="21"/>
          <w:color w:val="000000"/>
        </w:rPr>
        <w:t>．乙方不得将课程资源（成品与半成品）授权其他任何第三方。</w:t>
      </w:r>
    </w:p>
    <w:p>
      <w:pPr>
        <w:pStyle w:val="null3"/>
        <w:ind w:firstLine="560"/>
        <w:jc w:val="both"/>
      </w:pPr>
      <w:r>
        <w:rPr>
          <w:sz w:val="21"/>
          <w:color w:val="000000"/>
        </w:rPr>
        <w:t>4</w:t>
      </w:r>
      <w:r>
        <w:rPr>
          <w:sz w:val="21"/>
          <w:color w:val="000000"/>
        </w:rPr>
        <w:t>．乙方保证保护甲方知识产权，保守甲方技术秘密，自觉维护甲方形象。乙方不得未经甲方许可，对提供课程资源进行拆解、解密、录制、复制，不得将课程内容直接用于商业目的以及其它侵权行为，由此给甲方造成的损失，由乙方承担全部赔偿责任。本条款不因合同的终止而失效。</w:t>
      </w:r>
    </w:p>
    <w:p>
      <w:pPr>
        <w:pStyle w:val="null3"/>
        <w:ind w:firstLine="562"/>
        <w:jc w:val="both"/>
      </w:pPr>
      <w:r>
        <w:rPr>
          <w:sz w:val="21"/>
          <w:b/>
          <w:color w:val="000000"/>
        </w:rPr>
        <w:t>六、违约责任</w:t>
      </w:r>
    </w:p>
    <w:p>
      <w:pPr>
        <w:pStyle w:val="null3"/>
        <w:ind w:firstLine="560"/>
        <w:jc w:val="both"/>
      </w:pPr>
      <w:r>
        <w:rPr>
          <w:sz w:val="21"/>
          <w:color w:val="000000"/>
        </w:rPr>
        <w:t>1</w:t>
      </w:r>
      <w:r>
        <w:rPr>
          <w:sz w:val="21"/>
          <w:color w:val="000000"/>
        </w:rPr>
        <w:t>．甲乙双方如违反本合同时，应承担相应的损失赔偿责任并弥补对方全部损失，若损失无法量化，双方均同意违约金以</w:t>
      </w:r>
      <w:r>
        <w:rPr>
          <w:sz w:val="21"/>
          <w:color w:val="000000"/>
          <w:u w:val="single"/>
        </w:rPr>
        <w:t xml:space="preserve">    </w:t>
      </w:r>
      <w:r>
        <w:rPr>
          <w:sz w:val="21"/>
          <w:color w:val="000000"/>
        </w:rPr>
        <w:t>为限。</w:t>
      </w:r>
    </w:p>
    <w:p>
      <w:pPr>
        <w:pStyle w:val="null3"/>
        <w:ind w:firstLine="560"/>
        <w:jc w:val="both"/>
      </w:pPr>
      <w:r>
        <w:rPr>
          <w:sz w:val="21"/>
          <w:color w:val="000000"/>
        </w:rPr>
        <w:t>2</w:t>
      </w:r>
      <w:r>
        <w:rPr>
          <w:sz w:val="21"/>
          <w:color w:val="000000"/>
        </w:rPr>
        <w:t>．乙方若在规定的时间内未能完成甲方需求的资源，必须向甲方递交书面说明，在甲方的同意下，可先提供部分资源，剩余资源提供时间最多顺延</w:t>
      </w:r>
      <w:r>
        <w:rPr>
          <w:sz w:val="21"/>
          <w:color w:val="000000"/>
          <w:u w:val="single"/>
        </w:rPr>
        <w:t xml:space="preserve">     </w:t>
      </w:r>
      <w:r>
        <w:rPr>
          <w:sz w:val="21"/>
          <w:color w:val="000000"/>
        </w:rPr>
        <w:t>，否则甲方有权终止合作协议，并要求乙方赔偿因此造成的全部损失。</w:t>
      </w:r>
    </w:p>
    <w:p>
      <w:pPr>
        <w:pStyle w:val="null3"/>
        <w:ind w:firstLine="560"/>
        <w:jc w:val="both"/>
      </w:pPr>
      <w:r>
        <w:rPr>
          <w:sz w:val="21"/>
          <w:color w:val="000000"/>
        </w:rPr>
        <w:t>3</w:t>
      </w:r>
      <w:r>
        <w:rPr>
          <w:sz w:val="21"/>
          <w:color w:val="000000"/>
        </w:rPr>
        <w:t>．关于本协议的内容或执行过程中出现纠纷时，甲乙双方须通过友好协商进行解决（因不可抗力因素无法执行合同除外）。</w:t>
      </w:r>
    </w:p>
    <w:p>
      <w:pPr>
        <w:pStyle w:val="null3"/>
        <w:ind w:firstLine="560"/>
        <w:jc w:val="both"/>
      </w:pPr>
      <w:r>
        <w:rPr>
          <w:sz w:val="21"/>
          <w:color w:val="000000"/>
        </w:rPr>
        <w:t>4</w:t>
      </w:r>
      <w:r>
        <w:rPr>
          <w:sz w:val="21"/>
          <w:color w:val="000000"/>
        </w:rPr>
        <w:t>．若因乙方故意或过失侵犯他人权利而损害甲方的商业信誉或其他利益的，由乙方承担全部赔偿责任，并且恶劣事件发生后，甲方有权单方面终止与乙方的合作，并追究乙方违约责任。</w:t>
      </w:r>
    </w:p>
    <w:p>
      <w:pPr>
        <w:pStyle w:val="null3"/>
        <w:ind w:firstLine="562"/>
        <w:jc w:val="both"/>
      </w:pPr>
      <w:r>
        <w:rPr>
          <w:sz w:val="21"/>
          <w:b/>
          <w:color w:val="000000"/>
        </w:rPr>
        <w:t>七、其他事宜</w:t>
      </w:r>
    </w:p>
    <w:p>
      <w:pPr>
        <w:pStyle w:val="null3"/>
        <w:ind w:firstLine="560"/>
        <w:jc w:val="both"/>
      </w:pPr>
      <w:r>
        <w:rPr>
          <w:sz w:val="21"/>
          <w:color w:val="000000"/>
        </w:rPr>
        <w:t>1.</w:t>
      </w:r>
      <w:r>
        <w:rPr>
          <w:sz w:val="21"/>
          <w:color w:val="000000"/>
        </w:rPr>
        <w:t>其它未尽事宜由甲乙双方本着友好协商的原则共同解决，协商不了的，双方均同意提交甲方所在地有管辖权的人民法院处理。</w:t>
      </w:r>
    </w:p>
    <w:p>
      <w:pPr>
        <w:pStyle w:val="null3"/>
        <w:ind w:firstLine="560"/>
        <w:jc w:val="both"/>
      </w:pPr>
      <w:r>
        <w:rPr>
          <w:sz w:val="21"/>
          <w:color w:val="000000"/>
        </w:rPr>
        <w:t>2</w:t>
      </w:r>
      <w:r>
        <w:rPr>
          <w:sz w:val="21"/>
          <w:color w:val="000000"/>
        </w:rPr>
        <w:t>．补充协议与主协议具有同等的法律效力。</w:t>
      </w:r>
    </w:p>
    <w:p>
      <w:pPr>
        <w:pStyle w:val="null3"/>
        <w:ind w:firstLine="560"/>
        <w:jc w:val="left"/>
      </w:pPr>
      <w:r>
        <w:rPr>
          <w:sz w:val="21"/>
          <w:color w:val="000000"/>
        </w:rPr>
        <w:t>3</w:t>
      </w:r>
      <w:r>
        <w:rPr>
          <w:sz w:val="21"/>
          <w:color w:val="000000"/>
        </w:rPr>
        <w:t>．本协议有效期 自     年  月  日起至    年  月  日止。</w:t>
      </w:r>
    </w:p>
    <w:p>
      <w:pPr>
        <w:pStyle w:val="null3"/>
        <w:ind w:firstLine="560"/>
        <w:jc w:val="both"/>
      </w:pPr>
      <w:r>
        <w:rPr>
          <w:sz w:val="21"/>
          <w:color w:val="000000"/>
        </w:rPr>
        <w:t>4</w:t>
      </w:r>
      <w:r>
        <w:rPr>
          <w:sz w:val="21"/>
          <w:color w:val="000000"/>
        </w:rPr>
        <w:t>．本协议书一式</w:t>
      </w:r>
      <w:r>
        <w:rPr>
          <w:sz w:val="21"/>
          <w:color w:val="000000"/>
          <w:u w:val="single"/>
        </w:rPr>
        <w:t xml:space="preserve">    </w:t>
      </w:r>
      <w:r>
        <w:rPr>
          <w:sz w:val="21"/>
          <w:color w:val="000000"/>
        </w:rPr>
        <w:t>份，乙方执</w:t>
      </w:r>
      <w:r>
        <w:rPr>
          <w:sz w:val="21"/>
          <w:color w:val="000000"/>
          <w:u w:val="single"/>
        </w:rPr>
        <w:t xml:space="preserve">   </w:t>
      </w:r>
      <w:r>
        <w:rPr>
          <w:sz w:val="21"/>
          <w:color w:val="000000"/>
        </w:rPr>
        <w:t>份，甲方执</w:t>
      </w:r>
      <w:r>
        <w:rPr>
          <w:sz w:val="21"/>
          <w:color w:val="000000"/>
          <w:u w:val="single"/>
        </w:rPr>
        <w:t xml:space="preserve">   </w:t>
      </w:r>
      <w:r>
        <w:rPr>
          <w:sz w:val="21"/>
          <w:color w:val="000000"/>
        </w:rPr>
        <w:t>份，双方签字或盖章后生效。</w:t>
      </w:r>
    </w:p>
    <w:p>
      <w:pPr>
        <w:pStyle w:val="null3"/>
        <w:jc w:val="left"/>
      </w:pPr>
      <w:r>
        <w:rPr>
          <w:sz w:val="21"/>
        </w:rPr>
        <w:t xml:space="preserve">                                  </w:t>
      </w:r>
    </w:p>
    <w:p>
      <w:pPr>
        <w:pStyle w:val="null3"/>
        <w:ind w:firstLine="420"/>
        <w:jc w:val="left"/>
      </w:pPr>
      <w:r>
        <w:rPr>
          <w:sz w:val="21"/>
          <w:color w:val="000000"/>
        </w:rPr>
        <w:t>甲方代表签名：                     乙方签名：</w:t>
      </w:r>
    </w:p>
    <w:p>
      <w:pPr>
        <w:pStyle w:val="null3"/>
        <w:ind w:firstLine="280"/>
        <w:jc w:val="left"/>
      </w:pPr>
      <w:r>
        <w:rPr>
          <w:sz w:val="21"/>
          <w:color w:val="000000"/>
        </w:rPr>
        <w:t xml:space="preserve">（盖章）                                                 </w:t>
      </w:r>
    </w:p>
    <w:p>
      <w:pPr>
        <w:pStyle w:val="null3"/>
        <w:ind w:firstLine="420"/>
        <w:jc w:val="left"/>
      </w:pPr>
      <w:r>
        <w:rPr>
          <w:sz w:val="21"/>
          <w:color w:val="000000"/>
        </w:rPr>
        <w:t>年   月   日                       年   月   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440001-2024-34762</w:t>
      </w:r>
    </w:p>
    <w:p>
      <w:pPr>
        <w:pStyle w:val="null3"/>
        <w:jc w:val="center"/>
        <w:outlineLvl w:val="3"/>
      </w:pPr>
      <w:r>
        <w:rPr>
          <w:sz w:val="24"/>
          <w:b/>
        </w:rPr>
        <w:t>采购项目编号：</w:t>
      </w:r>
      <w:r>
        <w:rPr>
          <w:sz w:val="24"/>
          <w:b/>
        </w:rPr>
        <w:t>GDYD240578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广东开放大学2024年常规课程自建技术服务采购项目</w:t>
      </w:r>
      <w:r>
        <w:rPr>
          <w:u w:val="single"/>
        </w:rPr>
        <w:t>”</w:t>
      </w:r>
      <w:r>
        <w:rPr/>
        <w:t>项目的竞争性磋商[采购项目编号为：</w:t>
      </w:r>
      <w:r>
        <w:rPr>
          <w:u w:val="single"/>
        </w:rPr>
        <w:t>GDYD240578</w:t>
      </w:r>
      <w:r>
        <w:rPr/>
        <w:t>]，我方愿参与响应。</w:t>
      </w:r>
    </w:p>
    <w:p>
      <w:pPr>
        <w:pStyle w:val="null3"/>
        <w:ind w:firstLine="480"/>
      </w:pPr>
      <w:r>
        <w:rPr/>
        <w:t>我方确认收到贵方提供的</w:t>
      </w:r>
      <w:r>
        <w:rPr>
          <w:u w:val="single"/>
        </w:rPr>
        <w:t>“</w:t>
      </w:r>
      <w:r>
        <w:rPr>
          <w:u w:val="single"/>
        </w:rPr>
        <w:t>广东开放大学2024年常规课程自建技术服务采购项目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广东开放大学2024年常规课程自建技术服务采购项目</w:t>
      </w:r>
      <w:r>
        <w:rPr/>
        <w:t>”项目采购[采购项目编号为</w:t>
      </w:r>
      <w:r>
        <w:rPr/>
        <w:t>GDYD240578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广东开放大学（广东理工职业学院）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广东开放大学2024年常规课程自建技术服务采购项目</w:t>
      </w:r>
      <w:r>
        <w:rPr/>
        <w:t>（采购项目编号：</w:t>
      </w:r>
      <w:r>
        <w:rPr/>
        <w:t>GDYD240578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广东开放大学2024年常规课程自建技术服务采购项目</w:t>
      </w:r>
      <w:r>
        <w:rPr/>
        <w:t>”项目（采购项目编号：</w:t>
      </w:r>
      <w:r>
        <w:rPr/>
        <w:t>GDYD240578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