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jc w:val="center"/>
        <w:rPr>
          <w:rFonts w:hint="eastAsia" w:cs="黑体" w:asciiTheme="minorEastAsia" w:hAnsiTheme="minorEastAsia" w:eastAsiaTheme="minorEastAsia"/>
          <w:b/>
          <w:bCs/>
          <w:color w:val="auto"/>
          <w:sz w:val="72"/>
          <w:szCs w:val="72"/>
          <w:highlight w:val="none"/>
        </w:rPr>
      </w:pPr>
    </w:p>
    <w:p>
      <w:pPr>
        <w:pStyle w:val="16"/>
        <w:rPr>
          <w:color w:val="auto"/>
          <w:highlight w:val="none"/>
        </w:rPr>
      </w:pPr>
    </w:p>
    <w:p>
      <w:pPr>
        <w:snapToGrid w:val="0"/>
        <w:spacing w:beforeLines="50"/>
        <w:jc w:val="center"/>
        <w:rPr>
          <w:rFonts w:asciiTheme="minorEastAsia" w:hAnsiTheme="minorEastAsia" w:eastAsiaTheme="minorEastAsia"/>
          <w:b/>
          <w:bCs/>
          <w:color w:val="auto"/>
          <w:sz w:val="72"/>
          <w:szCs w:val="72"/>
          <w:highlight w:val="none"/>
        </w:rPr>
      </w:pPr>
      <w:r>
        <w:rPr>
          <w:rFonts w:hint="eastAsia" w:cs="黑体" w:asciiTheme="minorEastAsia" w:hAnsiTheme="minorEastAsia" w:eastAsiaTheme="minorEastAsia"/>
          <w:b/>
          <w:bCs/>
          <w:color w:val="auto"/>
          <w:sz w:val="72"/>
          <w:szCs w:val="72"/>
          <w:highlight w:val="none"/>
        </w:rPr>
        <w:t>货物</w:t>
      </w:r>
    </w:p>
    <w:p>
      <w:pPr>
        <w:snapToGrid w:val="0"/>
        <w:spacing w:beforeLines="50"/>
        <w:jc w:val="center"/>
        <w:rPr>
          <w:rFonts w:asciiTheme="minorEastAsia" w:hAnsiTheme="minorEastAsia" w:eastAsiaTheme="minorEastAsia"/>
          <w:b/>
          <w:bCs/>
          <w:color w:val="auto"/>
          <w:sz w:val="72"/>
          <w:szCs w:val="72"/>
          <w:highlight w:val="none"/>
        </w:rPr>
      </w:pPr>
      <w:r>
        <w:rPr>
          <w:rFonts w:hint="eastAsia" w:cs="黑体" w:asciiTheme="minorEastAsia" w:hAnsiTheme="minorEastAsia" w:eastAsiaTheme="minorEastAsia"/>
          <w:b/>
          <w:bCs/>
          <w:color w:val="auto"/>
          <w:sz w:val="72"/>
          <w:szCs w:val="72"/>
          <w:highlight w:val="none"/>
        </w:rPr>
        <w:t>公开招标文件</w: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pStyle w:val="16"/>
        <w:rPr>
          <w:color w:val="auto"/>
          <w:highlight w:val="none"/>
        </w:rPr>
      </w:pPr>
    </w:p>
    <w:p>
      <w:pPr>
        <w:pStyle w:val="16"/>
        <w:rPr>
          <w:color w:val="auto"/>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8"/>
          <w:szCs w:val="28"/>
          <w:highlight w:val="none"/>
        </w:rPr>
      </w:pPr>
    </w:p>
    <w:p>
      <w:pPr>
        <w:pStyle w:val="16"/>
        <w:spacing w:line="360" w:lineRule="auto"/>
        <w:ind w:left="2339" w:leftChars="794" w:hanging="672" w:hangingChars="240"/>
        <w:rPr>
          <w:rFonts w:asciiTheme="minorEastAsia" w:hAnsiTheme="minorEastAsia" w:eastAsiaTheme="minorEastAsia"/>
          <w:b/>
          <w:bCs/>
          <w:color w:val="auto"/>
          <w:sz w:val="28"/>
          <w:szCs w:val="28"/>
          <w:highlight w:val="none"/>
        </w:rPr>
      </w:pPr>
      <w:r>
        <w:rPr>
          <w:rFonts w:hint="eastAsia" w:cs="仿宋_GB2312" w:asciiTheme="minorEastAsia" w:hAnsiTheme="minorEastAsia" w:eastAsiaTheme="minorEastAsia"/>
          <w:b/>
          <w:bCs/>
          <w:color w:val="auto"/>
          <w:sz w:val="28"/>
          <w:szCs w:val="28"/>
          <w:highlight w:val="none"/>
        </w:rPr>
        <w:t xml:space="preserve">采购项目编号：GDYD220372 </w:t>
      </w:r>
    </w:p>
    <w:p>
      <w:pPr>
        <w:pStyle w:val="16"/>
        <w:spacing w:line="360" w:lineRule="auto"/>
        <w:ind w:left="3739" w:leftChars="794" w:hanging="2072" w:hangingChars="740"/>
        <w:rPr>
          <w:rFonts w:asciiTheme="minorEastAsia" w:hAnsiTheme="minorEastAsia" w:eastAsiaTheme="minorEastAsia"/>
          <w:b/>
          <w:bCs/>
          <w:color w:val="auto"/>
          <w:sz w:val="28"/>
          <w:szCs w:val="28"/>
          <w:highlight w:val="none"/>
        </w:rPr>
      </w:pPr>
      <w:r>
        <w:rPr>
          <w:rFonts w:hint="eastAsia" w:cs="仿宋_GB2312" w:asciiTheme="minorEastAsia" w:hAnsiTheme="minorEastAsia" w:eastAsiaTheme="minorEastAsia"/>
          <w:b/>
          <w:bCs/>
          <w:color w:val="auto"/>
          <w:sz w:val="28"/>
          <w:szCs w:val="28"/>
          <w:highlight w:val="none"/>
        </w:rPr>
        <w:t>采购项目名称：广医大2022年第五临床学院一流专业建设采购项目（二）</w:t>
      </w:r>
    </w:p>
    <w:p>
      <w:pPr>
        <w:snapToGrid w:val="0"/>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pStyle w:val="16"/>
        <w:rPr>
          <w:color w:val="auto"/>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8"/>
          <w:szCs w:val="28"/>
          <w:highlight w:val="none"/>
        </w:rPr>
      </w:pPr>
    </w:p>
    <w:p>
      <w:pPr>
        <w:snapToGrid w:val="0"/>
        <w:spacing w:line="360" w:lineRule="auto"/>
        <w:jc w:val="center"/>
        <w:rPr>
          <w:rFonts w:cs="黑体" w:asciiTheme="minorEastAsia" w:hAnsiTheme="minorEastAsia" w:eastAsiaTheme="minorEastAsia"/>
          <w:b/>
          <w:color w:val="auto"/>
          <w:sz w:val="28"/>
          <w:szCs w:val="28"/>
          <w:highlight w:val="none"/>
        </w:rPr>
      </w:pPr>
      <w:r>
        <w:rPr>
          <w:rFonts w:hint="eastAsia" w:cs="黑体" w:asciiTheme="minorEastAsia" w:hAnsiTheme="minorEastAsia" w:eastAsiaTheme="minorEastAsia"/>
          <w:b/>
          <w:color w:val="auto"/>
          <w:sz w:val="28"/>
          <w:szCs w:val="28"/>
          <w:highlight w:val="none"/>
        </w:rPr>
        <w:t>广东远东招标代理有限公司</w:t>
      </w:r>
    </w:p>
    <w:p>
      <w:pPr>
        <w:snapToGrid w:val="0"/>
        <w:spacing w:line="360" w:lineRule="auto"/>
        <w:jc w:val="center"/>
        <w:rPr>
          <w:rFonts w:asciiTheme="minorEastAsia" w:hAnsiTheme="minorEastAsia" w:eastAsiaTheme="minorEastAsia"/>
          <w:b/>
          <w:color w:val="auto"/>
          <w:sz w:val="28"/>
          <w:szCs w:val="28"/>
          <w:highlight w:val="none"/>
        </w:rPr>
        <w:sectPr>
          <w:headerReference r:id="rId3" w:type="default"/>
          <w:pgSz w:w="11906" w:h="16838"/>
          <w:pgMar w:top="1418" w:right="1191" w:bottom="1134" w:left="1191" w:header="851" w:footer="567" w:gutter="0"/>
          <w:cols w:space="720" w:num="1"/>
          <w:docGrid w:type="linesAndChars" w:linePitch="312" w:charSpace="0"/>
        </w:sectPr>
      </w:pPr>
      <w:r>
        <w:rPr>
          <w:rFonts w:cs="黑体" w:asciiTheme="minorEastAsia" w:hAnsiTheme="minorEastAsia" w:eastAsiaTheme="minorEastAsia"/>
          <w:b/>
          <w:color w:val="auto"/>
          <w:sz w:val="28"/>
          <w:szCs w:val="28"/>
          <w:highlight w:val="none"/>
        </w:rPr>
        <w:t>202</w:t>
      </w:r>
      <w:r>
        <w:rPr>
          <w:rFonts w:hint="eastAsia" w:cs="黑体" w:asciiTheme="minorEastAsia" w:hAnsiTheme="minorEastAsia" w:eastAsiaTheme="minorEastAsia"/>
          <w:b/>
          <w:color w:val="auto"/>
          <w:sz w:val="28"/>
          <w:szCs w:val="28"/>
          <w:highlight w:val="none"/>
        </w:rPr>
        <w:t>2年4月</w:t>
      </w:r>
    </w:p>
    <w:p>
      <w:pPr>
        <w:spacing w:line="360" w:lineRule="auto"/>
        <w:jc w:val="center"/>
        <w:rPr>
          <w:rFonts w:asciiTheme="minorEastAsia" w:hAnsiTheme="minorEastAsia" w:eastAsiaTheme="minorEastAsia"/>
          <w:b/>
          <w:bCs/>
          <w:color w:val="auto"/>
          <w:sz w:val="32"/>
          <w:szCs w:val="32"/>
          <w:highlight w:val="none"/>
        </w:rPr>
      </w:pPr>
      <w:bookmarkStart w:id="0" w:name="_Toc292267790"/>
      <w:bookmarkStart w:id="1" w:name="_Toc435115363"/>
      <w:bookmarkStart w:id="2" w:name="_Toc435114676"/>
      <w:bookmarkStart w:id="3" w:name="_Toc435115051"/>
    </w:p>
    <w:p>
      <w:pPr>
        <w:spacing w:line="360" w:lineRule="auto"/>
        <w:jc w:val="center"/>
        <w:rPr>
          <w:rFonts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32"/>
          <w:szCs w:val="32"/>
          <w:highlight w:val="none"/>
        </w:rPr>
        <w:t>目</w:t>
      </w:r>
      <w:r>
        <w:rPr>
          <w:rFonts w:cs="宋体" w:asciiTheme="minorEastAsia" w:hAnsiTheme="minorEastAsia" w:eastAsiaTheme="minorEastAsia"/>
          <w:b/>
          <w:bCs/>
          <w:color w:val="auto"/>
          <w:sz w:val="32"/>
          <w:szCs w:val="32"/>
          <w:highlight w:val="none"/>
        </w:rPr>
        <w:t xml:space="preserve">   </w:t>
      </w:r>
      <w:r>
        <w:rPr>
          <w:rFonts w:hint="eastAsia" w:cs="宋体" w:asciiTheme="minorEastAsia" w:hAnsiTheme="minorEastAsia" w:eastAsiaTheme="minorEastAsia"/>
          <w:b/>
          <w:bCs/>
          <w:color w:val="auto"/>
          <w:sz w:val="32"/>
          <w:szCs w:val="32"/>
          <w:highlight w:val="none"/>
        </w:rPr>
        <w:t>录</w:t>
      </w:r>
    </w:p>
    <w:p>
      <w:pPr>
        <w:pStyle w:val="29"/>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color w:val="auto"/>
          <w:sz w:val="24"/>
          <w:szCs w:val="24"/>
          <w:highlight w:val="none"/>
        </w:rPr>
      </w:pPr>
      <w:r>
        <w:rPr>
          <w:rStyle w:val="45"/>
          <w:rFonts w:cs="宋体" w:asciiTheme="minorEastAsia" w:hAnsiTheme="minorEastAsia" w:eastAsiaTheme="minorEastAsia"/>
          <w:color w:val="auto"/>
          <w:sz w:val="32"/>
          <w:szCs w:val="32"/>
          <w:highlight w:val="none"/>
        </w:rPr>
        <w:fldChar w:fldCharType="begin"/>
      </w:r>
      <w:r>
        <w:rPr>
          <w:rStyle w:val="45"/>
          <w:rFonts w:cs="宋体" w:asciiTheme="minorEastAsia" w:hAnsiTheme="minorEastAsia" w:eastAsiaTheme="minorEastAsia"/>
          <w:color w:val="auto"/>
          <w:sz w:val="32"/>
          <w:szCs w:val="32"/>
          <w:highlight w:val="none"/>
        </w:rPr>
        <w:instrText xml:space="preserve"> TOC \o "1-1" \h \z \u </w:instrText>
      </w:r>
      <w:r>
        <w:rPr>
          <w:rStyle w:val="45"/>
          <w:rFonts w:cs="宋体" w:asciiTheme="minorEastAsia" w:hAnsiTheme="minorEastAsia" w:eastAsiaTheme="minorEastAsia"/>
          <w:color w:val="auto"/>
          <w:sz w:val="32"/>
          <w:szCs w:val="32"/>
          <w:highlight w:val="none"/>
        </w:rPr>
        <w:fldChar w:fldCharType="separate"/>
      </w:r>
      <w:r>
        <w:rPr>
          <w:rFonts w:cs="宋体" w:asciiTheme="minorEastAsia" w:hAnsiTheme="minorEastAsia" w:eastAsiaTheme="minorEastAsia"/>
          <w:color w:val="auto"/>
          <w:sz w:val="24"/>
          <w:szCs w:val="32"/>
          <w:highlight w:val="none"/>
        </w:rPr>
        <w:fldChar w:fldCharType="begin"/>
      </w:r>
      <w:r>
        <w:rPr>
          <w:rFonts w:cs="宋体" w:asciiTheme="minorEastAsia" w:hAnsiTheme="minorEastAsia" w:eastAsiaTheme="minorEastAsia"/>
          <w:color w:val="auto"/>
          <w:sz w:val="24"/>
          <w:szCs w:val="32"/>
          <w:highlight w:val="none"/>
        </w:rPr>
        <w:instrText xml:space="preserve"> HYPERLINK \l _Toc23768 </w:instrText>
      </w:r>
      <w:r>
        <w:rPr>
          <w:rFonts w:cs="宋体" w:asciiTheme="minorEastAsia" w:hAnsiTheme="minorEastAsia" w:eastAsiaTheme="minorEastAsia"/>
          <w:color w:val="auto"/>
          <w:sz w:val="24"/>
          <w:szCs w:val="32"/>
          <w:highlight w:val="none"/>
        </w:rPr>
        <w:fldChar w:fldCharType="separate"/>
      </w:r>
      <w:r>
        <w:rPr>
          <w:rFonts w:hint="eastAsia" w:cs="宋体" w:asciiTheme="minorEastAsia" w:hAnsiTheme="minorEastAsia" w:eastAsiaTheme="minorEastAsia"/>
          <w:bCs/>
          <w:color w:val="auto"/>
          <w:sz w:val="24"/>
          <w:szCs w:val="32"/>
          <w:highlight w:val="none"/>
        </w:rPr>
        <w:t>第一章</w:t>
      </w:r>
      <w:r>
        <w:rPr>
          <w:rFonts w:asciiTheme="minorEastAsia" w:hAnsiTheme="minorEastAsia" w:eastAsiaTheme="minorEastAsia"/>
          <w:bCs/>
          <w:color w:val="auto"/>
          <w:sz w:val="24"/>
          <w:szCs w:val="32"/>
          <w:highlight w:val="none"/>
        </w:rPr>
        <w:t xml:space="preserve"> </w:t>
      </w:r>
      <w:r>
        <w:rPr>
          <w:rFonts w:hint="eastAsia" w:cs="宋体" w:asciiTheme="minorEastAsia" w:hAnsiTheme="minorEastAsia" w:eastAsiaTheme="minorEastAsia"/>
          <w:bCs/>
          <w:color w:val="auto"/>
          <w:sz w:val="24"/>
          <w:szCs w:val="32"/>
          <w:highlight w:val="none"/>
        </w:rPr>
        <w:t>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_Toc23768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cs="宋体" w:asciiTheme="minorEastAsia" w:hAnsiTheme="minorEastAsia" w:eastAsiaTheme="minorEastAsia"/>
          <w:color w:val="auto"/>
          <w:sz w:val="24"/>
          <w:szCs w:val="32"/>
          <w:highlight w:val="none"/>
        </w:rPr>
        <w:fldChar w:fldCharType="end"/>
      </w:r>
    </w:p>
    <w:p>
      <w:pPr>
        <w:pStyle w:val="29"/>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color w:val="auto"/>
          <w:sz w:val="24"/>
          <w:szCs w:val="24"/>
          <w:highlight w:val="none"/>
        </w:rPr>
      </w:pPr>
      <w:r>
        <w:rPr>
          <w:rFonts w:cs="宋体" w:asciiTheme="minorEastAsia" w:hAnsiTheme="minorEastAsia" w:eastAsiaTheme="minorEastAsia"/>
          <w:color w:val="auto"/>
          <w:sz w:val="24"/>
          <w:szCs w:val="32"/>
          <w:highlight w:val="none"/>
        </w:rPr>
        <w:fldChar w:fldCharType="begin"/>
      </w:r>
      <w:r>
        <w:rPr>
          <w:rFonts w:cs="宋体" w:asciiTheme="minorEastAsia" w:hAnsiTheme="minorEastAsia" w:eastAsiaTheme="minorEastAsia"/>
          <w:color w:val="auto"/>
          <w:sz w:val="24"/>
          <w:szCs w:val="32"/>
          <w:highlight w:val="none"/>
        </w:rPr>
        <w:instrText xml:space="preserve"> HYPERLINK \l _Toc28448 </w:instrText>
      </w:r>
      <w:r>
        <w:rPr>
          <w:rFonts w:cs="宋体" w:asciiTheme="minorEastAsia" w:hAnsiTheme="minorEastAsia" w:eastAsiaTheme="minorEastAsia"/>
          <w:color w:val="auto"/>
          <w:sz w:val="24"/>
          <w:szCs w:val="32"/>
          <w:highlight w:val="none"/>
        </w:rPr>
        <w:fldChar w:fldCharType="separate"/>
      </w:r>
      <w:r>
        <w:rPr>
          <w:rFonts w:hint="eastAsia" w:cs="宋体" w:asciiTheme="minorEastAsia" w:hAnsiTheme="minorEastAsia" w:eastAsiaTheme="minorEastAsia"/>
          <w:bCs/>
          <w:color w:val="auto"/>
          <w:sz w:val="24"/>
          <w:szCs w:val="32"/>
          <w:highlight w:val="none"/>
        </w:rPr>
        <w:t>第二章</w:t>
      </w:r>
      <w:r>
        <w:rPr>
          <w:rFonts w:asciiTheme="minorEastAsia" w:hAnsiTheme="minorEastAsia" w:eastAsiaTheme="minorEastAsia"/>
          <w:bCs/>
          <w:color w:val="auto"/>
          <w:sz w:val="24"/>
          <w:szCs w:val="32"/>
          <w:highlight w:val="none"/>
        </w:rPr>
        <w:t xml:space="preserve"> </w:t>
      </w:r>
      <w:r>
        <w:rPr>
          <w:rFonts w:hint="eastAsia" w:cs="宋体" w:asciiTheme="minorEastAsia" w:hAnsiTheme="minorEastAsia" w:eastAsiaTheme="minorEastAsia"/>
          <w:bCs/>
          <w:color w:val="auto"/>
          <w:sz w:val="24"/>
          <w:szCs w:val="32"/>
          <w:highlight w:val="none"/>
        </w:rPr>
        <w:t>投标资料表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_Toc28448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cs="宋体" w:asciiTheme="minorEastAsia" w:hAnsiTheme="minorEastAsia" w:eastAsiaTheme="minorEastAsia"/>
          <w:color w:val="auto"/>
          <w:sz w:val="24"/>
          <w:szCs w:val="32"/>
          <w:highlight w:val="none"/>
        </w:rPr>
        <w:fldChar w:fldCharType="end"/>
      </w:r>
    </w:p>
    <w:p>
      <w:pPr>
        <w:pStyle w:val="29"/>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color w:val="auto"/>
          <w:sz w:val="24"/>
          <w:szCs w:val="24"/>
          <w:highlight w:val="none"/>
        </w:rPr>
      </w:pPr>
      <w:r>
        <w:rPr>
          <w:rFonts w:cs="宋体" w:asciiTheme="minorEastAsia" w:hAnsiTheme="minorEastAsia" w:eastAsiaTheme="minorEastAsia"/>
          <w:color w:val="auto"/>
          <w:sz w:val="24"/>
          <w:szCs w:val="32"/>
          <w:highlight w:val="none"/>
        </w:rPr>
        <w:fldChar w:fldCharType="begin"/>
      </w:r>
      <w:r>
        <w:rPr>
          <w:rFonts w:cs="宋体" w:asciiTheme="minorEastAsia" w:hAnsiTheme="minorEastAsia" w:eastAsiaTheme="minorEastAsia"/>
          <w:color w:val="auto"/>
          <w:sz w:val="24"/>
          <w:szCs w:val="32"/>
          <w:highlight w:val="none"/>
        </w:rPr>
        <w:instrText xml:space="preserve"> HYPERLINK \l _Toc18626 </w:instrText>
      </w:r>
      <w:r>
        <w:rPr>
          <w:rFonts w:cs="宋体" w:asciiTheme="minorEastAsia" w:hAnsiTheme="minorEastAsia" w:eastAsiaTheme="minorEastAsia"/>
          <w:color w:val="auto"/>
          <w:sz w:val="24"/>
          <w:szCs w:val="32"/>
          <w:highlight w:val="none"/>
        </w:rPr>
        <w:fldChar w:fldCharType="separate"/>
      </w:r>
      <w:r>
        <w:rPr>
          <w:rFonts w:hint="eastAsia" w:cs="宋体" w:asciiTheme="minorEastAsia" w:hAnsiTheme="minorEastAsia" w:eastAsiaTheme="minorEastAsia"/>
          <w:bCs/>
          <w:color w:val="auto"/>
          <w:sz w:val="24"/>
          <w:szCs w:val="32"/>
          <w:highlight w:val="none"/>
        </w:rPr>
        <w:t>第三章</w:t>
      </w:r>
      <w:r>
        <w:rPr>
          <w:rFonts w:hint="eastAsia" w:cs="宋体" w:asciiTheme="minorEastAsia" w:hAnsiTheme="minorEastAsia" w:eastAsiaTheme="minorEastAsia"/>
          <w:bCs/>
          <w:color w:val="auto"/>
          <w:sz w:val="24"/>
          <w:szCs w:val="32"/>
          <w:highlight w:val="none"/>
          <w:lang w:val="en-US" w:eastAsia="zh-CN"/>
        </w:rPr>
        <w:t xml:space="preserve"> </w:t>
      </w:r>
      <w:r>
        <w:rPr>
          <w:rFonts w:hint="eastAsia" w:cs="宋体" w:asciiTheme="minorEastAsia" w:hAnsiTheme="minorEastAsia" w:eastAsiaTheme="minorEastAsia"/>
          <w:bCs/>
          <w:color w:val="auto"/>
          <w:sz w:val="24"/>
          <w:szCs w:val="32"/>
          <w:highlight w:val="none"/>
        </w:rPr>
        <w:t>开标、评标、定标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_Toc18626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cs="宋体" w:asciiTheme="minorEastAsia" w:hAnsiTheme="minorEastAsia" w:eastAsiaTheme="minorEastAsia"/>
          <w:color w:val="auto"/>
          <w:sz w:val="24"/>
          <w:szCs w:val="32"/>
          <w:highlight w:val="none"/>
        </w:rPr>
        <w:fldChar w:fldCharType="end"/>
      </w:r>
    </w:p>
    <w:p>
      <w:pPr>
        <w:pStyle w:val="29"/>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color w:val="auto"/>
          <w:sz w:val="24"/>
          <w:szCs w:val="24"/>
          <w:highlight w:val="none"/>
        </w:rPr>
      </w:pPr>
      <w:r>
        <w:rPr>
          <w:rFonts w:cs="宋体" w:asciiTheme="minorEastAsia" w:hAnsiTheme="minorEastAsia" w:eastAsiaTheme="minorEastAsia"/>
          <w:color w:val="auto"/>
          <w:sz w:val="24"/>
          <w:szCs w:val="32"/>
          <w:highlight w:val="none"/>
        </w:rPr>
        <w:fldChar w:fldCharType="begin"/>
      </w:r>
      <w:r>
        <w:rPr>
          <w:rFonts w:cs="宋体" w:asciiTheme="minorEastAsia" w:hAnsiTheme="minorEastAsia" w:eastAsiaTheme="minorEastAsia"/>
          <w:color w:val="auto"/>
          <w:sz w:val="24"/>
          <w:szCs w:val="32"/>
          <w:highlight w:val="none"/>
        </w:rPr>
        <w:instrText xml:space="preserve"> HYPERLINK \l _Toc5215 </w:instrText>
      </w:r>
      <w:r>
        <w:rPr>
          <w:rFonts w:cs="宋体" w:asciiTheme="minorEastAsia" w:hAnsiTheme="minorEastAsia" w:eastAsiaTheme="minorEastAsia"/>
          <w:color w:val="auto"/>
          <w:sz w:val="24"/>
          <w:szCs w:val="32"/>
          <w:highlight w:val="none"/>
        </w:rPr>
        <w:fldChar w:fldCharType="separate"/>
      </w:r>
      <w:r>
        <w:rPr>
          <w:rFonts w:hint="eastAsia" w:cs="宋体" w:asciiTheme="minorEastAsia" w:hAnsiTheme="minorEastAsia" w:eastAsiaTheme="minorEastAsia"/>
          <w:bCs/>
          <w:color w:val="auto"/>
          <w:sz w:val="24"/>
          <w:szCs w:val="32"/>
          <w:highlight w:val="none"/>
        </w:rPr>
        <w:t>第四章</w:t>
      </w:r>
      <w:r>
        <w:rPr>
          <w:rFonts w:asciiTheme="minorEastAsia" w:hAnsiTheme="minorEastAsia" w:eastAsiaTheme="minorEastAsia"/>
          <w:bCs/>
          <w:color w:val="auto"/>
          <w:sz w:val="24"/>
          <w:szCs w:val="32"/>
          <w:highlight w:val="none"/>
        </w:rPr>
        <w:t xml:space="preserve"> </w:t>
      </w:r>
      <w:r>
        <w:rPr>
          <w:rFonts w:hint="eastAsia" w:cs="宋体" w:asciiTheme="minorEastAsia" w:hAnsiTheme="minorEastAsia" w:eastAsiaTheme="minorEastAsia"/>
          <w:bCs/>
          <w:color w:val="auto"/>
          <w:sz w:val="24"/>
          <w:szCs w:val="32"/>
          <w:highlight w:val="none"/>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_Toc5215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cs="宋体" w:asciiTheme="minorEastAsia" w:hAnsiTheme="minorEastAsia" w:eastAsiaTheme="minorEastAsia"/>
          <w:color w:val="auto"/>
          <w:sz w:val="24"/>
          <w:szCs w:val="32"/>
          <w:highlight w:val="none"/>
        </w:rPr>
        <w:fldChar w:fldCharType="end"/>
      </w:r>
    </w:p>
    <w:p>
      <w:pPr>
        <w:pStyle w:val="29"/>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color w:val="auto"/>
          <w:sz w:val="24"/>
          <w:szCs w:val="24"/>
          <w:highlight w:val="none"/>
        </w:rPr>
      </w:pPr>
      <w:r>
        <w:rPr>
          <w:rFonts w:cs="宋体" w:asciiTheme="minorEastAsia" w:hAnsiTheme="minorEastAsia" w:eastAsiaTheme="minorEastAsia"/>
          <w:color w:val="auto"/>
          <w:sz w:val="24"/>
          <w:szCs w:val="32"/>
          <w:highlight w:val="none"/>
        </w:rPr>
        <w:fldChar w:fldCharType="begin"/>
      </w:r>
      <w:r>
        <w:rPr>
          <w:rFonts w:cs="宋体" w:asciiTheme="minorEastAsia" w:hAnsiTheme="minorEastAsia" w:eastAsiaTheme="minorEastAsia"/>
          <w:color w:val="auto"/>
          <w:sz w:val="24"/>
          <w:szCs w:val="32"/>
          <w:highlight w:val="none"/>
        </w:rPr>
        <w:instrText xml:space="preserve"> HYPERLINK \l _Toc18990 </w:instrText>
      </w:r>
      <w:r>
        <w:rPr>
          <w:rFonts w:cs="宋体" w:asciiTheme="minorEastAsia" w:hAnsiTheme="minorEastAsia" w:eastAsiaTheme="minorEastAsia"/>
          <w:color w:val="auto"/>
          <w:sz w:val="24"/>
          <w:szCs w:val="32"/>
          <w:highlight w:val="none"/>
        </w:rPr>
        <w:fldChar w:fldCharType="separate"/>
      </w:r>
      <w:r>
        <w:rPr>
          <w:rFonts w:hint="eastAsia" w:cs="宋体" w:asciiTheme="minorEastAsia" w:hAnsiTheme="minorEastAsia" w:eastAsiaTheme="minorEastAsia"/>
          <w:bCs/>
          <w:color w:val="auto"/>
          <w:sz w:val="24"/>
          <w:szCs w:val="36"/>
          <w:highlight w:val="none"/>
        </w:rPr>
        <w:t>第五章</w:t>
      </w:r>
      <w:r>
        <w:rPr>
          <w:rFonts w:cs="宋体" w:asciiTheme="minorEastAsia" w:hAnsiTheme="minorEastAsia" w:eastAsiaTheme="minorEastAsia"/>
          <w:bCs/>
          <w:color w:val="auto"/>
          <w:sz w:val="24"/>
          <w:szCs w:val="36"/>
          <w:highlight w:val="none"/>
        </w:rPr>
        <w:t xml:space="preserve"> </w:t>
      </w:r>
      <w:r>
        <w:rPr>
          <w:rFonts w:hint="eastAsia" w:cs="宋体" w:asciiTheme="minorEastAsia" w:hAnsiTheme="minorEastAsia" w:eastAsiaTheme="minorEastAsia"/>
          <w:bCs/>
          <w:color w:val="auto"/>
          <w:sz w:val="24"/>
          <w:szCs w:val="36"/>
          <w:highlight w:val="none"/>
        </w:rPr>
        <w:t>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_Toc18990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cs="宋体" w:asciiTheme="minorEastAsia" w:hAnsiTheme="minorEastAsia" w:eastAsiaTheme="minorEastAsia"/>
          <w:color w:val="auto"/>
          <w:sz w:val="24"/>
          <w:szCs w:val="32"/>
          <w:highlight w:val="none"/>
        </w:rPr>
        <w:fldChar w:fldCharType="end"/>
      </w:r>
    </w:p>
    <w:p>
      <w:pPr>
        <w:pStyle w:val="29"/>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color w:val="auto"/>
          <w:sz w:val="24"/>
          <w:szCs w:val="24"/>
          <w:highlight w:val="none"/>
        </w:rPr>
      </w:pPr>
      <w:r>
        <w:rPr>
          <w:rFonts w:cs="宋体" w:asciiTheme="minorEastAsia" w:hAnsiTheme="minorEastAsia" w:eastAsiaTheme="minorEastAsia"/>
          <w:color w:val="auto"/>
          <w:sz w:val="24"/>
          <w:szCs w:val="32"/>
          <w:highlight w:val="none"/>
        </w:rPr>
        <w:fldChar w:fldCharType="begin"/>
      </w:r>
      <w:r>
        <w:rPr>
          <w:rFonts w:cs="宋体" w:asciiTheme="minorEastAsia" w:hAnsiTheme="minorEastAsia" w:eastAsiaTheme="minorEastAsia"/>
          <w:color w:val="auto"/>
          <w:sz w:val="24"/>
          <w:szCs w:val="32"/>
          <w:highlight w:val="none"/>
        </w:rPr>
        <w:instrText xml:space="preserve"> HYPERLINK \l _Toc14394 </w:instrText>
      </w:r>
      <w:r>
        <w:rPr>
          <w:rFonts w:cs="宋体" w:asciiTheme="minorEastAsia" w:hAnsiTheme="minorEastAsia" w:eastAsiaTheme="minorEastAsia"/>
          <w:color w:val="auto"/>
          <w:sz w:val="24"/>
          <w:szCs w:val="32"/>
          <w:highlight w:val="none"/>
        </w:rPr>
        <w:fldChar w:fldCharType="separate"/>
      </w:r>
      <w:r>
        <w:rPr>
          <w:rFonts w:hint="eastAsia" w:cs="宋体" w:asciiTheme="minorEastAsia" w:hAnsiTheme="minorEastAsia" w:eastAsiaTheme="minorEastAsia"/>
          <w:bCs/>
          <w:color w:val="auto"/>
          <w:sz w:val="24"/>
          <w:szCs w:val="40"/>
          <w:highlight w:val="none"/>
        </w:rPr>
        <w:t>第六章</w:t>
      </w:r>
      <w:r>
        <w:rPr>
          <w:rFonts w:asciiTheme="minorEastAsia" w:hAnsiTheme="minorEastAsia" w:eastAsiaTheme="minorEastAsia"/>
          <w:bCs/>
          <w:color w:val="auto"/>
          <w:sz w:val="24"/>
          <w:szCs w:val="40"/>
          <w:highlight w:val="none"/>
        </w:rPr>
        <w:t xml:space="preserve"> </w:t>
      </w:r>
      <w:r>
        <w:rPr>
          <w:rFonts w:hint="eastAsia" w:cs="宋体" w:asciiTheme="minorEastAsia" w:hAnsiTheme="minorEastAsia" w:eastAsiaTheme="minorEastAsia"/>
          <w:bCs/>
          <w:color w:val="auto"/>
          <w:sz w:val="24"/>
          <w:szCs w:val="40"/>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_Toc14394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cs="宋体" w:asciiTheme="minorEastAsia" w:hAnsiTheme="minorEastAsia" w:eastAsiaTheme="minorEastAsia"/>
          <w:color w:val="auto"/>
          <w:sz w:val="24"/>
          <w:szCs w:val="32"/>
          <w:highlight w:val="none"/>
        </w:rPr>
        <w:fldChar w:fldCharType="end"/>
      </w:r>
    </w:p>
    <w:p>
      <w:pPr>
        <w:pStyle w:val="29"/>
        <w:keepNext w:val="0"/>
        <w:keepLines w:val="0"/>
        <w:pageBreakBefore w:val="0"/>
        <w:widowControl w:val="0"/>
        <w:tabs>
          <w:tab w:val="right" w:leader="dot" w:pos="9524"/>
        </w:tabs>
        <w:kinsoku/>
        <w:wordWrap/>
        <w:overflowPunct/>
        <w:topLinePunct w:val="0"/>
        <w:autoSpaceDE/>
        <w:autoSpaceDN/>
        <w:bidi w:val="0"/>
        <w:adjustRightInd/>
        <w:snapToGrid/>
        <w:spacing w:line="360" w:lineRule="auto"/>
        <w:textAlignment w:val="auto"/>
        <w:rPr>
          <w:color w:val="auto"/>
          <w:sz w:val="24"/>
          <w:szCs w:val="24"/>
          <w:highlight w:val="none"/>
        </w:rPr>
      </w:pPr>
      <w:r>
        <w:rPr>
          <w:rFonts w:cs="宋体" w:asciiTheme="minorEastAsia" w:hAnsiTheme="minorEastAsia" w:eastAsiaTheme="minorEastAsia"/>
          <w:color w:val="auto"/>
          <w:sz w:val="24"/>
          <w:szCs w:val="32"/>
          <w:highlight w:val="none"/>
        </w:rPr>
        <w:fldChar w:fldCharType="begin"/>
      </w:r>
      <w:r>
        <w:rPr>
          <w:rFonts w:cs="宋体" w:asciiTheme="minorEastAsia" w:hAnsiTheme="minorEastAsia" w:eastAsiaTheme="minorEastAsia"/>
          <w:color w:val="auto"/>
          <w:sz w:val="24"/>
          <w:szCs w:val="32"/>
          <w:highlight w:val="none"/>
        </w:rPr>
        <w:instrText xml:space="preserve"> HYPERLINK \l _Toc29532 </w:instrText>
      </w:r>
      <w:r>
        <w:rPr>
          <w:rFonts w:cs="宋体" w:asciiTheme="minorEastAsia" w:hAnsiTheme="minorEastAsia" w:eastAsiaTheme="minorEastAsia"/>
          <w:color w:val="auto"/>
          <w:sz w:val="24"/>
          <w:szCs w:val="32"/>
          <w:highlight w:val="none"/>
        </w:rPr>
        <w:fldChar w:fldCharType="separate"/>
      </w:r>
      <w:r>
        <w:rPr>
          <w:rFonts w:hint="eastAsia" w:cs="宋体" w:asciiTheme="minorEastAsia" w:hAnsiTheme="minorEastAsia" w:eastAsiaTheme="minorEastAsia"/>
          <w:bCs/>
          <w:color w:val="auto"/>
          <w:sz w:val="24"/>
          <w:szCs w:val="40"/>
          <w:highlight w:val="none"/>
        </w:rPr>
        <w:t>第七章</w:t>
      </w:r>
      <w:r>
        <w:rPr>
          <w:rFonts w:hint="eastAsia" w:cs="宋体" w:asciiTheme="minorEastAsia" w:hAnsiTheme="minorEastAsia" w:eastAsiaTheme="minorEastAsia"/>
          <w:bCs/>
          <w:color w:val="auto"/>
          <w:sz w:val="24"/>
          <w:szCs w:val="40"/>
          <w:highlight w:val="none"/>
          <w:lang w:val="en-US" w:eastAsia="zh-CN"/>
        </w:rPr>
        <w:t xml:space="preserve"> </w:t>
      </w:r>
      <w:r>
        <w:rPr>
          <w:rFonts w:hint="eastAsia" w:cs="宋体" w:asciiTheme="minorEastAsia" w:hAnsiTheme="minorEastAsia" w:eastAsiaTheme="minorEastAsia"/>
          <w:bCs/>
          <w:color w:val="auto"/>
          <w:sz w:val="24"/>
          <w:szCs w:val="40"/>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_Toc29532 \h </w:instrText>
      </w:r>
      <w:r>
        <w:rPr>
          <w:color w:val="auto"/>
          <w:sz w:val="24"/>
          <w:szCs w:val="24"/>
          <w:highlight w:val="none"/>
        </w:rPr>
        <w:fldChar w:fldCharType="separate"/>
      </w:r>
      <w:r>
        <w:rPr>
          <w:color w:val="auto"/>
          <w:sz w:val="24"/>
          <w:szCs w:val="24"/>
          <w:highlight w:val="none"/>
        </w:rPr>
        <w:t>91</w:t>
      </w:r>
      <w:r>
        <w:rPr>
          <w:color w:val="auto"/>
          <w:sz w:val="24"/>
          <w:szCs w:val="24"/>
          <w:highlight w:val="none"/>
        </w:rPr>
        <w:fldChar w:fldCharType="end"/>
      </w:r>
      <w:r>
        <w:rPr>
          <w:rFonts w:cs="宋体" w:asciiTheme="minorEastAsia" w:hAnsiTheme="minorEastAsia" w:eastAsiaTheme="minorEastAsia"/>
          <w:color w:val="auto"/>
          <w:sz w:val="24"/>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32"/>
          <w:highlight w:val="none"/>
        </w:rPr>
        <w:fldChar w:fldCharType="end"/>
      </w:r>
      <w:bookmarkEnd w:id="0"/>
      <w:bookmarkEnd w:id="1"/>
      <w:bookmarkEnd w:id="2"/>
      <w:bookmarkStart w:id="4" w:name="_Toc435514842"/>
    </w:p>
    <w:p>
      <w:pPr>
        <w:spacing w:line="360" w:lineRule="auto"/>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color w:val="auto"/>
          <w:sz w:val="24"/>
          <w:szCs w:val="24"/>
          <w:highlight w:val="none"/>
        </w:rPr>
        <w:br w:type="page"/>
      </w:r>
      <w:r>
        <w:rPr>
          <w:rFonts w:hint="eastAsia" w:cs="宋体" w:asciiTheme="minorEastAsia" w:hAnsiTheme="minorEastAsia" w:eastAsiaTheme="minorEastAsia"/>
          <w:b/>
          <w:bCs/>
          <w:color w:val="auto"/>
          <w:sz w:val="24"/>
          <w:szCs w:val="24"/>
          <w:highlight w:val="none"/>
        </w:rPr>
        <w:t>温馨提示</w:t>
      </w:r>
    </w:p>
    <w:p>
      <w:pPr>
        <w:spacing w:line="360" w:lineRule="auto"/>
        <w:jc w:val="center"/>
        <w:rPr>
          <w:rFonts w:asciiTheme="minorEastAsia" w:hAnsiTheme="minorEastAsia" w:eastAsiaTheme="minorEastAsia"/>
          <w:color w:val="auto"/>
          <w:sz w:val="24"/>
          <w:szCs w:val="24"/>
          <w:highlight w:val="none"/>
        </w:rPr>
      </w:pPr>
    </w:p>
    <w:p>
      <w:pPr>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（本提示内容非招标文件的组成部分，仅为善意提醒。如有不一致，以招标文件为准）</w:t>
      </w:r>
    </w:p>
    <w:p>
      <w:pPr>
        <w:numPr>
          <w:ilvl w:val="0"/>
          <w:numId w:val="1"/>
        </w:numPr>
        <w:spacing w:line="360" w:lineRule="auto"/>
        <w:ind w:left="840" w:hanging="840" w:hangingChars="3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如无另行说明，投标文件递交时间为投标文件</w:t>
      </w:r>
      <w:r>
        <w:rPr>
          <w:rFonts w:hint="eastAsia" w:cs="宋体" w:asciiTheme="minorEastAsia" w:hAnsiTheme="minorEastAsia" w:eastAsiaTheme="minorEastAsia"/>
          <w:b/>
          <w:bCs/>
          <w:color w:val="auto"/>
          <w:sz w:val="24"/>
          <w:szCs w:val="24"/>
          <w:highlight w:val="none"/>
          <w:u w:val="single"/>
        </w:rPr>
        <w:t>递交截止时间之前</w:t>
      </w:r>
      <w:r>
        <w:rPr>
          <w:rFonts w:cs="宋体" w:asciiTheme="minorEastAsia" w:hAnsiTheme="minorEastAsia" w:eastAsiaTheme="minorEastAsia"/>
          <w:b/>
          <w:bCs/>
          <w:color w:val="auto"/>
          <w:sz w:val="24"/>
          <w:szCs w:val="24"/>
          <w:highlight w:val="none"/>
          <w:u w:val="single"/>
        </w:rPr>
        <w:t>30</w:t>
      </w:r>
      <w:r>
        <w:rPr>
          <w:rFonts w:hint="eastAsia" w:cs="宋体" w:asciiTheme="minorEastAsia" w:hAnsiTheme="minorEastAsia" w:eastAsiaTheme="minorEastAsia"/>
          <w:b/>
          <w:bCs/>
          <w:color w:val="auto"/>
          <w:sz w:val="24"/>
          <w:szCs w:val="24"/>
          <w:highlight w:val="none"/>
          <w:u w:val="single"/>
        </w:rPr>
        <w:t>分钟</w:t>
      </w:r>
      <w:r>
        <w:rPr>
          <w:rFonts w:hint="eastAsia" w:cs="宋体" w:asciiTheme="minorEastAsia" w:hAnsiTheme="minorEastAsia" w:eastAsiaTheme="minorEastAsia"/>
          <w:color w:val="auto"/>
          <w:sz w:val="24"/>
          <w:szCs w:val="24"/>
          <w:highlight w:val="none"/>
        </w:rPr>
        <w:t>内。</w:t>
      </w:r>
    </w:p>
    <w:p>
      <w:pPr>
        <w:numPr>
          <w:ilvl w:val="0"/>
          <w:numId w:val="1"/>
        </w:numPr>
        <w:spacing w:line="360" w:lineRule="auto"/>
        <w:ind w:left="840" w:hanging="840" w:hangingChars="3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如招标文件允许且投标人以非独立法人注册的分公司名义代表总公司盖章和签署文件的，须提供总公司的营业执照副本复印件及总公司针对本项目投标的授权书原件。</w:t>
      </w:r>
    </w:p>
    <w:p>
      <w:pPr>
        <w:numPr>
          <w:ilvl w:val="0"/>
          <w:numId w:val="1"/>
        </w:numPr>
        <w:spacing w:line="360" w:lineRule="auto"/>
        <w:ind w:left="840" w:hanging="840" w:hangingChars="3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为了提高政府采购效率，节约社会交易成本与时间，本公司希望获取了招标文件而决定不参加本次投标人，在投标文件递交截止时间的</w:t>
      </w: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日前，按《投标邀请》中的联系方式，以书面形式告知采购代理机构。对您的支持与配合，谨此致谢。</w:t>
      </w:r>
    </w:p>
    <w:p>
      <w:pPr>
        <w:numPr>
          <w:ilvl w:val="0"/>
          <w:numId w:val="1"/>
        </w:numPr>
        <w:spacing w:line="360" w:lineRule="auto"/>
        <w:ind w:left="840" w:hanging="840" w:hangingChars="3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投标人如需对项目提出书面询问或质疑，应分别按招标文件附件中的询问函、质疑函的格式在规定的时间内提交。</w:t>
      </w:r>
    </w:p>
    <w:p>
      <w:pPr>
        <w:numPr>
          <w:ilvl w:val="0"/>
          <w:numId w:val="1"/>
        </w:numPr>
        <w:spacing w:line="360" w:lineRule="auto"/>
        <w:ind w:left="840" w:hanging="840" w:hangingChars="35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因场地有限，本公司无法提供停车位，不便之处敬请谅解。如有需要，请到周边的</w:t>
      </w:r>
    </w:p>
    <w:p>
      <w:pPr>
        <w:spacing w:afterLines="50" w:line="360" w:lineRule="auto"/>
        <w:ind w:firstLine="960" w:firstLineChars="4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停车场停车。</w:t>
      </w:r>
      <w:r>
        <w:rPr>
          <w:rFonts w:asciiTheme="minorEastAsia" w:hAnsiTheme="minorEastAsia" w:eastAsiaTheme="minorEastAsia"/>
          <w:b/>
          <w:bCs/>
          <w:color w:val="auto"/>
          <w:sz w:val="24"/>
          <w:szCs w:val="24"/>
          <w:highlight w:val="none"/>
        </w:rPr>
        <w:br w:type="page"/>
      </w:r>
    </w:p>
    <w:p>
      <w:pPr>
        <w:spacing w:afterLines="50" w:line="360" w:lineRule="auto"/>
        <w:jc w:val="center"/>
        <w:outlineLvl w:val="0"/>
        <w:rPr>
          <w:rFonts w:asciiTheme="minorEastAsia" w:hAnsiTheme="minorEastAsia" w:eastAsiaTheme="minorEastAsia"/>
          <w:color w:val="auto"/>
          <w:sz w:val="32"/>
          <w:szCs w:val="24"/>
          <w:highlight w:val="none"/>
        </w:rPr>
      </w:pPr>
      <w:bookmarkStart w:id="5" w:name="_Toc23768"/>
      <w:r>
        <w:rPr>
          <w:rFonts w:hint="eastAsia" w:cs="宋体" w:asciiTheme="minorEastAsia" w:hAnsiTheme="minorEastAsia" w:eastAsiaTheme="minorEastAsia"/>
          <w:b/>
          <w:bCs/>
          <w:color w:val="auto"/>
          <w:sz w:val="32"/>
          <w:szCs w:val="24"/>
          <w:highlight w:val="none"/>
        </w:rPr>
        <w:t>第一章</w:t>
      </w:r>
      <w:r>
        <w:rPr>
          <w:rFonts w:asciiTheme="minorEastAsia" w:hAnsiTheme="minorEastAsia" w:eastAsiaTheme="minorEastAsia"/>
          <w:b/>
          <w:bCs/>
          <w:color w:val="auto"/>
          <w:sz w:val="32"/>
          <w:szCs w:val="24"/>
          <w:highlight w:val="none"/>
        </w:rPr>
        <w:t xml:space="preserve"> </w:t>
      </w:r>
      <w:r>
        <w:rPr>
          <w:rFonts w:hint="eastAsia" w:cs="宋体" w:asciiTheme="minorEastAsia" w:hAnsiTheme="minorEastAsia" w:eastAsiaTheme="minorEastAsia"/>
          <w:b/>
          <w:bCs/>
          <w:color w:val="auto"/>
          <w:sz w:val="32"/>
          <w:szCs w:val="24"/>
          <w:highlight w:val="none"/>
        </w:rPr>
        <w:t>投标邀请</w:t>
      </w:r>
      <w:bookmarkEnd w:id="3"/>
      <w:bookmarkEnd w:id="4"/>
      <w:bookmarkEnd w:id="5"/>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广东远东招标代理有限公司（以下简称“采购代理机构”）受广州医科大学（以下简称“采购人”）的委托，对广医大2022年第五临床学院一流专业建设采购项目（二）进行公开招标采购，欢迎符合资格条件的供应商投标。</w:t>
      </w:r>
    </w:p>
    <w:p>
      <w:pPr>
        <w:numPr>
          <w:ilvl w:val="0"/>
          <w:numId w:val="2"/>
        </w:numPr>
        <w:adjustRightInd w:val="0"/>
        <w:snapToGrid w:val="0"/>
        <w:spacing w:line="360" w:lineRule="auto"/>
        <w:ind w:firstLine="482"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采购项目编号</w:t>
      </w:r>
      <w:r>
        <w:rPr>
          <w:rFonts w:hint="eastAsia" w:cs="宋体" w:asciiTheme="minorEastAsia" w:hAnsiTheme="minorEastAsia" w:eastAsiaTheme="minorEastAsia"/>
          <w:color w:val="auto"/>
          <w:sz w:val="24"/>
          <w:szCs w:val="24"/>
          <w:highlight w:val="none"/>
        </w:rPr>
        <w:t>：GDYD220372</w:t>
      </w:r>
    </w:p>
    <w:p>
      <w:pPr>
        <w:numPr>
          <w:ilvl w:val="0"/>
          <w:numId w:val="0"/>
        </w:numPr>
        <w:adjustRightInd w:val="0"/>
        <w:snapToGrid w:val="0"/>
        <w:spacing w:line="360" w:lineRule="auto"/>
        <w:ind w:firstLine="438" w:firstLineChars="200"/>
        <w:rPr>
          <w:rFonts w:asciiTheme="minorEastAsia" w:hAnsiTheme="minorEastAsia" w:eastAsiaTheme="minorEastAsia"/>
          <w:color w:val="auto"/>
          <w:spacing w:val="-11"/>
          <w:sz w:val="24"/>
          <w:szCs w:val="24"/>
          <w:highlight w:val="none"/>
        </w:rPr>
      </w:pPr>
      <w:r>
        <w:rPr>
          <w:rFonts w:hint="eastAsia" w:cs="宋体" w:asciiTheme="minorEastAsia" w:hAnsiTheme="minorEastAsia" w:eastAsiaTheme="minorEastAsia"/>
          <w:b/>
          <w:bCs/>
          <w:color w:val="auto"/>
          <w:spacing w:val="-11"/>
          <w:sz w:val="24"/>
          <w:szCs w:val="24"/>
          <w:highlight w:val="none"/>
        </w:rPr>
        <w:t>二、采购项目名称</w:t>
      </w:r>
      <w:r>
        <w:rPr>
          <w:rFonts w:hint="eastAsia" w:cs="宋体" w:asciiTheme="minorEastAsia" w:hAnsiTheme="minorEastAsia" w:eastAsiaTheme="minorEastAsia"/>
          <w:color w:val="auto"/>
          <w:spacing w:val="-11"/>
          <w:sz w:val="24"/>
          <w:szCs w:val="24"/>
          <w:highlight w:val="none"/>
        </w:rPr>
        <w:t>：广医大2022年第五临床学院一流专业建设采购项目（二）</w:t>
      </w:r>
    </w:p>
    <w:p>
      <w:pPr>
        <w:adjustRightInd w:val="0"/>
        <w:snapToGrid w:val="0"/>
        <w:spacing w:line="360" w:lineRule="auto"/>
        <w:ind w:firstLine="482"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三、采购项目预算金额</w:t>
      </w:r>
      <w:r>
        <w:rPr>
          <w:rFonts w:hint="eastAsia" w:cs="宋体" w:asciiTheme="minorEastAsia" w:hAnsiTheme="minorEastAsia" w:eastAsiaTheme="minorEastAsia"/>
          <w:color w:val="auto"/>
          <w:sz w:val="24"/>
          <w:szCs w:val="24"/>
          <w:highlight w:val="none"/>
          <w:u w:val="none"/>
        </w:rPr>
        <w:t>：￥1,002,100.00</w:t>
      </w:r>
      <w:r>
        <w:rPr>
          <w:rFonts w:hint="eastAsia" w:cs="宋体" w:asciiTheme="minorEastAsia" w:hAnsiTheme="minorEastAsia" w:eastAsiaTheme="minorEastAsia"/>
          <w:color w:val="auto"/>
          <w:sz w:val="24"/>
          <w:szCs w:val="24"/>
          <w:highlight w:val="none"/>
        </w:rPr>
        <w:t>元</w:t>
      </w:r>
    </w:p>
    <w:p>
      <w:pPr>
        <w:adjustRightInd w:val="0"/>
        <w:snapToGrid w:val="0"/>
        <w:spacing w:line="360" w:lineRule="auto"/>
        <w:ind w:firstLine="482"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四、采购项目内容及需求</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采购项目技术规格、参数及要求，需要落实的政府采购政策</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w:t>
      </w:r>
    </w:p>
    <w:tbl>
      <w:tblPr>
        <w:tblStyle w:val="38"/>
        <w:tblW w:w="51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816"/>
        <w:gridCol w:w="973"/>
        <w:gridCol w:w="895"/>
        <w:gridCol w:w="1661"/>
        <w:gridCol w:w="1709"/>
        <w:gridCol w:w="1092"/>
        <w:gridCol w:w="10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348"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包组号</w:t>
            </w:r>
          </w:p>
        </w:tc>
        <w:tc>
          <w:tcPr>
            <w:tcW w:w="913"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采购内容</w:t>
            </w:r>
          </w:p>
        </w:tc>
        <w:tc>
          <w:tcPr>
            <w:tcW w:w="48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450"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835"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单价限价（元）</w:t>
            </w:r>
          </w:p>
        </w:tc>
        <w:tc>
          <w:tcPr>
            <w:tcW w:w="85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采购预算/最高限价</w:t>
            </w:r>
          </w:p>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（元）</w:t>
            </w:r>
          </w:p>
        </w:tc>
        <w:tc>
          <w:tcPr>
            <w:tcW w:w="54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是否允许进口</w:t>
            </w:r>
          </w:p>
        </w:tc>
        <w:tc>
          <w:tcPr>
            <w:tcW w:w="552"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restart"/>
            <w:vAlign w:val="center"/>
          </w:tcPr>
          <w:p>
            <w:pPr>
              <w:tabs>
                <w:tab w:val="left" w:pos="2602"/>
              </w:tabs>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p>
        </w:tc>
        <w:tc>
          <w:tcPr>
            <w:tcW w:w="913"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康复科专病大数据管理平台</w:t>
            </w:r>
          </w:p>
        </w:tc>
        <w:tc>
          <w:tcPr>
            <w:tcW w:w="489"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cs="宋体" w:asciiTheme="minorEastAsia" w:hAnsiTheme="minorEastAsia" w:eastAsiaTheme="minorEastAsia"/>
                <w:color w:val="auto"/>
                <w:sz w:val="24"/>
                <w:szCs w:val="24"/>
                <w:highlight w:val="none"/>
              </w:rPr>
            </w:pPr>
            <w:r>
              <w:rPr>
                <w:rFonts w:hint="eastAsia" w:ascii="宋体" w:hAnsi="宋体" w:cs="宋体"/>
                <w:color w:val="auto"/>
                <w:kern w:val="0"/>
                <w:sz w:val="22"/>
                <w:szCs w:val="22"/>
                <w:highlight w:val="none"/>
              </w:rPr>
              <w:t>￥230,000.00</w:t>
            </w:r>
          </w:p>
        </w:tc>
        <w:tc>
          <w:tcPr>
            <w:tcW w:w="859" w:type="pct"/>
            <w:vMerge w:val="restart"/>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￥578,600.00</w:t>
            </w: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restar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highlight w:val="none"/>
              </w:rPr>
              <w:t>国产货物合同签订后 30 个日历日；进口货物合同签订后 90 个日历日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高频探头</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￥78,000.00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shd w:val="clear" w:color="FFFFFF" w:fill="D9D9D9"/>
              </w:rPr>
              <w:t>是</w:t>
            </w:r>
          </w:p>
        </w:tc>
        <w:tc>
          <w:tcPr>
            <w:tcW w:w="552" w:type="pct"/>
            <w:vMerge w:val="continue"/>
            <w:vAlign w:val="center"/>
          </w:tcPr>
          <w:p>
            <w:pPr>
              <w:widowControl/>
              <w:jc w:val="center"/>
              <w:textAlignment w:val="center"/>
              <w:rPr>
                <w:rFonts w:ascii="宋体" w:hAnsi="宋体" w:cs="宋体"/>
                <w:color w:val="auto"/>
                <w:kern w:val="0"/>
                <w:sz w:val="24"/>
                <w:szCs w:val="24"/>
                <w:highlight w:val="none"/>
                <w:rPrChange w:id="0" w:author="代理-梁" w:date="2022-04-18T14:39:21Z">
                  <w:rPr>
                    <w:rFonts w:ascii="宋体" w:hAnsi="宋体" w:cs="宋体"/>
                    <w:color w:val="0000FF"/>
                    <w:kern w:val="0"/>
                    <w:sz w:val="24"/>
                    <w:szCs w:val="24"/>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生理参数传输管理软件</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￥120,000.00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Change w:id="1" w:author="代理-梁" w:date="2022-04-18T14:39:21Z">
                  <w:rPr>
                    <w:rFonts w:ascii="宋体" w:hAnsi="宋体" w:cs="宋体"/>
                    <w:color w:val="0000FF"/>
                    <w:kern w:val="0"/>
                    <w:sz w:val="24"/>
                    <w:szCs w:val="24"/>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火龙罐</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￥12,600.00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Change w:id="2" w:author="代理-梁" w:date="2022-04-18T14:39:21Z">
                  <w:rPr>
                    <w:rFonts w:ascii="宋体" w:hAnsi="宋体" w:cs="宋体"/>
                    <w:color w:val="0000FF"/>
                    <w:kern w:val="0"/>
                    <w:sz w:val="24"/>
                    <w:szCs w:val="24"/>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子午流注低频治疗仪</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￥138,000.00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Change w:id="3" w:author="代理-梁" w:date="2022-04-18T14:39:21Z">
                  <w:rPr>
                    <w:rFonts w:ascii="宋体" w:hAnsi="宋体" w:cs="宋体"/>
                    <w:color w:val="0000FF"/>
                    <w:kern w:val="0"/>
                    <w:sz w:val="24"/>
                    <w:szCs w:val="24"/>
                  </w:rPr>
                </w:rPrChang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348" w:type="pct"/>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hint="eastAsia" w:ascii="宋体" w:hAnsi="宋体" w:cs="宋体"/>
                <w:color w:val="auto"/>
                <w:kern w:val="0"/>
                <w:sz w:val="22"/>
                <w:szCs w:val="22"/>
                <w:highlight w:val="none"/>
              </w:rPr>
            </w:pPr>
          </w:p>
        </w:tc>
        <w:tc>
          <w:tcPr>
            <w:tcW w:w="489" w:type="pct"/>
            <w:vAlign w:val="center"/>
          </w:tcPr>
          <w:p>
            <w:pPr>
              <w:widowControl/>
              <w:jc w:val="center"/>
              <w:textAlignment w:val="center"/>
              <w:rPr>
                <w:rFonts w:hint="eastAsia" w:ascii="宋体" w:hAnsi="宋体" w:cs="宋体"/>
                <w:color w:val="auto"/>
                <w:kern w:val="0"/>
                <w:sz w:val="22"/>
                <w:szCs w:val="22"/>
                <w:highlight w:val="none"/>
              </w:rPr>
            </w:pPr>
          </w:p>
        </w:tc>
        <w:tc>
          <w:tcPr>
            <w:tcW w:w="450" w:type="pct"/>
            <w:vAlign w:val="center"/>
          </w:tcPr>
          <w:p>
            <w:pPr>
              <w:widowControl/>
              <w:jc w:val="center"/>
              <w:textAlignment w:val="center"/>
              <w:rPr>
                <w:rFonts w:hint="eastAsia" w:ascii="宋体" w:hAnsi="宋体" w:cs="宋体"/>
                <w:color w:val="auto"/>
                <w:kern w:val="0"/>
                <w:sz w:val="22"/>
                <w:szCs w:val="22"/>
                <w:highlight w:val="none"/>
              </w:rPr>
            </w:pPr>
          </w:p>
        </w:tc>
        <w:tc>
          <w:tcPr>
            <w:tcW w:w="835" w:type="pct"/>
            <w:vAlign w:val="center"/>
          </w:tcPr>
          <w:p>
            <w:pPr>
              <w:widowControl/>
              <w:jc w:val="center"/>
              <w:textAlignment w:val="center"/>
              <w:rPr>
                <w:rFonts w:hint="eastAsia" w:ascii="宋体" w:hAnsi="宋体" w:cs="宋体"/>
                <w:color w:val="auto"/>
                <w:kern w:val="0"/>
                <w:sz w:val="22"/>
                <w:szCs w:val="22"/>
                <w:highlight w:val="none"/>
              </w:rPr>
            </w:pPr>
          </w:p>
        </w:tc>
        <w:tc>
          <w:tcPr>
            <w:tcW w:w="85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hint="eastAsia" w:ascii="宋体" w:hAnsi="宋体" w:cs="宋体"/>
                <w:color w:val="auto"/>
                <w:sz w:val="22"/>
                <w:szCs w:val="22"/>
                <w:highlight w:val="none"/>
              </w:rPr>
            </w:pPr>
          </w:p>
        </w:tc>
        <w:tc>
          <w:tcPr>
            <w:tcW w:w="552" w:type="pct"/>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restart"/>
            <w:vAlign w:val="center"/>
          </w:tcPr>
          <w:p>
            <w:pPr>
              <w:tabs>
                <w:tab w:val="left" w:pos="2602"/>
              </w:tabs>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弹性胶带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110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卷</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￥255.00</w:t>
            </w:r>
          </w:p>
        </w:tc>
        <w:tc>
          <w:tcPr>
            <w:tcW w:w="859" w:type="pct"/>
            <w:vMerge w:val="restart"/>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￥423,500.00</w:t>
            </w: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shd w:val="clear" w:color="FFFFFF" w:fill="D9D9D9"/>
              </w:rPr>
              <w:t>是</w:t>
            </w:r>
          </w:p>
        </w:tc>
        <w:tc>
          <w:tcPr>
            <w:tcW w:w="552" w:type="pct"/>
            <w:vMerge w:val="restar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highlight w:val="none"/>
              </w:rPr>
              <w:t>国产货物合同签订后 30 个日历日；进口货物合同签订后 90 个日历日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关节松动带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15</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￥240.00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筋膜球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筋膜球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 xml:space="preserve"> 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绳索调节器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6</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￥635.00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间隔器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￥810.00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绳索</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弹力管</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卷</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￥570.00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绳子固定器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S型挂钩</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16</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登山扣</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25</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颈牵带（含支撑杆）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￥121.00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￥165.00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￥238.00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弹力训练环</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沙袋</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￥310.00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￥340.00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￥475.00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￥520.00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稳定性训练垫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9</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￥730.00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稳定性训练垫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9</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￥730.00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稳定性训练垫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9</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平衡盘</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赛乐棒</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赛乐棒</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￥310.00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赛乐棒</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中医封包远红外线包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180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￥198.00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中医封包复合磁疗包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360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￥178.00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细菌过滤器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￥49.00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肌肉链螺旋稳定训练弹力绳</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医用一次性针电极面肌针</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75</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支</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血氧仪</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吸唾管</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箱</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气囊</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呼吸训练器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助行器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石蜡</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hint="eastAsia" w:eastAsia="宋体" w:cs="宋体" w:asciiTheme="minorEastAsia" w:hAnsiTheme="minorEastAsia"/>
                <w:color w:val="auto"/>
                <w:kern w:val="0"/>
                <w:sz w:val="24"/>
                <w:szCs w:val="24"/>
                <w:highlight w:val="none"/>
                <w:lang w:eastAsia="zh-CN"/>
              </w:rPr>
            </w:pPr>
            <w:r>
              <w:rPr>
                <w:rFonts w:hint="eastAsia" w:ascii="宋体" w:hAnsi="宋体" w:cs="宋体"/>
                <w:color w:val="auto"/>
                <w:kern w:val="0"/>
                <w:sz w:val="22"/>
                <w:szCs w:val="22"/>
                <w:highlight w:val="none"/>
                <w:lang w:eastAsia="zh-CN"/>
              </w:rPr>
              <w:t>公斤</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弹力敷料绷带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100</w:t>
            </w:r>
          </w:p>
        </w:tc>
        <w:tc>
          <w:tcPr>
            <w:tcW w:w="450" w:type="pct"/>
            <w:vAlign w:val="center"/>
          </w:tcPr>
          <w:p>
            <w:pPr>
              <w:widowControl/>
              <w:jc w:val="center"/>
              <w:textAlignment w:val="center"/>
              <w:rPr>
                <w:rFonts w:hint="eastAsia" w:eastAsia="宋体" w:cs="宋体" w:asciiTheme="minorEastAsia" w:hAnsiTheme="minorEastAsia"/>
                <w:color w:val="auto"/>
                <w:kern w:val="0"/>
                <w:sz w:val="24"/>
                <w:szCs w:val="24"/>
                <w:highlight w:val="none"/>
                <w:lang w:eastAsia="zh-CN"/>
              </w:rPr>
            </w:pPr>
            <w:r>
              <w:rPr>
                <w:rFonts w:hint="eastAsia" w:ascii="宋体" w:hAnsi="宋体" w:cs="宋体"/>
                <w:color w:val="auto"/>
                <w:kern w:val="0"/>
                <w:sz w:val="22"/>
                <w:szCs w:val="22"/>
                <w:highlight w:val="none"/>
                <w:lang w:eastAsia="zh-CN"/>
              </w:rPr>
              <w:t>卷</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淋巴水肿上肢经济套装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淋巴水肿下肢经济套装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一次性使用心电电极片</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盒</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电极线</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8</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吉他拨片</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电极板</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筋膜刀（全套）</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助行架</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小号带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中号带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大号带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加大号带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颈部吊带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脚套</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手腕带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￥800.00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踝关节支撑带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标准滑轮</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6</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快速滑轮</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专业训练垫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张</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摄像头(高清网络)</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8</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经颅磁定位帽</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特定电磁波治疗仪</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心电记录仪</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￥1,370.00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尤克里里</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木吉他</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调音器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小电子琴</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平衡软塌（螺旋肌肉链）</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木琴</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48"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拇指琴</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0"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2" w:type="pct"/>
            <w:vMerge w:val="continue"/>
            <w:vAlign w:val="center"/>
          </w:tcPr>
          <w:p>
            <w:pPr>
              <w:widowControl/>
              <w:jc w:val="center"/>
              <w:textAlignment w:val="center"/>
              <w:rPr>
                <w:rFonts w:ascii="宋体" w:hAnsi="宋体" w:cs="宋体"/>
                <w:color w:val="auto"/>
                <w:kern w:val="0"/>
                <w:sz w:val="24"/>
                <w:szCs w:val="24"/>
                <w:highlight w:val="none"/>
              </w:rPr>
            </w:pPr>
          </w:p>
        </w:tc>
      </w:tr>
    </w:tbl>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采购人的具体采购需求：详见招标文件中的“用户需求书”。</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投标人必须对</w:t>
      </w:r>
      <w:r>
        <w:rPr>
          <w:rFonts w:hint="eastAsia" w:cs="宋体" w:asciiTheme="minorEastAsia" w:hAnsiTheme="minorEastAsia" w:eastAsiaTheme="minorEastAsia"/>
          <w:b/>
          <w:bCs/>
          <w:color w:val="auto"/>
          <w:sz w:val="24"/>
          <w:szCs w:val="24"/>
          <w:highlight w:val="none"/>
          <w:u w:val="single"/>
        </w:rPr>
        <w:t>所投包组全部内容</w:t>
      </w:r>
      <w:r>
        <w:rPr>
          <w:rFonts w:hint="eastAsia" w:cs="宋体" w:asciiTheme="minorEastAsia" w:hAnsiTheme="minorEastAsia" w:eastAsiaTheme="minorEastAsia"/>
          <w:color w:val="auto"/>
          <w:sz w:val="24"/>
          <w:szCs w:val="24"/>
          <w:highlight w:val="none"/>
        </w:rPr>
        <w:t>进行投标报价，不允许只对包组内部分内容进行投标。如有缺漏或超出该包组单价限价或采购预算/最高限价的，将导致投标无效。</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3.投标人可以同时参投多个包组，本项目兼投</w:t>
      </w:r>
      <w:r>
        <w:rPr>
          <w:rFonts w:hint="eastAsia" w:cs="宋体" w:asciiTheme="minorEastAsia" w:hAnsiTheme="minorEastAsia" w:eastAsiaTheme="minorEastAsia"/>
          <w:color w:val="auto"/>
          <w:sz w:val="24"/>
          <w:szCs w:val="24"/>
          <w:highlight w:val="none"/>
          <w:lang w:val="en-US" w:eastAsia="zh-CN"/>
        </w:rPr>
        <w:t>不</w:t>
      </w:r>
      <w:r>
        <w:rPr>
          <w:rFonts w:hint="eastAsia" w:cs="宋体" w:asciiTheme="minorEastAsia" w:hAnsiTheme="minorEastAsia" w:eastAsiaTheme="minorEastAsia"/>
          <w:color w:val="auto"/>
          <w:sz w:val="24"/>
          <w:szCs w:val="24"/>
          <w:highlight w:val="none"/>
        </w:rPr>
        <w:t>兼中。</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按照政府采购政策：《政府采购促进中小企业发展实施办法》（财库〔2020〕46号）、《关于政府采购支持监狱企业发展有关问题的通知》</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财库〔</w:t>
      </w:r>
      <w:r>
        <w:rPr>
          <w:rFonts w:cs="宋体" w:asciiTheme="minorEastAsia" w:hAnsiTheme="minorEastAsia" w:eastAsiaTheme="minorEastAsia"/>
          <w:color w:val="auto"/>
          <w:sz w:val="24"/>
          <w:szCs w:val="24"/>
          <w:highlight w:val="none"/>
        </w:rPr>
        <w:t>2014</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68</w:t>
      </w:r>
      <w:r>
        <w:rPr>
          <w:rFonts w:hint="eastAsia" w:cs="宋体" w:asciiTheme="minorEastAsia" w:hAnsiTheme="minorEastAsia" w:eastAsiaTheme="minorEastAsia"/>
          <w:color w:val="auto"/>
          <w:sz w:val="24"/>
          <w:szCs w:val="24"/>
          <w:highlight w:val="none"/>
        </w:rPr>
        <w:t>号</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、《关于促进残疾人就业政府采购政策的通知》（财库〔</w:t>
      </w:r>
      <w:r>
        <w:rPr>
          <w:rFonts w:cs="宋体" w:asciiTheme="minorEastAsia" w:hAnsiTheme="minorEastAsia" w:eastAsiaTheme="minorEastAsia"/>
          <w:color w:val="auto"/>
          <w:sz w:val="24"/>
          <w:szCs w:val="24"/>
          <w:highlight w:val="none"/>
        </w:rPr>
        <w:t>2017</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141</w:t>
      </w:r>
      <w:r>
        <w:rPr>
          <w:rFonts w:hint="eastAsia" w:cs="宋体" w:asciiTheme="minorEastAsia" w:hAnsiTheme="minorEastAsia" w:eastAsiaTheme="minorEastAsia"/>
          <w:color w:val="auto"/>
          <w:sz w:val="24"/>
          <w:szCs w:val="24"/>
          <w:highlight w:val="none"/>
        </w:rPr>
        <w:t>号</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、《关于环境标志产品政府采购实施的意见》（财库〔</w:t>
      </w:r>
      <w:r>
        <w:rPr>
          <w:rFonts w:cs="宋体" w:asciiTheme="minorEastAsia" w:hAnsiTheme="minorEastAsia" w:eastAsiaTheme="minorEastAsia"/>
          <w:color w:val="auto"/>
          <w:sz w:val="24"/>
          <w:szCs w:val="24"/>
          <w:highlight w:val="none"/>
        </w:rPr>
        <w:t>2006</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90</w:t>
      </w:r>
      <w:r>
        <w:rPr>
          <w:rFonts w:hint="eastAsia" w:cs="宋体" w:asciiTheme="minorEastAsia" w:hAnsiTheme="minorEastAsia" w:eastAsiaTheme="minorEastAsia"/>
          <w:color w:val="auto"/>
          <w:sz w:val="24"/>
          <w:szCs w:val="24"/>
          <w:highlight w:val="none"/>
        </w:rPr>
        <w:t>号、《节能产品政府采购实施意见》的通知（财库〔</w:t>
      </w:r>
      <w:r>
        <w:rPr>
          <w:rFonts w:cs="宋体" w:asciiTheme="minorEastAsia" w:hAnsiTheme="minorEastAsia" w:eastAsiaTheme="minorEastAsia"/>
          <w:color w:val="auto"/>
          <w:sz w:val="24"/>
          <w:szCs w:val="24"/>
          <w:highlight w:val="none"/>
        </w:rPr>
        <w:t>2004</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185</w:t>
      </w:r>
      <w:r>
        <w:rPr>
          <w:rFonts w:hint="eastAsia" w:cs="宋体" w:asciiTheme="minorEastAsia" w:hAnsiTheme="minorEastAsia" w:eastAsiaTheme="minorEastAsia"/>
          <w:color w:val="auto"/>
          <w:sz w:val="24"/>
          <w:szCs w:val="24"/>
          <w:highlight w:val="none"/>
        </w:rPr>
        <w:t>号）、《关于调整优化节能产品、环境标志产品政府采购执行机制的通知》（财库〔</w:t>
      </w:r>
      <w:r>
        <w:rPr>
          <w:rFonts w:cs="宋体" w:asciiTheme="minorEastAsia" w:hAnsiTheme="minorEastAsia" w:eastAsiaTheme="minorEastAsia"/>
          <w:color w:val="auto"/>
          <w:sz w:val="24"/>
          <w:szCs w:val="24"/>
          <w:highlight w:val="none"/>
        </w:rPr>
        <w:t>2019</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9</w:t>
      </w:r>
      <w:r>
        <w:rPr>
          <w:rFonts w:hint="eastAsia" w:cs="宋体" w:asciiTheme="minorEastAsia" w:hAnsiTheme="minorEastAsia" w:eastAsiaTheme="minorEastAsia"/>
          <w:color w:val="auto"/>
          <w:sz w:val="24"/>
          <w:szCs w:val="24"/>
          <w:highlight w:val="none"/>
        </w:rPr>
        <w:t>号）等。</w:t>
      </w:r>
    </w:p>
    <w:p>
      <w:pPr>
        <w:pStyle w:val="16"/>
        <w:rPr>
          <w:color w:val="auto"/>
          <w:highlight w:val="none"/>
        </w:rPr>
      </w:pPr>
      <w:r>
        <w:rPr>
          <w:rFonts w:hint="eastAsia"/>
          <w:color w:val="auto"/>
          <w:highlight w:val="none"/>
        </w:rPr>
        <w:t xml:space="preserve">  </w:t>
      </w:r>
      <w:r>
        <w:rPr>
          <w:rFonts w:hint="eastAsia" w:ascii="宋体" w:hAnsi="宋体" w:cs="宋体"/>
          <w:color w:val="auto"/>
          <w:sz w:val="24"/>
          <w:szCs w:val="24"/>
          <w:highlight w:val="none"/>
        </w:rPr>
        <w:t xml:space="preserve">  5.本项目的中小企业划分标准所属行业为：工业。</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六、投标人的资格要求：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bookmarkStart w:id="6" w:name="_Toc435115052"/>
      <w:bookmarkStart w:id="7" w:name="_Toc435514843"/>
      <w:r>
        <w:rPr>
          <w:rFonts w:hint="eastAsia" w:ascii="宋体" w:hAnsi="宋体" w:cs="宋体"/>
          <w:color w:val="auto"/>
          <w:sz w:val="24"/>
          <w:szCs w:val="24"/>
          <w:highlight w:val="none"/>
        </w:rPr>
        <w:t>1.投标人应具备《政府采购法》第二十二条规定的条件，提供下列材料：</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有依法缴纳税收和社会保障资金的良好记录：提供投标截止日前6个月内任意1个月依法缴纳税收和社会保障资金的相关材料。如依法免税或不需要缴纳社会保障资金的，提供相应证明材料（如供应商已对接“粤省事”“粤商通”等系统且能通过系统查询到相关内容，则无须提供该项证明文件，供应商可以提供相关承诺函）；</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w:t>
      </w:r>
      <w:r>
        <w:rPr>
          <w:rFonts w:hint="eastAsia" w:ascii="宋体" w:hAnsi="宋体" w:cs="宋体"/>
          <w:color w:val="auto"/>
          <w:sz w:val="24"/>
          <w:szCs w:val="24"/>
          <w:highlight w:val="none"/>
        </w:rPr>
        <w:t>具有良好的商业信誉和健全的财务会计制度：提供2020或2021年度财务状况报告或基本开户行出具的资信证明</w:t>
      </w:r>
      <w:r>
        <w:rPr>
          <w:rFonts w:hint="eastAsia" w:ascii="宋体" w:hAnsi="宋体"/>
          <w:color w:val="auto"/>
          <w:sz w:val="24"/>
          <w:highlight w:val="none"/>
        </w:rPr>
        <w:t>或财政部门认可的政府采购专业担保机构出具的担保函</w:t>
      </w:r>
      <w:r>
        <w:rPr>
          <w:rFonts w:hint="eastAsia" w:ascii="宋体" w:hAnsi="宋体" w:cs="宋体"/>
          <w:color w:val="auto"/>
          <w:sz w:val="24"/>
          <w:szCs w:val="24"/>
          <w:highlight w:val="none"/>
        </w:rPr>
        <w:t>（如供应商已对接“粤省事”“粤商通”等系统且能通过系统查询到相关内容，则无须提供该项证明文件，供应商可以提供相关承诺函）</w:t>
      </w:r>
      <w:r>
        <w:rPr>
          <w:rFonts w:hint="eastAsia" w:ascii="宋体" w:hAnsi="宋体" w:cs="宋体"/>
          <w:color w:val="auto"/>
          <w:sz w:val="24"/>
          <w:highlight w:val="none"/>
          <w:shd w:val="clear" w:color="auto" w:fill="FFFFFF"/>
        </w:rPr>
        <w:t>；</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4）履行合同所必须的设备和专业技术能力：</w:t>
      </w:r>
      <w:r>
        <w:rPr>
          <w:rFonts w:hint="eastAsia" w:ascii="宋体" w:hAnsi="宋体" w:cs="宋体"/>
          <w:color w:val="auto"/>
          <w:sz w:val="24"/>
          <w:szCs w:val="24"/>
          <w:highlight w:val="none"/>
        </w:rPr>
        <w:t>以具有相关的设备及专业技术能力的证明材料或书面承诺为准</w:t>
      </w:r>
      <w:r>
        <w:rPr>
          <w:rFonts w:hint="eastAsia" w:ascii="宋体" w:hAnsi="宋体" w:cs="宋体"/>
          <w:color w:val="auto"/>
          <w:sz w:val="24"/>
          <w:highlight w:val="none"/>
          <w:shd w:val="clear" w:color="auto" w:fill="FFFFFF"/>
        </w:rPr>
        <w:t>；</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pStyle w:val="21"/>
        <w:spacing w:line="360" w:lineRule="auto"/>
        <w:ind w:firstLine="480" w:firstLineChars="200"/>
        <w:rPr>
          <w:rFonts w:hAnsi="宋体"/>
          <w:color w:val="auto"/>
          <w:highlight w:val="none"/>
        </w:rPr>
      </w:pPr>
      <w:r>
        <w:rPr>
          <w:rFonts w:hint="eastAsia" w:hAnsi="宋体"/>
          <w:color w:val="auto"/>
          <w:sz w:val="24"/>
          <w:highlight w:val="none"/>
          <w:shd w:val="clear" w:color="auto" w:fill="FFFFFF"/>
        </w:rPr>
        <w:t>6）法律、行政法规规定的其他条件：须提供书面声明，格式自定。</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2.落实政府采购政策需满足的资格要求：</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szCs w:val="24"/>
          <w:highlight w:val="none"/>
        </w:rPr>
        <w:t>包组一：中标人须承诺预留该采购包合同金额比例的</w:t>
      </w:r>
      <w:r>
        <w:rPr>
          <w:rFonts w:hint="eastAsia" w:cs="宋体" w:asciiTheme="minorEastAsia" w:hAnsiTheme="minorEastAsia"/>
          <w:color w:val="auto"/>
          <w:sz w:val="24"/>
          <w:szCs w:val="24"/>
          <w:highlight w:val="none"/>
        </w:rPr>
        <w:t>39.75</w:t>
      </w:r>
      <w:r>
        <w:rPr>
          <w:rFonts w:hint="eastAsia" w:cs="宋体" w:asciiTheme="minorEastAsia" w:hAnsiTheme="minorEastAsia" w:eastAsiaTheme="minorEastAsia"/>
          <w:color w:val="auto"/>
          <w:sz w:val="24"/>
          <w:szCs w:val="24"/>
          <w:highlight w:val="none"/>
        </w:rPr>
        <w:t>%给小、微企业</w:t>
      </w:r>
      <w:r>
        <w:rPr>
          <w:rFonts w:hint="eastAsia" w:ascii="宋体" w:hAnsi="宋体" w:cs="宋体"/>
          <w:color w:val="auto"/>
          <w:sz w:val="24"/>
          <w:highlight w:val="none"/>
        </w:rPr>
        <w:t>。</w:t>
      </w:r>
      <w:r>
        <w:rPr>
          <w:rFonts w:hint="eastAsia" w:cs="宋体" w:asciiTheme="minorEastAsia" w:hAnsiTheme="minorEastAsia" w:eastAsiaTheme="minorEastAsia"/>
          <w:color w:val="auto"/>
          <w:sz w:val="24"/>
          <w:szCs w:val="24"/>
          <w:highlight w:val="none"/>
        </w:rPr>
        <w:t>（供应商须提供《分包意向协议》（</w:t>
      </w:r>
      <w:r>
        <w:rPr>
          <w:rFonts w:hint="eastAsia" w:cs="宋体" w:asciiTheme="minorEastAsia" w:hAnsiTheme="minorEastAsia" w:eastAsiaTheme="minorEastAsia"/>
          <w:color w:val="auto"/>
          <w:sz w:val="24"/>
          <w:szCs w:val="24"/>
          <w:highlight w:val="none"/>
          <w:lang w:val="en-US" w:eastAsia="zh-CN"/>
        </w:rPr>
        <w:t>见</w:t>
      </w:r>
      <w:r>
        <w:rPr>
          <w:rFonts w:hint="eastAsia" w:cs="宋体" w:asciiTheme="minorEastAsia" w:hAnsiTheme="minorEastAsia" w:eastAsiaTheme="minorEastAsia"/>
          <w:color w:val="auto"/>
          <w:sz w:val="24"/>
          <w:szCs w:val="24"/>
          <w:highlight w:val="none"/>
        </w:rPr>
        <w:t>投标文件格式），中小企业以供应商填写的《中小企业声明函》（见投标文件格式）为判定标准，残疾人福利性单位以供应商提供的《残疾人福利性单位声明函》（见投标文件格式）为判定标准，监狱企业须供应商提供由省级以上监狱管理局、戒毒管理局（含新疆生产建设兵团）出具的属于监狱企业的证明文件，接受分包合同的任何一方不得再以自己名义单独或接受其他供应商的分包参加本项目（同一采购包）的投标，否则不予认定。（注：如果供应商本身提供的所有标的均由中小企业承接，视同符合上述资格条件，无需再向中小企业分包）</w:t>
      </w:r>
    </w:p>
    <w:p>
      <w:pPr>
        <w:spacing w:line="360" w:lineRule="auto"/>
        <w:ind w:firstLine="480" w:firstLineChars="200"/>
        <w:rPr>
          <w:color w:val="auto"/>
          <w:highlight w:val="none"/>
        </w:rPr>
      </w:pPr>
      <w:r>
        <w:rPr>
          <w:rFonts w:hint="eastAsia" w:ascii="宋体" w:hAnsi="宋体" w:cs="宋体"/>
          <w:color w:val="auto"/>
          <w:sz w:val="24"/>
          <w:highlight w:val="none"/>
          <w:shd w:val="clear" w:color="auto" w:fill="FFFFFF"/>
        </w:rPr>
        <w:t>包组二：本包组</w:t>
      </w:r>
      <w:r>
        <w:rPr>
          <w:rFonts w:hint="eastAsia" w:ascii="宋体" w:hAnsi="宋体" w:cs="宋体"/>
          <w:color w:val="auto"/>
          <w:sz w:val="24"/>
          <w:highlight w:val="none"/>
        </w:rPr>
        <w:t>不属于专门面向中小企业采购的项目，</w:t>
      </w:r>
      <w:r>
        <w:rPr>
          <w:rFonts w:hint="eastAsia" w:ascii="宋体" w:hAnsi="宋体" w:cs="宋体"/>
          <w:color w:val="auto"/>
          <w:sz w:val="24"/>
          <w:highlight w:val="none"/>
          <w:shd w:val="clear" w:color="auto" w:fill="FFFFFF"/>
        </w:rPr>
        <w:t>允许非中小微企业、监狱企业、残疾人福利性单位参与项目投标</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pPr>
        <w:pStyle w:val="112"/>
        <w:spacing w:line="360" w:lineRule="auto"/>
        <w:ind w:firstLine="480" w:firstLineChars="200"/>
        <w:rPr>
          <w:rFonts w:hAnsi="宋体"/>
          <w:color w:val="auto"/>
          <w:highlight w:val="none"/>
        </w:rPr>
      </w:pPr>
      <w:r>
        <w:rPr>
          <w:rFonts w:hint="eastAsia" w:hAnsi="宋体"/>
          <w:color w:val="auto"/>
          <w:highlight w:val="none"/>
        </w:rPr>
        <w:t>1）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112"/>
        <w:spacing w:line="360" w:lineRule="auto"/>
        <w:ind w:firstLine="480" w:firstLineChars="200"/>
        <w:rPr>
          <w:rFonts w:hAnsi="宋体"/>
          <w:color w:val="auto"/>
          <w:highlight w:val="none"/>
        </w:rPr>
      </w:pPr>
      <w:r>
        <w:rPr>
          <w:rFonts w:hint="eastAsia" w:hAnsi="宋体"/>
          <w:color w:val="auto"/>
          <w:highlight w:val="none"/>
        </w:rPr>
        <w:t>2）单位负责人为同一人或者存在直接控股、管理关系的不同供应商，不得同时参加本采购包投标（响应）。为本项目提供整体设计、规范编制或者项目管理、监理、检测等服务的供应商，不得再参与本项目投标（响应）。（</w:t>
      </w:r>
      <w:r>
        <w:rPr>
          <w:rFonts w:hint="eastAsia" w:cs="黑体" w:asciiTheme="minorEastAsia" w:hAnsiTheme="minorEastAsia" w:eastAsiaTheme="minorEastAsia"/>
          <w:color w:val="auto"/>
          <w:highlight w:val="none"/>
        </w:rPr>
        <w:t>资格声明函</w:t>
      </w:r>
      <w:r>
        <w:rPr>
          <w:rFonts w:hint="eastAsia" w:hAnsi="宋体"/>
          <w:color w:val="auto"/>
          <w:highlight w:val="none"/>
        </w:rPr>
        <w:t>相关承诺要求内容）</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3）供应商应当具备的其他资格条件：</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 xml:space="preserve">如投标人为所投产品的生产企业：所投产品为第二类、三类医疗器械，提供食品药品监督管理部门签发的有效的《医疗器械生产许可证》复印件。 </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 xml:space="preserve">如投标人为所投产品的经营企业：所投产品为第三类医疗器械，提供食品药品监督管理部门签发的有效的《医疗器械经营许可证》复印件。 </w:t>
      </w:r>
    </w:p>
    <w:p>
      <w:pPr>
        <w:pStyle w:val="112"/>
        <w:spacing w:line="360" w:lineRule="auto"/>
        <w:ind w:firstLine="480" w:firstLineChars="200"/>
        <w:rPr>
          <w:rFonts w:hAnsi="宋体"/>
          <w:color w:val="auto"/>
          <w:highlight w:val="none"/>
        </w:rPr>
      </w:pPr>
      <w:r>
        <w:rPr>
          <w:rFonts w:hint="eastAsia" w:hAnsi="宋体"/>
          <w:color w:val="auto"/>
          <w:highlight w:val="none"/>
          <w:shd w:val="clear" w:color="auto" w:fill="FFFFFF"/>
        </w:rPr>
        <w:t>注：若所投产品并非医疗器械，则无须提供上述要求</w:t>
      </w:r>
      <w:r>
        <w:rPr>
          <w:rFonts w:hint="eastAsia" w:hAnsi="宋体"/>
          <w:color w:val="auto"/>
          <w:highlight w:val="none"/>
        </w:rPr>
        <w:t>。</w:t>
      </w:r>
    </w:p>
    <w:p>
      <w:pPr>
        <w:pStyle w:val="27"/>
        <w:spacing w:line="360" w:lineRule="auto"/>
        <w:ind w:firstLine="480" w:firstLineChars="200"/>
        <w:rPr>
          <w:color w:val="auto"/>
          <w:highlight w:val="none"/>
        </w:rPr>
      </w:pPr>
      <w:r>
        <w:rPr>
          <w:rFonts w:hint="eastAsia" w:ascii="宋体" w:hAnsi="宋体" w:cs="宋体"/>
          <w:color w:val="auto"/>
          <w:sz w:val="24"/>
          <w:szCs w:val="24"/>
          <w:highlight w:val="none"/>
        </w:rPr>
        <w:t>4）本项目不接受联合体投标。</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注：投标人须按照招标公告及招标文件的规定获取招标文件。</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七、获取招标文件的方法：</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获取招标文件的方式：</w:t>
      </w:r>
      <w:r>
        <w:rPr>
          <w:rFonts w:hint="eastAsia" w:asciiTheme="minorEastAsia" w:hAnsiTheme="minorEastAsia" w:eastAsiaTheme="minorEastAsia"/>
          <w:color w:val="auto"/>
          <w:sz w:val="24"/>
          <w:szCs w:val="24"/>
          <w:highlight w:val="none"/>
        </w:rPr>
        <w:t>线上获取</w:t>
      </w:r>
      <w:r>
        <w:rPr>
          <w:rFonts w:hint="eastAsia" w:cs="宋体"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投标人可登陆广东远东招标代理有限公司网站（远东电子交易平台http://trade.gdydzb.com）进行注册（已注册可忽略，直接登录进行报名操作），于采购项目公告规定的获取招标文件时间内在系统内选择需要参与的项目公告，按照系统步骤（具体流程操作见网站“下载专区——投标人操作手册”）完成即可成功获取招标采购文件。网上注册相应准备资料如下：加盖公章的有效营业执照副本扫描件、法人姓名与身份证号码。</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获取招标文件的时间期限</w:t>
      </w:r>
      <w:r>
        <w:rPr>
          <w:rFonts w:hint="eastAsia" w:cs="宋体" w:asciiTheme="minorEastAsia" w:hAnsiTheme="minorEastAsia" w:eastAsiaTheme="minorEastAsia"/>
          <w:color w:val="auto"/>
          <w:sz w:val="24"/>
          <w:szCs w:val="24"/>
          <w:highlight w:val="none"/>
          <w:u w:val="none"/>
        </w:rPr>
        <w:t>：</w:t>
      </w:r>
      <w:r>
        <w:rPr>
          <w:rFonts w:cs="宋体" w:asciiTheme="minorEastAsia" w:hAnsiTheme="minorEastAsia" w:eastAsiaTheme="minorEastAsia"/>
          <w:color w:val="auto"/>
          <w:sz w:val="24"/>
          <w:szCs w:val="24"/>
          <w:highlight w:val="none"/>
          <w:u w:val="none"/>
        </w:rPr>
        <w:t>202</w:t>
      </w:r>
      <w:r>
        <w:rPr>
          <w:rFonts w:hint="eastAsia" w:cs="宋体" w:asciiTheme="minorEastAsia" w:hAnsiTheme="minorEastAsia" w:eastAsiaTheme="minorEastAsia"/>
          <w:color w:val="auto"/>
          <w:sz w:val="24"/>
          <w:szCs w:val="24"/>
          <w:highlight w:val="none"/>
          <w:u w:val="none"/>
        </w:rPr>
        <w:t>2年</w:t>
      </w:r>
      <w:r>
        <w:rPr>
          <w:rFonts w:hint="eastAsia" w:cs="宋体" w:asciiTheme="minorEastAsia" w:hAnsiTheme="minorEastAsia" w:eastAsiaTheme="minorEastAsia"/>
          <w:color w:val="auto"/>
          <w:sz w:val="24"/>
          <w:szCs w:val="24"/>
          <w:highlight w:val="none"/>
          <w:u w:val="none"/>
          <w:lang w:val="en-US" w:eastAsia="zh-CN"/>
        </w:rPr>
        <w:t>4</w:t>
      </w:r>
      <w:r>
        <w:rPr>
          <w:rFonts w:hint="eastAsia" w:cs="宋体" w:asciiTheme="minorEastAsia" w:hAnsiTheme="minorEastAsia" w:eastAsiaTheme="minorEastAsia"/>
          <w:color w:val="auto"/>
          <w:sz w:val="24"/>
          <w:szCs w:val="24"/>
          <w:highlight w:val="none"/>
          <w:u w:val="none"/>
        </w:rPr>
        <w:t>月</w:t>
      </w:r>
      <w:r>
        <w:rPr>
          <w:rFonts w:hint="eastAsia" w:cs="宋体" w:asciiTheme="minorEastAsia" w:hAnsiTheme="minorEastAsia" w:eastAsiaTheme="minorEastAsia"/>
          <w:color w:val="auto"/>
          <w:sz w:val="24"/>
          <w:szCs w:val="24"/>
          <w:highlight w:val="none"/>
          <w:u w:val="none"/>
          <w:lang w:val="en-US" w:eastAsia="zh-CN"/>
        </w:rPr>
        <w:t>22</w:t>
      </w:r>
      <w:r>
        <w:rPr>
          <w:rFonts w:hint="eastAsia" w:cs="宋体" w:asciiTheme="minorEastAsia" w:hAnsiTheme="minorEastAsia" w:eastAsiaTheme="minorEastAsia"/>
          <w:color w:val="auto"/>
          <w:sz w:val="24"/>
          <w:szCs w:val="24"/>
          <w:highlight w:val="none"/>
          <w:u w:val="none"/>
        </w:rPr>
        <w:t>日</w:t>
      </w:r>
      <w:r>
        <w:rPr>
          <w:rFonts w:cs="宋体" w:asciiTheme="minorEastAsia" w:hAnsiTheme="minorEastAsia" w:eastAsiaTheme="minorEastAsia"/>
          <w:color w:val="auto"/>
          <w:sz w:val="24"/>
          <w:szCs w:val="24"/>
          <w:highlight w:val="none"/>
          <w:u w:val="none"/>
        </w:rPr>
        <w:t>-20</w:t>
      </w:r>
      <w:r>
        <w:rPr>
          <w:rFonts w:hint="eastAsia" w:cs="宋体" w:asciiTheme="minorEastAsia" w:hAnsiTheme="minorEastAsia" w:eastAsiaTheme="minorEastAsia"/>
          <w:color w:val="auto"/>
          <w:sz w:val="24"/>
          <w:szCs w:val="24"/>
          <w:highlight w:val="none"/>
          <w:u w:val="none"/>
        </w:rPr>
        <w:t>22年</w:t>
      </w:r>
      <w:r>
        <w:rPr>
          <w:rFonts w:hint="eastAsia" w:cs="宋体" w:asciiTheme="minorEastAsia" w:hAnsiTheme="minorEastAsia" w:eastAsiaTheme="minorEastAsia"/>
          <w:color w:val="auto"/>
          <w:sz w:val="24"/>
          <w:szCs w:val="24"/>
          <w:highlight w:val="none"/>
          <w:u w:val="none"/>
          <w:lang w:val="en-US" w:eastAsia="zh-CN"/>
        </w:rPr>
        <w:t>5</w:t>
      </w:r>
      <w:r>
        <w:rPr>
          <w:rFonts w:hint="eastAsia" w:cs="宋体" w:asciiTheme="minorEastAsia" w:hAnsiTheme="minorEastAsia" w:eastAsiaTheme="minorEastAsia"/>
          <w:color w:val="auto"/>
          <w:sz w:val="24"/>
          <w:szCs w:val="24"/>
          <w:highlight w:val="none"/>
          <w:u w:val="none"/>
        </w:rPr>
        <w:t>月</w:t>
      </w:r>
      <w:r>
        <w:rPr>
          <w:rFonts w:hint="eastAsia" w:cs="宋体" w:asciiTheme="minorEastAsia" w:hAnsiTheme="minorEastAsia" w:eastAsiaTheme="minorEastAsia"/>
          <w:color w:val="auto"/>
          <w:sz w:val="24"/>
          <w:szCs w:val="24"/>
          <w:highlight w:val="none"/>
          <w:u w:val="none"/>
          <w:lang w:val="en-US" w:eastAsia="zh-CN"/>
        </w:rPr>
        <w:t>11</w:t>
      </w:r>
      <w:r>
        <w:rPr>
          <w:rFonts w:hint="eastAsia" w:cs="宋体" w:asciiTheme="minorEastAsia" w:hAnsiTheme="minorEastAsia" w:eastAsiaTheme="minorEastAsia"/>
          <w:color w:val="auto"/>
          <w:sz w:val="24"/>
          <w:szCs w:val="24"/>
          <w:highlight w:val="none"/>
          <w:u w:val="none"/>
        </w:rPr>
        <w:t>日</w:t>
      </w:r>
      <w:r>
        <w:rPr>
          <w:rFonts w:hint="eastAsia" w:cs="宋体" w:asciiTheme="minorEastAsia" w:hAnsiTheme="minorEastAsia" w:eastAsiaTheme="minorEastAsia"/>
          <w:color w:val="auto"/>
          <w:sz w:val="24"/>
          <w:szCs w:val="24"/>
          <w:highlight w:val="none"/>
        </w:rPr>
        <w:t>。获取时间段为上述日期每天全日（法定节假日可以正常获取）。</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4.获取招标文件的地点、方法或网址</w:t>
      </w:r>
    </w:p>
    <w:p>
      <w:pPr>
        <w:adjustRightInd w:val="0"/>
        <w:snapToGrid w:val="0"/>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现场获取地址：广州市越秀区越秀北路222号广东远东招标代理有限公司6楼</w:t>
      </w:r>
    </w:p>
    <w:p>
      <w:pPr>
        <w:adjustRightInd w:val="0"/>
        <w:snapToGrid w:val="0"/>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网上获取方式网址：http://trade.gdydzb.com</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招标文件工本费：人民币0元</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套。</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rPr>
        <w:t>获取招标文件相关事项的联系</w:t>
      </w:r>
      <w:r>
        <w:rPr>
          <w:rFonts w:hint="eastAsia" w:cs="宋体" w:asciiTheme="minorEastAsia" w:hAnsiTheme="minorEastAsia" w:eastAsiaTheme="minorEastAsia"/>
          <w:color w:val="auto"/>
          <w:sz w:val="24"/>
          <w:szCs w:val="24"/>
          <w:highlight w:val="none"/>
          <w:u w:val="none"/>
        </w:rPr>
        <w:t>人：梁小姐，联系电话：13802424027</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八、现场考察及开标前答疑会</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现场考察：本项目不组织已获取招标文件的潜在投标人现场考察。</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开标前答疑会：本项目不组织已获取招标文件的潜在投标人召开答疑会。</w:t>
      </w:r>
    </w:p>
    <w:p>
      <w:pPr>
        <w:adjustRightInd w:val="0"/>
        <w:snapToGrid w:val="0"/>
        <w:spacing w:line="360" w:lineRule="auto"/>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九、本文件公示期限为：自公告发布之日起五个工作日。</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十、投标（建议递交投标文件时间）</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时间</w:t>
      </w:r>
      <w:r>
        <w:rPr>
          <w:rFonts w:hint="eastAsia" w:cs="宋体" w:asciiTheme="minorEastAsia" w:hAnsiTheme="minorEastAsia" w:eastAsiaTheme="minorEastAsia"/>
          <w:color w:val="auto"/>
          <w:sz w:val="24"/>
          <w:szCs w:val="24"/>
          <w:highlight w:val="none"/>
          <w:u w:val="none"/>
        </w:rPr>
        <w:t>：</w:t>
      </w:r>
      <w:r>
        <w:rPr>
          <w:rFonts w:cs="宋体" w:asciiTheme="minorEastAsia" w:hAnsiTheme="minorEastAsia" w:eastAsiaTheme="minorEastAsia"/>
          <w:color w:val="auto"/>
          <w:sz w:val="24"/>
          <w:szCs w:val="24"/>
          <w:highlight w:val="none"/>
          <w:u w:val="none"/>
        </w:rPr>
        <w:t>202</w:t>
      </w:r>
      <w:r>
        <w:rPr>
          <w:rFonts w:hint="eastAsia" w:cs="宋体" w:asciiTheme="minorEastAsia" w:hAnsiTheme="minorEastAsia" w:eastAsiaTheme="minorEastAsia"/>
          <w:color w:val="auto"/>
          <w:sz w:val="24"/>
          <w:szCs w:val="24"/>
          <w:highlight w:val="none"/>
          <w:u w:val="none"/>
        </w:rPr>
        <w:t>2年</w:t>
      </w:r>
      <w:r>
        <w:rPr>
          <w:rFonts w:hint="eastAsia" w:cs="宋体" w:asciiTheme="minorEastAsia" w:hAnsiTheme="minorEastAsia" w:eastAsiaTheme="minorEastAsia"/>
          <w:color w:val="auto"/>
          <w:sz w:val="24"/>
          <w:szCs w:val="24"/>
          <w:highlight w:val="none"/>
          <w:u w:val="none"/>
          <w:lang w:val="en-US" w:eastAsia="zh-CN"/>
        </w:rPr>
        <w:t>5</w:t>
      </w:r>
      <w:r>
        <w:rPr>
          <w:rFonts w:hint="eastAsia" w:cs="宋体" w:asciiTheme="minorEastAsia" w:hAnsiTheme="minorEastAsia" w:eastAsiaTheme="minorEastAsia"/>
          <w:color w:val="auto"/>
          <w:sz w:val="24"/>
          <w:szCs w:val="24"/>
          <w:highlight w:val="none"/>
          <w:u w:val="none"/>
        </w:rPr>
        <w:t>月</w:t>
      </w:r>
      <w:r>
        <w:rPr>
          <w:rFonts w:hint="eastAsia" w:cs="宋体" w:asciiTheme="minorEastAsia" w:hAnsiTheme="minorEastAsia" w:eastAsiaTheme="minorEastAsia"/>
          <w:color w:val="auto"/>
          <w:sz w:val="24"/>
          <w:szCs w:val="24"/>
          <w:highlight w:val="none"/>
          <w:u w:val="none"/>
          <w:lang w:val="en-US" w:eastAsia="zh-CN"/>
        </w:rPr>
        <w:t>12</w:t>
      </w:r>
      <w:r>
        <w:rPr>
          <w:rFonts w:hint="eastAsia" w:cs="宋体" w:asciiTheme="minorEastAsia" w:hAnsiTheme="minorEastAsia" w:eastAsiaTheme="minorEastAsia"/>
          <w:color w:val="auto"/>
          <w:sz w:val="24"/>
          <w:szCs w:val="24"/>
          <w:highlight w:val="none"/>
          <w:u w:val="none"/>
        </w:rPr>
        <w:t>日</w:t>
      </w:r>
      <w:r>
        <w:rPr>
          <w:rFonts w:hint="eastAsia" w:cs="宋体" w:asciiTheme="minorEastAsia" w:hAnsiTheme="minorEastAsia" w:eastAsiaTheme="minorEastAsia"/>
          <w:color w:val="auto"/>
          <w:sz w:val="24"/>
          <w:szCs w:val="24"/>
          <w:highlight w:val="none"/>
          <w:u w:val="none"/>
          <w:lang w:val="en-US" w:eastAsia="zh-CN"/>
        </w:rPr>
        <w:t>14</w:t>
      </w:r>
      <w:r>
        <w:rPr>
          <w:rFonts w:hint="eastAsia" w:cs="宋体" w:asciiTheme="minorEastAsia" w:hAnsiTheme="minorEastAsia" w:eastAsiaTheme="minorEastAsia"/>
          <w:color w:val="auto"/>
          <w:sz w:val="24"/>
          <w:szCs w:val="24"/>
          <w:highlight w:val="none"/>
          <w:u w:val="none"/>
        </w:rPr>
        <w:t>：</w:t>
      </w:r>
      <w:r>
        <w:rPr>
          <w:rFonts w:hint="eastAsia" w:cs="宋体" w:asciiTheme="minorEastAsia" w:hAnsiTheme="minorEastAsia" w:eastAsiaTheme="minorEastAsia"/>
          <w:color w:val="auto"/>
          <w:sz w:val="24"/>
          <w:szCs w:val="24"/>
          <w:highlight w:val="none"/>
          <w:u w:val="none"/>
          <w:lang w:val="en-US" w:eastAsia="zh-CN"/>
        </w:rPr>
        <w:t>0</w:t>
      </w:r>
      <w:r>
        <w:rPr>
          <w:rFonts w:hint="eastAsia" w:cs="宋体" w:asciiTheme="minorEastAsia" w:hAnsiTheme="minorEastAsia" w:eastAsiaTheme="minorEastAsia"/>
          <w:color w:val="auto"/>
          <w:sz w:val="24"/>
          <w:szCs w:val="24"/>
          <w:highlight w:val="none"/>
          <w:u w:val="none"/>
        </w:rPr>
        <w:t>0至</w:t>
      </w:r>
      <w:r>
        <w:rPr>
          <w:rFonts w:hint="eastAsia" w:cs="宋体" w:asciiTheme="minorEastAsia" w:hAnsiTheme="minorEastAsia" w:eastAsiaTheme="minorEastAsia"/>
          <w:color w:val="auto"/>
          <w:sz w:val="24"/>
          <w:szCs w:val="24"/>
          <w:highlight w:val="none"/>
          <w:u w:val="none"/>
          <w:lang w:val="en-US" w:eastAsia="zh-CN"/>
        </w:rPr>
        <w:t>14</w:t>
      </w:r>
      <w:r>
        <w:rPr>
          <w:rFonts w:hint="eastAsia" w:cs="宋体" w:asciiTheme="minorEastAsia" w:hAnsiTheme="minorEastAsia" w:eastAsiaTheme="minorEastAsia"/>
          <w:color w:val="auto"/>
          <w:sz w:val="24"/>
          <w:szCs w:val="24"/>
          <w:highlight w:val="none"/>
          <w:u w:val="none"/>
        </w:rPr>
        <w:t>：</w:t>
      </w:r>
      <w:r>
        <w:rPr>
          <w:rFonts w:hint="eastAsia" w:cs="宋体" w:asciiTheme="minorEastAsia" w:hAnsiTheme="minorEastAsia" w:eastAsiaTheme="minorEastAsia"/>
          <w:color w:val="auto"/>
          <w:sz w:val="24"/>
          <w:szCs w:val="24"/>
          <w:highlight w:val="none"/>
          <w:u w:val="none"/>
          <w:lang w:val="en-US" w:eastAsia="zh-CN"/>
        </w:rPr>
        <w:t>3</w:t>
      </w:r>
      <w:r>
        <w:rPr>
          <w:rFonts w:hint="eastAsia" w:cs="宋体" w:asciiTheme="minorEastAsia" w:hAnsiTheme="minorEastAsia" w:eastAsiaTheme="minorEastAsia"/>
          <w:color w:val="auto"/>
          <w:sz w:val="24"/>
          <w:szCs w:val="24"/>
          <w:highlight w:val="none"/>
          <w:u w:val="none"/>
        </w:rPr>
        <w:t>0（</w:t>
      </w:r>
      <w:r>
        <w:rPr>
          <w:rFonts w:hint="eastAsia" w:cs="宋体" w:asciiTheme="minorEastAsia" w:hAnsiTheme="minorEastAsia" w:eastAsiaTheme="minorEastAsia"/>
          <w:color w:val="auto"/>
          <w:sz w:val="24"/>
          <w:szCs w:val="24"/>
          <w:highlight w:val="none"/>
        </w:rPr>
        <w:t>北京时间）</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2.地点：</w:t>
      </w:r>
      <w:r>
        <w:rPr>
          <w:rFonts w:hint="eastAsia" w:asciiTheme="minorEastAsia" w:hAnsiTheme="minorEastAsia" w:eastAsiaTheme="minorEastAsia"/>
          <w:color w:val="auto"/>
          <w:sz w:val="24"/>
          <w:szCs w:val="24"/>
          <w:highlight w:val="none"/>
          <w:u w:val="single"/>
        </w:rPr>
        <w:t>广州市越秀区越秀北路222号</w:t>
      </w:r>
      <w:r>
        <w:rPr>
          <w:rFonts w:hint="eastAsia" w:asciiTheme="minorEastAsia" w:hAnsiTheme="minorEastAsia" w:eastAsiaTheme="minorEastAsia"/>
          <w:color w:val="auto"/>
          <w:sz w:val="24"/>
          <w:szCs w:val="24"/>
          <w:highlight w:val="none"/>
        </w:rPr>
        <w:t>（广东远东招标代理有限公司</w:t>
      </w:r>
      <w:r>
        <w:rPr>
          <w:rFonts w:hint="eastAsia" w:asciiTheme="minorEastAsia" w:hAnsiTheme="minorEastAsia" w:eastAsiaTheme="minorEastAsia"/>
          <w:color w:val="auto"/>
          <w:sz w:val="24"/>
          <w:szCs w:val="24"/>
          <w:highlight w:val="none"/>
          <w:u w:val="single"/>
        </w:rPr>
        <w:t xml:space="preserve">13楼 </w:t>
      </w:r>
      <w:r>
        <w:rPr>
          <w:rFonts w:hint="eastAsia" w:asciiTheme="minorEastAsia" w:hAnsiTheme="minorEastAsia" w:eastAsiaTheme="minorEastAsia"/>
          <w:color w:val="auto"/>
          <w:sz w:val="24"/>
          <w:szCs w:val="24"/>
          <w:highlight w:val="none"/>
        </w:rPr>
        <w:t>开标室）</w:t>
      </w:r>
    </w:p>
    <w:p>
      <w:pPr>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十一、投标截止及开标</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时间：</w:t>
      </w:r>
      <w:r>
        <w:rPr>
          <w:rFonts w:cs="宋体" w:asciiTheme="minorEastAsia" w:hAnsiTheme="minorEastAsia" w:eastAsiaTheme="minorEastAsia"/>
          <w:color w:val="auto"/>
          <w:sz w:val="24"/>
          <w:szCs w:val="24"/>
          <w:highlight w:val="none"/>
          <w:u w:val="none"/>
        </w:rPr>
        <w:t>202</w:t>
      </w:r>
      <w:r>
        <w:rPr>
          <w:rFonts w:hint="eastAsia" w:cs="宋体" w:asciiTheme="minorEastAsia" w:hAnsiTheme="minorEastAsia" w:eastAsiaTheme="minorEastAsia"/>
          <w:color w:val="auto"/>
          <w:sz w:val="24"/>
          <w:szCs w:val="24"/>
          <w:highlight w:val="none"/>
          <w:u w:val="none"/>
        </w:rPr>
        <w:t>2年</w:t>
      </w:r>
      <w:r>
        <w:rPr>
          <w:rFonts w:hint="eastAsia" w:cs="宋体" w:asciiTheme="minorEastAsia" w:hAnsiTheme="minorEastAsia" w:eastAsiaTheme="minorEastAsia"/>
          <w:color w:val="auto"/>
          <w:sz w:val="24"/>
          <w:szCs w:val="24"/>
          <w:highlight w:val="none"/>
          <w:u w:val="none"/>
          <w:lang w:val="en-US" w:eastAsia="zh-CN"/>
        </w:rPr>
        <w:t>5</w:t>
      </w:r>
      <w:r>
        <w:rPr>
          <w:rFonts w:hint="eastAsia" w:cs="宋体" w:asciiTheme="minorEastAsia" w:hAnsiTheme="minorEastAsia" w:eastAsiaTheme="minorEastAsia"/>
          <w:color w:val="auto"/>
          <w:sz w:val="24"/>
          <w:szCs w:val="24"/>
          <w:highlight w:val="none"/>
          <w:u w:val="none"/>
        </w:rPr>
        <w:t>月</w:t>
      </w:r>
      <w:r>
        <w:rPr>
          <w:rFonts w:hint="eastAsia" w:cs="宋体" w:asciiTheme="minorEastAsia" w:hAnsiTheme="minorEastAsia" w:eastAsiaTheme="minorEastAsia"/>
          <w:color w:val="auto"/>
          <w:sz w:val="24"/>
          <w:szCs w:val="24"/>
          <w:highlight w:val="none"/>
          <w:u w:val="none"/>
          <w:lang w:val="en-US" w:eastAsia="zh-CN"/>
        </w:rPr>
        <w:t>12</w:t>
      </w:r>
      <w:r>
        <w:rPr>
          <w:rFonts w:hint="eastAsia" w:cs="宋体" w:asciiTheme="minorEastAsia" w:hAnsiTheme="minorEastAsia" w:eastAsiaTheme="minorEastAsia"/>
          <w:color w:val="auto"/>
          <w:sz w:val="24"/>
          <w:szCs w:val="24"/>
          <w:highlight w:val="none"/>
          <w:u w:val="none"/>
        </w:rPr>
        <w:t>日</w:t>
      </w:r>
      <w:r>
        <w:rPr>
          <w:rFonts w:hint="eastAsia" w:cs="宋体" w:asciiTheme="minorEastAsia" w:hAnsiTheme="minorEastAsia" w:eastAsiaTheme="minorEastAsia"/>
          <w:color w:val="auto"/>
          <w:sz w:val="24"/>
          <w:szCs w:val="24"/>
          <w:highlight w:val="none"/>
          <w:u w:val="none"/>
          <w:lang w:val="en-US" w:eastAsia="zh-CN"/>
        </w:rPr>
        <w:t>14</w:t>
      </w:r>
      <w:r>
        <w:rPr>
          <w:rFonts w:hint="eastAsia" w:cs="宋体" w:asciiTheme="minorEastAsia" w:hAnsiTheme="minorEastAsia" w:eastAsiaTheme="minorEastAsia"/>
          <w:color w:val="auto"/>
          <w:sz w:val="24"/>
          <w:szCs w:val="24"/>
          <w:highlight w:val="none"/>
          <w:u w:val="none"/>
        </w:rPr>
        <w:t>：</w:t>
      </w:r>
      <w:r>
        <w:rPr>
          <w:rFonts w:hint="eastAsia" w:cs="宋体" w:asciiTheme="minorEastAsia" w:hAnsiTheme="minorEastAsia" w:eastAsiaTheme="minorEastAsia"/>
          <w:color w:val="auto"/>
          <w:sz w:val="24"/>
          <w:szCs w:val="24"/>
          <w:highlight w:val="none"/>
          <w:u w:val="none"/>
          <w:lang w:val="en-US" w:eastAsia="zh-CN"/>
        </w:rPr>
        <w:t>3</w:t>
      </w:r>
      <w:r>
        <w:rPr>
          <w:rFonts w:hint="eastAsia" w:cs="宋体" w:asciiTheme="minorEastAsia" w:hAnsiTheme="minorEastAsia" w:eastAsiaTheme="minorEastAsia"/>
          <w:color w:val="auto"/>
          <w:sz w:val="24"/>
          <w:szCs w:val="24"/>
          <w:highlight w:val="none"/>
          <w:u w:val="none"/>
        </w:rPr>
        <w:t>0</w:t>
      </w:r>
      <w:r>
        <w:rPr>
          <w:rFonts w:hint="eastAsia" w:cs="宋体" w:asciiTheme="minorEastAsia" w:hAnsiTheme="minorEastAsia" w:eastAsiaTheme="minorEastAsia"/>
          <w:color w:val="auto"/>
          <w:sz w:val="24"/>
          <w:szCs w:val="24"/>
          <w:highlight w:val="none"/>
        </w:rPr>
        <w:t>（北京时间）</w:t>
      </w:r>
    </w:p>
    <w:p>
      <w:pPr>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2.地点：</w:t>
      </w:r>
      <w:r>
        <w:rPr>
          <w:rFonts w:hint="eastAsia" w:asciiTheme="minorEastAsia" w:hAnsiTheme="minorEastAsia" w:eastAsiaTheme="minorEastAsia"/>
          <w:color w:val="auto"/>
          <w:sz w:val="24"/>
          <w:szCs w:val="24"/>
          <w:highlight w:val="none"/>
          <w:u w:val="single"/>
        </w:rPr>
        <w:t>广州市越秀区越秀北路222号</w:t>
      </w:r>
      <w:r>
        <w:rPr>
          <w:rFonts w:hint="eastAsia" w:asciiTheme="minorEastAsia" w:hAnsiTheme="minorEastAsia" w:eastAsiaTheme="minorEastAsia"/>
          <w:color w:val="auto"/>
          <w:sz w:val="24"/>
          <w:szCs w:val="24"/>
          <w:highlight w:val="none"/>
        </w:rPr>
        <w:t>（广东远东招标代理有限公司</w:t>
      </w:r>
      <w:r>
        <w:rPr>
          <w:rFonts w:hint="eastAsia" w:asciiTheme="minorEastAsia" w:hAnsiTheme="minorEastAsia" w:eastAsiaTheme="minorEastAsia"/>
          <w:color w:val="auto"/>
          <w:sz w:val="24"/>
          <w:szCs w:val="24"/>
          <w:highlight w:val="none"/>
          <w:u w:val="single"/>
        </w:rPr>
        <w:t xml:space="preserve">13楼 </w:t>
      </w:r>
      <w:r>
        <w:rPr>
          <w:rFonts w:hint="eastAsia" w:asciiTheme="minorEastAsia" w:hAnsiTheme="minorEastAsia" w:eastAsiaTheme="minorEastAsia"/>
          <w:color w:val="auto"/>
          <w:sz w:val="24"/>
          <w:szCs w:val="24"/>
          <w:highlight w:val="none"/>
        </w:rPr>
        <w:t>开标室）</w:t>
      </w:r>
    </w:p>
    <w:p>
      <w:pPr>
        <w:adjustRightInd w:val="0"/>
        <w:snapToGrid w:val="0"/>
        <w:spacing w:line="360" w:lineRule="auto"/>
        <w:ind w:firstLine="482" w:firstLineChars="200"/>
        <w:rPr>
          <w:color w:val="auto"/>
          <w:highlight w:val="none"/>
        </w:rPr>
      </w:pPr>
      <w:r>
        <w:rPr>
          <w:rFonts w:hint="eastAsia" w:cs="宋体" w:asciiTheme="minorEastAsia" w:hAnsiTheme="minorEastAsia" w:eastAsiaTheme="minorEastAsia"/>
          <w:b/>
          <w:bCs/>
          <w:color w:val="auto"/>
          <w:sz w:val="24"/>
          <w:szCs w:val="24"/>
          <w:highlight w:val="none"/>
        </w:rPr>
        <w:t>十二、采购人及其委托的采购代理机构的名称、地址和联系方法</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采购代理机构联系人：梁小姐               采购人联系人：姚老师</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话：13802424027                    电    话：020-37103132</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传    真：020-83642863-804               传    真：020-37103132</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联系地址：广州市越秀区越秀北路           联系地址：广州市番禺区新造镇秀发村</w:t>
      </w:r>
    </w:p>
    <w:p>
      <w:pPr>
        <w:adjustRightInd w:val="0"/>
        <w:snapToGrid w:val="0"/>
        <w:spacing w:line="360" w:lineRule="auto"/>
        <w:ind w:firstLine="1680" w:firstLineChars="7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222号越良大厦6楼</w:t>
      </w:r>
    </w:p>
    <w:p>
      <w:pPr>
        <w:adjustRightInd w:val="0"/>
        <w:snapToGrid w:val="0"/>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    编：510000                         邮    编：510000</w:t>
      </w:r>
    </w:p>
    <w:p>
      <w:pPr>
        <w:widowControl/>
        <w:jc w:val="left"/>
        <w:rPr>
          <w:rFonts w:asciiTheme="minorEastAsia" w:hAnsiTheme="minorEastAsia" w:eastAsiaTheme="minorEastAsia"/>
          <w:color w:val="auto"/>
          <w:sz w:val="24"/>
          <w:szCs w:val="24"/>
          <w:highlight w:val="none"/>
        </w:rPr>
      </w:pPr>
    </w:p>
    <w:p>
      <w:pPr>
        <w:pStyle w:val="16"/>
        <w:rPr>
          <w:rFonts w:hint="eastAsia"/>
          <w:color w:val="auto"/>
          <w:highlight w:val="none"/>
        </w:rPr>
      </w:pPr>
    </w:p>
    <w:p>
      <w:pPr>
        <w:pStyle w:val="16"/>
        <w:rPr>
          <w:color w:val="auto"/>
          <w:highlight w:val="none"/>
        </w:rPr>
      </w:pPr>
    </w:p>
    <w:p>
      <w:pPr>
        <w:adjustRightInd w:val="0"/>
        <w:snapToGrid w:val="0"/>
        <w:ind w:right="420" w:firstLine="5640" w:firstLineChars="2350"/>
        <w:jc w:val="righ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广东远东招标代理有限公司</w:t>
      </w:r>
    </w:p>
    <w:p>
      <w:pPr>
        <w:wordWrap w:val="0"/>
        <w:adjustRightInd w:val="0"/>
        <w:snapToGrid w:val="0"/>
        <w:ind w:right="420" w:firstLine="5640" w:firstLineChars="2350"/>
        <w:jc w:val="right"/>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202</w:t>
      </w:r>
      <w:r>
        <w:rPr>
          <w:rFonts w:hint="eastAsia" w:cs="宋体" w:asciiTheme="minorEastAsia" w:hAnsiTheme="minorEastAsia" w:eastAsiaTheme="minorEastAsia"/>
          <w:color w:val="auto"/>
          <w:sz w:val="24"/>
          <w:szCs w:val="24"/>
          <w:highlight w:val="none"/>
        </w:rPr>
        <w:t>2年4月</w:t>
      </w:r>
    </w:p>
    <w:p>
      <w:pPr>
        <w:widowControl/>
        <w:jc w:val="left"/>
        <w:rPr>
          <w:rFonts w:cs="宋体" w:asciiTheme="minorEastAsia" w:hAnsiTheme="minorEastAsia" w:eastAsiaTheme="minorEastAsia"/>
          <w:b/>
          <w:bCs/>
          <w:color w:val="auto"/>
          <w:sz w:val="32"/>
          <w:szCs w:val="24"/>
          <w:highlight w:val="none"/>
        </w:rPr>
      </w:pPr>
      <w:r>
        <w:rPr>
          <w:rFonts w:cs="宋体" w:asciiTheme="minorEastAsia" w:hAnsiTheme="minorEastAsia" w:eastAsiaTheme="minorEastAsia"/>
          <w:b/>
          <w:bCs/>
          <w:color w:val="auto"/>
          <w:sz w:val="32"/>
          <w:szCs w:val="24"/>
          <w:highlight w:val="none"/>
        </w:rPr>
        <w:br w:type="page"/>
      </w:r>
      <w:bookmarkStart w:id="145" w:name="_GoBack"/>
      <w:bookmarkEnd w:id="145"/>
    </w:p>
    <w:p>
      <w:pPr>
        <w:spacing w:afterLines="50" w:line="380" w:lineRule="exact"/>
        <w:jc w:val="center"/>
        <w:outlineLvl w:val="0"/>
        <w:rPr>
          <w:rFonts w:asciiTheme="minorEastAsia" w:hAnsiTheme="minorEastAsia" w:eastAsiaTheme="minorEastAsia"/>
          <w:b/>
          <w:bCs/>
          <w:color w:val="auto"/>
          <w:sz w:val="24"/>
          <w:szCs w:val="24"/>
          <w:highlight w:val="none"/>
        </w:rPr>
      </w:pPr>
      <w:bookmarkStart w:id="8" w:name="_Toc28448"/>
      <w:r>
        <w:rPr>
          <w:rFonts w:hint="eastAsia" w:cs="宋体" w:asciiTheme="minorEastAsia" w:hAnsiTheme="minorEastAsia" w:eastAsiaTheme="minorEastAsia"/>
          <w:b/>
          <w:bCs/>
          <w:color w:val="auto"/>
          <w:sz w:val="32"/>
          <w:szCs w:val="24"/>
          <w:highlight w:val="none"/>
        </w:rPr>
        <w:t>第二章</w:t>
      </w:r>
      <w:r>
        <w:rPr>
          <w:rFonts w:asciiTheme="minorEastAsia" w:hAnsiTheme="minorEastAsia" w:eastAsiaTheme="minorEastAsia"/>
          <w:b/>
          <w:bCs/>
          <w:color w:val="auto"/>
          <w:sz w:val="32"/>
          <w:szCs w:val="24"/>
          <w:highlight w:val="none"/>
        </w:rPr>
        <w:t xml:space="preserve"> </w:t>
      </w:r>
      <w:r>
        <w:rPr>
          <w:rFonts w:hint="eastAsia" w:cs="宋体" w:asciiTheme="minorEastAsia" w:hAnsiTheme="minorEastAsia" w:eastAsiaTheme="minorEastAsia"/>
          <w:b/>
          <w:bCs/>
          <w:color w:val="auto"/>
          <w:sz w:val="32"/>
          <w:szCs w:val="24"/>
          <w:highlight w:val="none"/>
        </w:rPr>
        <w:t>投标资料表</w:t>
      </w:r>
      <w:bookmarkEnd w:id="6"/>
      <w:bookmarkEnd w:id="7"/>
      <w:bookmarkEnd w:id="8"/>
    </w:p>
    <w:p>
      <w:pPr>
        <w:spacing w:line="380" w:lineRule="exact"/>
        <w:ind w:right="-174" w:rightChars="-83"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说明：该资料表的条款项号是与《投标人须知》条款项号对应的条款，是对《投标人须知》补充、修改和完善，如果有矛盾的话，应以本资料表为准。</w:t>
      </w:r>
    </w:p>
    <w:tbl>
      <w:tblPr>
        <w:tblStyle w:val="38"/>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88" w:type="dxa"/>
            <w:tcBorders>
              <w:top w:val="single" w:color="auto" w:sz="12" w:space="0"/>
            </w:tcBorders>
            <w:vAlign w:val="center"/>
          </w:tcPr>
          <w:p>
            <w:pPr>
              <w:spacing w:line="44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条款项号</w:t>
            </w:r>
          </w:p>
        </w:tc>
        <w:tc>
          <w:tcPr>
            <w:tcW w:w="8000" w:type="dxa"/>
            <w:tcBorders>
              <w:top w:val="single" w:color="auto" w:sz="12" w:space="0"/>
            </w:tcBorders>
            <w:vAlign w:val="center"/>
          </w:tcPr>
          <w:p>
            <w:pPr>
              <w:spacing w:line="44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内</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088" w:type="dxa"/>
            <w:gridSpan w:val="2"/>
            <w:vAlign w:val="center"/>
          </w:tcPr>
          <w:p>
            <w:pPr>
              <w:spacing w:line="44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2.2</w:t>
            </w:r>
          </w:p>
        </w:tc>
        <w:tc>
          <w:tcPr>
            <w:tcW w:w="8000" w:type="dxa"/>
            <w:vAlign w:val="center"/>
          </w:tcPr>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采购人名称：</w:t>
            </w:r>
            <w:r>
              <w:rPr>
                <w:rFonts w:hint="eastAsia" w:cs="宋体" w:asciiTheme="minorEastAsia" w:hAnsiTheme="minorEastAsia" w:eastAsiaTheme="minorEastAsia"/>
                <w:color w:val="auto"/>
                <w:kern w:val="28"/>
                <w:sz w:val="24"/>
                <w:szCs w:val="24"/>
                <w:highlight w:val="none"/>
              </w:rPr>
              <w:t>广州医科大学</w:t>
            </w:r>
          </w:p>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资金来源：财政资金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88" w:type="dxa"/>
            <w:gridSpan w:val="2"/>
            <w:vAlign w:val="center"/>
          </w:tcPr>
          <w:p>
            <w:pPr>
              <w:spacing w:line="44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9.1</w:t>
            </w:r>
          </w:p>
        </w:tc>
        <w:tc>
          <w:tcPr>
            <w:tcW w:w="8000" w:type="dxa"/>
            <w:vAlign w:val="center"/>
          </w:tcPr>
          <w:p>
            <w:pPr>
              <w:autoSpaceDE w:val="0"/>
              <w:autoSpaceDN w:val="0"/>
              <w:adjustRightInd w:val="0"/>
              <w:snapToGrid w:val="0"/>
              <w:spacing w:line="440" w:lineRule="exact"/>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rPr>
              <w:t>：不举行。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088" w:type="dxa"/>
            <w:gridSpan w:val="2"/>
            <w:vAlign w:val="center"/>
          </w:tcPr>
          <w:p>
            <w:pPr>
              <w:spacing w:line="44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三、投标文件的编制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13.3</w:t>
            </w:r>
          </w:p>
        </w:tc>
        <w:tc>
          <w:tcPr>
            <w:tcW w:w="8000" w:type="dxa"/>
            <w:vAlign w:val="center"/>
          </w:tcPr>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投标人所报的投标价在合同执行过程中是固定不变的，不得以任何理由予以变更。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8"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13.4</w:t>
            </w:r>
          </w:p>
        </w:tc>
        <w:tc>
          <w:tcPr>
            <w:tcW w:w="8000" w:type="dxa"/>
            <w:vAlign w:val="center"/>
          </w:tcPr>
          <w:p>
            <w:pPr>
              <w:spacing w:line="440" w:lineRule="exact"/>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）不允许有备选方案，否则将被视为无效投标。</w:t>
            </w:r>
          </w:p>
          <w:p>
            <w:pPr>
              <w:spacing w:line="44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13.5</w:t>
            </w:r>
          </w:p>
        </w:tc>
        <w:tc>
          <w:tcPr>
            <w:tcW w:w="8000" w:type="dxa"/>
            <w:vAlign w:val="center"/>
          </w:tcPr>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不允许附加条件报价，否则将被视为无效投标。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18.1</w:t>
            </w:r>
          </w:p>
        </w:tc>
        <w:tc>
          <w:tcPr>
            <w:tcW w:w="8000" w:type="dxa"/>
            <w:vAlign w:val="center"/>
          </w:tcPr>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本项目不允许分包。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20.1</w:t>
            </w:r>
          </w:p>
        </w:tc>
        <w:tc>
          <w:tcPr>
            <w:tcW w:w="8000" w:type="dxa"/>
            <w:vAlign w:val="center"/>
          </w:tcPr>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投标有效期：</w:t>
            </w:r>
            <w:r>
              <w:rPr>
                <w:rFonts w:cs="宋体" w:asciiTheme="minorEastAsia" w:hAnsiTheme="minorEastAsia" w:eastAsiaTheme="minorEastAsia"/>
                <w:color w:val="auto"/>
                <w:sz w:val="24"/>
                <w:szCs w:val="24"/>
                <w:highlight w:val="none"/>
              </w:rPr>
              <w:t>90</w:t>
            </w:r>
            <w:r>
              <w:rPr>
                <w:rFonts w:hint="eastAsia" w:cs="宋体" w:asciiTheme="minorEastAsia" w:hAnsiTheme="minorEastAsia" w:eastAsiaTheme="minorEastAsia"/>
                <w:color w:val="auto"/>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21.1</w:t>
            </w:r>
          </w:p>
        </w:tc>
        <w:tc>
          <w:tcPr>
            <w:tcW w:w="8000" w:type="dxa"/>
            <w:vAlign w:val="center"/>
          </w:tcPr>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各包组投标文件份数：</w:t>
            </w:r>
            <w:r>
              <w:rPr>
                <w:rFonts w:hint="eastAsia" w:cs="宋体" w:asciiTheme="minorEastAsia" w:hAnsiTheme="minorEastAsia" w:eastAsiaTheme="minorEastAsia"/>
                <w:b/>
                <w:bCs/>
                <w:color w:val="auto"/>
                <w:sz w:val="24"/>
                <w:szCs w:val="24"/>
                <w:highlight w:val="none"/>
              </w:rPr>
              <w:t>正本一份，副本五份，《唱标信封》一份，电子文件（投标文件正本扫描件加盖公章）一份</w:t>
            </w:r>
            <w:r>
              <w:rPr>
                <w:rFonts w:hint="eastAsia" w:cs="宋体" w:asciiTheme="minorEastAsia" w:hAnsiTheme="minorEastAsia" w:eastAsiaTheme="minorEastAsia"/>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088" w:type="dxa"/>
            <w:gridSpan w:val="2"/>
            <w:vAlign w:val="center"/>
          </w:tcPr>
          <w:p>
            <w:pPr>
              <w:spacing w:line="44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四、授予合同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1088" w:type="dxa"/>
            <w:vAlign w:val="center"/>
          </w:tcPr>
          <w:p>
            <w:pPr>
              <w:spacing w:line="440" w:lineRule="exact"/>
              <w:jc w:val="center"/>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28.1</w:t>
            </w:r>
          </w:p>
        </w:tc>
        <w:tc>
          <w:tcPr>
            <w:tcW w:w="8000" w:type="dxa"/>
            <w:vAlign w:val="center"/>
          </w:tcPr>
          <w:p>
            <w:pPr>
              <w:spacing w:line="440" w:lineRule="exact"/>
              <w:jc w:val="left"/>
              <w:rPr>
                <w:rFonts w:cs="宋体"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本项目需缴纳履约保证金</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详见</w:t>
            </w:r>
            <w:r>
              <w:rPr>
                <w:rFonts w:hint="eastAsia" w:asciiTheme="minorEastAsia" w:hAnsiTheme="minorEastAsia" w:eastAsiaTheme="minorEastAsia"/>
                <w:b w:val="0"/>
                <w:bCs w:val="0"/>
                <w:color w:val="auto"/>
                <w:sz w:val="24"/>
                <w:szCs w:val="24"/>
                <w:highlight w:val="none"/>
                <w:lang w:val="en-US" w:eastAsia="zh-CN"/>
              </w:rPr>
              <w:t>“</w:t>
            </w:r>
            <w:r>
              <w:rPr>
                <w:rFonts w:hint="eastAsia" w:asciiTheme="minorEastAsia" w:hAnsiTheme="minorEastAsia" w:eastAsiaTheme="minorEastAsia"/>
                <w:b w:val="0"/>
                <w:bCs w:val="0"/>
                <w:color w:val="auto"/>
                <w:sz w:val="24"/>
                <w:szCs w:val="24"/>
                <w:highlight w:val="none"/>
              </w:rPr>
              <w:t>采购项目商务要求（八）履约保证金</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adjustRightInd w:val="0"/>
              <w:snapToGrid w:val="0"/>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29.1</w:t>
            </w:r>
          </w:p>
        </w:tc>
        <w:tc>
          <w:tcPr>
            <w:tcW w:w="8000" w:type="dxa"/>
          </w:tcPr>
          <w:p>
            <w:pPr>
              <w:spacing w:line="44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1.中标人须向采购代理机构按如下标准和规定缴纳招标代理服务费：</w:t>
            </w:r>
          </w:p>
          <w:p>
            <w:pPr>
              <w:spacing w:line="400" w:lineRule="exact"/>
              <w:ind w:left="195" w:leftChars="93"/>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）按包组独立计算，以中标通知书中包组的中标金额作为招标代理服</w:t>
            </w:r>
          </w:p>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务费的计算基数。</w:t>
            </w:r>
          </w:p>
          <w:p>
            <w:pPr>
              <w:spacing w:line="44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招标代理服务费收费采用差额定率累进法计算方式。参照中华人民共和国国家发展计划委员会颁发的计价格</w:t>
            </w:r>
            <w:r>
              <w:rPr>
                <w:rFonts w:cs="宋体" w:asciiTheme="minorEastAsia" w:hAnsiTheme="minorEastAsia" w:eastAsiaTheme="minorEastAsia"/>
                <w:color w:val="auto"/>
                <w:sz w:val="24"/>
                <w:szCs w:val="24"/>
                <w:highlight w:val="none"/>
              </w:rPr>
              <w:t>[2002]1980</w:t>
            </w:r>
            <w:r>
              <w:rPr>
                <w:rFonts w:hint="eastAsia" w:cs="宋体" w:asciiTheme="minorEastAsia" w:hAnsiTheme="minorEastAsia" w:eastAsiaTheme="minorEastAsia"/>
                <w:color w:val="auto"/>
                <w:sz w:val="24"/>
                <w:szCs w:val="24"/>
                <w:highlight w:val="none"/>
              </w:rPr>
              <w:t>号、国家发改委</w:t>
            </w:r>
            <w:r>
              <w:rPr>
                <w:rFonts w:cs="宋体" w:asciiTheme="minorEastAsia" w:hAnsiTheme="minorEastAsia" w:eastAsiaTheme="minorEastAsia"/>
                <w:color w:val="auto"/>
                <w:sz w:val="24"/>
                <w:szCs w:val="24"/>
                <w:highlight w:val="none"/>
              </w:rPr>
              <w:t>[2003]857</w:t>
            </w:r>
            <w:r>
              <w:rPr>
                <w:rFonts w:hint="eastAsia" w:cs="宋体" w:asciiTheme="minorEastAsia" w:hAnsiTheme="minorEastAsia" w:eastAsiaTheme="minorEastAsia"/>
                <w:color w:val="auto"/>
                <w:sz w:val="24"/>
                <w:szCs w:val="24"/>
                <w:highlight w:val="none"/>
              </w:rPr>
              <w:t>号及发改价格</w:t>
            </w:r>
            <w:r>
              <w:rPr>
                <w:rFonts w:hint="eastAsia" w:asciiTheme="minorEastAsia" w:hAnsiTheme="minorEastAsia" w:eastAsiaTheme="minorEastAsia"/>
                <w:color w:val="auto"/>
                <w:sz w:val="24"/>
                <w:szCs w:val="24"/>
                <w:highlight w:val="none"/>
              </w:rPr>
              <w:sym w:font="Symbol" w:char="F05B"/>
            </w:r>
            <w:r>
              <w:rPr>
                <w:rFonts w:cs="宋体" w:asciiTheme="minorEastAsia" w:hAnsiTheme="minorEastAsia" w:eastAsiaTheme="minorEastAsia"/>
                <w:color w:val="auto"/>
                <w:sz w:val="24"/>
                <w:szCs w:val="24"/>
                <w:highlight w:val="none"/>
              </w:rPr>
              <w:t>2011</w:t>
            </w:r>
            <w:r>
              <w:rPr>
                <w:rFonts w:hint="eastAsia" w:asciiTheme="minorEastAsia" w:hAnsiTheme="minorEastAsia" w:eastAsiaTheme="minorEastAsia"/>
                <w:color w:val="auto"/>
                <w:sz w:val="24"/>
                <w:szCs w:val="24"/>
                <w:highlight w:val="none"/>
              </w:rPr>
              <w:sym w:font="Symbol" w:char="F05D"/>
            </w:r>
            <w:r>
              <w:rPr>
                <w:rFonts w:cs="宋体" w:asciiTheme="minorEastAsia" w:hAnsiTheme="minorEastAsia" w:eastAsiaTheme="minorEastAsia"/>
                <w:color w:val="auto"/>
                <w:sz w:val="24"/>
                <w:szCs w:val="24"/>
                <w:highlight w:val="none"/>
              </w:rPr>
              <w:t>534</w:t>
            </w:r>
            <w:r>
              <w:rPr>
                <w:rFonts w:hint="eastAsia" w:cs="宋体" w:asciiTheme="minorEastAsia" w:hAnsiTheme="minorEastAsia" w:eastAsiaTheme="minorEastAsia"/>
                <w:color w:val="auto"/>
                <w:sz w:val="24"/>
                <w:szCs w:val="24"/>
                <w:highlight w:val="none"/>
              </w:rPr>
              <w:t>号文规定的“</w:t>
            </w:r>
            <w:r>
              <w:rPr>
                <w:rFonts w:hint="eastAsia" w:cs="宋体" w:asciiTheme="minorEastAsia" w:hAnsiTheme="minorEastAsia" w:eastAsiaTheme="minorEastAsia"/>
                <w:b/>
                <w:bCs/>
                <w:color w:val="auto"/>
                <w:sz w:val="24"/>
                <w:szCs w:val="24"/>
                <w:highlight w:val="none"/>
              </w:rPr>
              <w:t>货物类</w:t>
            </w:r>
            <w:r>
              <w:rPr>
                <w:rFonts w:hint="eastAsia" w:cs="宋体" w:asciiTheme="minorEastAsia" w:hAnsiTheme="minorEastAsia" w:eastAsiaTheme="minorEastAsia"/>
                <w:color w:val="auto"/>
                <w:sz w:val="24"/>
                <w:szCs w:val="24"/>
                <w:highlight w:val="none"/>
              </w:rPr>
              <w:t>”下浮</w:t>
            </w:r>
            <w:r>
              <w:rPr>
                <w:rFonts w:hint="eastAsia" w:cs="宋体" w:asciiTheme="minorEastAsia" w:hAnsiTheme="minorEastAsia" w:eastAsiaTheme="minorEastAsia"/>
                <w:color w:val="auto"/>
                <w:sz w:val="24"/>
                <w:szCs w:val="24"/>
                <w:highlight w:val="none"/>
                <w:u w:val="single"/>
              </w:rPr>
              <w:t xml:space="preserve">12 </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计算。</w:t>
            </w:r>
          </w:p>
          <w:p>
            <w:pPr>
              <w:spacing w:line="440" w:lineRule="exact"/>
              <w:ind w:firstLine="240" w:firstLineChars="10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）招标代理服务费的缴纳形式：</w:t>
            </w:r>
          </w:p>
          <w:p>
            <w:pPr>
              <w:tabs>
                <w:tab w:val="left" w:pos="317"/>
              </w:tabs>
              <w:adjustRightInd w:val="0"/>
              <w:snapToGrid w:val="0"/>
              <w:spacing w:line="44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a.向采购代理机构直接缴纳招标代理服务费。可用支票、汇票、电汇等付款方式；</w:t>
            </w:r>
          </w:p>
          <w:p>
            <w:pPr>
              <w:tabs>
                <w:tab w:val="left" w:pos="317"/>
              </w:tabs>
              <w:adjustRightInd w:val="0"/>
              <w:snapToGrid w:val="0"/>
              <w:spacing w:line="44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b.招标代理服务费付至：详见《招标代理服务费承诺书》</w:t>
            </w:r>
          </w:p>
          <w:p>
            <w:pPr>
              <w:spacing w:line="44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1.投标人应签署第六章所附格式的招标代理服务费承诺书，作为投标文件的一部分。</w:t>
            </w:r>
          </w:p>
          <w:p>
            <w:pPr>
              <w:spacing w:line="44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2.中标人须向采购代理机构缴纳招标代理服务费，凭领取人身份证复印件并加盖公章领取《中标通知书》。如采用电汇或银行转账，须同时递交招标代理服务费缴费凭证复印件并加盖公章。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088" w:type="dxa"/>
            <w:gridSpan w:val="2"/>
            <w:vAlign w:val="center"/>
          </w:tcPr>
          <w:p>
            <w:pPr>
              <w:spacing w:line="44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pPr>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w:t>
            </w:r>
          </w:p>
        </w:tc>
        <w:tc>
          <w:tcPr>
            <w:tcW w:w="8000" w:type="dxa"/>
            <w:vAlign w:val="center"/>
          </w:tcPr>
          <w:p>
            <w:pPr>
              <w:tabs>
                <w:tab w:val="left" w:pos="317"/>
              </w:tabs>
              <w:adjustRightInd w:val="0"/>
              <w:snapToGrid w:val="0"/>
              <w:spacing w:line="44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本项目相关公告在以下媒体发布:</w:t>
            </w:r>
          </w:p>
          <w:p>
            <w:pPr>
              <w:tabs>
                <w:tab w:val="left" w:pos="317"/>
              </w:tabs>
              <w:adjustRightInd w:val="0"/>
              <w:snapToGrid w:val="0"/>
              <w:spacing w:line="44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1.采购代理机构网站（www.gdydzb.com）。</w:t>
            </w:r>
          </w:p>
          <w:p>
            <w:pPr>
              <w:tabs>
                <w:tab w:val="left" w:pos="317"/>
              </w:tabs>
              <w:adjustRightInd w:val="0"/>
              <w:snapToGrid w:val="0"/>
              <w:spacing w:line="44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2.法定媒体：</w:t>
            </w:r>
          </w:p>
          <w:p>
            <w:pPr>
              <w:tabs>
                <w:tab w:val="left" w:pos="317"/>
              </w:tabs>
              <w:adjustRightInd w:val="0"/>
              <w:snapToGrid w:val="0"/>
              <w:spacing w:line="44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中国政府采购网(www.ccgp.gov.cn)、</w:t>
            </w:r>
          </w:p>
          <w:p>
            <w:pPr>
              <w:tabs>
                <w:tab w:val="left" w:pos="317"/>
              </w:tabs>
              <w:adjustRightInd w:val="0"/>
              <w:snapToGrid w:val="0"/>
              <w:spacing w:line="44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中国财经报网（</w:t>
            </w:r>
            <w:r>
              <w:rPr>
                <w:color w:val="auto"/>
                <w:highlight w:val="none"/>
              </w:rPr>
              <w:fldChar w:fldCharType="begin"/>
            </w:r>
            <w:r>
              <w:rPr>
                <w:color w:val="auto"/>
                <w:highlight w:val="none"/>
              </w:rPr>
              <w:instrText xml:space="preserve"> HYPERLINK "http://www.cfen.com.cn/"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http://www.cfen.com.cn/</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t>）、</w:t>
            </w:r>
          </w:p>
          <w:p>
            <w:pPr>
              <w:tabs>
                <w:tab w:val="left" w:pos="317"/>
              </w:tabs>
              <w:adjustRightInd w:val="0"/>
              <w:snapToGrid w:val="0"/>
              <w:spacing w:line="440" w:lineRule="exact"/>
              <w:rPr>
                <w:color w:val="auto"/>
                <w:highlight w:val="none"/>
              </w:rPr>
            </w:pPr>
            <w:r>
              <w:rPr>
                <w:rFonts w:hint="eastAsia" w:cs="宋体" w:asciiTheme="minorEastAsia" w:hAnsiTheme="minorEastAsia" w:eastAsiaTheme="minorEastAsia"/>
                <w:color w:val="auto"/>
                <w:sz w:val="24"/>
                <w:szCs w:val="24"/>
                <w:highlight w:val="none"/>
              </w:rPr>
              <w:t>中国采购与招标网（http://www.chinabidding.com.cn）。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tcBorders>
              <w:bottom w:val="single" w:color="auto" w:sz="12" w:space="0"/>
            </w:tcBorders>
            <w:vAlign w:val="center"/>
          </w:tcPr>
          <w:p>
            <w:pPr>
              <w:adjustRightInd w:val="0"/>
              <w:snapToGrid w:val="0"/>
              <w:spacing w:line="44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w:t>
            </w:r>
          </w:p>
        </w:tc>
        <w:tc>
          <w:tcPr>
            <w:tcW w:w="8000" w:type="dxa"/>
            <w:tcBorders>
              <w:bottom w:val="single" w:color="auto" w:sz="12" w:space="0"/>
            </w:tcBorders>
            <w:vAlign w:val="center"/>
          </w:tcPr>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评标方法：采用综合评分法。</w:t>
            </w:r>
          </w:p>
        </w:tc>
      </w:tr>
    </w:tbl>
    <w:p>
      <w:pPr>
        <w:adjustRightInd w:val="0"/>
        <w:snapToGrid w:val="0"/>
        <w:spacing w:line="360" w:lineRule="auto"/>
        <w:jc w:val="center"/>
        <w:outlineLvl w:val="0"/>
        <w:rPr>
          <w:rFonts w:asciiTheme="minorEastAsia" w:hAnsiTheme="minorEastAsia" w:eastAsiaTheme="minorEastAsia"/>
          <w:b/>
          <w:bCs/>
          <w:color w:val="auto"/>
          <w:sz w:val="32"/>
          <w:szCs w:val="24"/>
          <w:highlight w:val="none"/>
        </w:rPr>
      </w:pPr>
      <w:r>
        <w:rPr>
          <w:rFonts w:asciiTheme="minorEastAsia" w:hAnsiTheme="minorEastAsia" w:eastAsiaTheme="minorEastAsia"/>
          <w:color w:val="auto"/>
          <w:sz w:val="24"/>
          <w:szCs w:val="24"/>
          <w:highlight w:val="none"/>
        </w:rPr>
        <w:br w:type="page"/>
      </w:r>
      <w:bookmarkStart w:id="9" w:name="_Toc18626"/>
      <w:r>
        <w:rPr>
          <w:rFonts w:hint="eastAsia" w:cs="宋体" w:asciiTheme="minorEastAsia" w:hAnsiTheme="minorEastAsia" w:eastAsiaTheme="minorEastAsia"/>
          <w:b/>
          <w:bCs/>
          <w:color w:val="auto"/>
          <w:sz w:val="32"/>
          <w:szCs w:val="24"/>
          <w:highlight w:val="none"/>
        </w:rPr>
        <w:t>第三章开标、评标、定标</w:t>
      </w:r>
      <w:bookmarkEnd w:id="9"/>
    </w:p>
    <w:p>
      <w:pPr>
        <w:pStyle w:val="97"/>
        <w:widowControl/>
        <w:numPr>
          <w:ilvl w:val="0"/>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开标</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采购代理机构在投标邀请中规定的日期、时</w:t>
      </w:r>
      <w:r>
        <w:rPr>
          <w:rFonts w:hint="eastAsia" w:cs="宋体" w:asciiTheme="minorEastAsia" w:hAnsiTheme="minorEastAsia" w:eastAsiaTheme="minorEastAsia"/>
          <w:color w:val="auto"/>
          <w:sz w:val="24"/>
          <w:szCs w:val="24"/>
          <w:highlight w:val="none"/>
        </w:rPr>
        <w:t>间</w:t>
      </w:r>
      <w:r>
        <w:rPr>
          <w:rFonts w:hint="eastAsia" w:cs="宋体" w:asciiTheme="minorEastAsia" w:hAnsiTheme="minorEastAsia" w:eastAsiaTheme="minorEastAsia"/>
          <w:color w:val="auto"/>
          <w:sz w:val="24"/>
          <w:szCs w:val="24"/>
          <w:highlight w:val="none"/>
          <w:lang w:eastAsia="zh-TW"/>
        </w:rPr>
        <w:t>和地点组织公开开标。开标时邀请所有投标人代表参加。参加开标的代表应签名报到以证明其出席。</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投标人不足</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家的，不得开标。采购代理机构应在投标截止时间后当场退还投标文件，并与投标人办理退还手续。</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开标时，由投标人或者其推选的代表检查投标文件的密封情况；经确认无误后，由采购人或者采购代理机构工作人员当众拆封，宣布投标人名称、投标价格和招标文件规定的需要宣布的其他内容。</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开标过程应当由采购人或者采购代理机构负责记录，由参加开标的各投标人代表和相关工作人员签字确认后随采购文件一并存档。</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工作人员唱错或唱漏的，可以当场予以纠正或对错漏部分重新唱标。</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投标人未参加开标的，视同认可开标结果，并放弃其对开标环节质疑的权利。</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资格性审查：开标结束后，采购人或者采购代理机构应当依法对投标人的资格进行审查，详见《资格性审查表》。对初步被认定为资格性审查不合格的，应实行及时告知投标当事人，以让其核证、澄清事实。未通过资格性审查的投标人，不进入符合性审查。</w:t>
      </w:r>
    </w:p>
    <w:p>
      <w:pPr>
        <w:pStyle w:val="97"/>
        <w:widowControl/>
        <w:numPr>
          <w:ilvl w:val="0"/>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评标委员会的组成</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评标委员会依法组建。</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评标委员会成员名单在评标结果公告前应当保密。评审专家有下列情形之一的，受到邀请应主动提出回避，采购当事人也可以要求该评审专家回避：</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参加采购活动前</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年内与供应商存在劳动关系；</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参加采购活动前</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年内担任供应商的董事、监事；</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参加采购活动前</w:t>
      </w:r>
      <w:r>
        <w:rPr>
          <w:rFonts w:cs="宋体" w:asciiTheme="minorEastAsia" w:hAnsiTheme="minorEastAsia" w:eastAsiaTheme="minorEastAsia"/>
          <w:color w:val="auto"/>
          <w:sz w:val="24"/>
          <w:szCs w:val="24"/>
          <w:highlight w:val="none"/>
          <w:lang w:eastAsia="zh-TW"/>
        </w:rPr>
        <w:t>3</w:t>
      </w:r>
      <w:r>
        <w:rPr>
          <w:rFonts w:hint="eastAsia" w:cs="宋体" w:asciiTheme="minorEastAsia" w:hAnsiTheme="minorEastAsia" w:eastAsiaTheme="minorEastAsia"/>
          <w:color w:val="auto"/>
          <w:sz w:val="24"/>
          <w:szCs w:val="24"/>
          <w:highlight w:val="none"/>
          <w:lang w:eastAsia="zh-TW"/>
        </w:rPr>
        <w:t>年内是供应商的控股股东或者实际控制人；</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与供应商的法定代表人或者负责人有夫妻、直系血亲、三代以内旁系血亲或者近姻亲关系；</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与供应商有其他可能影响政府采购活动公平、公正进行的关系。</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评标委员会和有关工作人员不得透露对投标文件的评审和比较以及与评标有关的其他情况。</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评标委员会负责具体评标事务，并独立履行下列职责：</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审查、评价投标文件是否符合招标文件的商务、技术等实质性要求；</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要求投标人对投标文件有关事项作出澄清或者说明；</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对投标文件进行比较和评价；</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确定中标候选人名单，以及根据采购人委托直接确定中标人；</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向采购人、采购代理机构或者有关部门报告评标中发现的违法行为。</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对于投标文件中含义不明确、同类问题表述不一致或者有明显文字和计算错误的内容，评标委员会应当以书面形式要求投标人作出必要的澄清、说明或者补正。</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评标委员会决定投标的响应性只根据投标文件本身的真实无误的内容，而不依据外部的证据，但投标有不真实不正确的内容时除外。</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评标委员会成员对需要共同认定的事项存在争议的，应当按照少数服从多数的原则作出结论。持不同意见的评标委员会成员应当在评标报告上签署不同意见及理由，否则视为同意评标报告。</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评标结果汇总完成后，除下列情形外，任何人不得修改评标结果：</w:t>
      </w:r>
    </w:p>
    <w:p>
      <w:pPr>
        <w:pStyle w:val="97"/>
        <w:widowControl/>
        <w:numPr>
          <w:ilvl w:val="2"/>
          <w:numId w:val="3"/>
        </w:numPr>
        <w:spacing w:line="360" w:lineRule="auto"/>
        <w:ind w:left="0" w:firstLine="0" w:firstLineChars="0"/>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分值汇总计算错误的；</w:t>
      </w:r>
    </w:p>
    <w:p>
      <w:pPr>
        <w:pStyle w:val="97"/>
        <w:widowControl/>
        <w:numPr>
          <w:ilvl w:val="2"/>
          <w:numId w:val="3"/>
        </w:numPr>
        <w:spacing w:line="360" w:lineRule="auto"/>
        <w:ind w:firstLineChars="0"/>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分项评分超出评分标准范围的；</w:t>
      </w:r>
    </w:p>
    <w:p>
      <w:pPr>
        <w:pStyle w:val="97"/>
        <w:widowControl/>
        <w:numPr>
          <w:ilvl w:val="2"/>
          <w:numId w:val="3"/>
        </w:numPr>
        <w:spacing w:line="360" w:lineRule="auto"/>
        <w:ind w:firstLineChars="0"/>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评标委员会成员对客观评审因素评分不一致的；</w:t>
      </w:r>
    </w:p>
    <w:p>
      <w:pPr>
        <w:pStyle w:val="97"/>
        <w:widowControl/>
        <w:numPr>
          <w:ilvl w:val="2"/>
          <w:numId w:val="3"/>
        </w:numPr>
        <w:spacing w:afterLines="50" w:line="360" w:lineRule="auto"/>
        <w:ind w:left="811" w:hanging="811" w:hangingChars="338"/>
        <w:rPr>
          <w:rFonts w:cs="宋体"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经评标委员会认定评分畸高、畸低的。</w:t>
      </w:r>
    </w:p>
    <w:p>
      <w:pPr>
        <w:tabs>
          <w:tab w:val="left" w:pos="851"/>
        </w:tabs>
        <w:snapToGrid w:val="0"/>
        <w:spacing w:line="360" w:lineRule="auto"/>
        <w:ind w:firstLine="360" w:firstLineChars="1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评标报告签署前，经复核发现存在以上情形之一的，评标委员会应当当场修改评标结果，并在评标报告中记载。</w:t>
      </w:r>
    </w:p>
    <w:p>
      <w:pPr>
        <w:pStyle w:val="97"/>
        <w:widowControl/>
        <w:numPr>
          <w:ilvl w:val="0"/>
          <w:numId w:val="3"/>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评标</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评标方法：本次评标采用综合评分法，即在最大限度地满足招标文件实质性要求前提下，按技术、商务和价格三部分分别打分的方式进行评分。三项总分为</w:t>
      </w: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分，其中技术得分占50分，商务得分占20分，价格得分占3</w:t>
      </w:r>
      <w:r>
        <w:rPr>
          <w:rFonts w:cs="宋体" w:asciiTheme="minorEastAsia" w:hAnsiTheme="minorEastAsia" w:eastAsiaTheme="minorEastAsia"/>
          <w:color w:val="auto"/>
          <w:sz w:val="24"/>
          <w:szCs w:val="24"/>
          <w:highlight w:val="none"/>
        </w:rPr>
        <w:t>0</w:t>
      </w:r>
      <w:r>
        <w:rPr>
          <w:rFonts w:hint="eastAsia" w:cs="宋体" w:asciiTheme="minorEastAsia" w:hAnsiTheme="minorEastAsia" w:eastAsiaTheme="minorEastAsia"/>
          <w:color w:val="auto"/>
          <w:sz w:val="24"/>
          <w:szCs w:val="24"/>
          <w:highlight w:val="none"/>
        </w:rPr>
        <w:t>分，以综合得分最高的投标人作为第一中标候选人，得分排名第二的为第二中标候选人。第二中标候选人报价高于第一中标候选人报价</w:t>
      </w:r>
      <w:r>
        <w:rPr>
          <w:rFonts w:cs="宋体" w:asciiTheme="minorEastAsia" w:hAnsiTheme="minorEastAsia" w:eastAsiaTheme="minorEastAsia"/>
          <w:color w:val="auto"/>
          <w:sz w:val="24"/>
          <w:szCs w:val="24"/>
          <w:highlight w:val="none"/>
        </w:rPr>
        <w:t>20%</w:t>
      </w:r>
      <w:r>
        <w:rPr>
          <w:rFonts w:hint="eastAsia" w:cs="宋体" w:asciiTheme="minorEastAsia" w:hAnsiTheme="minorEastAsia" w:eastAsiaTheme="minorEastAsia"/>
          <w:color w:val="auto"/>
          <w:sz w:val="24"/>
          <w:szCs w:val="24"/>
          <w:highlight w:val="none"/>
        </w:rPr>
        <w:t>以上的，只推荐</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名中标候选人。</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评标步骤：</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本项目按各包组进行独立评审，按包组的自然顺序进行评审。（适用于多包组项目）</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符合性审查：评标委员会应当对符合资格的投标人的投标文件进行符合性审查，详  见《符合性审查表》，以确定其是否满足招标文件的实质性要求。</w:t>
      </w:r>
      <w:r>
        <w:rPr>
          <w:rFonts w:hint="eastAsia" w:cs="宋体" w:asciiTheme="minorEastAsia" w:hAnsiTheme="minorEastAsia" w:eastAsiaTheme="minorEastAsia"/>
          <w:color w:val="auto"/>
          <w:sz w:val="24"/>
          <w:szCs w:val="24"/>
          <w:highlight w:val="none"/>
          <w:lang w:eastAsia="zh-TW"/>
        </w:rPr>
        <w:t>评标委员会对初步被认定为符合性审查不合格或无效投标者应实行及时告知</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由评标委员会主任或采购人代表将集体意见现场及时告知投标当事人，以让其核证、澄清事实。</w:t>
      </w:r>
      <w:r>
        <w:rPr>
          <w:rFonts w:hint="eastAsia" w:cs="宋体" w:asciiTheme="minorEastAsia" w:hAnsiTheme="minorEastAsia" w:eastAsiaTheme="minorEastAsia"/>
          <w:color w:val="auto"/>
          <w:sz w:val="24"/>
          <w:szCs w:val="24"/>
          <w:highlight w:val="none"/>
        </w:rPr>
        <w:t>未通过符合性审查的投标人，不进入技术、商务和价格评审。</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详细评审：</w:t>
      </w:r>
    </w:p>
    <w:p>
      <w:pPr>
        <w:widowControl/>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3.2.3.1评标委员会对符合性审查合格的投标文件进行商务和技术评估，综合比较与评价，</w:t>
      </w:r>
    </w:p>
    <w:p>
      <w:pPr>
        <w:widowControl/>
        <w:spacing w:line="360" w:lineRule="auto"/>
        <w:ind w:firstLine="960" w:firstLineChars="40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详见《综合评分表》</w:t>
      </w:r>
    </w:p>
    <w:p>
      <w:pPr>
        <w:widowControl/>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3.2.3.2评标时，评标委员会各成员应当独立对每个投标人的投标文件进行评价，并汇总每</w:t>
      </w:r>
    </w:p>
    <w:p>
      <w:pPr>
        <w:widowControl/>
        <w:spacing w:line="360" w:lineRule="auto"/>
        <w:ind w:firstLine="960" w:firstLineChars="400"/>
        <w:jc w:val="left"/>
        <w:rPr>
          <w:rFonts w:asciiTheme="minorEastAsia" w:hAnsiTheme="minorEastAsia" w:eastAsiaTheme="minorEastAsia"/>
          <w:strike/>
          <w:color w:val="auto"/>
          <w:sz w:val="24"/>
          <w:szCs w:val="24"/>
          <w:highlight w:val="none"/>
        </w:rPr>
      </w:pPr>
      <w:r>
        <w:rPr>
          <w:rFonts w:hint="eastAsia" w:cs="宋体" w:asciiTheme="minorEastAsia" w:hAnsiTheme="minorEastAsia" w:eastAsiaTheme="minorEastAsia"/>
          <w:color w:val="auto"/>
          <w:sz w:val="24"/>
          <w:szCs w:val="24"/>
          <w:highlight w:val="none"/>
        </w:rPr>
        <w:t>个投标人的得分。评标总得分等于各项评审因素得分之和。</w:t>
      </w:r>
    </w:p>
    <w:p>
      <w:pPr>
        <w:widowControl/>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3.2.3.3评标过程中，不得去掉报价中的最高报价和最低报价。因落实政府采购政策进行价</w:t>
      </w:r>
    </w:p>
    <w:p>
      <w:pPr>
        <w:widowControl/>
        <w:spacing w:line="360" w:lineRule="auto"/>
        <w:ind w:firstLine="840" w:firstLineChars="35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格调整的，以调整后的价格计算评标基准价和投标报价</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详见《价格评审》。</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使用综合评分法的采购项目，单一产品采购项目提供相同品牌产品或非单一产品采购项目多家投标人提供的主要标的（核心产品）品牌相同的，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采用综合评分法的，评标委员会根据最终评审的结果，按照综合得分由高到低排序。综合得分相同的，按照投标报价由低到高排序。如以上都相同的并列。</w:t>
      </w:r>
      <w:r>
        <w:rPr>
          <w:rFonts w:hint="eastAsia" w:cs="宋体" w:asciiTheme="minorEastAsia" w:hAnsiTheme="minorEastAsia" w:eastAsiaTheme="minorEastAsia"/>
          <w:color w:val="auto"/>
          <w:sz w:val="24"/>
          <w:szCs w:val="24"/>
          <w:highlight w:val="none"/>
        </w:rPr>
        <w:t>投标文件满足招标文件全部实质性要求，且按照评审因素的量化指标评审得分最高的投标人为排名第一的中标候选人。</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推荐排名第一的投标人为第一中标候选人，排名第二的投标人为第二中标候选人。第二中标候选人报价高于第一中标候选人报价</w:t>
      </w:r>
      <w:r>
        <w:rPr>
          <w:rFonts w:cs="宋体" w:asciiTheme="minorEastAsia" w:hAnsiTheme="minorEastAsia" w:eastAsiaTheme="minorEastAsia"/>
          <w:color w:val="auto"/>
          <w:sz w:val="24"/>
          <w:szCs w:val="24"/>
          <w:highlight w:val="none"/>
          <w:lang w:eastAsia="zh-TW"/>
        </w:rPr>
        <w:t>20%</w:t>
      </w:r>
      <w:r>
        <w:rPr>
          <w:rFonts w:hint="eastAsia" w:cs="宋体" w:asciiTheme="minorEastAsia" w:hAnsiTheme="minorEastAsia" w:eastAsiaTheme="minorEastAsia"/>
          <w:color w:val="auto"/>
          <w:sz w:val="24"/>
          <w:szCs w:val="24"/>
          <w:highlight w:val="none"/>
          <w:lang w:eastAsia="zh-TW"/>
        </w:rPr>
        <w:t>以上的，只推荐</w:t>
      </w:r>
      <w:r>
        <w:rPr>
          <w:rFonts w:cs="宋体" w:asciiTheme="minorEastAsia" w:hAnsiTheme="minorEastAsia" w:eastAsiaTheme="minorEastAsia"/>
          <w:color w:val="auto"/>
          <w:sz w:val="24"/>
          <w:szCs w:val="24"/>
          <w:highlight w:val="none"/>
          <w:lang w:eastAsia="zh-TW"/>
        </w:rPr>
        <w:t>1</w:t>
      </w:r>
      <w:r>
        <w:rPr>
          <w:rFonts w:hint="eastAsia" w:cs="宋体" w:asciiTheme="minorEastAsia" w:hAnsiTheme="minorEastAsia" w:eastAsiaTheme="minorEastAsia"/>
          <w:color w:val="auto"/>
          <w:sz w:val="24"/>
          <w:szCs w:val="24"/>
          <w:highlight w:val="none"/>
          <w:lang w:eastAsia="zh-TW"/>
        </w:rPr>
        <w:t>名中标候选人。</w:t>
      </w:r>
    </w:p>
    <w:p>
      <w:pPr>
        <w:pStyle w:val="97"/>
        <w:widowControl/>
        <w:numPr>
          <w:ilvl w:val="0"/>
          <w:numId w:val="3"/>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定标：</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采购人确定第一中标候选取人为</w:t>
      </w: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一</w:t>
      </w:r>
      <w:r>
        <w:rPr>
          <w:rFonts w:hint="eastAsia" w:cs="宋体" w:asciiTheme="minorEastAsia" w:hAnsiTheme="minorEastAsia" w:eastAsiaTheme="minorEastAsia"/>
          <w:color w:val="auto"/>
          <w:sz w:val="24"/>
          <w:szCs w:val="24"/>
          <w:highlight w:val="none"/>
          <w:lang w:eastAsia="zh-TW"/>
        </w:rPr>
        <w:t>中标候选人</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排名第二的投标人为第二中标候选人</w:t>
      </w:r>
      <w:r>
        <w:rPr>
          <w:rFonts w:hint="eastAsia" w:cs="宋体" w:asciiTheme="minorEastAsia" w:hAnsiTheme="minorEastAsia" w:eastAsiaTheme="minorEastAsia"/>
          <w:color w:val="auto"/>
          <w:sz w:val="24"/>
          <w:szCs w:val="24"/>
          <w:highlight w:val="none"/>
        </w:rPr>
        <w:t>。第一中标候选人并列的，由采购人或采购人委托评标委员会采取随机抽取的方式确定。随机抽取是指通过抽签等能够保证所有符合抽取资格供应商机会均等的方式选定供应商。随机抽取供应商时，有不少于两名采购人工作人员在场监督，并形成书面记录。</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评标委员会提交评标报告和推荐中标意见报采购人确认，采购人在收到评标报告</w:t>
      </w: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个工作日内确定中标人，按照评标报告中推荐的中标候选人顺序确定中标人，也可以事先授权评标委员会直接确定中标人。确认后采购代理机构将在刊登本项目招标公告的法定媒体上发布中标公告。</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标人放弃中标或者中标资格被依法确认无效的或中标人拒绝与采购人签订合同的，采购人可以按照评审报告推荐的中标候选人名单排序，确定下一候选人为中标人，也可以重新开展政府采购活动；没有其他中标候选人的，应当重新组织采购活动。</w:t>
      </w:r>
    </w:p>
    <w:p>
      <w:pPr>
        <w:pStyle w:val="97"/>
        <w:widowControl/>
        <w:numPr>
          <w:ilvl w:val="0"/>
          <w:numId w:val="3"/>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特别说明</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有下列情形之一的，视为投标人串通投标，其投标无效：</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不同投标人的投标文件由同一单位或者个人编制；</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不同投标人委托同一单位或者个人办理投标事宜；</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不同投标人的投标文件载明的项目管理成员或者联系人员为同一人；</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不同投标人的投标文件异常一致或者投标报价呈规律性差异；</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不同投标人的投标文件相互混装；</w:t>
      </w:r>
    </w:p>
    <w:p>
      <w:pPr>
        <w:pStyle w:val="97"/>
        <w:widowControl/>
        <w:numPr>
          <w:ilvl w:val="1"/>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投标人存在下列情况之一的，投标无效</w:t>
      </w:r>
      <w:r>
        <w:rPr>
          <w:rFonts w:cs="宋体" w:asciiTheme="minorEastAsia" w:hAnsiTheme="minorEastAsia" w:eastAsiaTheme="minorEastAsia"/>
          <w:color w:val="auto"/>
          <w:sz w:val="24"/>
          <w:szCs w:val="24"/>
          <w:highlight w:val="none"/>
        </w:rPr>
        <w:t>:</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投标文件未按招标文件要求签署、盖章的；</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不具备招标文件中规定的资格要求的；</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报价超过招标文件中规定的单价限价或预算金额或者最高限价的；</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投标文件含有采购人不能接受的附加条件的；</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法律、法规和招标文件规定的其他无效情形。</w:t>
      </w:r>
    </w:p>
    <w:p>
      <w:pPr>
        <w:pStyle w:val="97"/>
        <w:widowControl/>
        <w:numPr>
          <w:ilvl w:val="1"/>
          <w:numId w:val="3"/>
        </w:numPr>
        <w:spacing w:line="360" w:lineRule="auto"/>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废标</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在招标采购中，出现下列情形之一的，应予废标。</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符合专业条件的供应商或者对招标文件作实质响应的供应商不足三家的；</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出现影响采购公正的违法、违规行为的；</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投标人的报价均超过了采购预算，采购人不能支付的；</w:t>
      </w:r>
    </w:p>
    <w:p>
      <w:pPr>
        <w:pStyle w:val="97"/>
        <w:widowControl/>
        <w:numPr>
          <w:ilvl w:val="2"/>
          <w:numId w:val="3"/>
        </w:numPr>
        <w:spacing w:line="360" w:lineRule="auto"/>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因重大变故，采购任务取消的。</w:t>
      </w:r>
    </w:p>
    <w:p>
      <w:pPr>
        <w:widowControl/>
        <w:jc w:val="center"/>
        <w:rPr>
          <w:rFonts w:asciiTheme="minorEastAsia" w:hAnsiTheme="minorEastAsia" w:eastAsiaTheme="minorEastAsia"/>
          <w:color w:val="auto"/>
          <w:sz w:val="24"/>
          <w:szCs w:val="24"/>
          <w:highlight w:val="none"/>
        </w:rPr>
      </w:pPr>
      <w:bookmarkStart w:id="10" w:name="_Toc435514846"/>
      <w:r>
        <w:rPr>
          <w:rFonts w:asciiTheme="minorEastAsia" w:hAnsiTheme="minorEastAsia" w:eastAsiaTheme="minorEastAsia"/>
          <w:color w:val="auto"/>
          <w:sz w:val="24"/>
          <w:szCs w:val="24"/>
          <w:highlight w:val="none"/>
        </w:rPr>
        <w:br w:type="page"/>
      </w:r>
      <w:r>
        <w:rPr>
          <w:rFonts w:hint="eastAsia" w:cs="黑体" w:asciiTheme="minorEastAsia" w:hAnsiTheme="minorEastAsia" w:eastAsiaTheme="minorEastAsia"/>
          <w:color w:val="auto"/>
          <w:sz w:val="28"/>
          <w:szCs w:val="24"/>
          <w:highlight w:val="none"/>
        </w:rPr>
        <w:t>资格性审查表</w:t>
      </w:r>
    </w:p>
    <w:tbl>
      <w:tblPr>
        <w:tblStyle w:val="38"/>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86" w:type="dxa"/>
            <w:tcBorders>
              <w:top w:val="single" w:color="auto" w:sz="12" w:space="0"/>
            </w:tcBorders>
            <w:vAlign w:val="center"/>
          </w:tcPr>
          <w:p>
            <w:pPr>
              <w:spacing w:line="38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8314" w:type="dxa"/>
            <w:tcBorders>
              <w:top w:val="single" w:color="auto" w:sz="12" w:space="0"/>
            </w:tcBorders>
            <w:vAlign w:val="center"/>
          </w:tcPr>
          <w:p>
            <w:pPr>
              <w:spacing w:line="38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审</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内</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numPr>
                <w:ilvl w:val="0"/>
                <w:numId w:val="4"/>
              </w:numPr>
              <w:tabs>
                <w:tab w:val="left" w:pos="176"/>
                <w:tab w:val="left" w:pos="612"/>
              </w:tabs>
              <w:spacing w:line="380" w:lineRule="exact"/>
              <w:jc w:val="center"/>
              <w:rPr>
                <w:rFonts w:asciiTheme="minorEastAsia" w:hAnsiTheme="minorEastAsia" w:eastAsiaTheme="minorEastAsia"/>
                <w:color w:val="auto"/>
                <w:sz w:val="24"/>
                <w:szCs w:val="24"/>
                <w:highlight w:val="none"/>
              </w:rPr>
            </w:pPr>
          </w:p>
        </w:tc>
        <w:tc>
          <w:tcPr>
            <w:tcW w:w="8314" w:type="dxa"/>
            <w:vAlign w:val="center"/>
          </w:tcPr>
          <w:p>
            <w:pPr>
              <w:spacing w:line="420" w:lineRule="exact"/>
              <w:ind w:left="490" w:hanging="489" w:hangingChars="204"/>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投标人应具备《政府采购法》第二十二条规定的条件，即：</w:t>
            </w:r>
          </w:p>
          <w:p>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有依法缴纳税收和社会保障资金的良好记录：提供投标截止日前6个月内任意1个月依法缴纳税收和社会保障资金的相关材料。如依法免税或不需要缴纳社会保障资金的，提供相应证明材料（如供应商已对接“粤省事”“粤商通”等系统且能通过系统查询到相关内容，则无须提供该项证明文件，供应商可以提供相关承诺函）；</w:t>
            </w:r>
          </w:p>
          <w:p>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w:t>
            </w:r>
            <w:r>
              <w:rPr>
                <w:rFonts w:hint="eastAsia" w:ascii="宋体" w:hAnsi="宋体" w:cs="宋体"/>
                <w:color w:val="auto"/>
                <w:sz w:val="24"/>
                <w:szCs w:val="24"/>
                <w:highlight w:val="none"/>
              </w:rPr>
              <w:t>具有良好的商业信誉和健全的财务会计制度：提供2020或2021年度财务状况报告或基本开户行出具的资信证明</w:t>
            </w:r>
            <w:r>
              <w:rPr>
                <w:rFonts w:hint="eastAsia" w:ascii="宋体" w:hAnsi="宋体"/>
                <w:color w:val="auto"/>
                <w:sz w:val="24"/>
                <w:highlight w:val="none"/>
              </w:rPr>
              <w:t>或财政部门认可的政府采购专业担保机构出具的担保函</w:t>
            </w:r>
            <w:r>
              <w:rPr>
                <w:rFonts w:hint="eastAsia" w:ascii="宋体" w:hAnsi="宋体" w:cs="宋体"/>
                <w:color w:val="auto"/>
                <w:sz w:val="24"/>
                <w:szCs w:val="24"/>
                <w:highlight w:val="none"/>
              </w:rPr>
              <w:t>（如供应商已对接“粤省事”“粤商通”等系统且能通过系统查询到相关内容，则无须提供该项证明文件，供应商可以提供相关承诺函）</w:t>
            </w:r>
            <w:r>
              <w:rPr>
                <w:rFonts w:hint="eastAsia" w:ascii="宋体" w:hAnsi="宋体" w:cs="宋体"/>
                <w:color w:val="auto"/>
                <w:sz w:val="24"/>
                <w:highlight w:val="none"/>
                <w:shd w:val="clear" w:color="auto" w:fill="FFFFFF"/>
              </w:rPr>
              <w:t>；</w:t>
            </w:r>
          </w:p>
          <w:p>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4）履行合同所必须的设备和专业技术能力：</w:t>
            </w:r>
            <w:r>
              <w:rPr>
                <w:rFonts w:hint="eastAsia" w:ascii="宋体" w:hAnsi="宋体" w:cs="宋体"/>
                <w:color w:val="auto"/>
                <w:sz w:val="24"/>
                <w:szCs w:val="24"/>
                <w:highlight w:val="none"/>
              </w:rPr>
              <w:t>以具有相关的设备及专业技术能力的证明材料或书面承诺为准</w:t>
            </w:r>
            <w:r>
              <w:rPr>
                <w:rFonts w:hint="eastAsia" w:ascii="宋体" w:hAnsi="宋体" w:cs="宋体"/>
                <w:color w:val="auto"/>
                <w:sz w:val="24"/>
                <w:highlight w:val="none"/>
                <w:shd w:val="clear" w:color="auto" w:fill="FFFFFF"/>
              </w:rPr>
              <w:t>；</w:t>
            </w:r>
          </w:p>
          <w:p>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pStyle w:val="21"/>
              <w:spacing w:line="360" w:lineRule="auto"/>
              <w:rPr>
                <w:rFonts w:asciiTheme="minorEastAsia" w:hAnsiTheme="minorEastAsia" w:eastAsiaTheme="minorEastAsia"/>
                <w:color w:val="auto"/>
                <w:sz w:val="24"/>
                <w:szCs w:val="24"/>
                <w:highlight w:val="none"/>
              </w:rPr>
            </w:pPr>
            <w:r>
              <w:rPr>
                <w:rFonts w:hint="eastAsia" w:hAnsi="宋体"/>
                <w:color w:val="auto"/>
                <w:sz w:val="24"/>
                <w:highlight w:val="none"/>
                <w:shd w:val="clear" w:color="auto" w:fill="FFFFFF"/>
              </w:rPr>
              <w:t>6）法律、行政法规规定的其他条件：须提供书面声明，格式自定。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numPr>
                <w:ilvl w:val="0"/>
                <w:numId w:val="4"/>
              </w:numPr>
              <w:tabs>
                <w:tab w:val="left" w:pos="176"/>
                <w:tab w:val="left" w:pos="612"/>
              </w:tabs>
              <w:spacing w:line="380" w:lineRule="exact"/>
              <w:jc w:val="center"/>
              <w:rPr>
                <w:rFonts w:asciiTheme="minorEastAsia" w:hAnsiTheme="minorEastAsia" w:eastAsiaTheme="minorEastAsia"/>
                <w:color w:val="auto"/>
                <w:sz w:val="24"/>
                <w:szCs w:val="24"/>
                <w:highlight w:val="none"/>
              </w:rPr>
            </w:pPr>
          </w:p>
        </w:tc>
        <w:tc>
          <w:tcPr>
            <w:tcW w:w="8314" w:type="dxa"/>
            <w:vAlign w:val="center"/>
          </w:tcPr>
          <w:p>
            <w:pPr>
              <w:pStyle w:val="112"/>
              <w:spacing w:line="360" w:lineRule="auto"/>
              <w:rPr>
                <w:rFonts w:hAnsi="宋体"/>
                <w:color w:val="auto"/>
                <w:highlight w:val="none"/>
                <w:shd w:val="clear" w:color="auto" w:fill="FFFFFF"/>
              </w:rPr>
            </w:pPr>
            <w:r>
              <w:rPr>
                <w:rFonts w:hint="eastAsia" w:hAnsi="宋体"/>
                <w:color w:val="auto"/>
                <w:highlight w:val="none"/>
                <w:shd w:val="clear" w:color="auto" w:fill="FFFFFF"/>
              </w:rPr>
              <w:t>供应商应当具备的其他资格条件：</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 xml:space="preserve">如投标人为所投产品的生产企业：所投产品为第二类、三类医疗器械，提供食品药品监督管理部门签发的有效的《医疗器械生产许可证》复印件。 </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 xml:space="preserve">如投标人为所投产品的经营企业：所投产品为第三类医疗器械，提供食品药品监督管理部门签发的有效的《医疗器械经营许可证》复印件。 </w:t>
            </w:r>
          </w:p>
          <w:p>
            <w:pPr>
              <w:pStyle w:val="112"/>
              <w:spacing w:line="360" w:lineRule="auto"/>
              <w:ind w:firstLine="480" w:firstLineChars="200"/>
              <w:rPr>
                <w:rStyle w:val="46"/>
                <w:rFonts w:asciiTheme="minorEastAsia" w:hAnsiTheme="minorEastAsia"/>
                <w:color w:val="auto"/>
                <w:sz w:val="24"/>
                <w:szCs w:val="24"/>
                <w:highlight w:val="none"/>
              </w:rPr>
            </w:pPr>
            <w:r>
              <w:rPr>
                <w:rFonts w:hint="eastAsia" w:hAnsi="宋体"/>
                <w:color w:val="auto"/>
                <w:highlight w:val="none"/>
                <w:shd w:val="clear" w:color="auto" w:fill="FFFFFF"/>
              </w:rPr>
              <w:t>注：若所投产品并非医疗器械，则无须提供上述要求。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spacing w:line="380" w:lineRule="exact"/>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c>
          <w:tcPr>
            <w:tcW w:w="8314" w:type="dxa"/>
            <w:vAlign w:val="center"/>
          </w:tcPr>
          <w:p>
            <w:pPr>
              <w:tabs>
                <w:tab w:val="left" w:pos="612"/>
              </w:tabs>
              <w:spacing w:line="380" w:lineRule="exact"/>
              <w:rPr>
                <w:rFonts w:hint="eastAsia" w:eastAsia="宋体" w:asciiTheme="minorEastAsia" w:hAnsiTheme="minorEastAsia"/>
                <w:color w:val="auto"/>
                <w:sz w:val="24"/>
                <w:szCs w:val="24"/>
                <w:highlight w:val="none"/>
                <w:lang w:val="en-US" w:eastAsia="zh-CN"/>
              </w:rPr>
            </w:pPr>
            <w:r>
              <w:rPr>
                <w:rFonts w:hint="eastAsia" w:ascii="宋体" w:hAnsi="宋体" w:eastAsia="宋体" w:cs="宋体"/>
                <w:color w:val="auto"/>
                <w:kern w:val="0"/>
                <w:sz w:val="24"/>
                <w:szCs w:val="24"/>
                <w:highlight w:val="none"/>
              </w:rPr>
              <w:t>落实政府采购政策需满足的资格要求</w:t>
            </w:r>
            <w:r>
              <w:rPr>
                <w:rFonts w:hint="eastAsia" w:ascii="宋体" w:hAnsi="宋体" w:eastAsia="宋体" w:cs="宋体"/>
                <w:color w:val="auto"/>
                <w:kern w:val="0"/>
                <w:sz w:val="24"/>
                <w:szCs w:val="24"/>
                <w:highlight w:val="none"/>
                <w:lang w:val="en-US" w:eastAsia="zh-CN"/>
              </w:rPr>
              <w:t>:</w:t>
            </w:r>
          </w:p>
          <w:p>
            <w:pPr>
              <w:tabs>
                <w:tab w:val="left" w:pos="612"/>
              </w:tabs>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包组一：中标人须承诺预留该采购包合同金额比例的39.75%给小、微企业。（供应商须提供《分包意向协议》（</w:t>
            </w:r>
            <w:r>
              <w:rPr>
                <w:rFonts w:hint="eastAsia" w:asciiTheme="minorEastAsia" w:hAnsiTheme="minorEastAsia" w:eastAsiaTheme="minorEastAsia"/>
                <w:color w:val="auto"/>
                <w:sz w:val="24"/>
                <w:szCs w:val="24"/>
                <w:highlight w:val="none"/>
                <w:lang w:val="en-US" w:eastAsia="zh-CN"/>
              </w:rPr>
              <w:t>见</w:t>
            </w:r>
            <w:r>
              <w:rPr>
                <w:rFonts w:hint="eastAsia" w:asciiTheme="minorEastAsia" w:hAnsiTheme="minorEastAsia" w:eastAsiaTheme="minorEastAsia"/>
                <w:color w:val="auto"/>
                <w:sz w:val="24"/>
                <w:szCs w:val="24"/>
                <w:highlight w:val="none"/>
              </w:rPr>
              <w:t>投标文件格式），中小企业以供应商填写的《中小企业声明函》（见投标文件格式）为判定标准，残疾人福利性单位以供应商提供的《残疾人福利性单位声明函》（见投标文件格式）为判定标准，监狱企业须供应商提供由省级以上监狱管理局、戒毒管理局（含新疆生产建设兵团）出具的属于监狱企业的证明文件，接受分包合同的任何一方不得再以自己名义单独或接受其他供应商的分包参加本项目（同一采购包）的投标，否则不予认定。（注：如果供应商本身提供的所有标的均由中小企业承接，视同符合上述资格条件，无需再向中小企业分包）</w:t>
            </w:r>
          </w:p>
          <w:p>
            <w:pPr>
              <w:tabs>
                <w:tab w:val="left" w:pos="612"/>
              </w:tabs>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包组二：本包组不属于专门面向中小企业采购的项目，允许非中小微企业、监狱企业、残疾人福利性单位参与项目投标。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spacing w:line="38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4</w:t>
            </w:r>
          </w:p>
        </w:tc>
        <w:tc>
          <w:tcPr>
            <w:tcW w:w="8314" w:type="dxa"/>
            <w:vAlign w:val="center"/>
          </w:tcPr>
          <w:p>
            <w:pPr>
              <w:tabs>
                <w:tab w:val="left" w:pos="612"/>
              </w:tabs>
              <w:spacing w:line="38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vAlign w:val="center"/>
          </w:tcPr>
          <w:p>
            <w:pPr>
              <w:tabs>
                <w:tab w:val="left" w:pos="176"/>
                <w:tab w:val="left" w:pos="612"/>
              </w:tabs>
              <w:spacing w:line="38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5</w:t>
            </w:r>
          </w:p>
        </w:tc>
        <w:tc>
          <w:tcPr>
            <w:tcW w:w="8314" w:type="dxa"/>
            <w:vAlign w:val="center"/>
          </w:tcPr>
          <w:p>
            <w:pPr>
              <w:tabs>
                <w:tab w:val="left" w:pos="612"/>
              </w:tabs>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投标人应承诺公平竞争。以书面公平竞争承诺书为准。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6" w:type="dxa"/>
            <w:vAlign w:val="center"/>
          </w:tcPr>
          <w:p>
            <w:pPr>
              <w:tabs>
                <w:tab w:val="left" w:pos="176"/>
                <w:tab w:val="left" w:pos="612"/>
              </w:tabs>
              <w:spacing w:line="38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6</w:t>
            </w:r>
          </w:p>
        </w:tc>
        <w:tc>
          <w:tcPr>
            <w:tcW w:w="8314" w:type="dxa"/>
            <w:vAlign w:val="center"/>
          </w:tcPr>
          <w:p>
            <w:pPr>
              <w:tabs>
                <w:tab w:val="left" w:pos="612"/>
              </w:tabs>
              <w:spacing w:line="380" w:lineRule="exact"/>
              <w:rPr>
                <w:rFonts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单位负责人为同一人或者存在直接控股、管理关系的不同供应商，不得同时参加本采购包投标（响应）。资格声明函相关承诺要求内容。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6" w:type="dxa"/>
            <w:vAlign w:val="center"/>
          </w:tcPr>
          <w:p>
            <w:pPr>
              <w:tabs>
                <w:tab w:val="left" w:pos="176"/>
                <w:tab w:val="left" w:pos="612"/>
              </w:tabs>
              <w:spacing w:line="38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7</w:t>
            </w:r>
          </w:p>
        </w:tc>
        <w:tc>
          <w:tcPr>
            <w:tcW w:w="8314" w:type="dxa"/>
            <w:vAlign w:val="center"/>
          </w:tcPr>
          <w:p>
            <w:pPr>
              <w:tabs>
                <w:tab w:val="left" w:pos="612"/>
              </w:tabs>
              <w:spacing w:line="380" w:lineRule="exact"/>
              <w:rPr>
                <w:rFonts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为本项目提供整体设计、规范编制或者项目管理、监理、检测等服务的供应商，不得再参与本项目投标（响应）。资格声明函相关承诺要求内容。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86" w:type="dxa"/>
            <w:tcBorders>
              <w:bottom w:val="single" w:color="auto" w:sz="12" w:space="0"/>
            </w:tcBorders>
            <w:vAlign w:val="center"/>
          </w:tcPr>
          <w:p>
            <w:pPr>
              <w:tabs>
                <w:tab w:val="left" w:pos="176"/>
                <w:tab w:val="left" w:pos="612"/>
              </w:tabs>
              <w:spacing w:line="38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8</w:t>
            </w:r>
          </w:p>
        </w:tc>
        <w:tc>
          <w:tcPr>
            <w:tcW w:w="8314" w:type="dxa"/>
            <w:tcBorders>
              <w:bottom w:val="single" w:color="auto" w:sz="12" w:space="0"/>
            </w:tcBorders>
            <w:vAlign w:val="center"/>
          </w:tcPr>
          <w:p>
            <w:pPr>
              <w:tabs>
                <w:tab w:val="left" w:pos="612"/>
              </w:tabs>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本项目不接受联合体投标。</w:t>
            </w:r>
          </w:p>
        </w:tc>
      </w:tr>
    </w:tbl>
    <w:p>
      <w:pPr>
        <w:adjustRightInd w:val="0"/>
        <w:snapToGrid w:val="0"/>
        <w:spacing w:line="360" w:lineRule="auto"/>
        <w:ind w:firstLine="240" w:firstLineChars="100"/>
        <w:jc w:val="left"/>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说明：投标人必须严格按照《资格性审查表》的评审内容的要求如实提供证明材料。</w:t>
      </w:r>
    </w:p>
    <w:p>
      <w:pPr>
        <w:rPr>
          <w:rFonts w:hint="eastAsia" w:cs="黑体"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8"/>
          <w:szCs w:val="24"/>
          <w:highlight w:val="none"/>
        </w:rPr>
        <w:br w:type="page"/>
      </w:r>
    </w:p>
    <w:p>
      <w:pPr>
        <w:adjustRightInd w:val="0"/>
        <w:snapToGrid w:val="0"/>
        <w:spacing w:beforeLines="50" w:afterLines="50" w:line="360" w:lineRule="auto"/>
        <w:jc w:val="center"/>
        <w:outlineLvl w:val="2"/>
        <w:rPr>
          <w:rFonts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8"/>
          <w:szCs w:val="24"/>
          <w:highlight w:val="none"/>
        </w:rPr>
        <w:t>符合性审查表</w:t>
      </w:r>
    </w:p>
    <w:tbl>
      <w:tblPr>
        <w:tblStyle w:val="38"/>
        <w:tblW w:w="90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056" w:type="dxa"/>
            <w:gridSpan w:val="2"/>
            <w:vMerge w:val="restart"/>
            <w:tcBorders>
              <w:top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056" w:type="dxa"/>
            <w:gridSpan w:val="2"/>
            <w:vMerge w:val="continue"/>
            <w:vAlign w:val="center"/>
          </w:tcPr>
          <w:p>
            <w:pPr>
              <w:widowControl/>
              <w:spacing w:line="400" w:lineRule="exact"/>
              <w:jc w:val="left"/>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8161"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采购响应文件有供应商盖章或其法定代表人（或法定代表人委托的代理人）的印鉴或签名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采购响应文件完全满足采购文件中带“★”号的条款和指标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供应商无出现报价不确定或超过采购文件中列出的单价限价或采购预算（最高限价）的情形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4</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投标文件有效期符合招标文件要求的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评审期间，供应商无出现按评标委员会要求提交经授权代表签字的澄清、说明、补正或改变了采购响应文件的实质性内容的情形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6</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投标文件没有招标文件中规定的其它无效投标或投标无效条款的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7</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无出现按有关法律、法规、规章规定属于投标无效的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5" w:type="dxa"/>
            <w:vAlign w:val="center"/>
          </w:tcPr>
          <w:p>
            <w:pPr>
              <w:widowControl/>
              <w:spacing w:line="40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8</w:t>
            </w:r>
          </w:p>
        </w:tc>
        <w:tc>
          <w:tcPr>
            <w:tcW w:w="8161" w:type="dxa"/>
            <w:vAlign w:val="center"/>
          </w:tcPr>
          <w:p>
            <w:pPr>
              <w:widowControl/>
              <w:spacing w:line="400" w:lineRule="exact"/>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已按照招标公告及招标文件的规定获取招标文件。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9056" w:type="dxa"/>
            <w:gridSpan w:val="2"/>
            <w:tcBorders>
              <w:bottom w:val="single" w:color="auto" w:sz="12" w:space="0"/>
            </w:tcBorders>
            <w:vAlign w:val="center"/>
          </w:tcPr>
          <w:p>
            <w:pPr>
              <w:pStyle w:val="110"/>
              <w:spacing w:line="400" w:lineRule="exact"/>
              <w:rPr>
                <w:rFonts w:asciiTheme="minorEastAsia" w:hAnsiTheme="minorEastAsia" w:eastAsiaTheme="minorEastAsia"/>
                <w:color w:val="auto"/>
                <w:spacing w:val="0"/>
                <w:kern w:val="2"/>
                <w:highlight w:val="none"/>
              </w:rPr>
            </w:pPr>
            <w:r>
              <w:rPr>
                <w:rFonts w:hint="eastAsia" w:cs="宋体" w:asciiTheme="minorEastAsia" w:hAnsiTheme="minorEastAsia" w:eastAsiaTheme="minorEastAsia"/>
                <w:color w:val="auto"/>
                <w:spacing w:val="0"/>
                <w:kern w:val="2"/>
                <w:highlight w:val="none"/>
              </w:rPr>
              <w:t>结论</w:t>
            </w:r>
          </w:p>
        </w:tc>
      </w:tr>
    </w:tbl>
    <w:p>
      <w:pPr>
        <w:pStyle w:val="16"/>
        <w:ind w:firstLine="480" w:firstLineChars="20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说明：投标人必须严格按照《符合性审查表》的评审内容的要求如实提供证明材料。</w:t>
      </w:r>
    </w:p>
    <w:p>
      <w:pPr>
        <w:rPr>
          <w:rFonts w:cs="黑体"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8"/>
          <w:szCs w:val="24"/>
          <w:highlight w:val="none"/>
        </w:rPr>
        <w:br w:type="page"/>
      </w:r>
    </w:p>
    <w:p>
      <w:pPr>
        <w:pStyle w:val="16"/>
        <w:ind w:firstLine="562" w:firstLineChars="200"/>
        <w:jc w:val="center"/>
        <w:rPr>
          <w:rFonts w:cs="黑体"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8"/>
          <w:szCs w:val="24"/>
          <w:highlight w:val="none"/>
        </w:rPr>
        <w:t>综合评分表</w:t>
      </w:r>
    </w:p>
    <w:p>
      <w:pPr>
        <w:pStyle w:val="16"/>
        <w:ind w:firstLine="482" w:firstLineChars="200"/>
        <w:jc w:val="center"/>
        <w:rPr>
          <w:rFonts w:cs="黑体"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4"/>
          <w:szCs w:val="22"/>
          <w:highlight w:val="none"/>
        </w:rPr>
        <w:t>（适用于包组一）</w:t>
      </w:r>
    </w:p>
    <w:tbl>
      <w:tblPr>
        <w:tblStyle w:val="38"/>
        <w:tblW w:w="91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257"/>
        <w:gridCol w:w="6405"/>
        <w:gridCol w:w="7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679" w:type="dxa"/>
            <w:tcBorders>
              <w:top w:val="single" w:color="auto" w:sz="12" w:space="0"/>
              <w:lef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1257" w:type="dxa"/>
            <w:tcBorders>
              <w:top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评审因素</w:t>
            </w:r>
          </w:p>
        </w:tc>
        <w:tc>
          <w:tcPr>
            <w:tcW w:w="6405" w:type="dxa"/>
            <w:tcBorders>
              <w:top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评分细则</w:t>
            </w:r>
          </w:p>
        </w:tc>
        <w:tc>
          <w:tcPr>
            <w:tcW w:w="767" w:type="dxa"/>
            <w:tcBorders>
              <w:top w:val="single" w:color="auto" w:sz="12" w:space="0"/>
              <w:righ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79" w:type="dxa"/>
            <w:tcBorders>
              <w:lef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w:t>
            </w:r>
          </w:p>
        </w:tc>
        <w:tc>
          <w:tcPr>
            <w:tcW w:w="8429" w:type="dxa"/>
            <w:gridSpan w:val="3"/>
            <w:tcBorders>
              <w:righ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技术部分（分值：50分）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57" w:type="dxa"/>
            <w:vAlign w:val="center"/>
          </w:tcPr>
          <w:p>
            <w:pPr>
              <w:spacing w:line="360" w:lineRule="auto"/>
              <w:ind w:left="-78" w:leftChars="-37" w:right="-73" w:rightChars="-35"/>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货物技术参数响应程度</w:t>
            </w:r>
          </w:p>
        </w:tc>
        <w:tc>
          <w:tcPr>
            <w:tcW w:w="6405" w:type="dxa"/>
            <w:vAlign w:val="center"/>
          </w:tcPr>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根据各投标人所投产品对《第二章 采购项目内容》中的“技术要求内（二）技术参数”对应响应情况进行综合评审：</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1.对▲号（共</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条）响应进行评审，每满足一个▲号，得1分，满分</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2.对不带▲号参数</w:t>
            </w:r>
            <w:r>
              <w:rPr>
                <w:rFonts w:hint="eastAsia" w:ascii="宋体" w:hAnsi="宋体" w:cs="宋体"/>
                <w:color w:val="auto"/>
                <w:sz w:val="24"/>
                <w:szCs w:val="24"/>
                <w:highlight w:val="none"/>
                <w:lang w:val="en-US" w:eastAsia="zh-CN"/>
              </w:rPr>
              <w:t>(除“</w:t>
            </w:r>
            <w:r>
              <w:rPr>
                <w:rFonts w:hint="eastAsia" w:ascii="宋体" w:hAnsi="宋体" w:eastAsia="宋体" w:cs="宋体"/>
                <w:color w:val="auto"/>
                <w:sz w:val="24"/>
                <w:szCs w:val="24"/>
                <w:highlight w:val="none"/>
                <w:lang w:val="en-US" w:eastAsia="zh-CN"/>
              </w:rPr>
              <w:t>★”号之外</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的响应程度进行评审：</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完全满足得1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有1-8条负偏离，得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有9-17条负偏离，得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有18-24条负偏离，得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pPr>
              <w:pStyle w:val="2"/>
              <w:spacing w:line="360" w:lineRule="auto"/>
              <w:ind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有25条及以上负偏离，得0分；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投标人应提供投标产品彩页或厂家出具的技术白皮书或厂家的证明材料作为证明文件，如提供不全或不提供上述证明文件，评标委员则视为没有响应该参数。（如厂家的产品使用说明书为英文版，请同时提供中文版）。</w:t>
            </w:r>
          </w:p>
        </w:tc>
        <w:tc>
          <w:tcPr>
            <w:tcW w:w="767"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eastAsiaTheme="minorEastAsia"/>
                <w:color w:val="auto"/>
                <w:kern w:val="0"/>
                <w:sz w:val="24"/>
                <w:szCs w:val="24"/>
                <w:highlight w:val="none"/>
              </w:rPr>
              <w:t>30</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57" w:type="dxa"/>
            <w:vAlign w:val="center"/>
          </w:tcPr>
          <w:p>
            <w:pPr>
              <w:spacing w:line="360" w:lineRule="auto"/>
              <w:ind w:left="-78" w:leftChars="-37" w:right="-73" w:rightChars="-35"/>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技术成熟度及可靠性</w:t>
            </w:r>
          </w:p>
        </w:tc>
        <w:tc>
          <w:tcPr>
            <w:tcW w:w="6405" w:type="dxa"/>
            <w:vAlign w:val="center"/>
          </w:tcPr>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由评标委员会根据投标人所投设备从技术成熟度及可靠性情况进行评审：</w:t>
            </w:r>
          </w:p>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1.所投货物技术成熟、稳定性高、可靠性高，得10分；</w:t>
            </w:r>
          </w:p>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2.所投货物有一定的技术成熟度、稳定性、可靠性，得5分；</w:t>
            </w:r>
          </w:p>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3.所投货物技术落后或稳定性低或可靠性低，得1分；</w:t>
            </w:r>
          </w:p>
          <w:p>
            <w:pPr>
              <w:pStyle w:val="2"/>
              <w:spacing w:line="360" w:lineRule="auto"/>
              <w:ind w:firstLine="0" w:firstLineChars="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4.无提供或其他情况，得0分。</w:t>
            </w:r>
          </w:p>
        </w:tc>
        <w:tc>
          <w:tcPr>
            <w:tcW w:w="767"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eastAsiaTheme="minorEastAsia"/>
                <w:color w:val="auto"/>
                <w:kern w:val="0"/>
                <w:sz w:val="24"/>
                <w:szCs w:val="24"/>
                <w:highlight w:val="none"/>
              </w:rPr>
              <w:t>10</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257" w:type="dxa"/>
            <w:vAlign w:val="center"/>
          </w:tcPr>
          <w:p>
            <w:pPr>
              <w:spacing w:line="360" w:lineRule="auto"/>
              <w:ind w:left="-78" w:leftChars="-37" w:right="-73" w:rightChars="-35"/>
              <w:jc w:val="center"/>
              <w:rPr>
                <w:rFonts w:ascii="宋体" w:hAnsi="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售后服务方案</w:t>
            </w:r>
          </w:p>
        </w:tc>
        <w:tc>
          <w:tcPr>
            <w:tcW w:w="6405" w:type="dxa"/>
            <w:vAlign w:val="center"/>
          </w:tcPr>
          <w:p>
            <w:pPr>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具有完善具体的售后服务方案，各阶段服务方案计划详尽，得</w:t>
            </w:r>
            <w:r>
              <w:rPr>
                <w:rFonts w:hint="eastAsia" w:ascii="宋体" w:hAnsi="宋体" w:cs="宋体"/>
                <w:color w:val="auto"/>
                <w:kern w:val="0"/>
                <w:sz w:val="24"/>
                <w:szCs w:val="24"/>
                <w:highlight w:val="none"/>
              </w:rPr>
              <w:t>5</w:t>
            </w:r>
            <w:r>
              <w:rPr>
                <w:rFonts w:hint="eastAsia" w:ascii="宋体" w:hAnsi="宋体" w:cs="宋体"/>
                <w:color w:val="auto"/>
                <w:sz w:val="24"/>
                <w:szCs w:val="24"/>
                <w:highlight w:val="none"/>
              </w:rPr>
              <w:t>分；</w:t>
            </w:r>
          </w:p>
          <w:p>
            <w:pPr>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有售后服务方案及各阶段服务方案完善但不具详细，得</w:t>
            </w:r>
            <w:r>
              <w:rPr>
                <w:rFonts w:ascii="宋体" w:hAnsi="宋体" w:cs="宋体"/>
                <w:color w:val="auto"/>
                <w:kern w:val="0"/>
                <w:sz w:val="24"/>
                <w:szCs w:val="24"/>
                <w:highlight w:val="none"/>
              </w:rPr>
              <w:t>3</w:t>
            </w:r>
            <w:r>
              <w:rPr>
                <w:rFonts w:hint="eastAsia" w:ascii="宋体" w:hAnsi="宋体" w:cs="宋体"/>
                <w:color w:val="auto"/>
                <w:sz w:val="24"/>
                <w:szCs w:val="24"/>
                <w:highlight w:val="none"/>
              </w:rPr>
              <w:t>分；</w:t>
            </w:r>
          </w:p>
          <w:p>
            <w:pPr>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有售后服务方案及各阶段服务方案不完整、具有一定的可行性，得</w:t>
            </w:r>
            <w:r>
              <w:rPr>
                <w:rFonts w:ascii="宋体" w:hAnsi="宋体" w:cs="宋体"/>
                <w:color w:val="auto"/>
                <w:kern w:val="0"/>
                <w:sz w:val="24"/>
                <w:szCs w:val="24"/>
                <w:highlight w:val="none"/>
              </w:rPr>
              <w:t>1</w:t>
            </w:r>
            <w:r>
              <w:rPr>
                <w:rFonts w:hint="eastAsia" w:ascii="宋体" w:hAnsi="宋体" w:cs="宋体"/>
                <w:color w:val="auto"/>
                <w:sz w:val="24"/>
                <w:szCs w:val="24"/>
                <w:highlight w:val="none"/>
              </w:rPr>
              <w:t>分；</w:t>
            </w:r>
          </w:p>
          <w:p>
            <w:pPr>
              <w:pStyle w:val="2"/>
              <w:spacing w:line="360" w:lineRule="auto"/>
              <w:ind w:firstLine="0" w:firstLineChars="0"/>
              <w:rPr>
                <w:rFonts w:ascii="宋体" w:cs="宋体"/>
                <w:color w:val="auto"/>
                <w:sz w:val="24"/>
                <w:szCs w:val="24"/>
                <w:highlight w:val="none"/>
              </w:rPr>
            </w:pPr>
            <w:r>
              <w:rPr>
                <w:rFonts w:hint="eastAsia" w:ascii="宋体" w:hAnsi="宋体" w:cs="宋体"/>
                <w:color w:val="auto"/>
                <w:sz w:val="24"/>
                <w:szCs w:val="24"/>
                <w:highlight w:val="none"/>
              </w:rPr>
              <w:t>4.售后服务方案差或不提供得0分。</w:t>
            </w:r>
          </w:p>
        </w:tc>
        <w:tc>
          <w:tcPr>
            <w:tcW w:w="767"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eastAsiaTheme="minorEastAsia"/>
                <w:color w:val="auto"/>
                <w:kern w:val="0"/>
                <w:sz w:val="24"/>
                <w:szCs w:val="24"/>
                <w:highlight w:val="none"/>
              </w:rPr>
              <w:t>5</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257" w:type="dxa"/>
            <w:vAlign w:val="center"/>
          </w:tcPr>
          <w:p>
            <w:pPr>
              <w:spacing w:line="360" w:lineRule="auto"/>
              <w:ind w:left="-78" w:leftChars="-37" w:right="-73" w:rightChars="-35"/>
              <w:jc w:val="center"/>
              <w:rPr>
                <w:rFonts w:ascii="宋体" w:hAnsi="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培训计划</w:t>
            </w:r>
          </w:p>
        </w:tc>
        <w:tc>
          <w:tcPr>
            <w:tcW w:w="6405" w:type="dxa"/>
            <w:vAlign w:val="center"/>
          </w:tcPr>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具有完善具体的培训计划，各阶段计划详尽，得5分；</w:t>
            </w:r>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有培训计划，各阶段计划完善但不具详细，得3分；</w:t>
            </w:r>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t>有培训计划，各阶段计划不完整、具有一定的可行性，得1分；</w:t>
            </w:r>
          </w:p>
          <w:p>
            <w:pPr>
              <w:pStyle w:val="2"/>
              <w:spacing w:line="360" w:lineRule="auto"/>
              <w:ind w:firstLine="0" w:firstLineChars="0"/>
              <w:rPr>
                <w:rFonts w:ascii="宋体" w:hAnsi="宋体" w:cs="宋体"/>
                <w:color w:val="auto"/>
                <w:sz w:val="24"/>
                <w:szCs w:val="24"/>
                <w:highlight w:val="none"/>
              </w:rPr>
            </w:pPr>
            <w:r>
              <w:rPr>
                <w:rFonts w:hint="eastAsia" w:asciiTheme="minorEastAsia" w:hAnsi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rPr>
              <w:t>培训计划</w:t>
            </w:r>
            <w:r>
              <w:rPr>
                <w:rFonts w:hint="eastAsia" w:asciiTheme="minorEastAsia" w:hAnsiTheme="minorEastAsia" w:cstheme="minorEastAsia"/>
                <w:color w:val="auto"/>
                <w:sz w:val="24"/>
                <w:szCs w:val="24"/>
                <w:highlight w:val="none"/>
              </w:rPr>
              <w:t>差或</w:t>
            </w:r>
            <w:r>
              <w:rPr>
                <w:rFonts w:hint="eastAsia" w:asciiTheme="minorEastAsia" w:hAnsiTheme="minorEastAsia" w:eastAsiaTheme="minorEastAsia" w:cstheme="minorEastAsia"/>
                <w:color w:val="auto"/>
                <w:sz w:val="24"/>
                <w:szCs w:val="24"/>
                <w:highlight w:val="none"/>
              </w:rPr>
              <w:t>不提供得0分。</w:t>
            </w:r>
          </w:p>
        </w:tc>
        <w:tc>
          <w:tcPr>
            <w:tcW w:w="767"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5分</w:t>
            </w:r>
          </w:p>
        </w:tc>
      </w:tr>
    </w:tbl>
    <w:p>
      <w:pPr>
        <w:pStyle w:val="16"/>
        <w:jc w:val="center"/>
        <w:rPr>
          <w:rFonts w:cs="黑体" w:asciiTheme="minorEastAsia" w:hAnsiTheme="minorEastAsia" w:eastAsiaTheme="minorEastAsia"/>
          <w:b/>
          <w:color w:val="auto"/>
          <w:sz w:val="24"/>
          <w:szCs w:val="22"/>
          <w:highlight w:val="none"/>
        </w:rPr>
      </w:pPr>
    </w:p>
    <w:p>
      <w:pPr>
        <w:pStyle w:val="16"/>
        <w:jc w:val="center"/>
        <w:rPr>
          <w:rFonts w:cs="黑体" w:asciiTheme="minorEastAsia" w:hAnsiTheme="minorEastAsia" w:eastAsiaTheme="minorEastAsia"/>
          <w:b/>
          <w:color w:val="auto"/>
          <w:sz w:val="28"/>
          <w:szCs w:val="24"/>
          <w:highlight w:val="none"/>
        </w:rPr>
      </w:pPr>
      <w:r>
        <w:rPr>
          <w:rFonts w:hint="eastAsia" w:cs="黑体" w:asciiTheme="minorEastAsia" w:hAnsiTheme="minorEastAsia" w:eastAsiaTheme="minorEastAsia"/>
          <w:b/>
          <w:color w:val="auto"/>
          <w:sz w:val="24"/>
          <w:szCs w:val="22"/>
          <w:highlight w:val="none"/>
        </w:rPr>
        <w:t>（适用于包组二）</w:t>
      </w:r>
    </w:p>
    <w:tbl>
      <w:tblPr>
        <w:tblStyle w:val="38"/>
        <w:tblW w:w="92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122"/>
        <w:gridCol w:w="6705"/>
        <w:gridCol w:w="7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679" w:type="dxa"/>
            <w:tcBorders>
              <w:top w:val="single" w:color="auto" w:sz="12" w:space="0"/>
              <w:lef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1122" w:type="dxa"/>
            <w:tcBorders>
              <w:top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评审因素</w:t>
            </w:r>
          </w:p>
        </w:tc>
        <w:tc>
          <w:tcPr>
            <w:tcW w:w="6705" w:type="dxa"/>
            <w:tcBorders>
              <w:top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评分细则</w:t>
            </w:r>
          </w:p>
        </w:tc>
        <w:tc>
          <w:tcPr>
            <w:tcW w:w="776" w:type="dxa"/>
            <w:tcBorders>
              <w:top w:val="single" w:color="auto" w:sz="12" w:space="0"/>
              <w:righ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jc w:val="center"/>
        </w:trPr>
        <w:tc>
          <w:tcPr>
            <w:tcW w:w="679" w:type="dxa"/>
            <w:tcBorders>
              <w:lef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w:t>
            </w:r>
          </w:p>
        </w:tc>
        <w:tc>
          <w:tcPr>
            <w:tcW w:w="8603" w:type="dxa"/>
            <w:gridSpan w:val="3"/>
            <w:tcBorders>
              <w:right w:val="single" w:color="auto" w:sz="12" w:space="0"/>
            </w:tcBorders>
            <w:vAlign w:val="center"/>
          </w:tcPr>
          <w:p>
            <w:pPr>
              <w:spacing w:line="360" w:lineRule="auto"/>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技术部分（分值：50分）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22" w:type="dxa"/>
            <w:vAlign w:val="center"/>
          </w:tcPr>
          <w:p>
            <w:pPr>
              <w:spacing w:line="360" w:lineRule="auto"/>
              <w:ind w:left="-78" w:leftChars="-37" w:right="-73" w:rightChars="-35"/>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货物技术参数响应程度</w:t>
            </w:r>
          </w:p>
        </w:tc>
        <w:tc>
          <w:tcPr>
            <w:tcW w:w="6705" w:type="dxa"/>
            <w:vAlign w:val="center"/>
          </w:tcPr>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根据各投标人所投产品对《第二章 采购项目内容》中的“技术要求内（二）技术参数”对应响应情况进行综合评审：</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1.对一般参数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除“</w:t>
            </w:r>
            <w:r>
              <w:rPr>
                <w:rFonts w:hint="eastAsia" w:ascii="宋体" w:hAnsi="宋体" w:eastAsia="宋体" w:cs="宋体"/>
                <w:color w:val="auto"/>
                <w:sz w:val="24"/>
                <w:szCs w:val="24"/>
                <w:highlight w:val="none"/>
                <w:lang w:val="en-US" w:eastAsia="zh-CN"/>
              </w:rPr>
              <w:t>★”、“</w:t>
            </w:r>
            <w:r>
              <w:rPr>
                <w:rFonts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之外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的响应程度进行评审：</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完全满足得30分；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有1-</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条负偏离，得25分；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40</w:t>
            </w:r>
            <w:r>
              <w:rPr>
                <w:rFonts w:hint="eastAsia" w:ascii="宋体" w:hAnsi="宋体" w:cs="宋体"/>
                <w:color w:val="auto"/>
                <w:sz w:val="24"/>
                <w:szCs w:val="24"/>
                <w:highlight w:val="none"/>
              </w:rPr>
              <w:t>条负偏离，得20分；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41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rPr>
              <w:t>条负偏离，得15分；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61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条负偏离，得10分；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81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条负偏离，得5分；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101</w:t>
            </w:r>
            <w:r>
              <w:rPr>
                <w:rFonts w:hint="eastAsia" w:ascii="宋体" w:hAnsi="宋体" w:cs="宋体"/>
                <w:color w:val="auto"/>
                <w:sz w:val="24"/>
                <w:szCs w:val="24"/>
                <w:highlight w:val="none"/>
              </w:rPr>
              <w:t>条及以上负偏离，得0分；</w:t>
            </w:r>
          </w:p>
          <w:p>
            <w:pPr>
              <w:pStyle w:val="2"/>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投标人应提供投标产品彩页或厂家出具的技术白皮书或厂家的证明材料作为证明文件，如提供不全或不提供上述证明文件，评标委员则视为没有响应该参数。（如厂家的产品使用说明书为英文版，请同时提供中文版）。</w:t>
            </w:r>
          </w:p>
        </w:tc>
        <w:tc>
          <w:tcPr>
            <w:tcW w:w="776"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eastAsiaTheme="minorEastAsia"/>
                <w:color w:val="auto"/>
                <w:kern w:val="0"/>
                <w:sz w:val="24"/>
                <w:szCs w:val="24"/>
                <w:highlight w:val="none"/>
              </w:rPr>
              <w:t>30</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122" w:type="dxa"/>
            <w:vAlign w:val="center"/>
          </w:tcPr>
          <w:p>
            <w:pPr>
              <w:spacing w:line="360" w:lineRule="auto"/>
              <w:ind w:left="-78" w:leftChars="-37" w:right="-73" w:rightChars="-35"/>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技术成熟度及可靠性</w:t>
            </w:r>
          </w:p>
        </w:tc>
        <w:tc>
          <w:tcPr>
            <w:tcW w:w="6705" w:type="dxa"/>
            <w:vAlign w:val="center"/>
          </w:tcPr>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由评标委员会根据投标人所投设备从技术成熟度及可靠性情况进行评审：</w:t>
            </w:r>
          </w:p>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1.所投货物技术成熟、稳定性高、可靠性高，得10分；</w:t>
            </w:r>
          </w:p>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2.所投货物有一定的技术成熟度、稳定性、可靠性，得5分；</w:t>
            </w:r>
          </w:p>
          <w:p>
            <w:pPr>
              <w:spacing w:line="44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3.所投货物技术落后或稳定性低或可靠性低，得1分；</w:t>
            </w:r>
          </w:p>
          <w:p>
            <w:pPr>
              <w:pStyle w:val="2"/>
              <w:spacing w:line="360" w:lineRule="auto"/>
              <w:ind w:firstLine="0" w:firstLineChars="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4.无提供或其他情况，得0分。</w:t>
            </w:r>
          </w:p>
        </w:tc>
        <w:tc>
          <w:tcPr>
            <w:tcW w:w="776"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eastAsiaTheme="minorEastAsia"/>
                <w:color w:val="auto"/>
                <w:kern w:val="0"/>
                <w:sz w:val="24"/>
                <w:szCs w:val="24"/>
                <w:highlight w:val="none"/>
              </w:rPr>
              <w:t>10</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122" w:type="dxa"/>
            <w:vAlign w:val="center"/>
          </w:tcPr>
          <w:p>
            <w:pPr>
              <w:spacing w:line="360" w:lineRule="auto"/>
              <w:ind w:left="-78" w:leftChars="-37" w:right="-73" w:rightChars="-35"/>
              <w:jc w:val="center"/>
              <w:rPr>
                <w:rFonts w:ascii="宋体" w:hAnsi="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售后服务方案</w:t>
            </w:r>
          </w:p>
        </w:tc>
        <w:tc>
          <w:tcPr>
            <w:tcW w:w="6705" w:type="dxa"/>
            <w:vAlign w:val="center"/>
          </w:tcPr>
          <w:p>
            <w:pPr>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具有完善具体的售后服务方案，各阶段服务方案计划详尽，得</w:t>
            </w:r>
            <w:r>
              <w:rPr>
                <w:rFonts w:hint="eastAsia" w:ascii="宋体" w:hAnsi="宋体" w:cs="宋体"/>
                <w:color w:val="auto"/>
                <w:kern w:val="0"/>
                <w:sz w:val="24"/>
                <w:szCs w:val="24"/>
                <w:highlight w:val="none"/>
              </w:rPr>
              <w:t>5</w:t>
            </w:r>
            <w:r>
              <w:rPr>
                <w:rFonts w:hint="eastAsia" w:ascii="宋体" w:hAnsi="宋体" w:cs="宋体"/>
                <w:color w:val="auto"/>
                <w:sz w:val="24"/>
                <w:szCs w:val="24"/>
                <w:highlight w:val="none"/>
              </w:rPr>
              <w:t>分；</w:t>
            </w:r>
          </w:p>
          <w:p>
            <w:pPr>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有售后服务方案及各阶段服务方案完善但不具详细，得</w:t>
            </w:r>
            <w:r>
              <w:rPr>
                <w:rFonts w:ascii="宋体" w:hAnsi="宋体" w:cs="宋体"/>
                <w:color w:val="auto"/>
                <w:kern w:val="0"/>
                <w:sz w:val="24"/>
                <w:szCs w:val="24"/>
                <w:highlight w:val="none"/>
              </w:rPr>
              <w:t>3</w:t>
            </w:r>
            <w:r>
              <w:rPr>
                <w:rFonts w:hint="eastAsia" w:ascii="宋体" w:hAnsi="宋体" w:cs="宋体"/>
                <w:color w:val="auto"/>
                <w:sz w:val="24"/>
                <w:szCs w:val="24"/>
                <w:highlight w:val="none"/>
              </w:rPr>
              <w:t>分；</w:t>
            </w:r>
          </w:p>
          <w:p>
            <w:pPr>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有售后服务方案及各阶段服务方案不完整、具有一定的可行性，得</w:t>
            </w:r>
            <w:r>
              <w:rPr>
                <w:rFonts w:ascii="宋体" w:hAnsi="宋体" w:cs="宋体"/>
                <w:color w:val="auto"/>
                <w:kern w:val="0"/>
                <w:sz w:val="24"/>
                <w:szCs w:val="24"/>
                <w:highlight w:val="none"/>
              </w:rPr>
              <w:t>1</w:t>
            </w:r>
            <w:r>
              <w:rPr>
                <w:rFonts w:hint="eastAsia" w:ascii="宋体" w:hAnsi="宋体" w:cs="宋体"/>
                <w:color w:val="auto"/>
                <w:sz w:val="24"/>
                <w:szCs w:val="24"/>
                <w:highlight w:val="none"/>
              </w:rPr>
              <w:t>分；</w:t>
            </w:r>
          </w:p>
          <w:p>
            <w:pPr>
              <w:pStyle w:val="2"/>
              <w:spacing w:line="360" w:lineRule="auto"/>
              <w:ind w:firstLine="0" w:firstLineChars="0"/>
              <w:rPr>
                <w:rFonts w:ascii="宋体" w:cs="宋体"/>
                <w:color w:val="auto"/>
                <w:sz w:val="24"/>
                <w:szCs w:val="24"/>
                <w:highlight w:val="none"/>
              </w:rPr>
            </w:pPr>
            <w:r>
              <w:rPr>
                <w:rFonts w:hint="eastAsia" w:ascii="宋体" w:hAnsi="宋体" w:cs="宋体"/>
                <w:color w:val="auto"/>
                <w:sz w:val="24"/>
                <w:szCs w:val="24"/>
                <w:highlight w:val="none"/>
              </w:rPr>
              <w:t>4.售后服务方案差或不提供得0分。</w:t>
            </w:r>
          </w:p>
        </w:tc>
        <w:tc>
          <w:tcPr>
            <w:tcW w:w="776"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eastAsiaTheme="minorEastAsia"/>
                <w:color w:val="auto"/>
                <w:kern w:val="0"/>
                <w:sz w:val="24"/>
                <w:szCs w:val="24"/>
                <w:highlight w:val="none"/>
              </w:rPr>
              <w:t>5</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left w:val="single" w:color="auto" w:sz="12" w:space="0"/>
              <w:bottom w:val="single" w:color="auto" w:sz="4" w:space="0"/>
            </w:tcBorders>
            <w:vAlign w:val="center"/>
          </w:tcPr>
          <w:p>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122" w:type="dxa"/>
            <w:vAlign w:val="center"/>
          </w:tcPr>
          <w:p>
            <w:pPr>
              <w:spacing w:line="360" w:lineRule="auto"/>
              <w:ind w:left="-78" w:leftChars="-37" w:right="-73" w:rightChars="-35"/>
              <w:jc w:val="center"/>
              <w:rPr>
                <w:rFonts w:ascii="宋体" w:hAnsi="宋体"/>
                <w:color w:val="auto"/>
                <w:sz w:val="24"/>
                <w:szCs w:val="24"/>
                <w:highlight w:val="none"/>
              </w:rPr>
            </w:pPr>
            <w:r>
              <w:rPr>
                <w:rFonts w:hint="eastAsia" w:asciiTheme="minorEastAsia" w:hAnsiTheme="minorEastAsia" w:eastAsiaTheme="minorEastAsia" w:cstheme="minorEastAsia"/>
                <w:color w:val="auto"/>
                <w:sz w:val="24"/>
                <w:szCs w:val="24"/>
                <w:highlight w:val="none"/>
              </w:rPr>
              <w:t>培训计划</w:t>
            </w:r>
          </w:p>
        </w:tc>
        <w:tc>
          <w:tcPr>
            <w:tcW w:w="6705" w:type="dxa"/>
            <w:vAlign w:val="center"/>
          </w:tcPr>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具有完善具体的培训计划，各阶段计划详尽，得5分；</w:t>
            </w:r>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有培训计划，各阶段计划完善但不具详细，得3分；</w:t>
            </w:r>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rPr>
              <w:t>有培训计划，各阶段计划不完整、具有一定的可行性，得1分；</w:t>
            </w:r>
          </w:p>
          <w:p>
            <w:pPr>
              <w:pStyle w:val="2"/>
              <w:spacing w:line="360" w:lineRule="auto"/>
              <w:ind w:firstLine="0" w:firstLineChars="0"/>
              <w:rPr>
                <w:rFonts w:ascii="宋体" w:hAnsi="宋体"/>
                <w:color w:val="auto"/>
                <w:kern w:val="2"/>
                <w:sz w:val="24"/>
                <w:szCs w:val="24"/>
                <w:highlight w:val="none"/>
              </w:rPr>
            </w:pPr>
            <w:r>
              <w:rPr>
                <w:rFonts w:hint="eastAsia" w:asciiTheme="minorEastAsia" w:hAnsi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rPr>
              <w:t>培训计划</w:t>
            </w:r>
            <w:r>
              <w:rPr>
                <w:rFonts w:hint="eastAsia" w:asciiTheme="minorEastAsia" w:hAnsiTheme="minorEastAsia" w:cstheme="minorEastAsia"/>
                <w:color w:val="auto"/>
                <w:sz w:val="24"/>
                <w:szCs w:val="24"/>
                <w:highlight w:val="none"/>
              </w:rPr>
              <w:t>差或</w:t>
            </w:r>
            <w:r>
              <w:rPr>
                <w:rFonts w:hint="eastAsia" w:asciiTheme="minorEastAsia" w:hAnsiTheme="minorEastAsia" w:eastAsiaTheme="minorEastAsia" w:cstheme="minorEastAsia"/>
                <w:color w:val="auto"/>
                <w:sz w:val="24"/>
                <w:szCs w:val="24"/>
                <w:highlight w:val="none"/>
              </w:rPr>
              <w:t>不提供得0分。</w:t>
            </w:r>
          </w:p>
        </w:tc>
        <w:tc>
          <w:tcPr>
            <w:tcW w:w="776" w:type="dxa"/>
            <w:tcBorders>
              <w:right w:val="single" w:color="auto" w:sz="12"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5分</w:t>
            </w:r>
          </w:p>
        </w:tc>
      </w:tr>
    </w:tbl>
    <w:p>
      <w:pPr>
        <w:pStyle w:val="47"/>
        <w:ind w:firstLine="0"/>
        <w:jc w:val="center"/>
        <w:rPr>
          <w:rFonts w:cs="黑体" w:asciiTheme="minorEastAsia" w:hAnsiTheme="minorEastAsia" w:eastAsiaTheme="minorEastAsia"/>
          <w:b/>
          <w:color w:val="auto"/>
          <w:sz w:val="24"/>
          <w:szCs w:val="22"/>
          <w:highlight w:val="none"/>
        </w:rPr>
      </w:pPr>
    </w:p>
    <w:p>
      <w:pPr>
        <w:rPr>
          <w:rFonts w:cs="黑体" w:asciiTheme="minorEastAsia" w:hAnsiTheme="minorEastAsia" w:eastAsiaTheme="minorEastAsia"/>
          <w:b/>
          <w:color w:val="auto"/>
          <w:sz w:val="24"/>
          <w:szCs w:val="22"/>
          <w:highlight w:val="none"/>
        </w:rPr>
      </w:pPr>
      <w:r>
        <w:rPr>
          <w:rFonts w:hint="eastAsia" w:cs="黑体" w:asciiTheme="minorEastAsia" w:hAnsiTheme="minorEastAsia" w:eastAsiaTheme="minorEastAsia"/>
          <w:b/>
          <w:color w:val="auto"/>
          <w:sz w:val="24"/>
          <w:szCs w:val="22"/>
          <w:highlight w:val="none"/>
        </w:rPr>
        <w:br w:type="page"/>
      </w:r>
    </w:p>
    <w:p>
      <w:pPr>
        <w:pStyle w:val="47"/>
        <w:ind w:firstLine="0"/>
        <w:jc w:val="center"/>
        <w:rPr>
          <w:color w:val="auto"/>
          <w:highlight w:val="none"/>
        </w:rPr>
      </w:pPr>
      <w:r>
        <w:rPr>
          <w:rFonts w:hint="eastAsia" w:cs="黑体" w:asciiTheme="minorEastAsia" w:hAnsiTheme="minorEastAsia" w:eastAsiaTheme="minorEastAsia"/>
          <w:b/>
          <w:color w:val="auto"/>
          <w:sz w:val="24"/>
          <w:szCs w:val="22"/>
          <w:highlight w:val="none"/>
        </w:rPr>
        <w:t>（适用于所有包组）</w:t>
      </w:r>
    </w:p>
    <w:tbl>
      <w:tblPr>
        <w:tblStyle w:val="38"/>
        <w:tblW w:w="91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377"/>
        <w:gridCol w:w="6298"/>
        <w:gridCol w:w="7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jc w:val="center"/>
        </w:trPr>
        <w:tc>
          <w:tcPr>
            <w:tcW w:w="679" w:type="dxa"/>
            <w:tcBorders>
              <w:top w:val="single" w:color="auto" w:sz="4" w:space="0"/>
              <w:left w:val="single" w:color="auto" w:sz="12" w:space="0"/>
            </w:tcBorders>
            <w:vAlign w:val="center"/>
          </w:tcPr>
          <w:p>
            <w:pPr>
              <w:spacing w:line="400" w:lineRule="exact"/>
              <w:jc w:val="center"/>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三</w:t>
            </w:r>
          </w:p>
        </w:tc>
        <w:tc>
          <w:tcPr>
            <w:tcW w:w="8429" w:type="dxa"/>
            <w:gridSpan w:val="3"/>
            <w:tcBorders>
              <w:right w:val="single" w:color="auto" w:sz="12" w:space="0"/>
            </w:tcBorders>
            <w:vAlign w:val="center"/>
          </w:tcPr>
          <w:p>
            <w:pPr>
              <w:spacing w:line="400" w:lineRule="exact"/>
              <w:ind w:left="-78" w:leftChars="-37" w:right="-73" w:rightChars="-35"/>
              <w:jc w:val="center"/>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商务部分（分值：20分）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79" w:type="dxa"/>
            <w:tcBorders>
              <w:left w:val="single" w:color="auto" w:sz="12" w:space="0"/>
              <w:bottom w:val="single" w:color="auto" w:sz="4" w:space="0"/>
            </w:tcBorders>
            <w:vAlign w:val="center"/>
          </w:tcPr>
          <w:p>
            <w:pPr>
              <w:pStyle w:val="97"/>
              <w:spacing w:line="400" w:lineRule="exact"/>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377" w:type="dxa"/>
            <w:vAlign w:val="center"/>
          </w:tcPr>
          <w:p>
            <w:pPr>
              <w:spacing w:line="360" w:lineRule="auto"/>
              <w:ind w:left="-78" w:leftChars="-37" w:right="-73" w:rightChars="-35"/>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同类项目业绩</w:t>
            </w:r>
          </w:p>
        </w:tc>
        <w:tc>
          <w:tcPr>
            <w:tcW w:w="6298" w:type="dxa"/>
            <w:vAlign w:val="center"/>
          </w:tcPr>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2019年1月1日（合同落款时间为准）至今承担过同类型项目业绩每提供一个得1分，最高为5分。</w:t>
            </w:r>
          </w:p>
          <w:p>
            <w:pPr>
              <w:pStyle w:val="2"/>
              <w:spacing w:line="360" w:lineRule="auto"/>
              <w:ind w:firstLine="0" w:firstLineChars="0"/>
              <w:rPr>
                <w:color w:val="auto"/>
                <w:sz w:val="24"/>
                <w:szCs w:val="24"/>
                <w:highlight w:val="none"/>
              </w:rPr>
            </w:pPr>
            <w:r>
              <w:rPr>
                <w:rFonts w:hint="eastAsia" w:asciiTheme="minorEastAsia" w:hAnsiTheme="minorEastAsia" w:eastAsiaTheme="minorEastAsia" w:cstheme="minorEastAsia"/>
                <w:color w:val="auto"/>
                <w:sz w:val="24"/>
                <w:szCs w:val="24"/>
                <w:highlight w:val="none"/>
              </w:rPr>
              <w:t>注：上述业绩须提供合同复印件（签订合同双方的单位名称、项目名称、双方落款盖章、签订日期等关键页）并加盖投标人公章，不提供或无法认定的不得分。</w:t>
            </w:r>
          </w:p>
        </w:tc>
        <w:tc>
          <w:tcPr>
            <w:tcW w:w="754" w:type="dxa"/>
            <w:tcBorders>
              <w:right w:val="single" w:color="auto" w:sz="12" w:space="0"/>
            </w:tcBorders>
            <w:vAlign w:val="center"/>
          </w:tcPr>
          <w:p>
            <w:pPr>
              <w:spacing w:line="400" w:lineRule="exact"/>
              <w:ind w:left="-78" w:leftChars="-37" w:right="-73" w:rightChars="-35"/>
              <w:jc w:val="center"/>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679" w:type="dxa"/>
            <w:tcBorders>
              <w:top w:val="single" w:color="auto" w:sz="4" w:space="0"/>
              <w:left w:val="single" w:color="auto" w:sz="12" w:space="0"/>
            </w:tcBorders>
            <w:vAlign w:val="center"/>
          </w:tcPr>
          <w:p>
            <w:pPr>
              <w:pStyle w:val="97"/>
              <w:spacing w:line="400" w:lineRule="exact"/>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377" w:type="dxa"/>
            <w:vAlign w:val="center"/>
          </w:tcPr>
          <w:p>
            <w:pPr>
              <w:spacing w:line="360" w:lineRule="auto"/>
              <w:ind w:left="-78" w:leftChars="-37"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满意度评价</w:t>
            </w:r>
          </w:p>
        </w:tc>
        <w:tc>
          <w:tcPr>
            <w:tcW w:w="6298" w:type="dxa"/>
            <w:vAlign w:val="center"/>
          </w:tcPr>
          <w:p>
            <w:pPr>
              <w:spacing w:line="4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投标人需提供2019年1月1日至今同类型项目业绩评价意见为“优秀或满意或类似好评”等级的，每个项目得1分，累计最高得5分。</w:t>
            </w:r>
          </w:p>
          <w:p>
            <w:pPr>
              <w:pStyle w:val="2"/>
              <w:spacing w:line="360" w:lineRule="auto"/>
              <w:ind w:firstLine="0" w:firstLineChars="0"/>
              <w:rPr>
                <w:rFonts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注：</w:t>
            </w:r>
            <w:r>
              <w:rPr>
                <w:rFonts w:ascii="宋体" w:hAnsi="宋体" w:eastAsia="宋体" w:cs="宋体"/>
                <w:color w:val="auto"/>
                <w:sz w:val="24"/>
                <w:szCs w:val="24"/>
                <w:highlight w:val="none"/>
              </w:rPr>
              <w:t>投标人需提供</w:t>
            </w:r>
            <w:r>
              <w:rPr>
                <w:rFonts w:hint="eastAsia" w:ascii="宋体" w:hAnsi="宋体" w:eastAsia="宋体" w:cs="宋体"/>
                <w:color w:val="auto"/>
                <w:sz w:val="24"/>
                <w:szCs w:val="24"/>
                <w:highlight w:val="none"/>
                <w:lang w:val="en-US" w:eastAsia="zh-CN"/>
              </w:rPr>
              <w:t>以上</w:t>
            </w:r>
            <w:r>
              <w:rPr>
                <w:rFonts w:ascii="宋体" w:hAnsi="宋体" w:eastAsia="宋体" w:cs="宋体"/>
                <w:color w:val="auto"/>
                <w:sz w:val="24"/>
                <w:szCs w:val="24"/>
                <w:highlight w:val="none"/>
              </w:rPr>
              <w:t>用户满意度评价复印件作为证明材料，未提交证明材料或者评标委员会无法认定的不得分</w:t>
            </w:r>
            <w:r>
              <w:rPr>
                <w:rFonts w:hint="eastAsia" w:ascii="宋体" w:hAnsi="宋体" w:eastAsia="宋体" w:cs="宋体"/>
                <w:color w:val="auto"/>
                <w:sz w:val="24"/>
                <w:szCs w:val="24"/>
                <w:highlight w:val="none"/>
                <w:lang w:eastAsia="zh-CN"/>
              </w:rPr>
              <w:t>。</w:t>
            </w:r>
          </w:p>
        </w:tc>
        <w:tc>
          <w:tcPr>
            <w:tcW w:w="754" w:type="dxa"/>
            <w:tcBorders>
              <w:right w:val="single" w:color="auto" w:sz="12" w:space="0"/>
            </w:tcBorders>
            <w:vAlign w:val="center"/>
          </w:tcPr>
          <w:p>
            <w:pPr>
              <w:spacing w:line="400" w:lineRule="exact"/>
              <w:ind w:left="-78" w:leftChars="-37" w:right="-73" w:rightChars="-35"/>
              <w:jc w:val="center"/>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679" w:type="dxa"/>
            <w:tcBorders>
              <w:top w:val="single" w:color="auto" w:sz="4" w:space="0"/>
              <w:left w:val="single" w:color="auto" w:sz="12" w:space="0"/>
            </w:tcBorders>
            <w:vAlign w:val="center"/>
          </w:tcPr>
          <w:p>
            <w:pPr>
              <w:pStyle w:val="97"/>
              <w:spacing w:line="400" w:lineRule="exact"/>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377" w:type="dxa"/>
            <w:vAlign w:val="center"/>
          </w:tcPr>
          <w:p>
            <w:pPr>
              <w:spacing w:line="360" w:lineRule="auto"/>
              <w:ind w:left="-78" w:leftChars="-37" w:right="-73" w:rightChars="-35"/>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管理体系认证</w:t>
            </w:r>
          </w:p>
        </w:tc>
        <w:tc>
          <w:tcPr>
            <w:tcW w:w="6298" w:type="dxa"/>
            <w:vAlign w:val="center"/>
          </w:tcPr>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投标人具有以下管理体系认证证书的，每提供一项得2分，最高得6分。</w:t>
            </w:r>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1.具有有效期内的质量管理体系认证证书；</w:t>
            </w:r>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2.具有有效期内的职业健康安全管理体系认证证书；</w:t>
            </w:r>
          </w:p>
          <w:p>
            <w:pPr>
              <w:pStyle w:val="2"/>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3.具有有效期内的环境管理体系认证证书。</w:t>
            </w:r>
          </w:p>
          <w:p>
            <w:pPr>
              <w:pStyle w:val="2"/>
              <w:spacing w:line="360" w:lineRule="auto"/>
              <w:ind w:firstLine="0" w:firstLineChars="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（须提供证书复印件以及在全国认证认可信息公共服务平台上http://cx.cnca.cn查询结果的截图，证书状态必须为“有效”）</w:t>
            </w:r>
          </w:p>
        </w:tc>
        <w:tc>
          <w:tcPr>
            <w:tcW w:w="754" w:type="dxa"/>
            <w:tcBorders>
              <w:right w:val="single" w:color="auto" w:sz="12" w:space="0"/>
            </w:tcBorders>
            <w:vAlign w:val="center"/>
          </w:tcPr>
          <w:p>
            <w:pPr>
              <w:spacing w:line="400" w:lineRule="exact"/>
              <w:ind w:left="-78" w:leftChars="-37"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6分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679" w:type="dxa"/>
            <w:tcBorders>
              <w:top w:val="single" w:color="auto" w:sz="4" w:space="0"/>
              <w:left w:val="single" w:color="auto" w:sz="12" w:space="0"/>
            </w:tcBorders>
            <w:vAlign w:val="center"/>
          </w:tcPr>
          <w:p>
            <w:pPr>
              <w:pStyle w:val="97"/>
              <w:spacing w:line="400" w:lineRule="exact"/>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377" w:type="dxa"/>
            <w:vAlign w:val="center"/>
          </w:tcPr>
          <w:p>
            <w:pPr>
              <w:pStyle w:val="14"/>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服务便利性</w:t>
            </w:r>
          </w:p>
          <w:p>
            <w:pPr>
              <w:pStyle w:val="14"/>
              <w:spacing w:line="400" w:lineRule="exact"/>
              <w:jc w:val="center"/>
              <w:rPr>
                <w:rFonts w:ascii="宋体" w:hAnsi="宋体" w:cs="宋体"/>
                <w:color w:val="auto"/>
                <w:sz w:val="24"/>
                <w:szCs w:val="24"/>
                <w:highlight w:val="none"/>
              </w:rPr>
            </w:pPr>
          </w:p>
        </w:tc>
        <w:tc>
          <w:tcPr>
            <w:tcW w:w="6298" w:type="dxa"/>
          </w:tcPr>
          <w:p>
            <w:pPr>
              <w:pStyle w:val="14"/>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根据投标人提供服务的便利快捷性、响应速度等进行评审：</w:t>
            </w:r>
          </w:p>
          <w:p>
            <w:pPr>
              <w:pStyle w:val="14"/>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1、承诺接到采购人通知后0.5小时（含）内到达现场（即广州市番禺区新造镇秀发村）处理问题的，得4分；</w:t>
            </w:r>
          </w:p>
          <w:p>
            <w:pPr>
              <w:pStyle w:val="14"/>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2、承诺接到采购人通知后0.5小时（不含）-1小时（含）内到达现场（即广州市番禺区新造镇秀发村）处理问题的，得2分；</w:t>
            </w:r>
          </w:p>
          <w:p>
            <w:pPr>
              <w:pStyle w:val="14"/>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3、承诺接到采购人通知后1小时（不含）-2小时（含）内到达现场（即广州市番禺区新造镇秀发村）处理问题的，得1分；</w:t>
            </w:r>
          </w:p>
          <w:p>
            <w:pPr>
              <w:pStyle w:val="14"/>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4、其他情况不得分。</w:t>
            </w:r>
          </w:p>
          <w:p>
            <w:pPr>
              <w:pStyle w:val="14"/>
              <w:spacing w:line="400" w:lineRule="exact"/>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注：须单独提供承诺函加盖投标人公章，不提供不加分。</w:t>
            </w:r>
          </w:p>
        </w:tc>
        <w:tc>
          <w:tcPr>
            <w:tcW w:w="754" w:type="dxa"/>
            <w:tcBorders>
              <w:right w:val="single" w:color="auto" w:sz="12" w:space="0"/>
            </w:tcBorders>
            <w:vAlign w:val="center"/>
          </w:tcPr>
          <w:p>
            <w:pPr>
              <w:spacing w:line="400" w:lineRule="exact"/>
              <w:ind w:left="-78" w:leftChars="-37" w:right="-73" w:rightChars="-35"/>
              <w:jc w:val="center"/>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79" w:type="dxa"/>
            <w:tcBorders>
              <w:top w:val="single" w:color="auto" w:sz="4" w:space="0"/>
              <w:left w:val="single" w:color="auto" w:sz="12" w:space="0"/>
            </w:tcBorders>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三</w:t>
            </w:r>
          </w:p>
        </w:tc>
        <w:tc>
          <w:tcPr>
            <w:tcW w:w="8429" w:type="dxa"/>
            <w:gridSpan w:val="3"/>
            <w:tcBorders>
              <w:right w:val="single" w:color="auto" w:sz="12" w:space="0"/>
            </w:tcBorders>
            <w:vAlign w:val="center"/>
          </w:tcPr>
          <w:p>
            <w:pPr>
              <w:spacing w:line="400" w:lineRule="exact"/>
              <w:ind w:left="-78" w:leftChars="-37" w:right="-73" w:rightChars="-35"/>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价格部分（分值：30分）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7" w:hRule="atLeast"/>
          <w:jc w:val="center"/>
        </w:trPr>
        <w:tc>
          <w:tcPr>
            <w:tcW w:w="679" w:type="dxa"/>
            <w:tcBorders>
              <w:left w:val="single" w:color="auto" w:sz="12" w:space="0"/>
            </w:tcBorders>
            <w:vAlign w:val="center"/>
          </w:tcPr>
          <w:p>
            <w:pPr>
              <w:spacing w:line="360" w:lineRule="exact"/>
              <w:jc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p>
        </w:tc>
        <w:tc>
          <w:tcPr>
            <w:tcW w:w="1377" w:type="dxa"/>
            <w:vAlign w:val="center"/>
          </w:tcPr>
          <w:p>
            <w:pPr>
              <w:spacing w:line="36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投标报价</w:t>
            </w:r>
          </w:p>
        </w:tc>
        <w:tc>
          <w:tcPr>
            <w:tcW w:w="6298" w:type="dxa"/>
            <w:vAlign w:val="center"/>
          </w:tcPr>
          <w:p>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eastAsiaTheme="minorEastAsia"/>
                <w:color w:val="auto"/>
                <w:spacing w:val="-6"/>
                <w:kern w:val="0"/>
                <w:sz w:val="24"/>
                <w:szCs w:val="24"/>
                <w:highlight w:val="none"/>
              </w:rPr>
            </w:pPr>
            <w:r>
              <w:rPr>
                <w:rFonts w:hint="eastAsia" w:cs="宋体" w:asciiTheme="minorEastAsia" w:hAnsiTheme="minorEastAsia" w:eastAsiaTheme="minorEastAsia"/>
                <w:color w:val="auto"/>
                <w:spacing w:val="-6"/>
                <w:kern w:val="0"/>
                <w:sz w:val="24"/>
                <w:szCs w:val="24"/>
                <w:highlight w:val="none"/>
              </w:rPr>
              <w:t>价格分应当采用低价优先法计算，即满足招标文件要求且投标价格最低的投标报价为评标基准价，其价格分为满分。其他投标人的价格分统一按照下列公式计算：</w:t>
            </w:r>
          </w:p>
          <w:p>
            <w:pPr>
              <w:keepNext w:val="0"/>
              <w:keepLines w:val="0"/>
              <w:pageBreakBefore w:val="0"/>
              <w:widowControl/>
              <w:kinsoku/>
              <w:wordWrap/>
              <w:overflowPunct/>
              <w:topLinePunct w:val="0"/>
              <w:bidi w:val="0"/>
              <w:spacing w:line="400" w:lineRule="exact"/>
              <w:jc w:val="left"/>
              <w:textAlignment w:val="auto"/>
              <w:rPr>
                <w:rFonts w:asciiTheme="minorEastAsia" w:hAnsiTheme="minorEastAsia" w:eastAsiaTheme="minorEastAsia"/>
                <w:color w:val="auto"/>
                <w:spacing w:val="-6"/>
                <w:kern w:val="0"/>
                <w:sz w:val="24"/>
                <w:szCs w:val="24"/>
                <w:highlight w:val="none"/>
              </w:rPr>
            </w:pPr>
            <w:r>
              <w:rPr>
                <w:rFonts w:hint="eastAsia" w:cs="宋体" w:asciiTheme="minorEastAsia" w:hAnsiTheme="minorEastAsia" w:eastAsiaTheme="minorEastAsia"/>
                <w:color w:val="auto"/>
                <w:spacing w:val="-6"/>
                <w:kern w:val="0"/>
                <w:sz w:val="24"/>
                <w:szCs w:val="24"/>
                <w:highlight w:val="none"/>
              </w:rPr>
              <w:t>投标报价得分</w:t>
            </w:r>
            <w:r>
              <w:rPr>
                <w:rFonts w:cs="宋体" w:asciiTheme="minorEastAsia" w:hAnsiTheme="minorEastAsia" w:eastAsiaTheme="minorEastAsia"/>
                <w:color w:val="auto"/>
                <w:spacing w:val="-6"/>
                <w:kern w:val="0"/>
                <w:sz w:val="24"/>
                <w:szCs w:val="24"/>
                <w:highlight w:val="none"/>
              </w:rPr>
              <w:t>=(</w:t>
            </w:r>
            <w:r>
              <w:rPr>
                <w:rFonts w:hint="eastAsia" w:cs="宋体" w:asciiTheme="minorEastAsia" w:hAnsiTheme="minorEastAsia" w:eastAsiaTheme="minorEastAsia"/>
                <w:color w:val="auto"/>
                <w:spacing w:val="-6"/>
                <w:kern w:val="0"/>
                <w:sz w:val="24"/>
                <w:szCs w:val="24"/>
                <w:highlight w:val="none"/>
              </w:rPr>
              <w:t>评标基准价／投标报价</w:t>
            </w:r>
            <w:r>
              <w:rPr>
                <w:rFonts w:cs="宋体" w:asciiTheme="minorEastAsia" w:hAnsiTheme="minorEastAsia" w:eastAsiaTheme="minorEastAsia"/>
                <w:color w:val="auto"/>
                <w:spacing w:val="-6"/>
                <w:kern w:val="0"/>
                <w:sz w:val="24"/>
                <w:szCs w:val="24"/>
                <w:highlight w:val="none"/>
              </w:rPr>
              <w:t>)</w:t>
            </w:r>
            <w:r>
              <w:rPr>
                <w:rFonts w:hint="eastAsia" w:cs="宋体" w:asciiTheme="minorEastAsia" w:hAnsiTheme="minorEastAsia" w:eastAsiaTheme="minorEastAsia"/>
                <w:color w:val="auto"/>
                <w:spacing w:val="-6"/>
                <w:kern w:val="0"/>
                <w:sz w:val="24"/>
                <w:szCs w:val="24"/>
                <w:highlight w:val="none"/>
              </w:rPr>
              <w:t>×</w:t>
            </w:r>
            <w:r>
              <w:rPr>
                <w:rFonts w:cs="宋体" w:asciiTheme="minorEastAsia" w:hAnsiTheme="minorEastAsia" w:eastAsiaTheme="minorEastAsia"/>
                <w:color w:val="auto"/>
                <w:spacing w:val="-6"/>
                <w:kern w:val="0"/>
                <w:sz w:val="24"/>
                <w:szCs w:val="24"/>
                <w:highlight w:val="none"/>
              </w:rPr>
              <w:t>100</w:t>
            </w:r>
            <w:r>
              <w:rPr>
                <w:rFonts w:hint="eastAsia" w:cs="宋体" w:asciiTheme="minorEastAsia" w:hAnsiTheme="minorEastAsia" w:eastAsiaTheme="minorEastAsia"/>
                <w:color w:val="auto"/>
                <w:spacing w:val="-6"/>
                <w:kern w:val="0"/>
                <w:sz w:val="24"/>
                <w:szCs w:val="24"/>
                <w:highlight w:val="none"/>
              </w:rPr>
              <w:t>×价格权重</w:t>
            </w:r>
          </w:p>
          <w:p>
            <w:pPr>
              <w:keepNext w:val="0"/>
              <w:keepLines w:val="0"/>
              <w:pageBreakBefore w:val="0"/>
              <w:kinsoku/>
              <w:wordWrap/>
              <w:overflowPunct/>
              <w:topLinePunct w:val="0"/>
              <w:bidi w:val="0"/>
              <w:spacing w:line="400" w:lineRule="exact"/>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pacing w:val="-6"/>
                <w:sz w:val="24"/>
                <w:szCs w:val="24"/>
                <w:highlight w:val="none"/>
              </w:rPr>
              <w:t>备注：投标报价得分四舍五入后，小数点后保留两位有效数。</w:t>
            </w:r>
          </w:p>
        </w:tc>
        <w:tc>
          <w:tcPr>
            <w:tcW w:w="754" w:type="dxa"/>
            <w:tcBorders>
              <w:right w:val="single" w:color="auto" w:sz="12" w:space="0"/>
            </w:tcBorders>
            <w:vAlign w:val="center"/>
          </w:tcPr>
          <w:p>
            <w:pPr>
              <w:spacing w:line="400" w:lineRule="exact"/>
              <w:ind w:left="-78" w:leftChars="-37"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0</w:t>
            </w:r>
            <w:r>
              <w:rPr>
                <w:rFonts w:hint="eastAsia" w:cs="宋体" w:asciiTheme="minorEastAsia" w:hAnsiTheme="minorEastAsia" w:eastAsiaTheme="minorEastAsia"/>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5" w:hRule="atLeast"/>
          <w:jc w:val="center"/>
        </w:trPr>
        <w:tc>
          <w:tcPr>
            <w:tcW w:w="8354" w:type="dxa"/>
            <w:gridSpan w:val="3"/>
            <w:tcBorders>
              <w:left w:val="single" w:color="auto" w:sz="12" w:space="0"/>
              <w:bottom w:val="single" w:color="auto" w:sz="12" w:space="0"/>
            </w:tcBorders>
            <w:vAlign w:val="center"/>
          </w:tcPr>
          <w:p>
            <w:pPr>
              <w:spacing w:line="360" w:lineRule="exact"/>
              <w:ind w:left="-78" w:leftChars="-37"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合计</w:t>
            </w:r>
          </w:p>
        </w:tc>
        <w:tc>
          <w:tcPr>
            <w:tcW w:w="754" w:type="dxa"/>
            <w:tcBorders>
              <w:bottom w:val="single" w:color="auto" w:sz="12" w:space="0"/>
              <w:right w:val="single" w:color="auto" w:sz="12" w:space="0"/>
            </w:tcBorders>
            <w:vAlign w:val="center"/>
          </w:tcPr>
          <w:p>
            <w:pPr>
              <w:spacing w:line="400" w:lineRule="exact"/>
              <w:ind w:left="-78" w:leftChars="-37" w:right="-73" w:rightChars="-35"/>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分</w:t>
            </w:r>
          </w:p>
        </w:tc>
      </w:tr>
    </w:tbl>
    <w:p>
      <w:pPr>
        <w:rPr>
          <w:rFonts w:asciiTheme="minorEastAsia" w:hAnsiTheme="minorEastAsia" w:eastAsiaTheme="minorEastAsia"/>
          <w:snapToGrid w:val="0"/>
          <w:color w:val="auto"/>
          <w:kern w:val="0"/>
          <w:sz w:val="24"/>
          <w:szCs w:val="24"/>
          <w:highlight w:val="none"/>
        </w:rPr>
      </w:pPr>
      <w:r>
        <w:rPr>
          <w:rFonts w:hint="eastAsia" w:cs="宋体" w:asciiTheme="minorEastAsia" w:hAnsiTheme="minorEastAsia" w:eastAsiaTheme="minorEastAsia"/>
          <w:snapToGrid w:val="0"/>
          <w:color w:val="auto"/>
          <w:kern w:val="0"/>
          <w:sz w:val="24"/>
          <w:szCs w:val="24"/>
          <w:highlight w:val="none"/>
        </w:rPr>
        <w:t>备注：</w:t>
      </w:r>
    </w:p>
    <w:p>
      <w:pPr>
        <w:snapToGrid w:val="0"/>
        <w:spacing w:line="400" w:lineRule="exact"/>
        <w:ind w:left="18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1.招标文件要求提交的与评价指标体系相关的各类有效资料，投标人如未按要求提交的，该项评分为零分。</w:t>
      </w:r>
    </w:p>
    <w:p>
      <w:pPr>
        <w:snapToGrid w:val="0"/>
        <w:spacing w:line="400" w:lineRule="exact"/>
        <w:ind w:left="18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2.技术、商务评分：得分汇总采用先平均后汇总方式（四舍五入后，小数点后保留两位有效数）。</w:t>
      </w:r>
    </w:p>
    <w:p>
      <w:pPr>
        <w:snapToGrid w:val="0"/>
        <w:spacing w:line="400" w:lineRule="exact"/>
        <w:ind w:left="18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3.综合得分</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技术得分</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商务得分</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价格得分</w:t>
      </w:r>
    </w:p>
    <w:p>
      <w:pPr>
        <w:pStyle w:val="16"/>
        <w:rPr>
          <w:rFonts w:cs="宋体" w:asciiTheme="minorEastAsia" w:hAnsiTheme="minorEastAsia" w:eastAsiaTheme="minorEastAsia"/>
          <w:snapToGrid w:val="0"/>
          <w:color w:val="auto"/>
          <w:sz w:val="24"/>
          <w:szCs w:val="24"/>
          <w:highlight w:val="none"/>
        </w:rPr>
      </w:pPr>
    </w:p>
    <w:bookmarkEnd w:id="10"/>
    <w:p>
      <w:pPr>
        <w:widowControl/>
        <w:jc w:val="center"/>
        <w:rPr>
          <w:rFonts w:asciiTheme="minorEastAsia" w:hAnsiTheme="minorEastAsia" w:eastAsiaTheme="minorEastAsia"/>
          <w:b/>
          <w:bCs/>
          <w:color w:val="auto"/>
          <w:sz w:val="24"/>
          <w:szCs w:val="24"/>
          <w:highlight w:val="none"/>
        </w:rPr>
      </w:pPr>
      <w:bookmarkStart w:id="11" w:name="_Toc435514848"/>
      <w:r>
        <w:rPr>
          <w:rFonts w:hint="eastAsia" w:cs="黑体" w:asciiTheme="minorEastAsia" w:hAnsiTheme="minorEastAsia" w:eastAsiaTheme="minorEastAsia"/>
          <w:b/>
          <w:bCs/>
          <w:color w:val="auto"/>
          <w:sz w:val="28"/>
          <w:szCs w:val="24"/>
          <w:highlight w:val="none"/>
        </w:rPr>
        <w:t>价</w:t>
      </w:r>
      <w:r>
        <w:rPr>
          <w:rFonts w:cs="黑体" w:asciiTheme="minorEastAsia" w:hAnsiTheme="minorEastAsia" w:eastAsiaTheme="minorEastAsia"/>
          <w:b/>
          <w:bCs/>
          <w:color w:val="auto"/>
          <w:sz w:val="28"/>
          <w:szCs w:val="24"/>
          <w:highlight w:val="none"/>
        </w:rPr>
        <w:t xml:space="preserve"> </w:t>
      </w:r>
      <w:r>
        <w:rPr>
          <w:rFonts w:hint="eastAsia" w:cs="黑体" w:asciiTheme="minorEastAsia" w:hAnsiTheme="minorEastAsia" w:eastAsiaTheme="minorEastAsia"/>
          <w:b/>
          <w:bCs/>
          <w:color w:val="auto"/>
          <w:sz w:val="28"/>
          <w:szCs w:val="24"/>
          <w:highlight w:val="none"/>
        </w:rPr>
        <w:t>格</w:t>
      </w:r>
      <w:r>
        <w:rPr>
          <w:rFonts w:cs="黑体" w:asciiTheme="minorEastAsia" w:hAnsiTheme="minorEastAsia" w:eastAsiaTheme="minorEastAsia"/>
          <w:b/>
          <w:bCs/>
          <w:color w:val="auto"/>
          <w:sz w:val="28"/>
          <w:szCs w:val="24"/>
          <w:highlight w:val="none"/>
        </w:rPr>
        <w:t xml:space="preserve"> </w:t>
      </w:r>
      <w:r>
        <w:rPr>
          <w:rFonts w:hint="eastAsia" w:cs="黑体" w:asciiTheme="minorEastAsia" w:hAnsiTheme="minorEastAsia" w:eastAsiaTheme="minorEastAsia"/>
          <w:b/>
          <w:bCs/>
          <w:color w:val="auto"/>
          <w:sz w:val="28"/>
          <w:szCs w:val="24"/>
          <w:highlight w:val="none"/>
        </w:rPr>
        <w:t>评</w:t>
      </w:r>
      <w:r>
        <w:rPr>
          <w:rFonts w:cs="黑体" w:asciiTheme="minorEastAsia" w:hAnsiTheme="minorEastAsia" w:eastAsiaTheme="minorEastAsia"/>
          <w:b/>
          <w:bCs/>
          <w:color w:val="auto"/>
          <w:sz w:val="28"/>
          <w:szCs w:val="24"/>
          <w:highlight w:val="none"/>
        </w:rPr>
        <w:t xml:space="preserve"> </w:t>
      </w:r>
      <w:r>
        <w:rPr>
          <w:rFonts w:hint="eastAsia" w:cs="黑体" w:asciiTheme="minorEastAsia" w:hAnsiTheme="minorEastAsia" w:eastAsiaTheme="minorEastAsia"/>
          <w:b/>
          <w:bCs/>
          <w:color w:val="auto"/>
          <w:sz w:val="28"/>
          <w:szCs w:val="24"/>
          <w:highlight w:val="none"/>
        </w:rPr>
        <w:t>审</w:t>
      </w:r>
      <w:bookmarkEnd w:id="11"/>
    </w:p>
    <w:p>
      <w:pPr>
        <w:numPr>
          <w:ilvl w:val="0"/>
          <w:numId w:val="5"/>
        </w:numPr>
        <w:spacing w:line="360" w:lineRule="auto"/>
        <w:rPr>
          <w:rFonts w:asciiTheme="minorEastAsia" w:hAnsiTheme="minorEastAsia" w:eastAsiaTheme="minorEastAsia"/>
          <w:color w:val="auto"/>
          <w:sz w:val="24"/>
          <w:szCs w:val="24"/>
          <w:highlight w:val="none"/>
        </w:rPr>
      </w:pPr>
      <w:bookmarkStart w:id="12" w:name="_Toc435514849"/>
      <w:bookmarkStart w:id="13" w:name="_Toc435115054"/>
      <w:r>
        <w:rPr>
          <w:rFonts w:hint="eastAsia" w:cs="宋体" w:asciiTheme="minorEastAsia" w:hAnsiTheme="minorEastAsia" w:eastAsiaTheme="minorEastAsia"/>
          <w:color w:val="auto"/>
          <w:sz w:val="24"/>
          <w:szCs w:val="24"/>
          <w:highlight w:val="none"/>
        </w:rPr>
        <w:t>价格核准：</w:t>
      </w:r>
    </w:p>
    <w:p>
      <w:pPr>
        <w:numPr>
          <w:ilvl w:val="1"/>
          <w:numId w:val="6"/>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投标文件报价出现前后不一致的，评标委员会按照下列规定修正：</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投标文件中开标一览表（报价表）内容与投标文件中相应内容不一致的，以开标一览表（报价表）为准；</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大写金额和小写金额不一致的，以大写金额为准；</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单价金额小数点或者百分比有明显错位的，以开标一览表的总价为准，并修改单价；</w:t>
      </w:r>
    </w:p>
    <w:p>
      <w:pPr>
        <w:numPr>
          <w:ilvl w:val="2"/>
          <w:numId w:val="6"/>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总价金额与按单价汇总金额不一致的，以单价金额计算结果为准。</w:t>
      </w:r>
    </w:p>
    <w:p>
      <w:pPr>
        <w:snapToGrid w:val="0"/>
        <w:spacing w:line="360" w:lineRule="auto"/>
        <w:ind w:firstLine="720" w:firstLine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同时出现两种以上不一致的，按照前款规定的顺序修正。修正后的报价按照</w:t>
      </w:r>
      <w:r>
        <w:rPr>
          <w:rFonts w:hint="eastAsia" w:cs="宋体" w:asciiTheme="minorEastAsia" w:hAnsiTheme="minorEastAsia" w:eastAsiaTheme="minorEastAsia"/>
          <w:color w:val="auto"/>
          <w:sz w:val="24"/>
          <w:szCs w:val="24"/>
          <w:highlight w:val="none"/>
        </w:rPr>
        <w:t>第三章</w:t>
      </w:r>
    </w:p>
    <w:p>
      <w:pPr>
        <w:snapToGrid w:val="0"/>
        <w:spacing w:line="360" w:lineRule="auto"/>
        <w:ind w:firstLine="720" w:firstLineChars="300"/>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2.6</w:t>
      </w:r>
      <w:r>
        <w:rPr>
          <w:rFonts w:hint="eastAsia" w:cs="宋体" w:asciiTheme="minorEastAsia" w:hAnsiTheme="minorEastAsia" w:eastAsiaTheme="minorEastAsia"/>
          <w:color w:val="auto"/>
          <w:sz w:val="24"/>
          <w:szCs w:val="24"/>
          <w:highlight w:val="none"/>
        </w:rPr>
        <w:t>规定经</w:t>
      </w:r>
      <w:r>
        <w:rPr>
          <w:rFonts w:hint="eastAsia" w:cs="宋体" w:asciiTheme="minorEastAsia" w:hAnsiTheme="minorEastAsia" w:eastAsiaTheme="minorEastAsia"/>
          <w:color w:val="auto"/>
          <w:sz w:val="24"/>
          <w:szCs w:val="24"/>
          <w:highlight w:val="none"/>
          <w:lang w:eastAsia="zh-TW"/>
        </w:rPr>
        <w:t>投标人确认后产生约束力，投标人不确认的，其投标无效。</w:t>
      </w:r>
    </w:p>
    <w:p>
      <w:pPr>
        <w:numPr>
          <w:ilvl w:val="0"/>
          <w:numId w:val="5"/>
        </w:num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小型和微型企业产品价格扣除</w:t>
      </w:r>
    </w:p>
    <w:p>
      <w:pPr>
        <w:numPr>
          <w:ilvl w:val="1"/>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根据财政部、工业和信息化部印发的《政府采购促进中小企业发展管理办法》（财库﹝2020﹞46 号）的规定，投标产品为小型或微型企业制造时，报价给予价格6%的扣除，用扣除后的价格参与评审。</w:t>
      </w:r>
    </w:p>
    <w:p>
      <w:pPr>
        <w:numPr>
          <w:ilvl w:val="1"/>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《政府采购促进中小企业发展管理办法》所称中小企业（含中型、小型、微型企业，下同）应当同时符合以下条件：</w:t>
      </w:r>
    </w:p>
    <w:p>
      <w:pPr>
        <w:numPr>
          <w:ilvl w:val="2"/>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符合中小企业划分标准；</w:t>
      </w:r>
    </w:p>
    <w:p>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货物由中小企业制造，即货物由中小企业生产且使用该中小企业商号或者注册商标。</w:t>
      </w:r>
      <w:r>
        <w:rPr>
          <w:rFonts w:hint="eastAsia" w:cs="宋体" w:asciiTheme="minorEastAsia" w:hAnsiTheme="minorEastAsia" w:eastAsiaTheme="minorEastAsia"/>
          <w:color w:val="auto"/>
          <w:sz w:val="24"/>
          <w:szCs w:val="24"/>
          <w:highlight w:val="none"/>
        </w:rPr>
        <w:t>中小企业划分标准以《工业和信息化部、国家统计局、国家发展和改革委员会、财政部关于印发中小企业划型标准规定的通知》（工信部联企业</w:t>
      </w:r>
      <w:r>
        <w:rPr>
          <w:rFonts w:cs="宋体" w:asciiTheme="minorEastAsia" w:hAnsiTheme="minorEastAsia" w:eastAsiaTheme="minorEastAsia"/>
          <w:color w:val="auto"/>
          <w:sz w:val="24"/>
          <w:szCs w:val="24"/>
          <w:highlight w:val="none"/>
        </w:rPr>
        <w:t>[2011]300</w:t>
      </w:r>
      <w:r>
        <w:rPr>
          <w:rFonts w:hint="eastAsia" w:cs="宋体" w:asciiTheme="minorEastAsia" w:hAnsiTheme="minorEastAsia" w:eastAsiaTheme="minorEastAsia"/>
          <w:color w:val="auto"/>
          <w:sz w:val="24"/>
          <w:szCs w:val="24"/>
          <w:highlight w:val="none"/>
        </w:rPr>
        <w:t>号）规定的划分标准为准。</w:t>
      </w:r>
    </w:p>
    <w:p>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小型、微型企业提供中型企业制造的货物的，视同为中型企业。</w:t>
      </w:r>
    </w:p>
    <w:p>
      <w:pPr>
        <w:numPr>
          <w:ilvl w:val="1"/>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参加政府采购活动的中小企业应当提供《中小企业声明函》（格式见第六章投标文件格式），如投标人为非制造商，其代理产品的制造商也应同时提交《中小企业声明函》，否则评审时不能通过资格性审查。</w:t>
      </w:r>
    </w:p>
    <w:p>
      <w:pPr>
        <w:numPr>
          <w:ilvl w:val="1"/>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监狱企业产品价格扣除</w:t>
      </w:r>
    </w:p>
    <w:p>
      <w:pPr>
        <w:numPr>
          <w:ilvl w:val="2"/>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监狱企业视同小型、微型企业，按上述</w:t>
      </w:r>
      <w:r>
        <w:rPr>
          <w:rFonts w:asciiTheme="minorEastAsia" w:hAnsiTheme="minorEastAsia" w:eastAsiaTheme="minorEastAsia"/>
          <w:color w:val="auto"/>
          <w:sz w:val="24"/>
          <w:szCs w:val="24"/>
          <w:highlight w:val="none"/>
        </w:rPr>
        <w:t>2.1</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2.2</w:t>
      </w:r>
      <w:r>
        <w:rPr>
          <w:rFonts w:hint="eastAsia" w:cs="宋体" w:asciiTheme="minorEastAsia" w:hAnsiTheme="minorEastAsia" w:eastAsiaTheme="minorEastAsia"/>
          <w:color w:val="auto"/>
          <w:sz w:val="24"/>
          <w:szCs w:val="24"/>
          <w:highlight w:val="none"/>
        </w:rPr>
        <w:t>条款享受评审中价格扣除。</w:t>
      </w:r>
    </w:p>
    <w:p>
      <w:pPr>
        <w:numPr>
          <w:ilvl w:val="2"/>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监狱企业参加政府采购活动时，应当提供由</w:t>
      </w:r>
      <w:r>
        <w:rPr>
          <w:rFonts w:hint="eastAsia" w:cs="宋体" w:asciiTheme="minorEastAsia" w:hAnsiTheme="minorEastAsia" w:eastAsiaTheme="minorEastAsia"/>
          <w:color w:val="auto"/>
          <w:sz w:val="24"/>
          <w:szCs w:val="24"/>
          <w:highlight w:val="none"/>
          <w:u w:val="single"/>
        </w:rPr>
        <w:t>省级以上监狱管理局、戒毒管理局（含新疆生产建设兵团）出具的属于监狱企业的证明文件</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kern w:val="0"/>
          <w:sz w:val="24"/>
          <w:szCs w:val="24"/>
          <w:highlight w:val="none"/>
        </w:rPr>
        <w:t>否则不予认可</w:t>
      </w:r>
      <w:r>
        <w:rPr>
          <w:rFonts w:hint="eastAsia" w:cs="宋体" w:asciiTheme="minorEastAsia" w:hAnsiTheme="minorEastAsia" w:eastAsiaTheme="minorEastAsia"/>
          <w:color w:val="auto"/>
          <w:sz w:val="24"/>
          <w:szCs w:val="24"/>
          <w:highlight w:val="none"/>
        </w:rPr>
        <w:t>。</w:t>
      </w:r>
    </w:p>
    <w:p>
      <w:pPr>
        <w:numPr>
          <w:ilvl w:val="1"/>
          <w:numId w:val="5"/>
        </w:num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残疾人福利性单位产品价格扣除</w:t>
      </w:r>
    </w:p>
    <w:p>
      <w:pPr>
        <w:numPr>
          <w:ilvl w:val="2"/>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残疾人福利性单位视同小型、微型企业，按上述</w:t>
      </w:r>
      <w:r>
        <w:rPr>
          <w:rFonts w:asciiTheme="minorEastAsia" w:hAnsiTheme="minorEastAsia" w:eastAsiaTheme="minorEastAsia"/>
          <w:color w:val="auto"/>
          <w:sz w:val="24"/>
          <w:szCs w:val="24"/>
          <w:highlight w:val="none"/>
        </w:rPr>
        <w:t>2.1</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2.2</w:t>
      </w:r>
      <w:r>
        <w:rPr>
          <w:rFonts w:hint="eastAsia" w:cs="宋体" w:asciiTheme="minorEastAsia" w:hAnsiTheme="minorEastAsia" w:eastAsiaTheme="minorEastAsia"/>
          <w:color w:val="auto"/>
          <w:sz w:val="24"/>
          <w:szCs w:val="24"/>
          <w:highlight w:val="none"/>
        </w:rPr>
        <w:t>条款享受评审中价格扣除。</w:t>
      </w:r>
    </w:p>
    <w:p>
      <w:pPr>
        <w:numPr>
          <w:ilvl w:val="2"/>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根据财政部、民政部、中国残疾人联合会印发的《关于促进残疾人就业政府采购政策的通知》（财库〔</w:t>
      </w:r>
      <w:r>
        <w:rPr>
          <w:rFonts w:cs="宋体" w:asciiTheme="minorEastAsia" w:hAnsiTheme="minorEastAsia" w:eastAsiaTheme="minorEastAsia"/>
          <w:color w:val="auto"/>
          <w:sz w:val="24"/>
          <w:szCs w:val="24"/>
          <w:highlight w:val="none"/>
        </w:rPr>
        <w:t>2017</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141</w:t>
      </w:r>
      <w:r>
        <w:rPr>
          <w:rFonts w:hint="eastAsia" w:cs="宋体" w:asciiTheme="minorEastAsia" w:hAnsiTheme="minorEastAsia" w:eastAsiaTheme="minorEastAsia"/>
          <w:color w:val="auto"/>
          <w:sz w:val="24"/>
          <w:szCs w:val="24"/>
          <w:highlight w:val="none"/>
        </w:rPr>
        <w:t>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pPr>
        <w:numPr>
          <w:ilvl w:val="0"/>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投标人同时为小型、微型企业、监狱企业、残疾人福利性单位任两种或以上情况的，评审中只享受一次价格扣除，不重复进行价格扣除。</w:t>
      </w:r>
    </w:p>
    <w:p>
      <w:pPr>
        <w:pStyle w:val="147"/>
        <w:rPr>
          <w:rFonts w:eastAsiaTheme="minorEastAsia"/>
          <w:color w:val="auto"/>
          <w:highlight w:val="none"/>
          <w:lang w:val="en-US"/>
        </w:rPr>
      </w:pPr>
      <w:r>
        <w:rPr>
          <w:rFonts w:hint="eastAsia" w:cs="宋体" w:asciiTheme="minorEastAsia" w:hAnsiTheme="minorEastAsia" w:eastAsiaTheme="minorEastAsia"/>
          <w:color w:val="auto"/>
          <w:sz w:val="24"/>
          <w:szCs w:val="24"/>
          <w:highlight w:val="none"/>
          <w:lang w:val="en-US"/>
        </w:rPr>
        <w:t>注：本项目为专门面向中小企业采购的项目，则不再执行价格评审优惠的扶持政策。</w:t>
      </w:r>
    </w:p>
    <w:p>
      <w:pPr>
        <w:numPr>
          <w:ilvl w:val="0"/>
          <w:numId w:val="5"/>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节能产品、环境标志产品价格扣除：</w:t>
      </w:r>
    </w:p>
    <w:p>
      <w:pPr>
        <w:numPr>
          <w:ilvl w:val="1"/>
          <w:numId w:val="5"/>
        </w:numPr>
        <w:spacing w:line="360" w:lineRule="auto"/>
        <w:rPr>
          <w:rFonts w:asciiTheme="minorEastAsia" w:hAnsiTheme="minorEastAsia" w:eastAsiaTheme="minorEastAsia"/>
          <w:color w:val="auto"/>
          <w:sz w:val="24"/>
          <w:szCs w:val="24"/>
          <w:highlight w:val="none"/>
        </w:rPr>
      </w:pPr>
      <w:r>
        <w:rPr>
          <w:rFonts w:hint="eastAsia" w:hAnsi="宋体" w:cs="宋体"/>
          <w:color w:val="auto"/>
          <w:spacing w:val="-5"/>
          <w:sz w:val="24"/>
          <w:szCs w:val="24"/>
          <w:highlight w:val="none"/>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给予1% 的价格扣除</w:t>
      </w:r>
      <w:r>
        <w:rPr>
          <w:rFonts w:hint="eastAsia" w:cs="宋体" w:asciiTheme="minorEastAsia" w:hAnsiTheme="minorEastAsia" w:eastAsiaTheme="minorEastAsia"/>
          <w:color w:val="auto"/>
          <w:sz w:val="24"/>
          <w:szCs w:val="24"/>
          <w:highlight w:val="none"/>
        </w:rPr>
        <w:t>。</w:t>
      </w:r>
    </w:p>
    <w:p>
      <w:pPr>
        <w:numPr>
          <w:ilvl w:val="1"/>
          <w:numId w:val="5"/>
        </w:numPr>
        <w:spacing w:line="360" w:lineRule="auto"/>
        <w:rPr>
          <w:rFonts w:asciiTheme="minorEastAsia" w:hAnsiTheme="minorEastAsia" w:eastAsiaTheme="minorEastAsia"/>
          <w:color w:val="auto"/>
          <w:sz w:val="24"/>
          <w:szCs w:val="24"/>
          <w:highlight w:val="none"/>
        </w:rPr>
      </w:pPr>
      <w:r>
        <w:rPr>
          <w:rFonts w:hint="eastAsia" w:ascii="宋体" w:hAnsi="宋体" w:cs="宋体"/>
          <w:color w:val="auto"/>
          <w:sz w:val="24"/>
          <w:highlight w:val="none"/>
        </w:rPr>
        <w:t>属于品目清单范围内的节能或环境标志产品，应当提供国家确定的认证机构出具的、处于有效期之内的节能产品或环境标志产品认证证书复印件，并加盖投标人单位公章</w:t>
      </w:r>
      <w:r>
        <w:rPr>
          <w:rFonts w:hint="eastAsia" w:cs="宋体" w:asciiTheme="minorEastAsia" w:hAnsiTheme="minorEastAsia" w:eastAsiaTheme="minorEastAsia"/>
          <w:color w:val="auto"/>
          <w:sz w:val="24"/>
          <w:szCs w:val="24"/>
          <w:highlight w:val="none"/>
        </w:rPr>
        <w:t>。</w:t>
      </w:r>
    </w:p>
    <w:p>
      <w:pPr>
        <w:adjustRightInd w:val="0"/>
        <w:snapToGrid w:val="0"/>
        <w:spacing w:line="360" w:lineRule="auto"/>
        <w:jc w:val="center"/>
        <w:outlineLvl w:val="0"/>
        <w:rPr>
          <w:rFonts w:asciiTheme="minorEastAsia" w:hAnsiTheme="minorEastAsia" w:eastAsiaTheme="minorEastAsia"/>
          <w:b/>
          <w:bCs/>
          <w:color w:val="auto"/>
          <w:sz w:val="24"/>
          <w:szCs w:val="24"/>
          <w:highlight w:val="none"/>
        </w:rPr>
      </w:pPr>
      <w:bookmarkStart w:id="14" w:name="_Toc5215"/>
      <w:r>
        <w:rPr>
          <w:rFonts w:hint="eastAsia" w:cs="宋体" w:asciiTheme="minorEastAsia" w:hAnsiTheme="minorEastAsia" w:eastAsiaTheme="minorEastAsia"/>
          <w:b/>
          <w:bCs/>
          <w:color w:val="auto"/>
          <w:sz w:val="32"/>
          <w:szCs w:val="24"/>
          <w:highlight w:val="none"/>
        </w:rPr>
        <w:t>第四章</w:t>
      </w:r>
      <w:r>
        <w:rPr>
          <w:rFonts w:asciiTheme="minorEastAsia" w:hAnsiTheme="minorEastAsia" w:eastAsiaTheme="minorEastAsia"/>
          <w:b/>
          <w:bCs/>
          <w:color w:val="auto"/>
          <w:sz w:val="32"/>
          <w:szCs w:val="24"/>
          <w:highlight w:val="none"/>
        </w:rPr>
        <w:t xml:space="preserve"> </w:t>
      </w:r>
      <w:r>
        <w:rPr>
          <w:rFonts w:hint="eastAsia" w:cs="宋体" w:asciiTheme="minorEastAsia" w:hAnsiTheme="minorEastAsia" w:eastAsiaTheme="minorEastAsia"/>
          <w:b/>
          <w:bCs/>
          <w:color w:val="auto"/>
          <w:sz w:val="32"/>
          <w:szCs w:val="24"/>
          <w:highlight w:val="none"/>
        </w:rPr>
        <w:t>用户需求书</w:t>
      </w:r>
      <w:bookmarkEnd w:id="12"/>
      <w:bookmarkEnd w:id="13"/>
      <w:bookmarkEnd w:id="14"/>
    </w:p>
    <w:p>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注：1、如标有“★”的条款均为必须完全满足指标，投标人须进行实质性响应，投标人若有一项带“★”的条款未响应或不满足，将按无效投标处理。</w:t>
      </w:r>
    </w:p>
    <w:p>
      <w:pPr>
        <w:numPr>
          <w:ilvl w:val="0"/>
          <w:numId w:val="7"/>
        </w:numPr>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如标有“▲”的参数均为重要参数，评标时作为重要的评分项，但不作为废标条款（详见技术、商务评分表），投标人若有部分“▲”条款未响应或不满足，将导致其相应的响应性评审严重扣分。</w:t>
      </w:r>
    </w:p>
    <w:p>
      <w:pPr>
        <w:pStyle w:val="21"/>
        <w:numPr>
          <w:ilvl w:val="0"/>
          <w:numId w:val="7"/>
        </w:numPr>
        <w:tabs>
          <w:tab w:val="left" w:pos="540"/>
        </w:tabs>
        <w:adjustRightInd w:val="0"/>
        <w:snapToGrid w:val="0"/>
        <w:spacing w:line="360" w:lineRule="auto"/>
        <w:ind w:firstLine="482" w:firstLineChars="200"/>
        <w:rPr>
          <w:rFonts w:hAnsi="宋体"/>
          <w:b/>
          <w:color w:val="auto"/>
          <w:kern w:val="2"/>
          <w:sz w:val="24"/>
          <w:szCs w:val="24"/>
          <w:highlight w:val="none"/>
        </w:rPr>
      </w:pPr>
      <w:r>
        <w:rPr>
          <w:rFonts w:hint="eastAsia" w:hAnsi="宋体"/>
          <w:b/>
          <w:color w:val="auto"/>
          <w:kern w:val="2"/>
          <w:sz w:val="24"/>
          <w:szCs w:val="24"/>
          <w:highlight w:val="none"/>
        </w:rPr>
        <w:t>如标有“</w:t>
      </w:r>
      <w:r>
        <w:rPr>
          <w:rFonts w:hint="eastAsia" w:hAnsi="宋体"/>
          <w:b/>
          <w:color w:val="auto"/>
          <w:kern w:val="2"/>
          <w:sz w:val="24"/>
          <w:szCs w:val="24"/>
          <w:highlight w:val="none"/>
        </w:rPr>
        <w:sym w:font="Wingdings 2" w:char="F0A2"/>
      </w:r>
      <w:r>
        <w:rPr>
          <w:rFonts w:hint="eastAsia" w:hAnsi="宋体"/>
          <w:b/>
          <w:color w:val="auto"/>
          <w:kern w:val="2"/>
          <w:sz w:val="24"/>
          <w:szCs w:val="24"/>
          <w:highlight w:val="none"/>
        </w:rPr>
        <w:t>”的货物为本项目的核心产品，多家供应商提供的核心产品品牌相同的，按一家供应商计算，具体处理方法见“第三章开标、评标、定标”。</w:t>
      </w:r>
    </w:p>
    <w:p>
      <w:pPr>
        <w:pStyle w:val="21"/>
        <w:numPr>
          <w:ilvl w:val="0"/>
          <w:numId w:val="7"/>
        </w:numPr>
        <w:tabs>
          <w:tab w:val="left" w:pos="540"/>
        </w:tabs>
        <w:adjustRightInd w:val="0"/>
        <w:snapToGrid w:val="0"/>
        <w:spacing w:line="360" w:lineRule="auto"/>
        <w:ind w:firstLine="482" w:firstLineChars="200"/>
        <w:rPr>
          <w:rFonts w:hAnsi="宋体"/>
          <w:b/>
          <w:color w:val="auto"/>
          <w:kern w:val="2"/>
          <w:sz w:val="24"/>
          <w:szCs w:val="24"/>
          <w:highlight w:val="none"/>
        </w:rPr>
      </w:pPr>
      <w:r>
        <w:rPr>
          <w:rFonts w:hint="eastAsia" w:hAnsi="宋体"/>
          <w:b/>
          <w:color w:val="auto"/>
          <w:sz w:val="24"/>
          <w:szCs w:val="24"/>
          <w:highlight w:val="none"/>
        </w:rPr>
        <w:t>以技术参数序号最细的（如2、2.1.1之间，2.1.1为最细序号） 作为一项参数，以计算技术参数响应数量。</w:t>
      </w:r>
    </w:p>
    <w:p>
      <w:pPr>
        <w:pStyle w:val="21"/>
        <w:numPr>
          <w:ilvl w:val="0"/>
          <w:numId w:val="7"/>
        </w:numPr>
        <w:tabs>
          <w:tab w:val="left" w:pos="540"/>
        </w:tabs>
        <w:adjustRightInd w:val="0"/>
        <w:snapToGrid w:val="0"/>
        <w:spacing w:line="360" w:lineRule="auto"/>
        <w:ind w:firstLine="482" w:firstLineChars="200"/>
        <w:rPr>
          <w:rFonts w:hAnsi="宋体"/>
          <w:b/>
          <w:color w:val="auto"/>
          <w:kern w:val="2"/>
          <w:sz w:val="24"/>
          <w:szCs w:val="24"/>
          <w:highlight w:val="none"/>
        </w:rPr>
      </w:pPr>
      <w:r>
        <w:rPr>
          <w:rFonts w:hint="eastAsia" w:ascii="宋体" w:hAnsi="宋体"/>
          <w:b/>
          <w:color w:val="auto"/>
          <w:sz w:val="24"/>
          <w:highlight w:val="none"/>
        </w:rPr>
        <w:t>投标人应提供投标产品彩页或厂家出具的技术白皮书或厂家的证明材料作为证明文件，如提供不全或不提供上述证明文件，评标委员</w:t>
      </w:r>
      <w:r>
        <w:rPr>
          <w:rFonts w:hint="eastAsia" w:ascii="宋体" w:hAnsi="宋体"/>
          <w:b/>
          <w:color w:val="auto"/>
          <w:sz w:val="24"/>
          <w:highlight w:val="none"/>
          <w:lang w:val="en-US" w:eastAsia="zh-CN"/>
        </w:rPr>
        <w:t>则</w:t>
      </w:r>
      <w:r>
        <w:rPr>
          <w:rFonts w:hint="eastAsia" w:ascii="宋体" w:hAnsi="宋体"/>
          <w:b/>
          <w:color w:val="auto"/>
          <w:sz w:val="24"/>
          <w:highlight w:val="none"/>
        </w:rPr>
        <w:t>视为没有响应该参数。（如厂家的产品使用说明书为英文版，请同时提供中文版）。</w:t>
      </w:r>
    </w:p>
    <w:p>
      <w:pPr>
        <w:pStyle w:val="21"/>
        <w:tabs>
          <w:tab w:val="left" w:pos="540"/>
        </w:tabs>
        <w:adjustRightInd w:val="0"/>
        <w:snapToGrid w:val="0"/>
        <w:spacing w:line="360" w:lineRule="auto"/>
        <w:outlineLvl w:val="1"/>
        <w:rPr>
          <w:rFonts w:hAnsi="宋体"/>
          <w:b/>
          <w:color w:val="auto"/>
          <w:kern w:val="2"/>
          <w:sz w:val="24"/>
          <w:szCs w:val="24"/>
          <w:highlight w:val="none"/>
        </w:rPr>
      </w:pPr>
      <w:bookmarkStart w:id="15" w:name="_Toc435109306"/>
      <w:bookmarkStart w:id="16" w:name="_Toc435115055"/>
      <w:bookmarkStart w:id="17" w:name="_Toc435514850"/>
      <w:r>
        <w:rPr>
          <w:rFonts w:hint="eastAsia" w:hAnsi="宋体"/>
          <w:b/>
          <w:color w:val="auto"/>
          <w:kern w:val="2"/>
          <w:sz w:val="24"/>
          <w:szCs w:val="24"/>
          <w:highlight w:val="none"/>
        </w:rPr>
        <w:t>一、</w:t>
      </w:r>
      <w:r>
        <w:rPr>
          <w:rFonts w:hint="eastAsia" w:hAnsi="宋体"/>
          <w:b/>
          <w:color w:val="auto"/>
          <w:sz w:val="24"/>
          <w:szCs w:val="24"/>
          <w:highlight w:val="none"/>
        </w:rPr>
        <w:t>采购项目需求一览表</w:t>
      </w:r>
    </w:p>
    <w:tbl>
      <w:tblPr>
        <w:tblStyle w:val="38"/>
        <w:tblW w:w="47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79"/>
        <w:gridCol w:w="899"/>
        <w:gridCol w:w="829"/>
        <w:gridCol w:w="1536"/>
        <w:gridCol w:w="1580"/>
        <w:gridCol w:w="1010"/>
        <w:gridCol w:w="1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50"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包组号</w:t>
            </w:r>
          </w:p>
        </w:tc>
        <w:tc>
          <w:tcPr>
            <w:tcW w:w="913"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采购内容</w:t>
            </w:r>
          </w:p>
        </w:tc>
        <w:tc>
          <w:tcPr>
            <w:tcW w:w="48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451"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835"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单价限价（元）</w:t>
            </w:r>
          </w:p>
        </w:tc>
        <w:tc>
          <w:tcPr>
            <w:tcW w:w="85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采购预算/最高限价</w:t>
            </w:r>
          </w:p>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（元）</w:t>
            </w:r>
          </w:p>
        </w:tc>
        <w:tc>
          <w:tcPr>
            <w:tcW w:w="549"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是否允许进口</w:t>
            </w:r>
          </w:p>
        </w:tc>
        <w:tc>
          <w:tcPr>
            <w:tcW w:w="550" w:type="pct"/>
            <w:tcBorders>
              <w:top w:val="single" w:color="auto" w:sz="12" w:space="0"/>
              <w:bottom w:val="single" w:color="auto" w:sz="4" w:space="0"/>
            </w:tcBorders>
            <w:shd w:val="clear" w:color="auto" w:fill="D8D8D8" w:themeFill="background1" w:themeFillShade="D9"/>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restart"/>
            <w:vAlign w:val="center"/>
          </w:tcPr>
          <w:p>
            <w:pPr>
              <w:tabs>
                <w:tab w:val="left" w:pos="2602"/>
              </w:tabs>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p>
        </w:tc>
        <w:tc>
          <w:tcPr>
            <w:tcW w:w="913"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sym w:font="Wingdings 2" w:char="F0A2"/>
            </w:r>
            <w:r>
              <w:rPr>
                <w:rFonts w:hint="eastAsia" w:ascii="宋体" w:hAnsi="宋体" w:cs="宋体"/>
                <w:color w:val="auto"/>
                <w:kern w:val="0"/>
                <w:sz w:val="22"/>
                <w:szCs w:val="22"/>
                <w:highlight w:val="none"/>
              </w:rPr>
              <w:t>康复科专病大数据管理平台</w:t>
            </w:r>
          </w:p>
        </w:tc>
        <w:tc>
          <w:tcPr>
            <w:tcW w:w="489"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cs="宋体" w:asciiTheme="minorEastAsia" w:hAnsiTheme="minorEastAsia" w:eastAsiaTheme="minorEastAsia"/>
                <w:color w:val="auto"/>
                <w:sz w:val="24"/>
                <w:szCs w:val="24"/>
                <w:highlight w:val="none"/>
              </w:rPr>
            </w:pPr>
            <w:r>
              <w:rPr>
                <w:rFonts w:hint="eastAsia" w:ascii="宋体" w:hAnsi="宋体" w:cs="宋体"/>
                <w:color w:val="auto"/>
                <w:kern w:val="0"/>
                <w:sz w:val="22"/>
                <w:szCs w:val="22"/>
                <w:highlight w:val="none"/>
              </w:rPr>
              <w:t>￥230,000.00</w:t>
            </w:r>
          </w:p>
        </w:tc>
        <w:tc>
          <w:tcPr>
            <w:tcW w:w="859" w:type="pct"/>
            <w:vMerge w:val="restart"/>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￥578,600.00</w:t>
            </w: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restar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highlight w:val="none"/>
              </w:rPr>
              <w:t>国产货物合同签订后 30 个日历日；进口货物合同签订后 90 个日历日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高频探头</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￥78,000.00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是</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生理参数传输管理软件</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￥120,000.00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火龙罐</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￥12,600.00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子午流注低频治疗仪</w:t>
            </w:r>
          </w:p>
        </w:tc>
        <w:tc>
          <w:tcPr>
            <w:tcW w:w="489" w:type="pc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台</w:t>
            </w:r>
          </w:p>
        </w:tc>
        <w:tc>
          <w:tcPr>
            <w:tcW w:w="835"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￥138,000.00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restart"/>
            <w:vAlign w:val="center"/>
          </w:tcPr>
          <w:p>
            <w:pPr>
              <w:tabs>
                <w:tab w:val="left" w:pos="2602"/>
              </w:tabs>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sym w:font="Wingdings 2" w:char="F0A2"/>
            </w:r>
            <w:r>
              <w:rPr>
                <w:rFonts w:hint="eastAsia" w:ascii="宋体" w:hAnsi="宋体" w:cs="宋体"/>
                <w:color w:val="auto"/>
                <w:kern w:val="0"/>
                <w:sz w:val="22"/>
                <w:szCs w:val="22"/>
                <w:highlight w:val="none"/>
              </w:rPr>
              <w:t>弹性胶带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110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卷</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￥255.00</w:t>
            </w:r>
          </w:p>
        </w:tc>
        <w:tc>
          <w:tcPr>
            <w:tcW w:w="859" w:type="pct"/>
            <w:vMerge w:val="restart"/>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￥423,500.00</w:t>
            </w: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是</w:t>
            </w:r>
          </w:p>
        </w:tc>
        <w:tc>
          <w:tcPr>
            <w:tcW w:w="550" w:type="pct"/>
            <w:vMerge w:val="restart"/>
            <w:vAlign w:val="center"/>
          </w:tcPr>
          <w:p>
            <w:pPr>
              <w:widowControl/>
              <w:jc w:val="center"/>
              <w:textAlignment w:val="center"/>
              <w:rPr>
                <w:rFonts w:ascii="宋体" w:hAnsi="宋体" w:cs="宋体"/>
                <w:color w:val="auto"/>
                <w:kern w:val="0"/>
                <w:sz w:val="24"/>
                <w:szCs w:val="24"/>
                <w:highlight w:val="none"/>
              </w:rPr>
            </w:pPr>
            <w:r>
              <w:rPr>
                <w:rFonts w:hint="eastAsia" w:ascii="宋体" w:hAnsi="宋体" w:cs="宋体"/>
                <w:color w:val="auto"/>
                <w:highlight w:val="none"/>
              </w:rPr>
              <w:t>国产货物合同签订后 30 个日历日；进口货物合同签订后 90 个日历日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关节松动带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15</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￥240.00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筋膜球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筋膜球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 xml:space="preserve"> 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绳索调节器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6</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￥635.00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间隔器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￥810.00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绳索</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弹力管</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卷</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￥570.00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绳子固定器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S型挂钩</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16</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登山扣</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25</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颈牵带（含支撑杆）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￥121.00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￥165.00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无乳胶弹力带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￥238.00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弹力训练环</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沙袋</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￥310.00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￥340.00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￥475.00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软式重力球</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￥520.00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稳定性训练垫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9</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￥730.00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稳定性训练垫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9</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￥730.00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稳定性训练垫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9</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￥930.00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平衡盘</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赛乐棒</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￥290.00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赛乐棒</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￥310.00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赛乐棒</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中医封包远红外线包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180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￥198.00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中医封包复合磁疗包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360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￥178.00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细菌过滤器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￥49.00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肌肉链螺旋稳定训练弹力绳</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医用一次性针电极面肌针</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75</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支</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血氧仪</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吸唾管</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箱</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气囊</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呼吸训练器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助行器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石蜡</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hint="eastAsia" w:eastAsia="宋体" w:cs="宋体" w:asciiTheme="minorEastAsia" w:hAnsiTheme="minorEastAsia"/>
                <w:color w:val="auto"/>
                <w:kern w:val="0"/>
                <w:sz w:val="24"/>
                <w:szCs w:val="24"/>
                <w:highlight w:val="none"/>
                <w:lang w:eastAsia="zh-CN"/>
              </w:rPr>
            </w:pPr>
            <w:r>
              <w:rPr>
                <w:rFonts w:hint="eastAsia" w:ascii="宋体" w:hAnsi="宋体" w:cs="宋体"/>
                <w:color w:val="auto"/>
                <w:kern w:val="0"/>
                <w:sz w:val="22"/>
                <w:szCs w:val="22"/>
                <w:highlight w:val="none"/>
                <w:lang w:eastAsia="zh-CN"/>
              </w:rPr>
              <w:t>公斤</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弹力敷料绷带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100</w:t>
            </w:r>
          </w:p>
        </w:tc>
        <w:tc>
          <w:tcPr>
            <w:tcW w:w="451" w:type="pct"/>
            <w:vAlign w:val="center"/>
          </w:tcPr>
          <w:p>
            <w:pPr>
              <w:widowControl/>
              <w:jc w:val="center"/>
              <w:textAlignment w:val="center"/>
              <w:rPr>
                <w:rFonts w:hint="eastAsia" w:eastAsia="宋体" w:cs="宋体" w:asciiTheme="minorEastAsia" w:hAnsiTheme="minorEastAsia"/>
                <w:color w:val="auto"/>
                <w:kern w:val="0"/>
                <w:sz w:val="24"/>
                <w:szCs w:val="24"/>
                <w:highlight w:val="none"/>
                <w:lang w:eastAsia="zh-CN"/>
              </w:rPr>
            </w:pPr>
            <w:r>
              <w:rPr>
                <w:rFonts w:hint="eastAsia" w:ascii="宋体" w:hAnsi="宋体" w:cs="宋体"/>
                <w:color w:val="auto"/>
                <w:kern w:val="0"/>
                <w:sz w:val="22"/>
                <w:szCs w:val="22"/>
                <w:highlight w:val="none"/>
                <w:lang w:eastAsia="zh-CN"/>
              </w:rPr>
              <w:t>卷</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淋巴水肿上肢经济套装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淋巴水肿下肢经济套装</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一次性使用心电电极片</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盒</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电极线</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8</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吉他拨片</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电极板</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筋膜刀（全套）</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套</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助行架</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小号带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中号带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大号带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加大号带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颈部吊带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条</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脚套</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￥1,200.00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手腕带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￥800.00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踝关节支撑带</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标准滑轮</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6</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快速滑轮</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4</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￥1,460.00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振动杆</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根</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专业训练垫</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张</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摄像头(高清网络)</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8</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经颅磁定位帽</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10</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特定电磁波治疗仪</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￥650.00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心电记录仪</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￥1,370.00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尤克里里</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￥1,000.00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木吉他</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2</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￥1,400.00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调音器</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小电子琴</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￥1,390.00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平衡软塌（螺旋肌肉链）</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￥1,100.00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木琴</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1</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￥980.00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50" w:type="pct"/>
            <w:vMerge w:val="continue"/>
            <w:vAlign w:val="center"/>
          </w:tcPr>
          <w:p>
            <w:pPr>
              <w:tabs>
                <w:tab w:val="left" w:pos="2602"/>
              </w:tabs>
              <w:jc w:val="center"/>
              <w:rPr>
                <w:rFonts w:ascii="宋体" w:hAnsi="宋体" w:cs="宋体"/>
                <w:color w:val="auto"/>
                <w:kern w:val="0"/>
                <w:sz w:val="24"/>
                <w:szCs w:val="24"/>
                <w:highlight w:val="none"/>
              </w:rPr>
            </w:pPr>
          </w:p>
        </w:tc>
        <w:tc>
          <w:tcPr>
            <w:tcW w:w="913" w:type="pct"/>
            <w:vAlign w:val="center"/>
          </w:tcPr>
          <w:p>
            <w:pPr>
              <w:widowControl/>
              <w:jc w:val="center"/>
              <w:textAlignment w:val="center"/>
              <w:rPr>
                <w:color w:val="auto"/>
                <w:sz w:val="24"/>
                <w:szCs w:val="24"/>
                <w:highlight w:val="none"/>
              </w:rPr>
            </w:pPr>
            <w:r>
              <w:rPr>
                <w:rFonts w:hint="eastAsia" w:ascii="宋体" w:hAnsi="宋体" w:cs="宋体"/>
                <w:color w:val="auto"/>
                <w:kern w:val="0"/>
                <w:sz w:val="22"/>
                <w:szCs w:val="22"/>
                <w:highlight w:val="none"/>
              </w:rPr>
              <w:t>拇指琴</w:t>
            </w:r>
          </w:p>
        </w:tc>
        <w:tc>
          <w:tcPr>
            <w:tcW w:w="489"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5</w:t>
            </w:r>
          </w:p>
        </w:tc>
        <w:tc>
          <w:tcPr>
            <w:tcW w:w="451" w:type="pct"/>
            <w:vAlign w:val="center"/>
          </w:tcPr>
          <w:p>
            <w:pPr>
              <w:widowControl/>
              <w:jc w:val="center"/>
              <w:textAlignment w:val="center"/>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2"/>
                <w:szCs w:val="22"/>
                <w:highlight w:val="none"/>
              </w:rPr>
              <w:t>个</w:t>
            </w:r>
          </w:p>
        </w:tc>
        <w:tc>
          <w:tcPr>
            <w:tcW w:w="835" w:type="pct"/>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2"/>
                <w:szCs w:val="22"/>
                <w:highlight w:val="none"/>
              </w:rPr>
              <w:t>￥690.00</w:t>
            </w:r>
          </w:p>
        </w:tc>
        <w:tc>
          <w:tcPr>
            <w:tcW w:w="859" w:type="pct"/>
            <w:vMerge w:val="continue"/>
            <w:vAlign w:val="center"/>
          </w:tcPr>
          <w:p>
            <w:pPr>
              <w:widowControl/>
              <w:jc w:val="center"/>
              <w:textAlignment w:val="center"/>
              <w:rPr>
                <w:rFonts w:cs="宋体" w:asciiTheme="minorEastAsia" w:hAnsiTheme="minorEastAsia" w:eastAsiaTheme="minorEastAsia"/>
                <w:color w:val="auto"/>
                <w:kern w:val="0"/>
                <w:sz w:val="24"/>
                <w:szCs w:val="24"/>
                <w:highlight w:val="none"/>
              </w:rPr>
            </w:pPr>
          </w:p>
        </w:tc>
        <w:tc>
          <w:tcPr>
            <w:tcW w:w="549" w:type="pct"/>
            <w:vAlign w:val="center"/>
          </w:tcPr>
          <w:p>
            <w:pPr>
              <w:widowControl/>
              <w:jc w:val="center"/>
              <w:textAlignment w:val="center"/>
              <w:rPr>
                <w:rFonts w:ascii="宋体" w:hAnsi="宋体" w:cs="宋体"/>
                <w:color w:val="auto"/>
                <w:kern w:val="0"/>
                <w:sz w:val="22"/>
                <w:szCs w:val="22"/>
                <w:highlight w:val="none"/>
              </w:rPr>
            </w:pPr>
            <w:r>
              <w:rPr>
                <w:rFonts w:hint="eastAsia" w:ascii="宋体" w:hAnsi="宋体" w:cs="宋体"/>
                <w:color w:val="auto"/>
                <w:sz w:val="22"/>
                <w:szCs w:val="22"/>
                <w:highlight w:val="none"/>
              </w:rPr>
              <w:t>否</w:t>
            </w:r>
          </w:p>
        </w:tc>
        <w:tc>
          <w:tcPr>
            <w:tcW w:w="550" w:type="pct"/>
            <w:vMerge w:val="continue"/>
            <w:vAlign w:val="center"/>
          </w:tcPr>
          <w:p>
            <w:pPr>
              <w:widowControl/>
              <w:jc w:val="center"/>
              <w:textAlignment w:val="center"/>
              <w:rPr>
                <w:rFonts w:ascii="宋体" w:hAnsi="宋体" w:cs="宋体"/>
                <w:color w:val="auto"/>
                <w:kern w:val="0"/>
                <w:sz w:val="24"/>
                <w:szCs w:val="24"/>
                <w:highlight w:val="none"/>
              </w:rPr>
            </w:pPr>
          </w:p>
        </w:tc>
      </w:tr>
    </w:tbl>
    <w:p>
      <w:pPr>
        <w:spacing w:line="360" w:lineRule="auto"/>
        <w:contextualSpacing/>
        <w:rPr>
          <w:rFonts w:ascii="宋体" w:hAnsi="宋体" w:cs="宋体"/>
          <w:b/>
          <w:color w:val="auto"/>
          <w:sz w:val="24"/>
          <w:szCs w:val="24"/>
          <w:highlight w:val="none"/>
        </w:rPr>
      </w:pPr>
      <w:r>
        <w:rPr>
          <w:rFonts w:hint="eastAsia" w:ascii="宋体" w:hAnsi="宋体" w:cs="宋体"/>
          <w:b/>
          <w:color w:val="auto"/>
          <w:sz w:val="24"/>
          <w:szCs w:val="24"/>
          <w:highlight w:val="none"/>
        </w:rPr>
        <w:t>（一）总体要求：</w:t>
      </w:r>
    </w:p>
    <w:p>
      <w:pPr>
        <w:spacing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本项目为交钥匙项目。投标人的报价应包括货物采购、</w:t>
      </w:r>
      <w:r>
        <w:rPr>
          <w:rFonts w:hint="eastAsia" w:ascii="宋体" w:hAnsi="宋体" w:cs="宋体"/>
          <w:color w:val="auto"/>
          <w:sz w:val="24"/>
          <w:highlight w:val="none"/>
        </w:rPr>
        <w:t>安装、调试、验收、人员培训及相关服务等所有含税费用。</w:t>
      </w:r>
    </w:p>
    <w:p>
      <w:pPr>
        <w:spacing w:line="360" w:lineRule="auto"/>
        <w:contextualSpacing/>
        <w:rPr>
          <w:rFonts w:hint="eastAsia" w:ascii="宋体" w:hAnsi="宋体" w:cs="宋体"/>
          <w:b/>
          <w:color w:val="auto"/>
          <w:sz w:val="24"/>
          <w:szCs w:val="24"/>
          <w:highlight w:val="none"/>
        </w:rPr>
      </w:pPr>
      <w:bookmarkStart w:id="18" w:name="_Toc13657"/>
      <w:r>
        <w:rPr>
          <w:rFonts w:hint="eastAsia" w:ascii="宋体" w:hAnsi="宋体" w:cs="宋体"/>
          <w:b/>
          <w:color w:val="auto"/>
          <w:sz w:val="24"/>
          <w:szCs w:val="24"/>
          <w:highlight w:val="none"/>
        </w:rPr>
        <w:t>（二）</w:t>
      </w:r>
      <w:bookmarkStart w:id="19" w:name="_Toc7200718"/>
      <w:r>
        <w:rPr>
          <w:rFonts w:hint="eastAsia" w:ascii="宋体" w:hAnsi="宋体" w:cs="宋体"/>
          <w:b/>
          <w:color w:val="auto"/>
          <w:sz w:val="24"/>
          <w:szCs w:val="24"/>
          <w:highlight w:val="none"/>
        </w:rPr>
        <w:t>采购项目详细技术参数及要求</w:t>
      </w:r>
      <w:bookmarkEnd w:id="19"/>
      <w:r>
        <w:rPr>
          <w:rFonts w:hint="eastAsia" w:ascii="宋体" w:hAnsi="宋体" w:cs="宋体"/>
          <w:b/>
          <w:color w:val="auto"/>
          <w:sz w:val="24"/>
          <w:szCs w:val="24"/>
          <w:highlight w:val="none"/>
        </w:rPr>
        <w:t>：</w:t>
      </w:r>
    </w:p>
    <w:p>
      <w:pPr>
        <w:autoSpaceDE w:val="0"/>
        <w:autoSpaceDN w:val="0"/>
        <w:spacing w:line="360" w:lineRule="auto"/>
        <w:jc w:val="left"/>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包组一：</w:t>
      </w:r>
    </w:p>
    <w:bookmarkEnd w:id="18"/>
    <w:tbl>
      <w:tblPr>
        <w:tblStyle w:val="38"/>
        <w:tblW w:w="4998" w:type="pct"/>
        <w:tblInd w:w="0" w:type="dxa"/>
        <w:tblLayout w:type="autofit"/>
        <w:tblCellMar>
          <w:top w:w="0" w:type="dxa"/>
          <w:left w:w="108" w:type="dxa"/>
          <w:bottom w:w="0" w:type="dxa"/>
          <w:right w:w="108" w:type="dxa"/>
        </w:tblCellMar>
      </w:tblPr>
      <w:tblGrid>
        <w:gridCol w:w="982"/>
        <w:gridCol w:w="7798"/>
        <w:gridCol w:w="956"/>
      </w:tblGrid>
      <w:tr>
        <w:tblPrEx>
          <w:tblCellMar>
            <w:top w:w="0" w:type="dxa"/>
            <w:left w:w="108" w:type="dxa"/>
            <w:bottom w:w="0" w:type="dxa"/>
            <w:right w:w="108" w:type="dxa"/>
          </w:tblCellMar>
        </w:tblPrEx>
        <w:trPr>
          <w:trHeight w:val="1242"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产品名称/简称</w:t>
            </w:r>
          </w:p>
        </w:tc>
        <w:tc>
          <w:tcPr>
            <w:tcW w:w="40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主要组成及技术参数</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备注</w:t>
            </w:r>
          </w:p>
        </w:tc>
      </w:tr>
      <w:tr>
        <w:tblPrEx>
          <w:tblCellMar>
            <w:top w:w="0" w:type="dxa"/>
            <w:left w:w="108" w:type="dxa"/>
            <w:bottom w:w="0" w:type="dxa"/>
            <w:right w:w="108" w:type="dxa"/>
          </w:tblCellMar>
        </w:tblPrEx>
        <w:trPr>
          <w:trHeight w:val="5554"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康复科专病大数据管理平台</w:t>
            </w:r>
          </w:p>
        </w:tc>
        <w:tc>
          <w:tcPr>
            <w:tcW w:w="40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1.采集、解析、归并康复设备及应用系统数据</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2.采集、解析、归并HIS系统临床数据</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3.为每个康复病人或指定病人组构建治疗期和康复期的全过程画像</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4.提供用户手工录入批量数据导入功能</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5.用户可自定义组合条件对数据进行筛选和过滤</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6.实时对数据进行横向和纵向的多维度动态分析，即时反馈分析结果</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7.内建常用数据分析模型，包括回归分析、聚类分析、相关性分析和时间序列分析等，提供外部接口为第三方应用提供功能和数据服务</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▲8.有现成方案对接康复科现有康复设备所生成的康复数据集合，包括pdf文件、图片文件、设备自有格式文件等，并支持通过设备特定网络协议进行对接达到自动数据采集效果</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▲9.平台系统支持无代码动态生成统计图表，支持多图表同屏显示、图表位置拖动和外观设置</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▲10.平台数据库支持分布式全量文本搜索查询，并支持单实例复用需求</w:t>
            </w:r>
          </w:p>
          <w:p>
            <w:pPr>
              <w:widowControl/>
              <w:spacing w:line="400" w:lineRule="exact"/>
              <w:jc w:val="left"/>
              <w:textAlignment w:val="center"/>
              <w:rPr>
                <w:rFonts w:ascii="宋体" w:hAnsi="宋体" w:cs="宋体"/>
                <w:color w:val="auto"/>
                <w:sz w:val="22"/>
                <w:highlight w:val="none"/>
              </w:rPr>
            </w:pPr>
            <w:r>
              <w:rPr>
                <w:rFonts w:hint="eastAsia" w:ascii="宋体" w:hAnsi="宋体" w:cs="宋体"/>
                <w:color w:val="auto"/>
                <w:kern w:val="0"/>
                <w:sz w:val="22"/>
                <w:highlight w:val="none"/>
              </w:rPr>
              <w:t>▲11.有现成的技术方案对接HIS或相关临床数据系统，能够同时处理超过3亿条住院医嘱和门诊医嘱记录，有同级别医院实施案例经验，支持接入Python、R或其他数据分析应用协同进行海量数据的统计和分析工作</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9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高频探头</w:t>
            </w:r>
          </w:p>
        </w:tc>
        <w:tc>
          <w:tcPr>
            <w:tcW w:w="40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▲1.高频探头需要与本科室现有的设备相兼容使用。</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2.该产品为宽频带电子线阵探头</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3.频率范围：5-12MHz</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4.横向分辨力：≤1（深度≤60）</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5.纵向分辨力：≤1（深度≤80）</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6.几何位置精度：横向≤5，纵向≤5</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7.探测深度（mm）：≥80</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8.盲区：≤3</w:t>
            </w:r>
          </w:p>
          <w:p>
            <w:pPr>
              <w:widowControl/>
              <w:spacing w:line="400" w:lineRule="exact"/>
              <w:jc w:val="left"/>
              <w:textAlignment w:val="center"/>
              <w:rPr>
                <w:rFonts w:ascii="宋体" w:hAnsi="宋体" w:cs="宋体"/>
                <w:color w:val="auto"/>
                <w:sz w:val="22"/>
                <w:highlight w:val="none"/>
              </w:rPr>
            </w:pPr>
            <w:r>
              <w:rPr>
                <w:rFonts w:hint="eastAsia" w:ascii="宋体" w:hAnsi="宋体" w:cs="宋体"/>
                <w:color w:val="auto"/>
                <w:kern w:val="0"/>
                <w:sz w:val="22"/>
                <w:highlight w:val="none"/>
              </w:rPr>
              <w:t>9.主要用于肌骨、浅表器官、血管、穿刺引导等检查。</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需与采购人原有的肌骨超声设备进行兼容运行</w:t>
            </w:r>
          </w:p>
        </w:tc>
      </w:tr>
      <w:tr>
        <w:tblPrEx>
          <w:tblCellMar>
            <w:top w:w="0" w:type="dxa"/>
            <w:left w:w="108" w:type="dxa"/>
            <w:bottom w:w="0" w:type="dxa"/>
            <w:right w:w="108" w:type="dxa"/>
          </w:tblCellMar>
        </w:tblPrEx>
        <w:trPr>
          <w:trHeight w:val="4749" w:hRule="atLeast"/>
        </w:trPr>
        <w:tc>
          <w:tcPr>
            <w:tcW w:w="504"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kern w:val="0"/>
                <w:sz w:val="22"/>
                <w:highlight w:val="none"/>
              </w:rPr>
            </w:pPr>
          </w:p>
          <w:p>
            <w:pPr>
              <w:widowControl/>
              <w:spacing w:line="400" w:lineRule="exact"/>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生理参数传输管理软件</w:t>
            </w:r>
          </w:p>
        </w:tc>
        <w:tc>
          <w:tcPr>
            <w:tcW w:w="40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b/>
                <w:bCs/>
                <w:color w:val="auto"/>
                <w:kern w:val="0"/>
                <w:sz w:val="22"/>
                <w:highlight w:val="none"/>
              </w:rPr>
            </w:pPr>
            <w:r>
              <w:rPr>
                <w:rFonts w:hint="eastAsia" w:ascii="宋体" w:hAnsi="宋体" w:cs="宋体"/>
                <w:b/>
                <w:bCs/>
                <w:color w:val="auto"/>
                <w:kern w:val="0"/>
                <w:sz w:val="22"/>
                <w:highlight w:val="none"/>
              </w:rPr>
              <w:t>《心肺疾病物理治疗》 技术参数：</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 功能参数：</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▲1.1 具备心电图、心率/心律异常事件自动采集的记录和监护功能；</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1.2 管理平台支持1拖1连接蓝牙式心电设备：单导联动态心电记录仪，可蓝牙无线外接脉搏波血压计、脉搏血氧饱和度仪等设备；</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1.3 管理平台可以对在线患者进行远程监护；</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1.4 移动工作站可以对在线患者进行实时监护；</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▲1.5 具有自动计距、计时、语音提醒功能；</w:t>
            </w:r>
          </w:p>
          <w:p>
            <w:pPr>
              <w:rPr>
                <w:color w:val="auto"/>
                <w:kern w:val="0"/>
                <w:highlight w:val="none"/>
              </w:rPr>
            </w:pPr>
            <w:r>
              <w:rPr>
                <w:rFonts w:hint="eastAsia" w:ascii="宋体" w:hAnsi="宋体" w:cs="宋体"/>
                <w:color w:val="auto"/>
                <w:kern w:val="0"/>
                <w:sz w:val="22"/>
                <w:highlight w:val="none"/>
              </w:rPr>
              <w:t>▲1.6 自动出具心率变异性报告；</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1.7 自动记录步行期间每分钟的生理参数值（心率、血氧）；</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1.8 自动出具评估报告，数据可包含心率曲线、血氧曲线、运动前后血压、异常心电事件抓取、伯格评分（Borg）、预测代谢当量（Mets）、心肺功能分级等，预测步行距离，历史步行距离；</w:t>
            </w:r>
          </w:p>
          <w:p>
            <w:pPr>
              <w:widowControl/>
              <w:spacing w:line="400" w:lineRule="exact"/>
              <w:jc w:val="left"/>
              <w:textAlignment w:val="center"/>
              <w:rPr>
                <w:rFonts w:ascii="宋体" w:hAnsi="宋体" w:cs="宋体"/>
                <w:color w:val="auto"/>
                <w:sz w:val="22"/>
                <w:highlight w:val="none"/>
              </w:rPr>
            </w:pPr>
            <w:r>
              <w:rPr>
                <w:rFonts w:hint="eastAsia" w:ascii="宋体" w:hAnsi="宋体" w:cs="宋体"/>
                <w:color w:val="auto"/>
                <w:kern w:val="0"/>
                <w:sz w:val="22"/>
                <w:highlight w:val="none"/>
              </w:rPr>
              <w:t>1.9 具有语音提醒功能，全程由APP控制六分钟标准流程，语音提醒按照美国ATS 2002《六分钟步行试验指南》要求设计并提示操作人员；</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highlight w:val="none"/>
              </w:rPr>
            </w:pPr>
          </w:p>
        </w:tc>
      </w:tr>
      <w:tr>
        <w:trPr>
          <w:trHeight w:val="1613" w:hRule="atLeast"/>
        </w:trPr>
        <w:tc>
          <w:tcPr>
            <w:tcW w:w="504"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kern w:val="0"/>
                <w:sz w:val="22"/>
                <w:highlight w:val="none"/>
              </w:rPr>
            </w:pPr>
          </w:p>
        </w:tc>
        <w:tc>
          <w:tcPr>
            <w:tcW w:w="40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2.核心硬件参数</w:t>
            </w:r>
          </w:p>
          <w:p>
            <w:pPr>
              <w:widowControl/>
              <w:spacing w:line="400" w:lineRule="exact"/>
              <w:jc w:val="left"/>
              <w:textAlignment w:val="center"/>
              <w:rPr>
                <w:rFonts w:ascii="宋体" w:hAnsi="宋体" w:cs="宋体"/>
                <w:color w:val="auto"/>
                <w:kern w:val="0"/>
                <w:sz w:val="22"/>
                <w:highlight w:val="none"/>
              </w:rPr>
            </w:pPr>
            <w:r>
              <w:rPr>
                <w:rFonts w:hint="eastAsia"/>
                <w:b/>
                <w:bCs/>
                <w:color w:val="auto"/>
                <w:highlight w:val="none"/>
                <w:lang w:val="en-US" w:eastAsia="zh-CN"/>
              </w:rPr>
              <w:t>★</w:t>
            </w:r>
            <w:r>
              <w:rPr>
                <w:rFonts w:hint="eastAsia" w:ascii="宋体" w:hAnsi="宋体" w:cs="宋体"/>
                <w:color w:val="auto"/>
                <w:kern w:val="0"/>
                <w:sz w:val="22"/>
                <w:highlight w:val="none"/>
              </w:rPr>
              <w:t>2.1 心电采集设备是医用级心电设备，需要具备医疗器械注册证；</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▲2.2 共模抑制比：≥70dB</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▲2.3 采</w:t>
            </w:r>
            <w:r>
              <w:rPr>
                <w:rFonts w:hint="eastAsia" w:ascii="宋体" w:hAnsi="宋体" w:cs="宋体"/>
                <w:color w:val="auto"/>
                <w:sz w:val="22"/>
                <w:highlight w:val="none"/>
              </w:rPr>
              <w:t>样</w:t>
            </w:r>
            <w:r>
              <w:rPr>
                <w:rFonts w:ascii="宋体" w:hAnsi="宋体" w:cs="宋体"/>
                <w:color w:val="auto"/>
                <w:sz w:val="22"/>
                <w:highlight w:val="none"/>
              </w:rPr>
              <w:t>率：</w:t>
            </w:r>
            <w:r>
              <w:rPr>
                <w:rStyle w:val="151"/>
                <w:rFonts w:hint="default"/>
                <w:color w:val="auto"/>
                <w:highlight w:val="none"/>
              </w:rPr>
              <w:t>≥</w:t>
            </w:r>
            <w:r>
              <w:rPr>
                <w:rFonts w:ascii="宋体" w:hAnsi="宋体" w:cs="宋体"/>
                <w:color w:val="auto"/>
                <w:sz w:val="22"/>
                <w:highlight w:val="none"/>
              </w:rPr>
              <w:t>1000Hz</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▲2.4 ADC采样分辨率：</w:t>
            </w:r>
            <w:r>
              <w:rPr>
                <w:rStyle w:val="151"/>
                <w:rFonts w:hint="default"/>
                <w:color w:val="auto"/>
                <w:highlight w:val="none"/>
              </w:rPr>
              <w:t>≥</w:t>
            </w:r>
            <w:r>
              <w:rPr>
                <w:rFonts w:ascii="宋体" w:hAnsi="宋体" w:cs="宋体"/>
                <w:color w:val="auto"/>
                <w:sz w:val="22"/>
                <w:highlight w:val="none"/>
              </w:rPr>
              <w:t>24bit</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5</w:t>
            </w:r>
            <w:r>
              <w:rPr>
                <w:rFonts w:ascii="宋体" w:hAnsi="宋体" w:cs="宋体"/>
                <w:color w:val="auto"/>
                <w:sz w:val="22"/>
                <w:highlight w:val="none"/>
              </w:rPr>
              <w:t xml:space="preserve"> 电源：内置可充电锂电池（3.7V、200mAh）</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6</w:t>
            </w:r>
            <w:r>
              <w:rPr>
                <w:rFonts w:ascii="宋体" w:hAnsi="宋体" w:cs="宋体"/>
                <w:color w:val="auto"/>
                <w:sz w:val="22"/>
                <w:highlight w:val="none"/>
              </w:rPr>
              <w:t>连接方式：蓝牙4.0无线传输，内置天线，无遮拦通讯距离≥5米</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7</w:t>
            </w:r>
            <w:r>
              <w:rPr>
                <w:rFonts w:ascii="宋体" w:hAnsi="宋体" w:cs="宋体"/>
                <w:color w:val="auto"/>
                <w:sz w:val="22"/>
                <w:highlight w:val="none"/>
              </w:rPr>
              <w:t xml:space="preserve"> 续航能力：单次充电</w:t>
            </w:r>
            <w:r>
              <w:rPr>
                <w:rStyle w:val="151"/>
                <w:rFonts w:hint="default"/>
                <w:color w:val="auto"/>
                <w:highlight w:val="none"/>
              </w:rPr>
              <w:t>≤</w:t>
            </w:r>
            <w:r>
              <w:rPr>
                <w:rFonts w:ascii="宋体" w:hAnsi="宋体" w:cs="宋体"/>
                <w:color w:val="auto"/>
                <w:sz w:val="22"/>
                <w:highlight w:val="none"/>
              </w:rPr>
              <w:t>2h充满，最长连续连续工作≥7天；</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 xml:space="preserve">              蓝牙传输工作模式可连续工作≥3.5天</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8</w:t>
            </w:r>
            <w:r>
              <w:rPr>
                <w:rFonts w:ascii="宋体" w:hAnsi="宋体" w:cs="宋体"/>
                <w:color w:val="auto"/>
                <w:sz w:val="22"/>
                <w:highlight w:val="none"/>
              </w:rPr>
              <w:t xml:space="preserve"> 外形尺寸：</w:t>
            </w:r>
            <w:r>
              <w:rPr>
                <w:rFonts w:hint="eastAsia"/>
                <w:color w:val="auto"/>
                <w:highlight w:val="none"/>
              </w:rPr>
              <w:t>约</w:t>
            </w:r>
            <w:r>
              <w:rPr>
                <w:rFonts w:ascii="宋体" w:hAnsi="宋体" w:cs="宋体"/>
                <w:color w:val="auto"/>
                <w:sz w:val="22"/>
                <w:highlight w:val="none"/>
              </w:rPr>
              <w:t>长35mm×宽32mm×厚15mm，净重</w:t>
            </w:r>
            <w:r>
              <w:rPr>
                <w:rFonts w:hint="eastAsia"/>
                <w:color w:val="auto"/>
                <w:highlight w:val="none"/>
              </w:rPr>
              <w:t>约</w:t>
            </w:r>
            <w:r>
              <w:rPr>
                <w:rFonts w:ascii="宋体" w:hAnsi="宋体" w:cs="宋体"/>
                <w:color w:val="auto"/>
                <w:sz w:val="22"/>
                <w:highlight w:val="none"/>
              </w:rPr>
              <w:t>16g（含电池）</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9</w:t>
            </w:r>
            <w:r>
              <w:rPr>
                <w:rFonts w:ascii="宋体" w:hAnsi="宋体" w:cs="宋体"/>
                <w:color w:val="auto"/>
                <w:sz w:val="22"/>
                <w:highlight w:val="none"/>
              </w:rPr>
              <w:t xml:space="preserve"> 储存容量：</w:t>
            </w:r>
            <w:r>
              <w:rPr>
                <w:rStyle w:val="151"/>
                <w:rFonts w:hint="default"/>
                <w:color w:val="auto"/>
                <w:highlight w:val="none"/>
              </w:rPr>
              <w:t>≥</w:t>
            </w:r>
            <w:r>
              <w:rPr>
                <w:rFonts w:ascii="宋体" w:hAnsi="宋体" w:cs="宋体"/>
                <w:color w:val="auto"/>
                <w:sz w:val="22"/>
                <w:highlight w:val="none"/>
              </w:rPr>
              <w:t>8G（可储存6个月以上的ECG数据）</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 xml:space="preserve">              可实时蓝牙监护，可供Holter分析，可全程数据回放</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10</w:t>
            </w:r>
            <w:r>
              <w:rPr>
                <w:rFonts w:ascii="宋体" w:hAnsi="宋体" w:cs="宋体"/>
                <w:color w:val="auto"/>
                <w:sz w:val="22"/>
                <w:highlight w:val="none"/>
              </w:rPr>
              <w:t xml:space="preserve"> 心率采集范围：30bpm-300bpm</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▲2.10 输入阻抗：≥20MΩ</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2.11 系统噪声：≤25μVp-p</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2.12 计时准确性：24小时内总误差≤20s</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 xml:space="preserve">2.13 增益精确度：最大振幅误差范围±5%     </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 xml:space="preserve">2.14 增益稳定性：增益变化24小时内≤3% </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2.15 频率响应：0.67Hz-40Hz，±3dB</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2.16 定标信号：1.0mV±0.01mV</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2.17 动态输入范围：</w:t>
            </w:r>
            <w:r>
              <w:rPr>
                <w:rStyle w:val="151"/>
                <w:rFonts w:hint="default"/>
                <w:color w:val="auto"/>
                <w:highlight w:val="none"/>
              </w:rPr>
              <w:t>≥</w:t>
            </w:r>
            <w:r>
              <w:rPr>
                <w:rFonts w:ascii="宋体" w:hAnsi="宋体" w:cs="宋体"/>
                <w:color w:val="auto"/>
                <w:sz w:val="22"/>
                <w:highlight w:val="none"/>
              </w:rPr>
              <w:t>10mV</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2.18 最小检测信号：</w:t>
            </w:r>
            <w:r>
              <w:rPr>
                <w:rStyle w:val="151"/>
                <w:rFonts w:hint="default"/>
                <w:color w:val="auto"/>
                <w:highlight w:val="none"/>
              </w:rPr>
              <w:t>≥</w:t>
            </w:r>
            <w:r>
              <w:rPr>
                <w:rFonts w:ascii="宋体" w:hAnsi="宋体" w:cs="宋体"/>
                <w:color w:val="auto"/>
                <w:sz w:val="22"/>
                <w:highlight w:val="none"/>
              </w:rPr>
              <w:t>40μV</w:t>
            </w:r>
          </w:p>
          <w:p>
            <w:pPr>
              <w:widowControl/>
              <w:spacing w:line="400" w:lineRule="exact"/>
              <w:jc w:val="left"/>
              <w:textAlignment w:val="center"/>
              <w:rPr>
                <w:rFonts w:ascii="宋体" w:hAnsi="宋体" w:cs="宋体"/>
                <w:color w:val="auto"/>
                <w:sz w:val="22"/>
                <w:highlight w:val="none"/>
              </w:rPr>
            </w:pPr>
            <w:r>
              <w:rPr>
                <w:rFonts w:ascii="宋体" w:hAnsi="宋体" w:cs="宋体"/>
                <w:color w:val="auto"/>
                <w:sz w:val="22"/>
                <w:highlight w:val="none"/>
              </w:rPr>
              <w:t>2.19 耐极化电压：±300mV</w:t>
            </w:r>
          </w:p>
          <w:p>
            <w:pPr>
              <w:widowControl/>
              <w:spacing w:line="400" w:lineRule="exact"/>
              <w:jc w:val="left"/>
              <w:textAlignment w:val="center"/>
              <w:rPr>
                <w:rFonts w:ascii="宋体" w:hAnsi="宋体" w:cs="宋体"/>
                <w:b/>
                <w:bCs/>
                <w:color w:val="auto"/>
                <w:kern w:val="0"/>
                <w:sz w:val="22"/>
                <w:highlight w:val="none"/>
              </w:rPr>
            </w:pPr>
            <w:r>
              <w:rPr>
                <w:rFonts w:ascii="宋体" w:hAnsi="宋体" w:cs="宋体"/>
                <w:color w:val="auto"/>
                <w:sz w:val="22"/>
                <w:highlight w:val="none"/>
              </w:rPr>
              <w:t>2.20 使用温湿度：5℃～40℃；25%～80%（非冷凝）</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73"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火龙罐</w:t>
            </w:r>
          </w:p>
        </w:tc>
        <w:tc>
          <w:tcPr>
            <w:tcW w:w="40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highlight w:val="none"/>
              </w:rPr>
            </w:pPr>
            <w:r>
              <w:rPr>
                <w:rFonts w:hint="eastAsia" w:ascii="宋体" w:hAnsi="宋体" w:cs="宋体"/>
                <w:color w:val="auto"/>
                <w:kern w:val="0"/>
                <w:sz w:val="22"/>
                <w:highlight w:val="none"/>
              </w:rPr>
              <w:t>指导学生火龙罐大罐操作技术，火龙罐大中小各3个，银佛手罐1个，金银罐1个</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6718"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子午流注低频治疗仪</w:t>
            </w:r>
          </w:p>
        </w:tc>
        <w:tc>
          <w:tcPr>
            <w:tcW w:w="40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b/>
                <w:bCs/>
                <w:color w:val="auto"/>
                <w:kern w:val="0"/>
                <w:sz w:val="22"/>
                <w:highlight w:val="none"/>
              </w:rPr>
            </w:pPr>
            <w:r>
              <w:rPr>
                <w:rFonts w:hint="eastAsia" w:ascii="宋体" w:hAnsi="宋体" w:cs="宋体"/>
                <w:b/>
                <w:bCs/>
                <w:color w:val="auto"/>
                <w:kern w:val="0"/>
                <w:sz w:val="22"/>
                <w:highlight w:val="none"/>
              </w:rPr>
              <w:t>技术参数：</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1.两种开穴模式：子午流注纳甲法开穴、灵龟八法开穴；</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2.两种治疗模式：处方模式、自定义模式；</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3.三种开穴时间：即时开穴、定时开穴（择时开穴）、未来五次开穴时间；</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4.四种查询模式：时间查询、病症查询、十四经穴位查询、经外奇穴查询。每个穴位配有解剖定位图形，治疗功能详细介绍。</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5.五种脉冲频率多挡可调：单一脉冲（频率可调）,4种组合脉冲可调。</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▲6.五组处方每组处方2个穴位，10路输出，可一键同时调节两路输出强度。</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7.治疗强度1-99挡可调，可在任意强度设置安全挡位；</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8.治疗时间设定：10-60min</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9.时区设定：真太阳时自动计算，可识别全国各地不同时差地区。</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10.治疗输出幅度（额定负载</w:t>
            </w:r>
            <w:r>
              <w:rPr>
                <w:rStyle w:val="151"/>
                <w:rFonts w:hint="default"/>
                <w:color w:val="auto"/>
                <w:highlight w:val="none"/>
              </w:rPr>
              <w:t>≥</w:t>
            </w:r>
            <w:r>
              <w:rPr>
                <w:rFonts w:hint="eastAsia" w:ascii="宋体" w:hAnsi="宋体" w:cs="宋体"/>
                <w:color w:val="auto"/>
                <w:kern w:val="0"/>
                <w:sz w:val="22"/>
                <w:highlight w:val="none"/>
              </w:rPr>
              <w:t>500Ω）：输出电压有效值不大于20V，输出电流不大于30mA；最大输出电流有效值≥10ma；最高输出频率：400hz,(±15％误差），多档可调。</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▲11.脉冲峰值电压：治疗仪脉冲幅度值≤60V；脉冲宽度：脉冲宽度应在10us～1000us范围内；单个脉冲能量：治疗仪在500Ω的负载下，单个脉冲最大输出能量≤300mJ。</w:t>
            </w:r>
          </w:p>
          <w:p>
            <w:pPr>
              <w:widowControl/>
              <w:spacing w:line="400" w:lineRule="exact"/>
              <w:jc w:val="left"/>
              <w:textAlignment w:val="center"/>
              <w:rPr>
                <w:color w:val="auto"/>
                <w:highlight w:val="none"/>
              </w:rPr>
            </w:pPr>
            <w:r>
              <w:rPr>
                <w:rFonts w:hint="eastAsia" w:ascii="宋体" w:hAnsi="宋体" w:cs="宋体"/>
                <w:color w:val="auto"/>
                <w:kern w:val="0"/>
                <w:sz w:val="22"/>
                <w:highlight w:val="none"/>
              </w:rPr>
              <w:t>▲12.输出幅度调节：治疗仪输出幅度值从最小到最大为连续可调或以每个增量≤1mA或1V断续调节的输出幅度，其最小输出设定值，≤最大设定值的2%</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▲13.自定义处方库，存储处方数量大于100个。</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 xml:space="preserve">14.输出频率：1.25hz-400hz </w:t>
            </w:r>
            <w:r>
              <w:rPr>
                <w:rFonts w:hint="eastAsia"/>
                <w:color w:val="auto"/>
                <w:highlight w:val="none"/>
              </w:rPr>
              <w:t>不少于</w:t>
            </w:r>
            <w:r>
              <w:rPr>
                <w:rFonts w:hint="eastAsia" w:ascii="宋体" w:hAnsi="宋体" w:cs="宋体"/>
                <w:color w:val="auto"/>
                <w:kern w:val="0"/>
                <w:sz w:val="22"/>
                <w:highlight w:val="none"/>
              </w:rPr>
              <w:t>10挡可调。</w:t>
            </w:r>
          </w:p>
          <w:p>
            <w:pPr>
              <w:widowControl/>
              <w:spacing w:line="400" w:lineRule="exact"/>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15.显示屏：多点触控彩色触摸屏</w:t>
            </w:r>
            <w:r>
              <w:rPr>
                <w:rFonts w:hint="eastAsia"/>
                <w:color w:val="auto"/>
                <w:highlight w:val="none"/>
              </w:rPr>
              <w:t>约</w:t>
            </w:r>
            <w:r>
              <w:rPr>
                <w:rFonts w:hint="eastAsia" w:ascii="宋体" w:hAnsi="宋体" w:cs="宋体"/>
                <w:color w:val="auto"/>
                <w:kern w:val="0"/>
                <w:sz w:val="22"/>
                <w:highlight w:val="none"/>
              </w:rPr>
              <w:t>7寸。</w:t>
            </w:r>
          </w:p>
          <w:p>
            <w:pPr>
              <w:widowControl/>
              <w:spacing w:line="400" w:lineRule="exact"/>
              <w:jc w:val="left"/>
              <w:textAlignment w:val="center"/>
              <w:rPr>
                <w:rFonts w:ascii="宋体" w:hAnsi="宋体" w:cs="宋体"/>
                <w:color w:val="auto"/>
                <w:sz w:val="22"/>
                <w:highlight w:val="none"/>
              </w:rPr>
            </w:pPr>
            <w:r>
              <w:rPr>
                <w:rFonts w:hint="eastAsia" w:ascii="宋体" w:hAnsi="宋体" w:cs="宋体"/>
                <w:color w:val="auto"/>
                <w:kern w:val="0"/>
                <w:sz w:val="22"/>
                <w:highlight w:val="none"/>
              </w:rPr>
              <w:t>16.立式一体机整机设计，无需拆装安装，包含输出线收纳。</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highlight w:val="none"/>
              </w:rPr>
            </w:pPr>
          </w:p>
        </w:tc>
      </w:tr>
    </w:tbl>
    <w:p>
      <w:pPr>
        <w:tabs>
          <w:tab w:val="left" w:pos="540"/>
        </w:tabs>
        <w:adjustRightInd w:val="0"/>
        <w:snapToGrid w:val="0"/>
        <w:spacing w:line="360" w:lineRule="auto"/>
        <w:outlineLvl w:val="1"/>
        <w:rPr>
          <w:rFonts w:ascii="宋体" w:hAnsi="宋体" w:cs="宋体"/>
          <w:b/>
          <w:color w:val="auto"/>
          <w:kern w:val="0"/>
          <w:sz w:val="24"/>
          <w:szCs w:val="24"/>
          <w:highlight w:val="none"/>
        </w:rPr>
      </w:pPr>
    </w:p>
    <w:p>
      <w:pPr>
        <w:pStyle w:val="21"/>
        <w:tabs>
          <w:tab w:val="left" w:pos="540"/>
        </w:tabs>
        <w:adjustRightInd w:val="0"/>
        <w:snapToGrid w:val="0"/>
        <w:spacing w:line="360" w:lineRule="auto"/>
        <w:outlineLvl w:val="1"/>
        <w:rPr>
          <w:rFonts w:hAnsi="宋体"/>
          <w:b/>
          <w:color w:val="auto"/>
          <w:sz w:val="24"/>
          <w:szCs w:val="24"/>
          <w:highlight w:val="none"/>
        </w:rPr>
      </w:pPr>
      <w:r>
        <w:rPr>
          <w:rFonts w:hint="eastAsia" w:hAnsi="宋体"/>
          <w:b/>
          <w:color w:val="auto"/>
          <w:sz w:val="24"/>
          <w:szCs w:val="24"/>
          <w:highlight w:val="none"/>
        </w:rPr>
        <w:t>包组二：</w:t>
      </w:r>
    </w:p>
    <w:tbl>
      <w:tblPr>
        <w:tblStyle w:val="38"/>
        <w:tblW w:w="5000" w:type="pct"/>
        <w:tblInd w:w="0" w:type="dxa"/>
        <w:tblLayout w:type="fixed"/>
        <w:tblCellMar>
          <w:top w:w="0" w:type="dxa"/>
          <w:left w:w="108" w:type="dxa"/>
          <w:bottom w:w="0" w:type="dxa"/>
          <w:right w:w="108" w:type="dxa"/>
        </w:tblCellMar>
      </w:tblPr>
      <w:tblGrid>
        <w:gridCol w:w="967"/>
        <w:gridCol w:w="7867"/>
        <w:gridCol w:w="906"/>
      </w:tblGrid>
      <w:tr>
        <w:tblPrEx>
          <w:tblCellMar>
            <w:top w:w="0" w:type="dxa"/>
            <w:left w:w="108" w:type="dxa"/>
            <w:bottom w:w="0" w:type="dxa"/>
            <w:right w:w="108" w:type="dxa"/>
          </w:tblCellMar>
        </w:tblPrEx>
        <w:trPr>
          <w:trHeight w:val="1016"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产品名称/简称</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主要组成及技术参数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备注</w:t>
            </w: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弹性胶带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规格：约5cm*5m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85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关节松动带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color w:val="auto"/>
                <w:highlight w:val="none"/>
                <w:lang w:val="en-US" w:eastAsia="zh-CN"/>
              </w:rPr>
              <w:t>1.</w:t>
            </w:r>
            <w:r>
              <w:rPr>
                <w:rFonts w:hint="eastAsia" w:ascii="宋体" w:hAnsi="宋体" w:cs="宋体"/>
                <w:color w:val="auto"/>
                <w:kern w:val="0"/>
                <w:sz w:val="22"/>
                <w:szCs w:val="22"/>
                <w:highlight w:val="none"/>
              </w:rPr>
              <w:t xml:space="preserve">主要组成：全长约3M </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rPr>
              <w:t>尺寸：全长约3M；</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2.2</w:t>
            </w:r>
            <w:r>
              <w:rPr>
                <w:rFonts w:hint="eastAsia" w:ascii="宋体" w:hAnsi="宋体" w:cs="宋体"/>
                <w:color w:val="auto"/>
                <w:kern w:val="0"/>
                <w:sz w:val="22"/>
                <w:szCs w:val="22"/>
                <w:highlight w:val="none"/>
              </w:rPr>
              <w:t>材质：衬垫材质是人造皮革 双线圈锁边加固金属锁扣紧固耐用主体织带细密编制双十字缝合技术 质量可靠；</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val="en-US" w:eastAsia="zh-CN"/>
              </w:rPr>
              <w:t>2.3</w:t>
            </w:r>
            <w:r>
              <w:rPr>
                <w:rFonts w:hint="eastAsia" w:ascii="宋体" w:hAnsi="宋体" w:cs="宋体"/>
                <w:color w:val="auto"/>
                <w:kern w:val="0"/>
                <w:sz w:val="22"/>
                <w:szCs w:val="22"/>
                <w:highlight w:val="none"/>
              </w:rPr>
              <w:t>适用人群：物理治疗师 徒手治疗师 康复教师及学生等。</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7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筋膜球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1.主要组成：直径约8cm</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2.黑色、橙色、粉红色可选</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3.1尺寸规格：约8CM（直径）颜色：黑色、橙色、粉红色；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3.2产品特点：环保、节能产品，材料可循环利用，不含推进剂气体，不含其它化学推进剂，卫生，无味，不可溶于水，易擦洗，易杀菌；</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3.3作用部位：足底（足底筋膜炎）、腓肠肌、髂腰肌、胸小肌、臀中肌髂腰肌等；</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3.4作用方式：可以用在桌子上，地板上或靠墙上；</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3.5技术优势：逐个部位逐点放松、穴位点按、针对性强；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3.6运用功能：松解筋膜，加快代谢，增加筋膜弹性和肌肉灵活度，平衡训练，预防损伤。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891"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筋膜球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1.主要组成：直径约12cm</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2.黑色、橙色、粉红色可选</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3.1尺寸规格：</w:t>
            </w:r>
            <w:r>
              <w:rPr>
                <w:rFonts w:hint="eastAsia"/>
                <w:color w:val="auto"/>
                <w:highlight w:val="none"/>
              </w:rPr>
              <w:t>约</w:t>
            </w:r>
            <w:r>
              <w:rPr>
                <w:rFonts w:hint="eastAsia" w:ascii="宋体" w:hAnsi="宋体" w:cs="宋体"/>
                <w:color w:val="auto"/>
                <w:kern w:val="0"/>
                <w:sz w:val="22"/>
                <w:szCs w:val="22"/>
                <w:highlight w:val="none"/>
              </w:rPr>
              <w:t>12CM（直径）颜色：黑色、橙色、粉红色；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3.2产品特点：环保、节能产品，材料可循环利用，不含推进剂气体，不含其它化学推进剂，卫生，无味，不可溶于水，易擦洗，易杀菌；</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3.3作用部位：足底（足底筋膜炎）、腓肠肌、髂腰肌、胸小肌、臀中肌髂腰肌等；</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3.4作用方式：可以用在桌子上，地板上或靠墙上；</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3.5技术优势：逐个部位逐点放松、穴位点按、针对性强；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3.6运用功能：松解筋膜，加快代谢，增加筋膜弹性和肌肉灵活度，平衡训练，预防损伤。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404"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1.主要组成：≥2.5M(每套包含以下颜色：茶色，黄色，红色，绿色，蓝色，黑色，银色，金色)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 弹力带，用于康复和体育训练中的弹性抗阻训练、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2.2弹力带由100%天然乳胶制成，无刺激性、无毒性；</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2.3茶、黄、红、绿、蓝、黑、银、金八种渐进式阻力级别逐渐增强；</w:t>
            </w:r>
          </w:p>
          <w:p>
            <w:pPr>
              <w:widowControl/>
              <w:spacing w:line="400" w:lineRule="exact"/>
              <w:jc w:val="left"/>
              <w:textAlignment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2.4拉伸三倍原长阻力分别为：黄≥2.2kg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红≥2.7kg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绿≥3.6kg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蓝≥5.0 kg</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黑≥6.7kg</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2.5标有颜色的弹力带可积极增强训练结果，并提供积极反馈；</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2.6提供弹力带针对颈部、肩部、腰部、膝关节、核心力量康复训练挂图一套。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809"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绳索调节器</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1.主要组成：约9*4*2CM    约45g</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2.技术参数：用于调节绳索长度，根据进行联系的种类来选择；治疗师可使用该装置轻易调节绳索长度，避免徒手打结的烦恼。</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2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间隔器</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w:t>
            </w:r>
            <w:r>
              <w:rPr>
                <w:rFonts w:hint="eastAsia"/>
                <w:color w:val="auto"/>
                <w:highlight w:val="none"/>
              </w:rPr>
              <w:t>约</w:t>
            </w:r>
            <w:r>
              <w:rPr>
                <w:rFonts w:hint="eastAsia" w:ascii="宋体" w:hAnsi="宋体" w:cs="宋体"/>
                <w:color w:val="auto"/>
                <w:kern w:val="0"/>
                <w:sz w:val="22"/>
                <w:szCs w:val="22"/>
                <w:highlight w:val="none"/>
              </w:rPr>
              <w:t>11*7*6.5CM  约300g</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2.技术参数：外覆塑料图层的金属配件，可将网格固定在垂直平面上。它使滑轮在网格上滑动时与网格分离开，可以避免在使用过程中绳索与支架间的摩擦。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3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绳索</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1.主要组成：≥30M</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2.技术参数：直径约6MM，重量≥19g/m，拉力≥500kg；</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材质：丙纶。</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341"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弹力管</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1.主要组成：≥7.62M</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2.2弹力训练管是由天然乳胶制成；</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3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绳子固定器</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1.主要组成：约3*3.5*2CM   ≥20g</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2.技术参数：使用这个装置将弹力管直接与其他配件的附属环相连接，节省治疗师准备训练装置时间。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3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S型挂钩</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w:t>
            </w:r>
            <w:r>
              <w:rPr>
                <w:rFonts w:hint="eastAsia"/>
                <w:color w:val="auto"/>
                <w:highlight w:val="none"/>
              </w:rPr>
              <w:t>约</w:t>
            </w:r>
            <w:r>
              <w:rPr>
                <w:rFonts w:hint="eastAsia" w:ascii="宋体" w:hAnsi="宋体" w:cs="宋体"/>
                <w:color w:val="auto"/>
                <w:kern w:val="0"/>
                <w:sz w:val="22"/>
                <w:szCs w:val="22"/>
                <w:highlight w:val="none"/>
              </w:rPr>
              <w:t>5*2.5*0.5CM   ≥15g</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2.技术参数：多用途基本配件，可用于无需使用闭合连接环的工具训练;可直接勾于钢网上使用（单件）。</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登山扣</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1.主要组成：7*3.5*0.7CM   ≥25g</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2.技术参数：多用途基本配件，可以使各种工具牢固固定于钢网或支架上。</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3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颈牵带（含支撑杆）</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1.主要组成：约111*11.5*4CM 约2Kg</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2.技术参数：用于颈部牵引练习时控制头部位置，其中尼龙扣起固定作用；结合金属支撑杆一起使用。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无乳胶弹力带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1.主要组成：约1.8M,黄色∕薄型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2.1材质：天然橡胶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2.2用于康复和体育训练中的弹性抗阻训练、核心力量训练、牵拉、稳定性训练；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 黄、红、绿、蓝、黑、银、金七种渐进式阻力级别逐渐增强；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2.4拉伸三倍原长阻力分别为：黄约2.2kg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红约2.7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绿约3.6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蓝约5.0 kg黑约6.7kg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无乳胶弹力带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1.主要组成：约1.8M,红色∕中等型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2.1材质：天然橡胶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2.2用于康复和体育训练中的弹性抗阻训练、核心力量训练、牵拉、稳定性训练；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 黄、红、绿、蓝、黑、银、金七种渐进式阻力级别逐渐增强；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2.4拉伸三倍原长阻力分别为：黄约2.2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红约2.7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绿约3.6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蓝约5.0 kg黑约6.7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无乳胶弹力带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w:t>
            </w:r>
            <w:r>
              <w:rPr>
                <w:rFonts w:hint="eastAsia"/>
                <w:color w:val="auto"/>
                <w:highlight w:val="none"/>
              </w:rPr>
              <w:t>约</w:t>
            </w:r>
            <w:r>
              <w:rPr>
                <w:rFonts w:hint="eastAsia" w:ascii="宋体" w:hAnsi="宋体" w:cs="宋体"/>
                <w:color w:val="auto"/>
                <w:kern w:val="0"/>
                <w:sz w:val="22"/>
                <w:szCs w:val="22"/>
                <w:highlight w:val="none"/>
              </w:rPr>
              <w:t>1.8M,绿色∕中等重型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2.1材质：天然橡胶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2.2用于康复和体育训练中的弹性抗阻训练、核心力量训练、牵拉、稳定性训练；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 黄、红、绿、蓝、黑、银、金七种渐进式阻力级别逐渐增强；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2.4、拉伸三倍原长阻力分别为：黄约2.2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红约2.7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绿约3.6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蓝约5.0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黑约6.7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无乳胶弹力带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1.主要组成：约1.8M,蓝色∕重型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2.1材质：天然橡胶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2.2用于康复和体育训练中的弹性抗阻训练、核心力量训练、牵拉、稳定性训练；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 黄、红、绿、蓝、黑、银、金七种渐进式阻力级别逐渐增强；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2.4拉伸三倍原长阻力分别为：黄约2.2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红约2.7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绿约3.6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蓝约5.0 kg黑约6.7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无乳胶弹力带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1.主要组成：约1.8M,黑色∕特重型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2.1材质：天然橡胶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2.2用于康复和体育训练中的弹性抗阻训练、核心力量训练、牵拉、稳定性训练；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2.3黄、红、绿、蓝、黑、银、金七种渐进式阻力级别逐渐增强；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2.4拉伸三倍原长阻力分别为：黄约2.2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红约2.7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绿约3.6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蓝约5.0 kg黑约6.7kg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无乳胶弹力带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w:t>
            </w:r>
            <w:r>
              <w:rPr>
                <w:rFonts w:hint="eastAsia"/>
                <w:color w:val="auto"/>
                <w:highlight w:val="none"/>
              </w:rPr>
              <w:t>约</w:t>
            </w:r>
            <w:r>
              <w:rPr>
                <w:rFonts w:hint="eastAsia" w:ascii="宋体" w:hAnsi="宋体" w:cs="宋体"/>
                <w:color w:val="auto"/>
                <w:kern w:val="0"/>
                <w:sz w:val="22"/>
                <w:szCs w:val="22"/>
                <w:highlight w:val="none"/>
              </w:rPr>
              <w:t>1.8M,银色/超重型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2.1材质：天然橡胶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2.2用于康复和体育训练中的弹性抗阻训练、核心力量训练、牵拉、稳定性训练；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 黄、红、绿、蓝、黑、银、金七种渐进式阻力级别逐渐增强；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2.4拉伸三倍原长阻力分别为：黄约2.2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红约2.7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绿约3.6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蓝约5.0 kg黑约6.7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无乳胶弹力带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w:t>
            </w:r>
            <w:r>
              <w:rPr>
                <w:rFonts w:hint="eastAsia"/>
                <w:color w:val="auto"/>
                <w:highlight w:val="none"/>
              </w:rPr>
              <w:t>约</w:t>
            </w:r>
            <w:r>
              <w:rPr>
                <w:rFonts w:hint="eastAsia" w:ascii="宋体" w:hAnsi="宋体" w:cs="宋体"/>
                <w:color w:val="auto"/>
                <w:kern w:val="0"/>
                <w:sz w:val="22"/>
                <w:szCs w:val="22"/>
                <w:highlight w:val="none"/>
              </w:rPr>
              <w:t>1.8M,金色/最重型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2.1材质：天然橡胶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2.2用于康复和体育训练中的弹性抗阻训练、核心力量训练、牵拉、稳定性训练；</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 黄、红、绿、蓝、黑、银、金七种渐进式阻力级别逐渐增强；</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4、拉伸三倍原长阻力分别为：黄约2.2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红约2.7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绿约3.6 kg</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蓝约5.0 kg黑约6.7kg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57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弹力训练环</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1.主要组成：≥12英寸，黄色、红色、绿色、蓝色四种颜色；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2.1弹力训练环由100%天然橡胶制成；</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2.2宽度均约为7.7厘米，黄、红、绿、蓝四种颜色区分阻力；</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2.3产品尺寸：≥12英寸（30.48厘米）；</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2.4一套配备不少于四种颜色，三个尺寸各10条/盒；</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 使用不同的专利颜色区别，从黄色到蓝色，难度逐步增加；</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2.6标有颜色的弹力训练环可积极增强训练结果，并提供积极反馈。</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54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沙袋</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1.主要组成：红、绿、蓝三种颜色；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2.技术参数：1、适用踝部、腕部的小沙袋；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2.1外部为聚丁橡胶附加可调节的绑带，外部为柔软的毛圈织物；</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2.2一套有三种颜色（红，绿，蓝）重量不同，红色2磅/对，绿色3磅/对， 蓝色5磅/对。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54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软式重力球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1.主要组成：茶色约0.5公斤</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2.1软式重力球呈球型，可抓在手中，可提供更具功能性和适应性的单侧或双侧渐进训练，不易从手中滑落；</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2.2重量：茶≥0.5 kg  黄≥1.0 kg  红≥1.5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54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软式重力球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1.主要组成：黄色∕≥1.0公斤</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2.1软式重力球呈球型，可抓在手中，可提供更具功能性和适应性的单侧或双侧渐进训练，不易从手中滑落；</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2.2重量：茶≥0.5kg   黄≥1.0kg   红≥1.5kg；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54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软式重力球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1.主要组成：红色∕≥1.5公斤</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2.1软式重力球呈球型，可抓在手中，可提供更具功能性和适应性的单侧或双侧渐进训练，不易从手中滑落；</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2.2重量：茶≥0.5kg   黄≥1.0kg  红≥1.5kg；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54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软式重力球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1.主要组成：绿色∕≥2.0公斤</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2.1软式重力球呈球型，可抓在手中，可提供更具功能性和适应性的单侧或双侧渐进训练，不易从手中滑落；</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2.2重量为：绿≥2.0 kg   蓝≥2.5 kg  黑≥3.0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54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软式重力球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1.主要组成：蓝色∕≥2.5公斤</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2.1软式重力球呈球型，可抓在手中，可提供更具功能性和适应性的单侧或双侧渐进训练，不易从手中滑落；</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2.2重量为：绿≥2.0 kg  蓝≥2.5 kg   黑≥3.0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2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软式重力球</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1.主要组成：黑色∕≥3.0公斤</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2.1软式重力球呈球型，可抓在手中，可提供更具功能性和适应性的单侧或双侧渐进训练，不易从手中滑落；2、重量为：绿≥2.0 kg蓝≥2.5 kg黑≥3.0 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16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稳定性训练垫</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1.主要组成：软∕蓝色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2.1椭圆型，包括绿色、蓝色、黑色三种难度。绿色较硬，提供初级难度，蓝色较软，提供中等难度。黑色特软提供最大难度；</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2.2充气黑色特软型稳定性训练垫可进行多方向位移训练。训练器的一面上有多个圆头小点，可对脚部提供感觉运动刺激；另一面较厚，在训练中可承受踝关节的运动，而不使踝关节受伤；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16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稳定性训练垫</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1.主要组成：硬∕绿色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2.1椭圆型，包括绿色、蓝色、黑色三种难度。绿色较硬，提供初级难度，蓝色较软，提供中等难度。黑色特软提供最大难度；</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2.2充气黑色特软型稳定性训练垫可进行多方向位移训练。训练器的一面上有多个圆头小点，可对脚部提供感觉运动刺激；另一面较厚，在训练中可承受踝关节的运动，而不使踝关节受伤；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16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稳定性训练垫</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1.主要组成：超软∕单个充气∕黑色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2.1椭圆型，包括绿色、蓝色、黑色三种难度。绿色较硬，提供初级难度，蓝色较软，提供中等难度。黑色特软提供最大难度；</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2.2充气黑色特软型稳定性训练垫可进行多方向位移训练。训练器的一面上有多个圆头小点，可对脚部提供感觉运动刺激；另一面较厚，在训练中可承受踝关节的运动，而不使踝关节受伤；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平衡盘</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1.主要组成：直径13英寸（约33CM）， 银色 / 充气</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2.1直径13英寸的盘形成了一个不稳定且由感觉刺激的平面，</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以易化平衡和本体感觉训练，并诱发自动姿势反应；</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2.2由PVC材质制造成空心乳胶平衡盘，成为一个新的训练式训练级别；</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2.3改产品有助于刺激活核心肌群，是一款对于物理治疗师，手法治疗师，职业医师，体能教练，都是一款极有价值的训练工具；</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2.4适用于临床应用：包括平衡和本体感觉训练。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rPr>
          <w:trHeight w:val="16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赛乐棒</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1.主要组成：黄色 / 轻</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2.1训练棒长约30.48cm.，含有干性天然橡胶；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2.3阻力由轻到重依次为黄色、红色、绿色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2.4 握成U型所需的力分别为： 红色≥4.54kg绿色≥6.81kg 需要弯曲90度的力；</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2.5可用于上肢肌力训练、震动训练及关节松动术；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66"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赛乐棒</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1.主要组成：红色∕轻</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2.1训练棒长约30.48cm.，含有干性天然橡胶；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2.2阻力由轻到重依次为黄色、红色、绿色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2.3握成U型所需的力分别为： 红色≥4.54kg绿色≥6.81kg 需要弯曲90度的力；</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2.4可用于上肢肌力训练、震动训练及关节松动术；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90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赛乐棒</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1.主要组成：绿色∕硬度适中</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2.1训练棒长</w:t>
            </w:r>
            <w:r>
              <w:rPr>
                <w:rFonts w:hint="eastAsia"/>
                <w:color w:val="auto"/>
                <w:highlight w:val="none"/>
              </w:rPr>
              <w:t>约</w:t>
            </w:r>
            <w:r>
              <w:rPr>
                <w:rFonts w:hint="eastAsia" w:ascii="宋体" w:hAnsi="宋体" w:cs="宋体"/>
                <w:color w:val="auto"/>
                <w:kern w:val="0"/>
                <w:sz w:val="22"/>
                <w:szCs w:val="22"/>
                <w:highlight w:val="none"/>
              </w:rPr>
              <w:t>30.48cm.，含有干性天然橡胶；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2.2阻力由轻到重依次为黄色、红色、绿色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2.3握成U型所需的力分别为： 红色≥4.54kg绿色≥6.81kg 需要弯曲90度的力；</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2.4可用于上肢肌力训练、震动训练及关节松动术；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38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振动杆</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1.主要组成：绿色/儿童型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2.1重量低于1磅</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2.2产生振动波频率：4.6HZ</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2.3材质：玻璃纤维</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2.4阻力由轻到重依次为绿色、红色、蓝色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2.5长度约：约1.2m</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2.6可用于改善腰背痛、肌肉不平衡、关节不稳定、不良姿态、骨质疏松症等</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05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振动杆</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1.主要组成：红色/标准型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r>
              <w:rPr>
                <w:rFonts w:hint="eastAsia"/>
                <w:color w:val="auto"/>
                <w:highlight w:val="none"/>
              </w:rPr>
              <w:t>重</w:t>
            </w:r>
            <w:r>
              <w:rPr>
                <w:rFonts w:hint="eastAsia" w:ascii="宋体" w:hAnsi="宋体" w:cs="宋体"/>
                <w:color w:val="auto"/>
                <w:kern w:val="0"/>
                <w:sz w:val="22"/>
                <w:szCs w:val="22"/>
                <w:highlight w:val="none"/>
              </w:rPr>
              <w:t>量低于1磅</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3.产生振动波频率：4.6HZ</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4.材质：玻璃纤维</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5.阻力由轻到重依次为绿色、红色、蓝色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6.长度约：约1.5m</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7.可用于改善腰背痛、肌肉不平衡、关节不稳定、不良姿态、骨质疏松症等。</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471"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振动杆</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1.主要组成：蓝色/加强型</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2.技术参数：</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2.1重量低于1磅</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2.2产生振动波频率：4.6HZ</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2.3材质：玻璃纤维</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2.4阻力由轻到重依次为绿色、红色、蓝色</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2.5长度约：约1.5m</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2.6可用于改善腰背痛、肌肉不平衡、关节不稳定、不良姿态、骨质疏松症等。</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85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中医封包远红外线包</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1.输入电压和频率：AC100～240V，47～63Hz</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2.输出电压：DC24V（隔离）</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3.额定输入功率：90VA+15%</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4.治疗温度：38℃-48℃</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5.远红外线波长：8um～15um</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6.磁场强度：≥800Gs×5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85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中医封包复合磁疗包</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1.输入电压和频率：AC100～240V，47～63Hz</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2.输出电压：DC24V（隔离）</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3.额定输入功率：90VA+15%</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4.治疗温度：38℃-48℃</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5.远红外线波长：8um～15um</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6.磁场强度：≥800Gs×5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细菌过滤器</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呼吸管路细菌过滤器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2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肌肉链螺旋稳定训练弹力绳</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弹力≥5kg，包括辅助伸缩棒及软垫</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2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医用一次性针电极面肌针</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规格：约针长50mm，针径0.5mm，导线长1.5m</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血氧仪</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彩屏款，可监测血氧、脉率、血流；报警方式：声光报警；菜单：英文；显示方向：按键旋转</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吸唾管</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白色透明管+蓝色头，塑料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气囊</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舌部气囊长约3cm宽1cm</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气囊链接管约8cm</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呼吸训练器</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排痰训练用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助行器</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滑轮设计</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石蜡</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石蜡-晶型蜡  加工程度：医用级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弹力敷料绷带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规格：</w:t>
            </w:r>
            <w:r>
              <w:rPr>
                <w:rFonts w:hint="eastAsia"/>
                <w:color w:val="auto"/>
                <w:highlight w:val="none"/>
              </w:rPr>
              <w:t>约</w:t>
            </w:r>
            <w:r>
              <w:rPr>
                <w:rFonts w:hint="eastAsia" w:ascii="宋体" w:hAnsi="宋体" w:cs="宋体"/>
                <w:color w:val="auto"/>
                <w:kern w:val="0"/>
                <w:sz w:val="22"/>
                <w:szCs w:val="22"/>
                <w:highlight w:val="none"/>
              </w:rPr>
              <w:t>4cm*4m</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2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淋巴水肿上肢经济套装</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39"/>
              <w:tblpPr w:leftFromText="180" w:rightFromText="180" w:vertAnchor="text" w:horzAnchor="page" w:tblpX="394" w:tblpY="116"/>
              <w:tblOverlap w:val="never"/>
              <w:tblW w:w="7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7"/>
              <w:gridCol w:w="247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257"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内容</w:t>
                  </w:r>
                </w:p>
              </w:tc>
              <w:tc>
                <w:tcPr>
                  <w:tcW w:w="2475"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规格（约）</w:t>
                  </w:r>
                </w:p>
              </w:tc>
              <w:tc>
                <w:tcPr>
                  <w:tcW w:w="134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257"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Cs/>
                      <w:color w:val="auto"/>
                      <w:sz w:val="22"/>
                      <w:szCs w:val="22"/>
                      <w:highlight w:val="none"/>
                    </w:rPr>
                    <w:t>压力绷带</w:t>
                  </w:r>
                </w:p>
              </w:tc>
              <w:tc>
                <w:tcPr>
                  <w:tcW w:w="2475"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6cm*5m</w:t>
                  </w:r>
                </w:p>
              </w:tc>
              <w:tc>
                <w:tcPr>
                  <w:tcW w:w="134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257"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Cs/>
                      <w:color w:val="auto"/>
                      <w:sz w:val="22"/>
                      <w:szCs w:val="22"/>
                      <w:highlight w:val="none"/>
                    </w:rPr>
                    <w:t>压力绷带</w:t>
                  </w:r>
                </w:p>
              </w:tc>
              <w:tc>
                <w:tcPr>
                  <w:tcW w:w="2475"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8cm*5m</w:t>
                  </w:r>
                </w:p>
              </w:tc>
              <w:tc>
                <w:tcPr>
                  <w:tcW w:w="134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257"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Cs/>
                      <w:color w:val="auto"/>
                      <w:sz w:val="22"/>
                      <w:szCs w:val="22"/>
                      <w:highlight w:val="none"/>
                    </w:rPr>
                    <w:t>压力绷带</w:t>
                  </w:r>
                </w:p>
              </w:tc>
              <w:tc>
                <w:tcPr>
                  <w:tcW w:w="2475"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10cm*5m</w:t>
                  </w:r>
                </w:p>
              </w:tc>
              <w:tc>
                <w:tcPr>
                  <w:tcW w:w="134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257"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弹力敷料绷带</w:t>
                  </w:r>
                </w:p>
              </w:tc>
              <w:tc>
                <w:tcPr>
                  <w:tcW w:w="2475"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4cm*4m</w:t>
                  </w:r>
                </w:p>
              </w:tc>
              <w:tc>
                <w:tcPr>
                  <w:tcW w:w="134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257" w:type="dxa"/>
                  <w:vMerge w:val="restart"/>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佳衬垫绷带</w:t>
                  </w:r>
                </w:p>
              </w:tc>
              <w:tc>
                <w:tcPr>
                  <w:tcW w:w="2475"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6cm*2.7m</w:t>
                  </w:r>
                </w:p>
              </w:tc>
              <w:tc>
                <w:tcPr>
                  <w:tcW w:w="134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257" w:type="dxa"/>
                  <w:vMerge w:val="continue"/>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p>
              </w:tc>
              <w:tc>
                <w:tcPr>
                  <w:tcW w:w="2475"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10cm*2.7m</w:t>
                  </w:r>
                </w:p>
              </w:tc>
              <w:tc>
                <w:tcPr>
                  <w:tcW w:w="1346"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257"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护管状绷带</w:t>
                  </w:r>
                </w:p>
              </w:tc>
              <w:tc>
                <w:tcPr>
                  <w:tcW w:w="2475"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8cm*90m</w:t>
                  </w:r>
                </w:p>
              </w:tc>
              <w:tc>
                <w:tcPr>
                  <w:tcW w:w="1346"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257"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固敷料胶带</w:t>
                  </w:r>
                </w:p>
              </w:tc>
              <w:tc>
                <w:tcPr>
                  <w:tcW w:w="2475"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7cm*5m</w:t>
                  </w:r>
                </w:p>
              </w:tc>
              <w:tc>
                <w:tcPr>
                  <w:tcW w:w="1346"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1个</w:t>
                  </w:r>
                </w:p>
              </w:tc>
            </w:tr>
          </w:tbl>
          <w:p>
            <w:pPr>
              <w:widowControl/>
              <w:spacing w:line="400" w:lineRule="exact"/>
              <w:jc w:val="left"/>
              <w:textAlignment w:val="center"/>
              <w:rPr>
                <w:rFonts w:ascii="宋体" w:hAnsi="宋体" w:cs="宋体"/>
                <w:color w:val="auto"/>
                <w:sz w:val="22"/>
                <w:szCs w:val="22"/>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淋巴水肿下肢经济套装</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39"/>
              <w:tblpPr w:leftFromText="180" w:rightFromText="180" w:vertAnchor="text" w:horzAnchor="page" w:tblpX="394" w:tblpY="116"/>
              <w:tblOverlap w:val="never"/>
              <w:tblW w:w="7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2529"/>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268"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内容</w:t>
                  </w:r>
                </w:p>
              </w:tc>
              <w:tc>
                <w:tcPr>
                  <w:tcW w:w="2529"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规格（约）</w:t>
                  </w:r>
                </w:p>
              </w:tc>
              <w:tc>
                <w:tcPr>
                  <w:tcW w:w="1362"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268"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Cs/>
                      <w:color w:val="auto"/>
                      <w:sz w:val="22"/>
                      <w:szCs w:val="22"/>
                      <w:highlight w:val="none"/>
                    </w:rPr>
                    <w:t>压力绷带</w:t>
                  </w:r>
                </w:p>
              </w:tc>
              <w:tc>
                <w:tcPr>
                  <w:tcW w:w="2529"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12cm*5m</w:t>
                  </w:r>
                </w:p>
              </w:tc>
              <w:tc>
                <w:tcPr>
                  <w:tcW w:w="1362"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268"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Cs/>
                      <w:color w:val="auto"/>
                      <w:sz w:val="22"/>
                      <w:szCs w:val="22"/>
                      <w:highlight w:val="none"/>
                    </w:rPr>
                    <w:t>压力绷带</w:t>
                  </w:r>
                </w:p>
              </w:tc>
              <w:tc>
                <w:tcPr>
                  <w:tcW w:w="2529"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8cm*5m</w:t>
                  </w:r>
                </w:p>
              </w:tc>
              <w:tc>
                <w:tcPr>
                  <w:tcW w:w="1362"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268"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Cs/>
                      <w:color w:val="auto"/>
                      <w:sz w:val="22"/>
                      <w:szCs w:val="22"/>
                      <w:highlight w:val="none"/>
                    </w:rPr>
                    <w:t>压力绷带</w:t>
                  </w:r>
                </w:p>
              </w:tc>
              <w:tc>
                <w:tcPr>
                  <w:tcW w:w="2529"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10cm*5m</w:t>
                  </w:r>
                </w:p>
              </w:tc>
              <w:tc>
                <w:tcPr>
                  <w:tcW w:w="1362"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268"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弹力敷料绷带</w:t>
                  </w:r>
                </w:p>
              </w:tc>
              <w:tc>
                <w:tcPr>
                  <w:tcW w:w="2529"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2.5cm*4m</w:t>
                  </w:r>
                </w:p>
              </w:tc>
              <w:tc>
                <w:tcPr>
                  <w:tcW w:w="1362"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268" w:type="dxa"/>
                  <w:vMerge w:val="restart"/>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佳衬垫绷带</w:t>
                  </w:r>
                </w:p>
              </w:tc>
              <w:tc>
                <w:tcPr>
                  <w:tcW w:w="2529"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 xml:space="preserve">15cm*2.7m </w:t>
                  </w:r>
                </w:p>
              </w:tc>
              <w:tc>
                <w:tcPr>
                  <w:tcW w:w="1362"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268" w:type="dxa"/>
                  <w:vMerge w:val="continue"/>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p>
              </w:tc>
              <w:tc>
                <w:tcPr>
                  <w:tcW w:w="2529"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10cm*2.7m</w:t>
                  </w:r>
                </w:p>
              </w:tc>
              <w:tc>
                <w:tcPr>
                  <w:tcW w:w="1362"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3268"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护管状绷带</w:t>
                  </w:r>
                </w:p>
              </w:tc>
              <w:tc>
                <w:tcPr>
                  <w:tcW w:w="2529"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10cm*160m</w:t>
                  </w:r>
                </w:p>
              </w:tc>
              <w:tc>
                <w:tcPr>
                  <w:tcW w:w="1362"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2个</w:t>
                  </w:r>
                </w:p>
              </w:tc>
            </w:tr>
          </w:tbl>
          <w:p>
            <w:pPr>
              <w:widowControl/>
              <w:spacing w:line="400" w:lineRule="exact"/>
              <w:jc w:val="left"/>
              <w:textAlignment w:val="center"/>
              <w:rPr>
                <w:rFonts w:ascii="宋体" w:hAnsi="宋体" w:cs="宋体"/>
                <w:color w:val="auto"/>
                <w:sz w:val="22"/>
                <w:szCs w:val="22"/>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2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一次性使用心电电极片</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一次性表面电极片由电极片和连接夹组成。该产品为-次性使用，非无菌包装。该产品可用于釆集心电信号</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电极线</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四个通道，配对插针式蝶形电极贴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吉他拨片</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厚度：约1.2mm</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电极板</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分为蓝色电极线和红色电极线，蓝红电极组成一对，配对衬垫类型电极贴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147"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筋膜刀（全套）</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39"/>
              <w:tblpPr w:leftFromText="180" w:rightFromText="180" w:vertAnchor="text" w:horzAnchor="page" w:tblpX="394" w:tblpY="116"/>
              <w:tblOverlap w:val="never"/>
              <w:tblW w:w="6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43"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内容</w:t>
                  </w:r>
                </w:p>
              </w:tc>
              <w:tc>
                <w:tcPr>
                  <w:tcW w:w="307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b/>
                      <w:color w:val="auto"/>
                      <w:sz w:val="24"/>
                      <w:szCs w:val="24"/>
                      <w:highlight w:val="none"/>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43"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S型钩子刀</w:t>
                  </w:r>
                </w:p>
              </w:tc>
              <w:tc>
                <w:tcPr>
                  <w:tcW w:w="307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50mm*25mm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43"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A型鲨鱼刀</w:t>
                  </w:r>
                </w:p>
              </w:tc>
              <w:tc>
                <w:tcPr>
                  <w:tcW w:w="307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145mm*60mm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43"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B型蝙蝠刀</w:t>
                  </w:r>
                </w:p>
              </w:tc>
              <w:tc>
                <w:tcPr>
                  <w:tcW w:w="307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210mm*40mm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143"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C型探扫刀</w:t>
                  </w:r>
                </w:p>
              </w:tc>
              <w:tc>
                <w:tcPr>
                  <w:tcW w:w="3076" w:type="dxa"/>
                  <w:vAlign w:val="center"/>
                </w:tcPr>
                <w:p>
                  <w:pPr>
                    <w:pStyle w:val="21"/>
                    <w:tabs>
                      <w:tab w:val="left" w:pos="540"/>
                    </w:tabs>
                    <w:adjustRightInd w:val="0"/>
                    <w:snapToGrid w:val="0"/>
                    <w:spacing w:line="400" w:lineRule="exact"/>
                    <w:jc w:val="center"/>
                    <w:outlineLvl w:val="1"/>
                    <w:rPr>
                      <w:rFonts w:hAnsi="宋体"/>
                      <w:b/>
                      <w:color w:val="auto"/>
                      <w:sz w:val="24"/>
                      <w:szCs w:val="24"/>
                      <w:highlight w:val="none"/>
                    </w:rPr>
                  </w:pPr>
                  <w:r>
                    <w:rPr>
                      <w:rFonts w:hint="eastAsia" w:hAnsi="宋体"/>
                      <w:color w:val="auto"/>
                      <w:sz w:val="22"/>
                      <w:szCs w:val="22"/>
                      <w:highlight w:val="none"/>
                    </w:rPr>
                    <w:t>220mm*35mm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143"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大M刀</w:t>
                  </w:r>
                </w:p>
              </w:tc>
              <w:tc>
                <w:tcPr>
                  <w:tcW w:w="3076" w:type="dxa"/>
                  <w:vAlign w:val="center"/>
                </w:tcPr>
                <w:p>
                  <w:pPr>
                    <w:pStyle w:val="21"/>
                    <w:tabs>
                      <w:tab w:val="left" w:pos="540"/>
                    </w:tabs>
                    <w:adjustRightInd w:val="0"/>
                    <w:snapToGrid w:val="0"/>
                    <w:spacing w:line="400" w:lineRule="exact"/>
                    <w:jc w:val="center"/>
                    <w:outlineLvl w:val="1"/>
                    <w:rPr>
                      <w:rFonts w:hAnsi="宋体"/>
                      <w:color w:val="auto"/>
                      <w:sz w:val="22"/>
                      <w:szCs w:val="22"/>
                      <w:highlight w:val="none"/>
                    </w:rPr>
                  </w:pPr>
                  <w:r>
                    <w:rPr>
                      <w:rFonts w:hint="eastAsia" w:hAnsi="宋体"/>
                      <w:color w:val="auto"/>
                      <w:sz w:val="22"/>
                      <w:szCs w:val="22"/>
                      <w:highlight w:val="none"/>
                    </w:rPr>
                    <w:t>460mm*250mm</w:t>
                  </w:r>
                </w:p>
              </w:tc>
            </w:tr>
          </w:tbl>
          <w:p>
            <w:pPr>
              <w:widowControl/>
              <w:spacing w:line="400" w:lineRule="exact"/>
              <w:jc w:val="left"/>
              <w:textAlignment w:val="center"/>
              <w:rPr>
                <w:rFonts w:ascii="宋体" w:hAnsi="宋体" w:cs="宋体"/>
                <w:color w:val="auto"/>
                <w:sz w:val="22"/>
                <w:szCs w:val="22"/>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助行架</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高度可调节，双轮助行器  带轮</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小号带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44*12*1.5CM ≤ 120g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中号带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69*12*1.5cm  ≤170g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大号带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92*12*1.5CM ≤200g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加大号带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110*24*1.5CM ≤330g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颈部吊带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74*10*1.5CM≤ 140g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脚套</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55*35*1.5CM ≤900g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手腕带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约33*5*1.5CM ≤ 50g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踝关节支撑带</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18*14*4CM≤ 170g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标准滑轮</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10*5*2.5CM ≤ 84g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快速滑轮</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15.5*6*4CM  ≤105g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振动杆</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标准型，红色</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3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专业训练垫</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约180cm x58cm x1cm       </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水蓝色 、粉红色 、浅绿色、</w:t>
            </w:r>
          </w:p>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炭灰色≤1.5kg</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3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摄像头(高清网络)</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便携式摄像头，适配于移动式一体机，内置麦克风，清晰度：HD高清，像素：不低于500万以上，外置镜头盖，≤4倍数码变焦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经颅磁定位帽</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用于匹配经颅磁刺激的定位帽子，大号5个，小号5个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933"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特定电磁波治疗仪</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工作环境5℃-40℃，额定功率约300w,灯头直径≤200mm,万向轮底座，自动锁定式调节开关，升降式底座，温度可调节</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心电记录仪</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尺寸：约92*32*8.2MM，心率范围30-250BPM,心电记录时长30秒-15分钟，存储</w:t>
            </w:r>
            <w:r>
              <w:rPr>
                <w:rFonts w:hint="eastAsia"/>
                <w:color w:val="auto"/>
                <w:highlight w:val="none"/>
              </w:rPr>
              <w:t>不低于</w:t>
            </w:r>
            <w:r>
              <w:rPr>
                <w:rFonts w:hint="eastAsia" w:ascii="宋体" w:hAnsi="宋体" w:cs="宋体"/>
                <w:color w:val="auto"/>
                <w:kern w:val="0"/>
                <w:sz w:val="22"/>
                <w:szCs w:val="22"/>
                <w:highlight w:val="none"/>
              </w:rPr>
              <w:t>2分钟10条记录</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尤克里里</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23英寸，桃花心木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木吉他</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41英寸</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调音器</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调音范围：A0-C8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2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小电子琴</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双供电模式，61仿音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rPr>
          <w:trHeight w:val="124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平衡软塌（螺旋肌肉链）</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color w:val="auto"/>
                <w:highlight w:val="none"/>
              </w:rPr>
              <w:t>约</w:t>
            </w:r>
            <w:r>
              <w:rPr>
                <w:rFonts w:hint="eastAsia" w:ascii="宋体" w:hAnsi="宋体" w:cs="宋体"/>
                <w:color w:val="auto"/>
                <w:kern w:val="0"/>
                <w:sz w:val="22"/>
                <w:szCs w:val="22"/>
                <w:highlight w:val="none"/>
              </w:rPr>
              <w:t>48*38*6CM</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1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木琴</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橡木儿童早教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28"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拇指琴</w:t>
            </w:r>
          </w:p>
        </w:tc>
        <w:tc>
          <w:tcPr>
            <w:tcW w:w="4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21音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ascii="宋体" w:hAnsi="宋体" w:cs="宋体"/>
                <w:color w:val="auto"/>
                <w:sz w:val="22"/>
                <w:szCs w:val="22"/>
                <w:highlight w:val="none"/>
              </w:rPr>
            </w:pPr>
          </w:p>
        </w:tc>
      </w:tr>
    </w:tbl>
    <w:p>
      <w:pPr>
        <w:rPr>
          <w:color w:val="auto"/>
          <w:highlight w:val="none"/>
        </w:rPr>
      </w:pPr>
    </w:p>
    <w:p>
      <w:pPr>
        <w:pStyle w:val="21"/>
        <w:tabs>
          <w:tab w:val="left" w:pos="540"/>
        </w:tabs>
        <w:adjustRightInd w:val="0"/>
        <w:snapToGrid w:val="0"/>
        <w:spacing w:line="360" w:lineRule="auto"/>
        <w:outlineLvl w:val="1"/>
        <w:rPr>
          <w:rFonts w:cs="Times New Roman" w:asciiTheme="minorEastAsia" w:hAnsiTheme="minorEastAsia" w:eastAsiaTheme="minorEastAsia"/>
          <w:b/>
          <w:bCs/>
          <w:color w:val="auto"/>
          <w:sz w:val="24"/>
          <w:szCs w:val="24"/>
          <w:highlight w:val="none"/>
        </w:rPr>
      </w:pPr>
      <w:r>
        <w:rPr>
          <w:rFonts w:hint="eastAsia" w:hAnsi="宋体"/>
          <w:color w:val="auto"/>
          <w:sz w:val="22"/>
          <w:szCs w:val="22"/>
          <w:highlight w:val="none"/>
        </w:rPr>
        <w:t xml:space="preserve"> </w:t>
      </w:r>
      <w:r>
        <w:rPr>
          <w:rFonts w:hint="eastAsia" w:asciiTheme="minorEastAsia" w:hAnsiTheme="minorEastAsia" w:eastAsiaTheme="minorEastAsia"/>
          <w:b/>
          <w:bCs/>
          <w:color w:val="auto"/>
          <w:sz w:val="24"/>
          <w:szCs w:val="24"/>
          <w:highlight w:val="none"/>
        </w:rPr>
        <w:t>二、采购项目商务要求：</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（一）货物的包装</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货物的包装均应有良好的防湿、防锈、防潮、防雨、防腐及防碰撞的措施。凡由于包装不良造成的损失和由此产生的费用均由中标人承担。</w:t>
      </w:r>
    </w:p>
    <w:p>
      <w:pPr>
        <w:pStyle w:val="21"/>
        <w:tabs>
          <w:tab w:val="left" w:pos="540"/>
        </w:tabs>
        <w:adjustRightInd w:val="0"/>
        <w:snapToGrid w:val="0"/>
        <w:spacing w:line="360" w:lineRule="auto"/>
        <w:ind w:firstLine="456" w:firstLineChars="200"/>
        <w:rPr>
          <w:rFonts w:asciiTheme="minorEastAsia" w:hAnsiTheme="minorEastAsia" w:eastAsiaTheme="minorEastAsia"/>
          <w:color w:val="auto"/>
          <w:spacing w:val="-6"/>
          <w:sz w:val="24"/>
          <w:szCs w:val="24"/>
          <w:highlight w:val="none"/>
        </w:rPr>
      </w:pPr>
      <w:r>
        <w:rPr>
          <w:rFonts w:asciiTheme="minorEastAsia" w:hAnsiTheme="minorEastAsia" w:eastAsiaTheme="minorEastAsia"/>
          <w:color w:val="auto"/>
          <w:spacing w:val="-6"/>
          <w:sz w:val="24"/>
          <w:szCs w:val="24"/>
          <w:highlight w:val="none"/>
        </w:rPr>
        <w:t>2.</w:t>
      </w:r>
      <w:r>
        <w:rPr>
          <w:rFonts w:hint="eastAsia" w:hAnsi="宋体" w:eastAsiaTheme="minorEastAsia"/>
          <w:color w:val="auto"/>
          <w:spacing w:val="-6"/>
          <w:sz w:val="24"/>
          <w:szCs w:val="24"/>
          <w:highlight w:val="none"/>
          <w:lang w:val="en-US" w:eastAsia="zh-CN"/>
        </w:rPr>
        <w:t>货物</w:t>
      </w:r>
      <w:r>
        <w:rPr>
          <w:rFonts w:hint="eastAsia" w:hAnsi="宋体"/>
          <w:color w:val="auto"/>
          <w:spacing w:val="-6"/>
          <w:sz w:val="24"/>
          <w:szCs w:val="24"/>
          <w:highlight w:val="none"/>
        </w:rPr>
        <w:t>技术成熟，技术水平已达到国内先进水平；</w:t>
      </w:r>
      <w:r>
        <w:rPr>
          <w:rFonts w:hint="eastAsia" w:hAnsi="宋体"/>
          <w:color w:val="auto"/>
          <w:spacing w:val="-6"/>
          <w:sz w:val="24"/>
          <w:szCs w:val="24"/>
          <w:highlight w:val="none"/>
          <w:lang w:val="en-US" w:eastAsia="zh-CN"/>
        </w:rPr>
        <w:t>货物</w:t>
      </w:r>
      <w:r>
        <w:rPr>
          <w:rFonts w:hint="eastAsia" w:hAnsi="宋体"/>
          <w:color w:val="auto"/>
          <w:spacing w:val="-6"/>
          <w:sz w:val="24"/>
          <w:szCs w:val="24"/>
          <w:highlight w:val="none"/>
        </w:rPr>
        <w:t>运行稳定、不出现故障，安全可靠。</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（二）货物的交货</w:t>
      </w:r>
    </w:p>
    <w:p>
      <w:pPr>
        <w:spacing w:line="360" w:lineRule="auto"/>
        <w:ind w:left="479" w:leftChars="228"/>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交货时间：</w:t>
      </w:r>
      <w:r>
        <w:rPr>
          <w:rFonts w:hint="eastAsia" w:cs="宋体" w:asciiTheme="minorEastAsia" w:hAnsiTheme="minorEastAsia" w:eastAsiaTheme="minorEastAsia"/>
          <w:color w:val="auto"/>
          <w:kern w:val="0"/>
          <w:sz w:val="24"/>
          <w:szCs w:val="24"/>
          <w:highlight w:val="none"/>
        </w:rPr>
        <w:t>国产货物合同签订后 30 个日历日；进口货物合同签订后 90 个日历日。</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交货地点：运输及卸车至采购人指定地点。运输过程中因故发生的货物数量、质量问题及损失所产生费用由中标人负责。</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（三）货物的安装</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中标人负责合同项下货物安装调试至正常运作并通过验收及格，安装调试所需一切费用由中标人负责。</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中标人若因安装调试导致货物性能问题，致使采购人产品出现任何质量、工艺问题，该后果由中标人承担。</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3.货物到达采购人指定地点后次日起视同为通知安装之日，中标人应在采购人通知安装之日起</w:t>
      </w:r>
      <w:r>
        <w:rPr>
          <w:rFonts w:hint="eastAsia" w:asciiTheme="minorEastAsia" w:hAnsiTheme="minorEastAsia" w:eastAsiaTheme="minorEastAsia"/>
          <w:color w:val="auto"/>
          <w:sz w:val="24"/>
          <w:szCs w:val="24"/>
          <w:highlight w:val="none"/>
          <w:u w:val="single"/>
        </w:rPr>
        <w:t xml:space="preserve">7 </w:t>
      </w:r>
      <w:r>
        <w:rPr>
          <w:rFonts w:hint="eastAsia" w:asciiTheme="minorEastAsia" w:hAnsiTheme="minorEastAsia" w:eastAsiaTheme="minorEastAsia"/>
          <w:color w:val="auto"/>
          <w:sz w:val="24"/>
          <w:szCs w:val="24"/>
          <w:highlight w:val="none"/>
        </w:rPr>
        <w:t>天内完成安装调试。</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4.中标人安装时须对各安装场地内的其他货物、设施有良好保护措施。</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（四）货物的验收</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合同货物安装完成后</w:t>
      </w:r>
      <w:r>
        <w:rPr>
          <w:rFonts w:hint="eastAsia" w:asciiTheme="minorEastAsia" w:hAnsiTheme="minorEastAsia" w:eastAsiaTheme="minorEastAsia"/>
          <w:color w:val="auto"/>
          <w:sz w:val="24"/>
          <w:szCs w:val="24"/>
          <w:highlight w:val="none"/>
          <w:u w:val="single"/>
        </w:rPr>
        <w:t>15</w:t>
      </w:r>
      <w:r>
        <w:rPr>
          <w:rFonts w:hint="eastAsia" w:asciiTheme="minorEastAsia" w:hAnsiTheme="minorEastAsia" w:eastAsiaTheme="minorEastAsia"/>
          <w:color w:val="auto"/>
          <w:sz w:val="24"/>
          <w:szCs w:val="24"/>
          <w:highlight w:val="none"/>
        </w:rPr>
        <w:t>个工作日内验收，验收应在采购人、中标人双方共同参加下进行。</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验收按国家有关的规定、规范进行。验收时如发现所交付的货物有短装、次品、损坏或其它不符合本合同规定之情形者，采购人应作出详尽的现场记录，或由采购人和中标人双方签署备忘录。此现场记录或备忘录可用作补充、缺失和更换损坏部件的有效证据。由此产生的有关费用由中标人承担。</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如果合同货物运输和安装过程中因事故造成货物短缺、损坏，中标人应及时安排换装，以保证合同货物安装的成功完成。换货的相关费用由中标人承担。</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中标人</w:t>
      </w:r>
      <w:r>
        <w:rPr>
          <w:rFonts w:hint="eastAsia" w:hAnsi="宋体"/>
          <w:color w:val="auto"/>
          <w:sz w:val="24"/>
          <w:highlight w:val="none"/>
        </w:rPr>
        <w:t>保证合同项下提供的</w:t>
      </w:r>
      <w:r>
        <w:rPr>
          <w:rFonts w:hint="eastAsia" w:asciiTheme="minorEastAsia" w:hAnsiTheme="minorEastAsia" w:eastAsiaTheme="minorEastAsia"/>
          <w:color w:val="auto"/>
          <w:sz w:val="24"/>
          <w:szCs w:val="24"/>
          <w:highlight w:val="none"/>
        </w:rPr>
        <w:t>货物</w:t>
      </w:r>
      <w:r>
        <w:rPr>
          <w:rFonts w:hint="eastAsia" w:hAnsi="宋体"/>
          <w:color w:val="auto"/>
          <w:sz w:val="24"/>
          <w:highlight w:val="none"/>
        </w:rPr>
        <w:t>不侵犯任何第三方的专利、商标或版权。否则，中标人须承担对第三方的专利或版权的侵权责任并承担因此而发生的所有费用。</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hAnsi="宋体"/>
          <w:color w:val="auto"/>
          <w:sz w:val="24"/>
          <w:highlight w:val="none"/>
        </w:rPr>
        <w:t>5.依照国家法律法规需要办理备案的特种设备，在</w:t>
      </w:r>
      <w:r>
        <w:rPr>
          <w:rFonts w:hAnsi="宋体"/>
          <w:color w:val="auto"/>
          <w:sz w:val="24"/>
          <w:highlight w:val="none"/>
        </w:rPr>
        <w:t>验收报账之前，</w:t>
      </w:r>
      <w:r>
        <w:rPr>
          <w:rFonts w:hint="eastAsia" w:hAnsi="宋体"/>
          <w:color w:val="auto"/>
          <w:sz w:val="24"/>
          <w:highlight w:val="none"/>
        </w:rPr>
        <w:t>中标人应协助采购人办理特种设备备案完毕，并向采购人交付备案材料。</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（五）质量保证及售后服务</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中标人保证合同货物是全新、未曾使用过的，其质量、规格及技术特征符合合同附件的要求。</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2.包组一：</w:t>
      </w:r>
      <w:r>
        <w:rPr>
          <w:rFonts w:hint="eastAsia" w:hAnsi="宋体"/>
          <w:color w:val="auto"/>
          <w:sz w:val="24"/>
          <w:szCs w:val="24"/>
          <w:highlight w:val="none"/>
        </w:rPr>
        <w:t>合同设备保质保用期为本项目有关部门验收签字之日起质保期如下</w:t>
      </w:r>
      <w:r>
        <w:rPr>
          <w:rFonts w:hint="eastAsia" w:asciiTheme="minorEastAsia" w:hAnsiTheme="minorEastAsia" w:eastAsiaTheme="minorEastAsia"/>
          <w:color w:val="auto"/>
          <w:sz w:val="24"/>
          <w:szCs w:val="24"/>
          <w:highlight w:val="none"/>
        </w:rPr>
        <w:t>：</w:t>
      </w:r>
    </w:p>
    <w:tbl>
      <w:tblPr>
        <w:tblStyle w:val="39"/>
        <w:tblW w:w="0" w:type="auto"/>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589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pStyle w:val="16"/>
              <w:spacing w:line="360" w:lineRule="auto"/>
              <w:jc w:val="center"/>
              <w:rPr>
                <w:color w:val="auto"/>
                <w:sz w:val="24"/>
                <w:szCs w:val="24"/>
                <w:highlight w:val="none"/>
              </w:rPr>
            </w:pPr>
            <w:r>
              <w:rPr>
                <w:rFonts w:hint="eastAsia"/>
                <w:color w:val="auto"/>
                <w:sz w:val="24"/>
                <w:szCs w:val="24"/>
                <w:highlight w:val="none"/>
              </w:rPr>
              <w:t>序号</w:t>
            </w:r>
          </w:p>
        </w:tc>
        <w:tc>
          <w:tcPr>
            <w:tcW w:w="5895" w:type="dxa"/>
          </w:tcPr>
          <w:p>
            <w:pPr>
              <w:pStyle w:val="16"/>
              <w:spacing w:line="360" w:lineRule="auto"/>
              <w:jc w:val="center"/>
              <w:rPr>
                <w:color w:val="auto"/>
                <w:sz w:val="24"/>
                <w:szCs w:val="24"/>
                <w:highlight w:val="none"/>
              </w:rPr>
            </w:pPr>
            <w:r>
              <w:rPr>
                <w:rFonts w:hint="eastAsia"/>
                <w:color w:val="auto"/>
                <w:sz w:val="24"/>
                <w:szCs w:val="24"/>
                <w:highlight w:val="none"/>
              </w:rPr>
              <w:t>设备名称</w:t>
            </w:r>
          </w:p>
        </w:tc>
        <w:tc>
          <w:tcPr>
            <w:tcW w:w="1590" w:type="dxa"/>
          </w:tcPr>
          <w:p>
            <w:pPr>
              <w:pStyle w:val="16"/>
              <w:spacing w:line="360" w:lineRule="auto"/>
              <w:jc w:val="center"/>
              <w:rPr>
                <w:color w:val="auto"/>
                <w:sz w:val="24"/>
                <w:szCs w:val="24"/>
                <w:highlight w:val="none"/>
              </w:rPr>
            </w:pPr>
            <w:r>
              <w:rPr>
                <w:rFonts w:hint="eastAsia"/>
                <w:color w:val="auto"/>
                <w:sz w:val="24"/>
                <w:szCs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 xml:space="preserve">2.1 </w:t>
            </w:r>
          </w:p>
        </w:tc>
        <w:tc>
          <w:tcPr>
            <w:tcW w:w="5895" w:type="dxa"/>
          </w:tcPr>
          <w:p>
            <w:pPr>
              <w:pStyle w:val="16"/>
              <w:spacing w:line="360" w:lineRule="auto"/>
              <w:jc w:val="center"/>
              <w:rPr>
                <w:color w:val="auto"/>
                <w:sz w:val="24"/>
                <w:szCs w:val="24"/>
                <w:highlight w:val="none"/>
              </w:rPr>
            </w:pPr>
            <w:r>
              <w:rPr>
                <w:rFonts w:hint="eastAsia"/>
                <w:color w:val="auto"/>
                <w:sz w:val="24"/>
                <w:szCs w:val="24"/>
                <w:highlight w:val="none"/>
              </w:rPr>
              <w:t>高频探头</w:t>
            </w:r>
          </w:p>
        </w:tc>
        <w:tc>
          <w:tcPr>
            <w:tcW w:w="1590" w:type="dxa"/>
            <w:vAlign w:val="center"/>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不少于2年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2.2</w:t>
            </w:r>
          </w:p>
        </w:tc>
        <w:tc>
          <w:tcPr>
            <w:tcW w:w="5895" w:type="dxa"/>
          </w:tcPr>
          <w:p>
            <w:pPr>
              <w:pStyle w:val="16"/>
              <w:spacing w:line="360" w:lineRule="auto"/>
              <w:jc w:val="center"/>
              <w:rPr>
                <w:color w:val="auto"/>
                <w:sz w:val="24"/>
                <w:szCs w:val="24"/>
                <w:highlight w:val="none"/>
              </w:rPr>
            </w:pPr>
            <w:r>
              <w:rPr>
                <w:rFonts w:hint="eastAsia"/>
                <w:color w:val="auto"/>
                <w:sz w:val="24"/>
                <w:szCs w:val="24"/>
                <w:highlight w:val="none"/>
              </w:rPr>
              <w:t>火龙罐，子午流注低频治疗仪</w:t>
            </w:r>
          </w:p>
        </w:tc>
        <w:tc>
          <w:tcPr>
            <w:tcW w:w="1590" w:type="dxa"/>
            <w:vAlign w:val="center"/>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2.3</w:t>
            </w:r>
          </w:p>
        </w:tc>
        <w:tc>
          <w:tcPr>
            <w:tcW w:w="5895" w:type="dxa"/>
          </w:tcPr>
          <w:p>
            <w:pPr>
              <w:pStyle w:val="16"/>
              <w:spacing w:line="360" w:lineRule="auto"/>
              <w:jc w:val="center"/>
              <w:rPr>
                <w:color w:val="auto"/>
                <w:sz w:val="24"/>
                <w:szCs w:val="24"/>
                <w:highlight w:val="none"/>
              </w:rPr>
            </w:pPr>
            <w:r>
              <w:rPr>
                <w:rFonts w:hint="eastAsia"/>
                <w:color w:val="auto"/>
                <w:sz w:val="24"/>
                <w:szCs w:val="24"/>
                <w:highlight w:val="none"/>
              </w:rPr>
              <w:t>康复科专病大数据管理平台，生理参数传输管理软件</w:t>
            </w:r>
          </w:p>
        </w:tc>
        <w:tc>
          <w:tcPr>
            <w:tcW w:w="1590" w:type="dxa"/>
            <w:vAlign w:val="center"/>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不少于5年</w:t>
            </w:r>
          </w:p>
        </w:tc>
      </w:tr>
    </w:tbl>
    <w:p>
      <w:pPr>
        <w:pStyle w:val="21"/>
        <w:tabs>
          <w:tab w:val="left" w:pos="540"/>
        </w:tabs>
        <w:adjustRightInd w:val="0"/>
        <w:snapToGrid w:val="0"/>
        <w:ind w:firstLine="720" w:firstLineChars="300"/>
        <w:rPr>
          <w:rFonts w:asciiTheme="minorEastAsia" w:hAnsiTheme="minorEastAsia" w:eastAsiaTheme="minorEastAsia"/>
          <w:color w:val="auto"/>
          <w:sz w:val="24"/>
          <w:szCs w:val="24"/>
          <w:highlight w:val="none"/>
        </w:rPr>
      </w:pPr>
    </w:p>
    <w:p>
      <w:pPr>
        <w:pStyle w:val="21"/>
        <w:tabs>
          <w:tab w:val="left" w:pos="540"/>
        </w:tabs>
        <w:adjustRightInd w:val="0"/>
        <w:snapToGrid w:val="0"/>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包组二：合同</w:t>
      </w:r>
      <w:r>
        <w:rPr>
          <w:rFonts w:hint="eastAsia" w:hAnsi="宋体"/>
          <w:color w:val="auto"/>
          <w:sz w:val="24"/>
          <w:szCs w:val="24"/>
          <w:highlight w:val="none"/>
        </w:rPr>
        <w:t>设备</w:t>
      </w:r>
      <w:r>
        <w:rPr>
          <w:rFonts w:hint="eastAsia" w:asciiTheme="minorEastAsia" w:hAnsiTheme="minorEastAsia" w:eastAsiaTheme="minorEastAsia"/>
          <w:color w:val="auto"/>
          <w:sz w:val="24"/>
          <w:szCs w:val="24"/>
          <w:highlight w:val="none"/>
        </w:rPr>
        <w:t>保质保用期为本项目有关部门验收签字之日起不少于</w:t>
      </w:r>
      <w:r>
        <w:rPr>
          <w:rFonts w:hint="eastAsia" w:asciiTheme="minorEastAsia" w:hAnsiTheme="minorEastAsia" w:eastAsiaTheme="minorEastAsia"/>
          <w:color w:val="auto"/>
          <w:sz w:val="24"/>
          <w:szCs w:val="24"/>
          <w:highlight w:val="none"/>
          <w:u w:val="single"/>
          <w:lang w:val="en-US" w:eastAsia="zh-CN"/>
        </w:rPr>
        <w:t>6个月</w:t>
      </w:r>
      <w:r>
        <w:rPr>
          <w:rFonts w:hint="eastAsia" w:asciiTheme="minorEastAsia" w:hAnsiTheme="minorEastAsia" w:eastAsiaTheme="minorEastAsia"/>
          <w:color w:val="auto"/>
          <w:sz w:val="24"/>
          <w:szCs w:val="24"/>
          <w:highlight w:val="none"/>
        </w:rPr>
        <w:t>。</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保质保用期内非因采购人的人为原因而出现货物质量及安装问题，由中标人负责包修、包换或包退，并承担因此而产生的一切费用。中标人应提供免费咨询电话。中标人应在收到采购人通知后 6 小时内响应，24 小时内派员到现场维修(技术要求另有规定除外)，48小时内处理完毕。如在48小时内无法处理完毕，中标人应提供采购人同意的合理解决方案，否则，采购人有权委托第三方机构及时处理，因此发生的一切费用，由中标人承担。</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保质保用期后中标人对合同货物提供终身免费保修服务，如需更换零配件，中标人只收取零配件费，在硬件无改变的情况下，软件终身免费升级。</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下列情况中标人不负责免费保修：</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）不按照中标人提供的正确使用方法而引致货物故障损坏；</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）擅自改装设备（货物）；</w:t>
      </w:r>
    </w:p>
    <w:p>
      <w:pPr>
        <w:pStyle w:val="21"/>
        <w:tabs>
          <w:tab w:val="left" w:pos="540"/>
        </w:tabs>
        <w:adjustRightInd w:val="0"/>
        <w:snapToGrid w:val="0"/>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双方同意因货物的质量问题而发生争议的，由广东省质检部门进行质量鉴定。货物符合质量标准的，鉴定费用由采购人承担；货物不符合质量标准的，鉴定费用由中标人承担。</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中标人无偿培训采购人使用及维修人员，主要内容为货物的基本结构、性能、主要部件的构造及修理，日常使用保养与管理，常见故障的排除，紧急情况的处理等，培训地点主要在货物安装现场或按采购人安排。</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7.产品必须由中标人负责完成首次计量强制检定。</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（六）技术服务</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中标人应派员到采购人指定地点配合工作。</w:t>
      </w:r>
    </w:p>
    <w:p>
      <w:pPr>
        <w:pStyle w:val="21"/>
        <w:tabs>
          <w:tab w:val="left" w:pos="540"/>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中标人按采购人提供的合同执行进度计划，配合、协调采购人及有关单位工作，积极推进合同执行进度。</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（七）报价要求</w:t>
      </w:r>
    </w:p>
    <w:p>
      <w:pPr>
        <w:pStyle w:val="21"/>
        <w:tabs>
          <w:tab w:val="left" w:pos="540"/>
        </w:tabs>
        <w:adjustRightInd w:val="0"/>
        <w:snapToGrid w:val="0"/>
        <w:spacing w:line="360" w:lineRule="auto"/>
        <w:ind w:firstLine="480" w:firstLineChars="200"/>
        <w:rPr>
          <w:rFonts w:hAnsi="宋体"/>
          <w:color w:val="auto"/>
          <w:spacing w:val="-6"/>
          <w:sz w:val="24"/>
          <w:szCs w:val="24"/>
          <w:highlight w:val="none"/>
        </w:rPr>
      </w:pPr>
      <w:r>
        <w:rPr>
          <w:rFonts w:hint="eastAsia" w:hAnsi="宋体"/>
          <w:color w:val="auto"/>
          <w:sz w:val="24"/>
          <w:highlight w:val="none"/>
        </w:rPr>
        <w:t>1.</w:t>
      </w:r>
      <w:r>
        <w:rPr>
          <w:rFonts w:hint="eastAsia" w:hAnsi="宋体"/>
          <w:color w:val="auto"/>
          <w:spacing w:val="-6"/>
          <w:sz w:val="24"/>
          <w:szCs w:val="24"/>
          <w:highlight w:val="none"/>
        </w:rPr>
        <w:t xml:space="preserve">采购人为高校，采购部分进口货物依法享受海关免税优惠政策（具体以国家相关文件为准）；投标人所投进口货物属于依法免税的货物，投标人报免税价，否则报含税价。 </w:t>
      </w:r>
    </w:p>
    <w:p>
      <w:pPr>
        <w:pStyle w:val="21"/>
        <w:tabs>
          <w:tab w:val="left" w:pos="540"/>
        </w:tabs>
        <w:adjustRightInd w:val="0"/>
        <w:snapToGrid w:val="0"/>
        <w:spacing w:line="360" w:lineRule="auto"/>
        <w:ind w:firstLine="480" w:firstLineChars="200"/>
        <w:rPr>
          <w:rFonts w:hAnsi="宋体"/>
          <w:color w:val="auto"/>
          <w:spacing w:val="-6"/>
          <w:sz w:val="24"/>
          <w:szCs w:val="24"/>
          <w:highlight w:val="none"/>
        </w:rPr>
      </w:pPr>
      <w:r>
        <w:rPr>
          <w:rFonts w:hint="eastAsia" w:hAnsi="宋体"/>
          <w:color w:val="auto"/>
          <w:sz w:val="24"/>
          <w:highlight w:val="none"/>
        </w:rPr>
        <w:t>2.</w:t>
      </w:r>
      <w:r>
        <w:rPr>
          <w:rFonts w:hint="eastAsia" w:hAnsi="宋体"/>
          <w:color w:val="auto"/>
          <w:spacing w:val="-6"/>
          <w:sz w:val="24"/>
          <w:szCs w:val="24"/>
          <w:highlight w:val="none"/>
        </w:rPr>
        <w:t>从中华人民共和国境内提供的货物的报价方式：交货到指定用户单位(包括卸货到用户单位指定安装地点费用) 报价中应包括</w:t>
      </w:r>
      <w:r>
        <w:rPr>
          <w:rFonts w:hint="eastAsia" w:hAnsi="宋体"/>
          <w:color w:val="auto"/>
          <w:sz w:val="24"/>
          <w:highlight w:val="none"/>
        </w:rPr>
        <w:t>但不限于：</w:t>
      </w:r>
      <w:r>
        <w:rPr>
          <w:rFonts w:hint="eastAsia" w:hAnsi="宋体"/>
          <w:color w:val="auto"/>
          <w:sz w:val="24"/>
          <w:highlight w:val="none"/>
          <w:lang w:val="en-US" w:eastAsia="zh-CN"/>
        </w:rPr>
        <w:t>货物</w:t>
      </w:r>
      <w:r>
        <w:rPr>
          <w:rFonts w:hint="eastAsia" w:hAnsi="宋体"/>
          <w:color w:val="auto"/>
          <w:sz w:val="24"/>
          <w:highlight w:val="none"/>
        </w:rPr>
        <w:t>采购，运输费，保险费用，相关技术服务费：安装、调试、验收，招标文件规定的人员培训和售后服务的相关费用</w:t>
      </w:r>
      <w:r>
        <w:rPr>
          <w:rFonts w:hint="eastAsia" w:hAnsi="宋体"/>
          <w:color w:val="auto"/>
          <w:spacing w:val="-6"/>
          <w:sz w:val="24"/>
          <w:szCs w:val="24"/>
          <w:highlight w:val="none"/>
        </w:rPr>
        <w:t>等。</w:t>
      </w:r>
    </w:p>
    <w:p>
      <w:pPr>
        <w:pStyle w:val="21"/>
        <w:tabs>
          <w:tab w:val="left" w:pos="540"/>
        </w:tabs>
        <w:adjustRightInd w:val="0"/>
        <w:snapToGrid w:val="0"/>
        <w:spacing w:line="360" w:lineRule="auto"/>
        <w:ind w:firstLine="480" w:firstLineChars="200"/>
        <w:rPr>
          <w:rFonts w:hAnsi="宋体"/>
          <w:color w:val="auto"/>
          <w:spacing w:val="-6"/>
          <w:sz w:val="24"/>
          <w:szCs w:val="24"/>
          <w:highlight w:val="none"/>
        </w:rPr>
      </w:pPr>
      <w:r>
        <w:rPr>
          <w:rFonts w:hint="eastAsia" w:hAnsi="宋体"/>
          <w:color w:val="auto"/>
          <w:sz w:val="24"/>
          <w:highlight w:val="none"/>
        </w:rPr>
        <w:t>3.</w:t>
      </w:r>
      <w:r>
        <w:rPr>
          <w:rFonts w:hint="eastAsia" w:hAnsi="宋体"/>
          <w:color w:val="auto"/>
          <w:spacing w:val="-6"/>
          <w:sz w:val="24"/>
          <w:szCs w:val="24"/>
          <w:highlight w:val="none"/>
        </w:rPr>
        <w:t>从中华人民共和国境外提供的货物的报价方式：CIP价格（以人民币报价）（按开标前一日中国人民银行公布的投标货币对评标货币的卖出价的中间价折算）；投标总价＝CIP价（广州用户使用现场交货价）。投标总价应包括：</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 xml:space="preserve">（1）招标范围内所有设备及配件费； </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 xml:space="preserve">（2）安装调试费； </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 xml:space="preserve">（3）安装中的相关费用（包括安装过程中损耗、额外材料、设计费、水电改装费、试验台柜等）； </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（4）外贸进口有关的一切费用（如外贸公司代理费用、清关费用、银行手续费、海关监管手续费、报关费用、商检费用、申办机电批文费用、机场码头费等）。</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（5）进口代理费按开标前一日中国人民银行公布的人民币汇率中间价折算为人民币后的投标金额计算，其他费用按实际发生金额支付给外贸代理公司。对于特殊货物，需要特殊处理的费用由</w:t>
      </w:r>
      <w:r>
        <w:rPr>
          <w:rFonts w:hint="eastAsia" w:hAnsi="宋体"/>
          <w:color w:val="auto"/>
          <w:spacing w:val="-6"/>
          <w:sz w:val="24"/>
          <w:szCs w:val="24"/>
          <w:highlight w:val="none"/>
          <w:lang w:val="en-US" w:eastAsia="zh-CN"/>
        </w:rPr>
        <w:t>中标人</w:t>
      </w:r>
      <w:r>
        <w:rPr>
          <w:rFonts w:hint="eastAsia" w:hAnsi="宋体"/>
          <w:color w:val="auto"/>
          <w:spacing w:val="-6"/>
          <w:sz w:val="24"/>
          <w:szCs w:val="24"/>
          <w:highlight w:val="none"/>
        </w:rPr>
        <w:t>负担；由于特殊事件，导致费用增加由责任方负担。</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 xml:space="preserve">（6）货物运至最终目的地的内陆运输、保险和伴随货物交运的有关费用。 </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（7）招标文件规定的人员培训和售后服务的相关费用。</w:t>
      </w:r>
    </w:p>
    <w:p>
      <w:pPr>
        <w:pStyle w:val="21"/>
        <w:tabs>
          <w:tab w:val="left" w:pos="540"/>
        </w:tabs>
        <w:adjustRightInd w:val="0"/>
        <w:snapToGrid w:val="0"/>
        <w:spacing w:line="360" w:lineRule="auto"/>
        <w:ind w:firstLine="480" w:firstLineChars="200"/>
        <w:rPr>
          <w:rFonts w:hAnsi="宋体"/>
          <w:color w:val="auto"/>
          <w:spacing w:val="-6"/>
          <w:sz w:val="24"/>
          <w:szCs w:val="24"/>
          <w:highlight w:val="none"/>
        </w:rPr>
      </w:pPr>
      <w:r>
        <w:rPr>
          <w:rFonts w:hint="eastAsia" w:hAnsi="宋体"/>
          <w:color w:val="auto"/>
          <w:sz w:val="24"/>
          <w:highlight w:val="none"/>
        </w:rPr>
        <w:t>4.</w:t>
      </w:r>
      <w:r>
        <w:rPr>
          <w:rFonts w:hint="eastAsia" w:hAnsi="宋体"/>
          <w:color w:val="auto"/>
          <w:spacing w:val="-6"/>
          <w:sz w:val="24"/>
          <w:szCs w:val="24"/>
          <w:highlight w:val="none"/>
        </w:rPr>
        <w:t>最终结算货币：以投标货币为结算货币（人民币）。</w:t>
      </w:r>
    </w:p>
    <w:p>
      <w:pPr>
        <w:pStyle w:val="21"/>
        <w:tabs>
          <w:tab w:val="left" w:pos="540"/>
        </w:tabs>
        <w:adjustRightInd w:val="0"/>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（八）履约保证金</w:t>
      </w:r>
    </w:p>
    <w:p>
      <w:pPr>
        <w:pStyle w:val="21"/>
        <w:tabs>
          <w:tab w:val="left" w:pos="540"/>
        </w:tabs>
        <w:adjustRightInd w:val="0"/>
        <w:snapToGrid w:val="0"/>
        <w:spacing w:line="360" w:lineRule="auto"/>
        <w:ind w:firstLine="456" w:firstLineChars="200"/>
        <w:rPr>
          <w:rFonts w:hint="eastAsia" w:asciiTheme="minorEastAsia" w:hAnsiTheme="minorEastAsia" w:eastAsiaTheme="minorEastAsia"/>
          <w:b/>
          <w:bCs/>
          <w:color w:val="auto"/>
          <w:sz w:val="24"/>
          <w:szCs w:val="24"/>
          <w:highlight w:val="none"/>
        </w:rPr>
      </w:pPr>
      <w:r>
        <w:rPr>
          <w:rFonts w:hint="eastAsia" w:ascii="宋体" w:hAnsi="宋体" w:eastAsia="宋体" w:cs="宋体"/>
          <w:b w:val="0"/>
          <w:bCs w:val="0"/>
          <w:color w:val="auto"/>
          <w:spacing w:val="-6"/>
          <w:sz w:val="24"/>
          <w:szCs w:val="24"/>
          <w:highlight w:val="none"/>
          <w:lang w:val="en-US" w:eastAsia="zh-CN"/>
        </w:rPr>
        <w:t>自合同签订之日起5个工作日内，中标人向采购人支付</w:t>
      </w:r>
      <w:r>
        <w:rPr>
          <w:rFonts w:hint="eastAsia" w:ascii="宋体" w:hAnsi="宋体" w:eastAsia="宋体" w:cs="宋体"/>
          <w:color w:val="auto"/>
          <w:spacing w:val="-6"/>
          <w:sz w:val="24"/>
          <w:szCs w:val="24"/>
          <w:highlight w:val="none"/>
        </w:rPr>
        <w:t>合同金额的5%作为履约保证金，以保函等非现金形式缴纳或提交</w:t>
      </w:r>
      <w:r>
        <w:rPr>
          <w:rFonts w:hint="eastAsia" w:ascii="宋体" w:hAnsi="宋体" w:eastAsia="宋体" w:cs="宋体"/>
          <w:b w:val="0"/>
          <w:bCs w:val="0"/>
          <w:color w:val="auto"/>
          <w:spacing w:val="-6"/>
          <w:sz w:val="24"/>
          <w:szCs w:val="24"/>
          <w:highlight w:val="none"/>
          <w:lang w:val="en-US" w:eastAsia="zh-CN"/>
        </w:rPr>
        <w:t>。本合同履行过程中，如符合以下约定情形之一, 则采购人在中标人完成交货验收后的7个工作日内应无息返还全部或剩余的履约保证金 ：</w:t>
      </w:r>
      <w:r>
        <w:rPr>
          <w:rFonts w:hint="eastAsia" w:ascii="宋体" w:hAnsi="宋体" w:eastAsia="宋体" w:cs="宋体"/>
          <w:b w:val="0"/>
          <w:bCs w:val="0"/>
          <w:color w:val="auto"/>
          <w:sz w:val="24"/>
          <w:szCs w:val="24"/>
          <w:highlight w:val="none"/>
          <w:lang w:val="en-US" w:eastAsia="zh-CN"/>
        </w:rPr>
        <w:t>（1）中标人没有发生违约或造成采购人损失的行为；（2）按照本合同的约定，扣除违约金、相应赔偿款项后仍有余额。</w:t>
      </w:r>
    </w:p>
    <w:p>
      <w:pPr>
        <w:pStyle w:val="21"/>
        <w:tabs>
          <w:tab w:val="left" w:pos="540"/>
        </w:tabs>
        <w:adjustRightInd w:val="0"/>
        <w:snapToGrid w:val="0"/>
        <w:spacing w:line="360" w:lineRule="auto"/>
        <w:ind w:firstLine="482" w:firstLineChars="200"/>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（九）付款办法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本项目的每笔款项以人民币支付，支付的时间和金额如下：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eastAsia="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lang w:val="en-US" w:eastAsia="zh-CN"/>
        </w:rPr>
        <w:t>个工作日内，中标人向采购人支付合同金额的5%作为履约保证金，采购人收到中标人支付的履约保证金后,</w:t>
      </w:r>
      <w:r>
        <w:rPr>
          <w:rFonts w:hint="eastAsia" w:ascii="宋体" w:hAnsi="宋体" w:eastAsia="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lang w:val="en-US" w:eastAsia="zh-CN"/>
        </w:rPr>
        <w:t>个工作日内办理支付手续，采购人支付中标人合同总金额的40%，其中合同金额的10%作为本合同的定金，剩下的30%作为预付款</w:t>
      </w:r>
      <w:r>
        <w:rPr>
          <w:rFonts w:hint="eastAsia" w:ascii="宋体" w:hAnsi="宋体" w:cs="宋体"/>
          <w:color w:val="auto"/>
          <w:sz w:val="24"/>
          <w:highlight w:val="none"/>
        </w:rPr>
        <w:t>。</w:t>
      </w:r>
    </w:p>
    <w:p>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 xml:space="preserve">2. </w:t>
      </w:r>
      <w:r>
        <w:rPr>
          <w:rFonts w:hint="eastAsia" w:ascii="宋体" w:hAnsi="宋体" w:eastAsia="宋体" w:cs="宋体"/>
          <w:b w:val="0"/>
          <w:bCs w:val="0"/>
          <w:color w:val="auto"/>
          <w:sz w:val="24"/>
          <w:szCs w:val="24"/>
          <w:highlight w:val="none"/>
          <w:lang w:val="en-US" w:eastAsia="zh-CN"/>
        </w:rPr>
        <w:t>合同设备全部交付到指定地点并完成安装及验收合格后，据合同、正式发票、验收调试合格报告等凭证，在5个工作日内办理支付手续，采购人应向中标人支付合同总额的60%。</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rPr>
        <w:t>如购买</w:t>
      </w:r>
      <w:r>
        <w:rPr>
          <w:rFonts w:hint="eastAsia" w:asciiTheme="minorEastAsia" w:hAnsiTheme="minorEastAsia" w:eastAsiaTheme="minorEastAsia"/>
          <w:color w:val="auto"/>
          <w:sz w:val="24"/>
          <w:szCs w:val="24"/>
          <w:highlight w:val="none"/>
        </w:rPr>
        <w:t>货物</w:t>
      </w:r>
      <w:r>
        <w:rPr>
          <w:rFonts w:hint="eastAsia" w:ascii="宋体" w:hAnsi="宋体" w:cs="宋体"/>
          <w:color w:val="auto"/>
          <w:sz w:val="24"/>
          <w:highlight w:val="none"/>
        </w:rPr>
        <w:t>的款源来自上级财政部门，则采购人将付款有效凭证上交上级财政部门的时间视为付款时间。</w:t>
      </w:r>
    </w:p>
    <w:p>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br w:type="page"/>
      </w:r>
    </w:p>
    <w:p>
      <w:pPr>
        <w:pStyle w:val="21"/>
        <w:tabs>
          <w:tab w:val="left" w:pos="540"/>
        </w:tabs>
        <w:adjustRightInd w:val="0"/>
        <w:snapToGrid w:val="0"/>
        <w:spacing w:afterLines="50" w:line="440" w:lineRule="exact"/>
        <w:ind w:firstLine="480" w:firstLineChars="200"/>
        <w:rPr>
          <w:rFonts w:asciiTheme="minorEastAsia" w:hAnsiTheme="minorEastAsia" w:eastAsiaTheme="minorEastAsia"/>
          <w:color w:val="auto"/>
          <w:sz w:val="24"/>
          <w:szCs w:val="24"/>
          <w:highlight w:val="none"/>
        </w:rPr>
      </w:pPr>
    </w:p>
    <w:p>
      <w:pPr>
        <w:rPr>
          <w:rFonts w:cs="宋体" w:asciiTheme="minorEastAsia" w:hAnsiTheme="minorEastAsia" w:eastAsiaTheme="minorEastAsia"/>
          <w:b/>
          <w:bCs/>
          <w:color w:val="auto"/>
          <w:sz w:val="24"/>
          <w:highlight w:val="none"/>
        </w:rPr>
      </w:pPr>
    </w:p>
    <w:p>
      <w:pPr>
        <w:adjustRightInd w:val="0"/>
        <w:snapToGrid w:val="0"/>
        <w:spacing w:line="360" w:lineRule="auto"/>
        <w:jc w:val="center"/>
        <w:outlineLvl w:val="0"/>
        <w:rPr>
          <w:rFonts w:hint="eastAsia" w:cs="宋体" w:asciiTheme="minorEastAsia" w:hAnsiTheme="minorEastAsia" w:eastAsiaTheme="minorEastAsia"/>
          <w:b/>
          <w:bCs/>
          <w:color w:val="auto"/>
          <w:sz w:val="36"/>
          <w:szCs w:val="28"/>
          <w:highlight w:val="none"/>
        </w:rPr>
      </w:pPr>
      <w:bookmarkStart w:id="20" w:name="_Toc18990"/>
    </w:p>
    <w:p>
      <w:pPr>
        <w:adjustRightInd w:val="0"/>
        <w:snapToGrid w:val="0"/>
        <w:spacing w:line="360" w:lineRule="auto"/>
        <w:jc w:val="center"/>
        <w:outlineLvl w:val="0"/>
        <w:rPr>
          <w:rFonts w:cs="宋体" w:asciiTheme="minorEastAsia" w:hAnsiTheme="minorEastAsia" w:eastAsiaTheme="minorEastAsia"/>
          <w:b/>
          <w:bCs/>
          <w:color w:val="auto"/>
          <w:sz w:val="36"/>
          <w:szCs w:val="28"/>
          <w:highlight w:val="none"/>
        </w:rPr>
      </w:pPr>
      <w:r>
        <w:rPr>
          <w:rFonts w:hint="eastAsia" w:cs="宋体" w:asciiTheme="minorEastAsia" w:hAnsiTheme="minorEastAsia" w:eastAsiaTheme="minorEastAsia"/>
          <w:b/>
          <w:bCs/>
          <w:color w:val="auto"/>
          <w:sz w:val="36"/>
          <w:szCs w:val="28"/>
          <w:highlight w:val="none"/>
        </w:rPr>
        <w:t>第五章</w:t>
      </w:r>
      <w:bookmarkEnd w:id="15"/>
      <w:bookmarkStart w:id="21" w:name="_Toc435109307"/>
      <w:r>
        <w:rPr>
          <w:rFonts w:cs="宋体" w:asciiTheme="minorEastAsia" w:hAnsiTheme="minorEastAsia" w:eastAsiaTheme="minorEastAsia"/>
          <w:b/>
          <w:bCs/>
          <w:color w:val="auto"/>
          <w:sz w:val="36"/>
          <w:szCs w:val="28"/>
          <w:highlight w:val="none"/>
        </w:rPr>
        <w:t xml:space="preserve"> </w:t>
      </w:r>
      <w:r>
        <w:rPr>
          <w:rFonts w:hint="eastAsia" w:cs="宋体" w:asciiTheme="minorEastAsia" w:hAnsiTheme="minorEastAsia" w:eastAsiaTheme="minorEastAsia"/>
          <w:b/>
          <w:bCs/>
          <w:color w:val="auto"/>
          <w:sz w:val="36"/>
          <w:szCs w:val="28"/>
          <w:highlight w:val="none"/>
        </w:rPr>
        <w:t>合同文本</w:t>
      </w:r>
      <w:bookmarkEnd w:id="20"/>
    </w:p>
    <w:p>
      <w:pPr>
        <w:pStyle w:val="16"/>
        <w:rPr>
          <w:color w:val="auto"/>
          <w:highlight w:val="none"/>
        </w:rPr>
      </w:pPr>
    </w:p>
    <w:bookmarkEnd w:id="16"/>
    <w:bookmarkEnd w:id="17"/>
    <w:bookmarkEnd w:id="21"/>
    <w:p>
      <w:pPr>
        <w:tabs>
          <w:tab w:val="left" w:pos="5880"/>
        </w:tabs>
        <w:spacing w:line="360" w:lineRule="auto"/>
        <w:rPr>
          <w:rFonts w:asciiTheme="minorEastAsia" w:hAnsiTheme="minorEastAsia" w:eastAsiaTheme="minorEastAsia"/>
          <w:color w:val="auto"/>
          <w:highlight w:val="none"/>
        </w:rPr>
      </w:pPr>
    </w:p>
    <w:p>
      <w:pPr>
        <w:adjustRightInd w:val="0"/>
        <w:snapToGrid w:val="0"/>
        <w:spacing w:line="840" w:lineRule="exact"/>
        <w:jc w:val="center"/>
        <w:rPr>
          <w:rFonts w:cs="宋体" w:asciiTheme="minorEastAsia" w:hAnsiTheme="minorEastAsia" w:eastAsiaTheme="minorEastAsia"/>
          <w:b/>
          <w:bCs/>
          <w:color w:val="auto"/>
          <w:spacing w:val="200"/>
          <w:sz w:val="36"/>
          <w:szCs w:val="36"/>
          <w:highlight w:val="none"/>
        </w:rPr>
      </w:pPr>
    </w:p>
    <w:p>
      <w:pPr>
        <w:tabs>
          <w:tab w:val="left" w:pos="720"/>
        </w:tabs>
        <w:spacing w:line="360" w:lineRule="auto"/>
        <w:jc w:val="center"/>
        <w:rPr>
          <w:rFonts w:asciiTheme="minorEastAsia" w:hAnsiTheme="minorEastAsia" w:eastAsiaTheme="minorEastAsia" w:cstheme="minorEastAsia"/>
          <w:b/>
          <w:color w:val="auto"/>
          <w:sz w:val="52"/>
          <w:highlight w:val="none"/>
        </w:rPr>
      </w:pPr>
    </w:p>
    <w:p>
      <w:pPr>
        <w:jc w:val="center"/>
        <w:rPr>
          <w:rFonts w:asciiTheme="minorEastAsia" w:hAnsiTheme="minorEastAsia" w:eastAsiaTheme="minorEastAsia" w:cstheme="minorEastAsia"/>
          <w:b/>
          <w:color w:val="auto"/>
          <w:sz w:val="52"/>
          <w:highlight w:val="none"/>
        </w:rPr>
      </w:pPr>
      <w:r>
        <w:rPr>
          <w:rFonts w:hint="eastAsia" w:asciiTheme="minorEastAsia" w:hAnsiTheme="minorEastAsia" w:eastAsiaTheme="minorEastAsia" w:cstheme="minorEastAsia"/>
          <w:b/>
          <w:color w:val="auto"/>
          <w:sz w:val="52"/>
          <w:highlight w:val="none"/>
        </w:rPr>
        <w:t>广州医科大学</w:t>
      </w:r>
    </w:p>
    <w:p>
      <w:pPr>
        <w:tabs>
          <w:tab w:val="left" w:pos="720"/>
        </w:tabs>
        <w:spacing w:line="360" w:lineRule="auto"/>
        <w:rPr>
          <w:rFonts w:asciiTheme="minorEastAsia" w:hAnsiTheme="minorEastAsia" w:eastAsiaTheme="minorEastAsia" w:cstheme="minorEastAsia"/>
          <w:b/>
          <w:color w:val="auto"/>
          <w:sz w:val="72"/>
          <w:highlight w:val="none"/>
        </w:rPr>
      </w:pPr>
    </w:p>
    <w:p>
      <w:pPr>
        <w:tabs>
          <w:tab w:val="left" w:pos="720"/>
        </w:tabs>
        <w:spacing w:line="360" w:lineRule="auto"/>
        <w:jc w:val="center"/>
        <w:rPr>
          <w:rFonts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合 同 书</w:t>
      </w:r>
    </w:p>
    <w:p>
      <w:pPr>
        <w:tabs>
          <w:tab w:val="left" w:pos="720"/>
        </w:tabs>
        <w:spacing w:line="360" w:lineRule="auto"/>
        <w:jc w:val="center"/>
        <w:rPr>
          <w:rFonts w:asciiTheme="minorEastAsia" w:hAnsiTheme="minorEastAsia" w:eastAsiaTheme="minorEastAsia" w:cstheme="minorEastAsia"/>
          <w:b/>
          <w:color w:val="auto"/>
          <w:sz w:val="44"/>
          <w:highlight w:val="none"/>
        </w:rPr>
      </w:pPr>
    </w:p>
    <w:p>
      <w:pPr>
        <w:tabs>
          <w:tab w:val="left" w:pos="720"/>
        </w:tabs>
        <w:spacing w:line="360" w:lineRule="auto"/>
        <w:rPr>
          <w:rFonts w:asciiTheme="minorEastAsia" w:hAnsiTheme="minorEastAsia" w:eastAsiaTheme="minorEastAsia" w:cstheme="minorEastAsia"/>
          <w:b/>
          <w:color w:val="auto"/>
          <w:sz w:val="28"/>
          <w:highlight w:val="none"/>
        </w:rPr>
      </w:pPr>
    </w:p>
    <w:p>
      <w:pPr>
        <w:framePr w:hSpace="180" w:wrap="around" w:vAnchor="text" w:hAnchor="page" w:x="2668" w:y="131"/>
        <w:widowControl/>
        <w:tabs>
          <w:tab w:val="left" w:pos="720"/>
        </w:tabs>
        <w:spacing w:line="720" w:lineRule="auto"/>
        <w:ind w:left="1590" w:hanging="1590" w:hangingChars="495"/>
        <w:jc w:val="left"/>
        <w:rPr>
          <w:rFonts w:asciiTheme="minorEastAsia" w:hAnsiTheme="minorEastAsia" w:cstheme="minorEastAsia"/>
          <w:b/>
          <w:color w:val="auto"/>
          <w:kern w:val="0"/>
          <w:sz w:val="32"/>
          <w:szCs w:val="32"/>
          <w:highlight w:val="none"/>
        </w:rPr>
      </w:pPr>
      <w:r>
        <w:rPr>
          <w:rFonts w:hint="eastAsia" w:asciiTheme="minorEastAsia" w:hAnsiTheme="minorEastAsia" w:cstheme="minorEastAsia"/>
          <w:b/>
          <w:color w:val="auto"/>
          <w:kern w:val="0"/>
          <w:sz w:val="32"/>
          <w:szCs w:val="32"/>
          <w:highlight w:val="none"/>
        </w:rPr>
        <w:t>项目名称：</w:t>
      </w:r>
      <w:r>
        <w:rPr>
          <w:rFonts w:hint="eastAsia" w:ascii="宋体" w:hAnsi="宋体" w:cs="宋体"/>
          <w:b/>
          <w:bCs/>
          <w:color w:val="auto"/>
          <w:sz w:val="28"/>
          <w:szCs w:val="28"/>
          <w:highlight w:val="none"/>
          <w:u w:val="single"/>
          <w:lang w:val="zh-CN"/>
        </w:rPr>
        <w:t xml:space="preserve">                                      </w:t>
      </w:r>
    </w:p>
    <w:p>
      <w:pPr>
        <w:pStyle w:val="16"/>
        <w:framePr w:hSpace="180" w:wrap="around" w:vAnchor="text" w:hAnchor="page" w:x="2668" w:y="131"/>
        <w:spacing w:line="720" w:lineRule="auto"/>
        <w:rPr>
          <w:rFonts w:hAnsi="宋体" w:cs="宋体"/>
          <w:b/>
          <w:bCs/>
          <w:color w:val="auto"/>
          <w:sz w:val="28"/>
          <w:szCs w:val="28"/>
          <w:highlight w:val="none"/>
          <w:u w:val="single"/>
          <w:lang w:val="zh-CN"/>
        </w:rPr>
      </w:pPr>
      <w:r>
        <w:rPr>
          <w:rFonts w:hint="eastAsia" w:asciiTheme="minorEastAsia" w:hAnsiTheme="minorEastAsia" w:cstheme="minorEastAsia"/>
          <w:b/>
          <w:color w:val="auto"/>
          <w:sz w:val="32"/>
          <w:szCs w:val="32"/>
          <w:highlight w:val="none"/>
        </w:rPr>
        <w:t>采购编号：</w:t>
      </w:r>
      <w:r>
        <w:rPr>
          <w:rFonts w:hAnsi="宋体" w:cs="宋体"/>
          <w:b/>
          <w:bCs/>
          <w:color w:val="auto"/>
          <w:sz w:val="28"/>
          <w:szCs w:val="28"/>
          <w:highlight w:val="none"/>
          <w:u w:val="single"/>
          <w:lang w:val="zh-CN"/>
        </w:rPr>
        <w:t xml:space="preserve"> </w:t>
      </w:r>
      <w:r>
        <w:rPr>
          <w:rFonts w:hint="eastAsia" w:hAnsi="宋体" w:cs="宋体"/>
          <w:b/>
          <w:bCs/>
          <w:color w:val="auto"/>
          <w:sz w:val="28"/>
          <w:szCs w:val="28"/>
          <w:highlight w:val="none"/>
          <w:u w:val="single"/>
          <w:lang w:val="zh-CN"/>
        </w:rPr>
        <w:t xml:space="preserve">                                     </w:t>
      </w:r>
    </w:p>
    <w:p>
      <w:pPr>
        <w:spacing w:line="360" w:lineRule="auto"/>
        <w:ind w:firstLine="1606" w:firstLineChars="500"/>
        <w:rPr>
          <w:rFonts w:asciiTheme="minorEastAsia" w:hAnsiTheme="minorEastAsia" w:eastAsiaTheme="minorEastAsia" w:cstheme="minorEastAsia"/>
          <w:color w:val="auto"/>
          <w:sz w:val="28"/>
          <w:highlight w:val="none"/>
        </w:rPr>
      </w:pPr>
      <w:r>
        <w:rPr>
          <w:rFonts w:hint="eastAsia" w:asciiTheme="minorEastAsia" w:hAnsiTheme="minorEastAsia" w:cstheme="minorEastAsia"/>
          <w:b/>
          <w:color w:val="auto"/>
          <w:sz w:val="32"/>
          <w:szCs w:val="32"/>
          <w:highlight w:val="none"/>
        </w:rPr>
        <w:t>中标公司：</w:t>
      </w:r>
      <w:r>
        <w:rPr>
          <w:rFonts w:hint="eastAsia" w:asciiTheme="minorEastAsia" w:hAnsiTheme="minorEastAsia" w:cstheme="minorEastAsia"/>
          <w:b/>
          <w:color w:val="auto"/>
          <w:sz w:val="32"/>
          <w:szCs w:val="32"/>
          <w:highlight w:val="none"/>
          <w:u w:val="single"/>
        </w:rPr>
        <w:t xml:space="preserve">                                 </w:t>
      </w:r>
    </w:p>
    <w:p>
      <w:pPr>
        <w:spacing w:line="360" w:lineRule="auto"/>
        <w:rPr>
          <w:rFonts w:asciiTheme="minorEastAsia" w:hAnsiTheme="minorEastAsia" w:eastAsiaTheme="minorEastAsia" w:cstheme="minorEastAsia"/>
          <w:color w:val="auto"/>
          <w:sz w:val="28"/>
          <w:highlight w:val="none"/>
        </w:rPr>
      </w:pPr>
    </w:p>
    <w:p>
      <w:pPr>
        <w:tabs>
          <w:tab w:val="left" w:pos="720"/>
        </w:tabs>
        <w:spacing w:line="360" w:lineRule="auto"/>
        <w:jc w:val="center"/>
        <w:rPr>
          <w:rFonts w:asciiTheme="minorEastAsia" w:hAnsiTheme="minorEastAsia" w:eastAsiaTheme="minorEastAsia" w:cstheme="minorEastAsia"/>
          <w:b/>
          <w:color w:val="auto"/>
          <w:sz w:val="28"/>
          <w:highlight w:val="none"/>
        </w:rPr>
      </w:pPr>
      <w:r>
        <w:rPr>
          <w:rFonts w:hint="eastAsia" w:ascii="宋体" w:hAnsi="宋体"/>
          <w:b/>
          <w:color w:val="auto"/>
          <w:highlight w:val="none"/>
        </w:rPr>
        <w:t>注：本合同仅为合同的参考文本，合同签订双方可根据项目的具体要求进行修订。</w:t>
      </w:r>
    </w:p>
    <w:p>
      <w:pPr>
        <w:tabs>
          <w:tab w:val="left" w:pos="720"/>
        </w:tabs>
        <w:spacing w:line="360" w:lineRule="auto"/>
        <w:jc w:val="center"/>
        <w:rPr>
          <w:rFonts w:ascii="宋体" w:hAnsi="宋体" w:cs="宋体"/>
          <w:b/>
          <w:color w:val="auto"/>
          <w:sz w:val="32"/>
          <w:szCs w:val="32"/>
          <w:highlight w:val="none"/>
        </w:rPr>
      </w:pPr>
      <w:r>
        <w:rPr>
          <w:rFonts w:hint="eastAsia" w:asciiTheme="minorEastAsia" w:hAnsiTheme="minorEastAsia" w:eastAsiaTheme="minorEastAsia" w:cstheme="minorEastAsia"/>
          <w:b/>
          <w:color w:val="auto"/>
          <w:sz w:val="28"/>
          <w:highlight w:val="none"/>
        </w:rPr>
        <w:br w:type="page"/>
      </w:r>
      <w:r>
        <w:rPr>
          <w:rFonts w:hint="eastAsia" w:ascii="宋体" w:hAnsi="宋体" w:cs="宋体"/>
          <w:b/>
          <w:color w:val="auto"/>
          <w:sz w:val="32"/>
          <w:szCs w:val="32"/>
          <w:highlight w:val="none"/>
        </w:rPr>
        <w:t>采 购 合 同</w:t>
      </w:r>
    </w:p>
    <w:p>
      <w:pPr>
        <w:tabs>
          <w:tab w:val="left" w:pos="720"/>
        </w:tabs>
        <w:spacing w:line="400" w:lineRule="exact"/>
        <w:rPr>
          <w:rFonts w:ascii="宋体" w:hAnsi="宋体" w:cs="宋体"/>
          <w:color w:val="auto"/>
          <w:sz w:val="24"/>
          <w:highlight w:val="none"/>
        </w:rPr>
      </w:pPr>
      <w:r>
        <w:rPr>
          <w:rFonts w:hint="eastAsia" w:ascii="宋体" w:hAnsi="宋体" w:cs="宋体"/>
          <w:color w:val="auto"/>
          <w:sz w:val="24"/>
          <w:highlight w:val="none"/>
        </w:rPr>
        <w:t xml:space="preserve">甲方:广州医科大学                    </w:t>
      </w:r>
      <w:r>
        <w:rPr>
          <w:rFonts w:ascii="宋体" w:hAnsi="宋体" w:cs="宋体"/>
          <w:color w:val="auto"/>
          <w:sz w:val="24"/>
          <w:highlight w:val="none"/>
        </w:rPr>
        <w:t xml:space="preserve"> </w:t>
      </w:r>
      <w:r>
        <w:rPr>
          <w:rFonts w:hint="eastAsia" w:ascii="宋体" w:hAnsi="宋体" w:cs="宋体"/>
          <w:color w:val="auto"/>
          <w:sz w:val="24"/>
          <w:highlight w:val="none"/>
        </w:rPr>
        <w:t xml:space="preserve">乙方： </w:t>
      </w:r>
    </w:p>
    <w:p>
      <w:pPr>
        <w:tabs>
          <w:tab w:val="left" w:pos="720"/>
        </w:tabs>
        <w:spacing w:line="400" w:lineRule="exact"/>
        <w:rPr>
          <w:rFonts w:ascii="宋体" w:hAnsi="宋体" w:cs="宋体"/>
          <w:color w:val="auto"/>
          <w:sz w:val="24"/>
          <w:highlight w:val="none"/>
        </w:rPr>
      </w:pPr>
      <w:r>
        <w:rPr>
          <w:rFonts w:hint="eastAsia" w:ascii="宋体" w:hAnsi="宋体" w:cs="宋体"/>
          <w:color w:val="auto"/>
          <w:sz w:val="24"/>
          <w:highlight w:val="none"/>
        </w:rPr>
        <w:t>电话:020-37103332</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电话：</w:t>
      </w:r>
    </w:p>
    <w:p>
      <w:pPr>
        <w:tabs>
          <w:tab w:val="left" w:pos="720"/>
        </w:tabs>
        <w:spacing w:line="400" w:lineRule="exact"/>
        <w:rPr>
          <w:rFonts w:ascii="宋体" w:hAnsi="宋体" w:cs="宋体"/>
          <w:color w:val="auto"/>
          <w:sz w:val="24"/>
          <w:highlight w:val="none"/>
        </w:rPr>
      </w:pPr>
      <w:r>
        <w:rPr>
          <w:rFonts w:hint="eastAsia" w:ascii="宋体" w:hAnsi="宋体" w:cs="宋体"/>
          <w:color w:val="auto"/>
          <w:sz w:val="24"/>
          <w:highlight w:val="none"/>
        </w:rPr>
        <w:t xml:space="preserve">地址：广州市番禺区新造镇广州医科大学 </w:t>
      </w:r>
      <w:r>
        <w:rPr>
          <w:rFonts w:ascii="宋体" w:hAnsi="宋体" w:cs="宋体"/>
          <w:color w:val="auto"/>
          <w:sz w:val="24"/>
          <w:highlight w:val="none"/>
        </w:rPr>
        <w:t xml:space="preserve"> </w:t>
      </w:r>
      <w:r>
        <w:rPr>
          <w:rFonts w:hint="eastAsia" w:ascii="宋体" w:hAnsi="宋体" w:cs="宋体"/>
          <w:color w:val="auto"/>
          <w:sz w:val="24"/>
          <w:highlight w:val="none"/>
        </w:rPr>
        <w:t xml:space="preserve">地址： </w:t>
      </w:r>
    </w:p>
    <w:p>
      <w:pPr>
        <w:tabs>
          <w:tab w:val="left" w:pos="720"/>
        </w:tabs>
        <w:spacing w:line="400" w:lineRule="exact"/>
        <w:rPr>
          <w:rFonts w:ascii="宋体" w:hAnsi="宋体" w:cs="宋体"/>
          <w:color w:val="auto"/>
          <w:sz w:val="24"/>
          <w:highlight w:val="none"/>
        </w:rPr>
      </w:pPr>
    </w:p>
    <w:p>
      <w:pPr>
        <w:pStyle w:val="17"/>
        <w:spacing w:line="360" w:lineRule="auto"/>
        <w:ind w:left="0"/>
        <w:rPr>
          <w:rFonts w:ascii="宋体" w:hAnsi="宋体" w:cs="宋体"/>
          <w:color w:val="auto"/>
          <w:sz w:val="21"/>
          <w:szCs w:val="21"/>
          <w:highlight w:val="none"/>
        </w:rPr>
      </w:pPr>
      <w:r>
        <w:rPr>
          <w:rFonts w:hint="eastAsia" w:ascii="宋体" w:hAnsi="宋体" w:cs="宋体"/>
          <w:b/>
          <w:bCs/>
          <w:color w:val="auto"/>
          <w:sz w:val="21"/>
          <w:szCs w:val="21"/>
          <w:highlight w:val="none"/>
        </w:rPr>
        <w:t>项目名称：</w:t>
      </w:r>
      <w:r>
        <w:rPr>
          <w:rFonts w:hint="eastAsia" w:ascii="宋体" w:hAnsi="宋体" w:cs="宋体"/>
          <w:color w:val="auto"/>
          <w:sz w:val="21"/>
          <w:szCs w:val="21"/>
          <w:highlight w:val="none"/>
        </w:rPr>
        <w:t xml:space="preserve">  </w:t>
      </w:r>
    </w:p>
    <w:p>
      <w:pPr>
        <w:pStyle w:val="17"/>
        <w:spacing w:line="360" w:lineRule="auto"/>
        <w:ind w:left="0"/>
        <w:rPr>
          <w:rFonts w:ascii="宋体" w:hAnsi="宋体" w:cs="宋体"/>
          <w:color w:val="auto"/>
          <w:sz w:val="21"/>
          <w:szCs w:val="21"/>
          <w:highlight w:val="none"/>
        </w:rPr>
      </w:pPr>
      <w:r>
        <w:rPr>
          <w:rFonts w:hint="eastAsia" w:ascii="宋体" w:hAnsi="宋体" w:cs="宋体"/>
          <w:b/>
          <w:bCs/>
          <w:color w:val="auto"/>
          <w:sz w:val="21"/>
          <w:szCs w:val="21"/>
          <w:highlight w:val="none"/>
        </w:rPr>
        <w:t>采购编号：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采购项目的中标结果和招标文件的要求，按照《中华人民共和国政府采购法》、《中华人民共和国民法典》等的规定，经甲、乙双方协商确定，本着平等互利和诚实信用的原则，一致同意签订本合同，共同遵守。具体条款如下：</w:t>
      </w:r>
    </w:p>
    <w:p>
      <w:pPr>
        <w:spacing w:line="360" w:lineRule="auto"/>
        <w:rPr>
          <w:rFonts w:asciiTheme="minorEastAsia" w:hAnsiTheme="minorEastAsia" w:eastAsiaTheme="minorEastAsia"/>
          <w:b/>
          <w:bCs/>
          <w:color w:val="auto"/>
          <w:sz w:val="24"/>
          <w:szCs w:val="24"/>
          <w:highlight w:val="none"/>
        </w:rPr>
      </w:pPr>
      <w:r>
        <w:rPr>
          <w:rFonts w:cs="宋体" w:asciiTheme="minorEastAsia" w:hAnsiTheme="minorEastAsia" w:eastAsiaTheme="minorEastAsia"/>
          <w:b/>
          <w:bCs/>
          <w:color w:val="auto"/>
          <w:sz w:val="24"/>
          <w:szCs w:val="24"/>
          <w:highlight w:val="none"/>
        </w:rPr>
        <w:t>1.</w:t>
      </w:r>
      <w:r>
        <w:rPr>
          <w:rFonts w:hint="eastAsia" w:cs="宋体" w:asciiTheme="minorEastAsia" w:hAnsiTheme="minorEastAsia" w:eastAsiaTheme="minorEastAsia"/>
          <w:b/>
          <w:bCs/>
          <w:color w:val="auto"/>
          <w:sz w:val="24"/>
          <w:szCs w:val="24"/>
          <w:highlight w:val="none"/>
        </w:rPr>
        <w:t>合同货物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乙方负责向甲方供应下表中所列</w:t>
      </w:r>
      <w:r>
        <w:rPr>
          <w:rFonts w:hint="eastAsia" w:asciiTheme="minorEastAsia" w:hAnsiTheme="minorEastAsia" w:eastAsiaTheme="minorEastAsia"/>
          <w:color w:val="auto"/>
          <w:sz w:val="24"/>
          <w:szCs w:val="24"/>
          <w:highlight w:val="none"/>
        </w:rPr>
        <w:t>货物</w:t>
      </w:r>
      <w:r>
        <w:rPr>
          <w:rFonts w:hint="eastAsia" w:ascii="宋体" w:hAnsi="宋体" w:cs="宋体"/>
          <w:color w:val="auto"/>
          <w:sz w:val="24"/>
          <w:highlight w:val="none"/>
        </w:rPr>
        <w:t>及负责安装调试。</w:t>
      </w:r>
    </w:p>
    <w:tbl>
      <w:tblPr>
        <w:tblStyle w:val="3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812"/>
        <w:gridCol w:w="806"/>
        <w:gridCol w:w="853"/>
        <w:gridCol w:w="932"/>
        <w:gridCol w:w="835"/>
        <w:gridCol w:w="759"/>
        <w:gridCol w:w="812"/>
        <w:gridCol w:w="711"/>
        <w:gridCol w:w="72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line="360" w:lineRule="auto"/>
              <w:ind w:left="-2" w:firstLine="2"/>
              <w:jc w:val="center"/>
              <w:rPr>
                <w:rFonts w:ascii="宋体" w:hAnsi="宋体" w:cs="宋体"/>
                <w:color w:val="auto"/>
                <w:sz w:val="24"/>
                <w:highlight w:val="none"/>
              </w:rPr>
            </w:pPr>
            <w:r>
              <w:rPr>
                <w:rFonts w:hint="eastAsia" w:ascii="宋体" w:hAnsi="宋体" w:cs="宋体"/>
                <w:color w:val="auto"/>
                <w:sz w:val="24"/>
                <w:highlight w:val="none"/>
              </w:rPr>
              <w:t>品名</w:t>
            </w: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41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品牌</w:t>
            </w: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42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3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w:t>
            </w: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总价</w:t>
            </w:r>
          </w:p>
        </w:tc>
        <w:tc>
          <w:tcPr>
            <w:tcW w:w="36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随机配件</w:t>
            </w:r>
          </w:p>
        </w:tc>
        <w:tc>
          <w:tcPr>
            <w:tcW w:w="37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交货地点</w:t>
            </w: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交货时间</w:t>
            </w: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6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7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6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7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6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7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6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7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6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37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p>
        </w:tc>
      </w:tr>
    </w:tbl>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2.合同总价</w:t>
      </w:r>
    </w:p>
    <w:p>
      <w:pPr>
        <w:pStyle w:val="21"/>
        <w:tabs>
          <w:tab w:val="left" w:pos="540"/>
        </w:tabs>
        <w:adjustRightInd w:val="0"/>
        <w:snapToGrid w:val="0"/>
        <w:spacing w:line="360" w:lineRule="auto"/>
        <w:ind w:left="479" w:leftChars="228" w:firstLine="0" w:firstLineChars="0"/>
        <w:rPr>
          <w:rFonts w:hint="eastAsia" w:hAnsi="宋体"/>
          <w:color w:val="auto"/>
          <w:sz w:val="24"/>
          <w:highlight w:val="none"/>
          <w:lang w:eastAsia="zh-CN"/>
        </w:rPr>
      </w:pPr>
      <w:r>
        <w:rPr>
          <w:rFonts w:hint="eastAsia" w:ascii="宋体" w:hAnsi="宋体" w:cs="宋体"/>
          <w:color w:val="auto"/>
          <w:sz w:val="24"/>
          <w:highlight w:val="none"/>
        </w:rPr>
        <w:t>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 ，即</w:t>
      </w:r>
      <w:r>
        <w:rPr>
          <w:rFonts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元，合同总金额包括</w:t>
      </w:r>
      <w:r>
        <w:rPr>
          <w:rFonts w:hint="eastAsia" w:hAnsi="宋体" w:cs="宋体"/>
          <w:color w:val="auto"/>
          <w:sz w:val="24"/>
          <w:highlight w:val="none"/>
          <w:lang w:val="en-US" w:eastAsia="zh-CN"/>
        </w:rPr>
        <w:t>但不限于</w:t>
      </w:r>
      <w:r>
        <w:rPr>
          <w:rFonts w:hint="eastAsia" w:hAnsi="宋体" w:cs="宋体"/>
          <w:color w:val="auto"/>
          <w:sz w:val="24"/>
          <w:highlight w:val="none"/>
          <w:lang w:eastAsia="zh-CN"/>
        </w:rPr>
        <w:t>：（</w:t>
      </w:r>
      <w:r>
        <w:rPr>
          <w:rFonts w:hint="eastAsia" w:hAnsi="宋体" w:cs="宋体"/>
          <w:color w:val="auto"/>
          <w:sz w:val="24"/>
          <w:highlight w:val="none"/>
          <w:lang w:val="en-US" w:eastAsia="zh-CN"/>
        </w:rPr>
        <w:t>1</w:t>
      </w:r>
      <w:r>
        <w:rPr>
          <w:rFonts w:hint="eastAsia" w:hAnsi="宋体" w:cs="宋体"/>
          <w:color w:val="auto"/>
          <w:sz w:val="24"/>
          <w:highlight w:val="none"/>
          <w:lang w:eastAsia="zh-CN"/>
        </w:rPr>
        <w:t>）</w:t>
      </w:r>
      <w:r>
        <w:rPr>
          <w:rFonts w:hint="eastAsia" w:ascii="宋体" w:hAnsi="宋体" w:cs="宋体"/>
          <w:color w:val="auto"/>
          <w:sz w:val="24"/>
          <w:highlight w:val="none"/>
        </w:rPr>
        <w:t>本合同所有</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采购、</w:t>
      </w:r>
      <w:r>
        <w:rPr>
          <w:rFonts w:hint="eastAsia" w:hAnsi="宋体"/>
          <w:color w:val="auto"/>
          <w:sz w:val="24"/>
          <w:highlight w:val="none"/>
          <w:lang w:val="en-US" w:eastAsia="zh-CN"/>
        </w:rPr>
        <w:t>货物</w:t>
      </w:r>
      <w:r>
        <w:rPr>
          <w:rFonts w:hint="eastAsia" w:hAnsi="宋体"/>
          <w:color w:val="auto"/>
          <w:sz w:val="24"/>
          <w:highlight w:val="none"/>
        </w:rPr>
        <w:t>采购，</w:t>
      </w:r>
      <w:r>
        <w:rPr>
          <w:rFonts w:hint="eastAsia" w:hAnsi="宋体"/>
          <w:color w:val="auto"/>
          <w:sz w:val="24"/>
          <w:highlight w:val="none"/>
          <w:lang w:val="en-US" w:eastAsia="zh-CN"/>
        </w:rPr>
        <w:t>仓储，</w:t>
      </w:r>
      <w:r>
        <w:rPr>
          <w:rFonts w:hint="eastAsia" w:hAnsi="宋体"/>
          <w:color w:val="auto"/>
          <w:sz w:val="24"/>
          <w:highlight w:val="none"/>
        </w:rPr>
        <w:t>运输费，保险费用</w:t>
      </w:r>
      <w:r>
        <w:rPr>
          <w:rFonts w:hint="eastAsia" w:hAnsi="宋体"/>
          <w:color w:val="auto"/>
          <w:sz w:val="24"/>
          <w:highlight w:val="none"/>
          <w:lang w:eastAsia="zh-CN"/>
        </w:rPr>
        <w:t>，</w:t>
      </w:r>
      <w:r>
        <w:rPr>
          <w:rFonts w:hint="eastAsia" w:hAnsi="宋体"/>
          <w:color w:val="auto"/>
          <w:spacing w:val="-6"/>
          <w:sz w:val="24"/>
          <w:szCs w:val="24"/>
          <w:highlight w:val="none"/>
        </w:rPr>
        <w:t>配件费</w:t>
      </w:r>
      <w:r>
        <w:rPr>
          <w:rFonts w:hint="eastAsia" w:hAnsi="宋体"/>
          <w:color w:val="auto"/>
          <w:sz w:val="24"/>
          <w:highlight w:val="none"/>
          <w:lang w:eastAsia="zh-CN"/>
        </w:rPr>
        <w:t>；</w:t>
      </w:r>
    </w:p>
    <w:p>
      <w:pPr>
        <w:pStyle w:val="21"/>
        <w:tabs>
          <w:tab w:val="left" w:pos="540"/>
        </w:tabs>
        <w:adjustRightInd w:val="0"/>
        <w:snapToGrid w:val="0"/>
        <w:spacing w:line="360" w:lineRule="auto"/>
        <w:ind w:firstLine="480" w:firstLineChars="200"/>
        <w:rPr>
          <w:rFonts w:hAnsi="宋体"/>
          <w:color w:val="auto"/>
          <w:spacing w:val="-6"/>
          <w:sz w:val="24"/>
          <w:szCs w:val="24"/>
          <w:highlight w:val="none"/>
        </w:rPr>
      </w:pPr>
      <w:r>
        <w:rPr>
          <w:rFonts w:hint="eastAsia" w:hAnsi="宋体"/>
          <w:color w:val="auto"/>
          <w:sz w:val="24"/>
          <w:highlight w:val="none"/>
          <w:lang w:eastAsia="zh-CN"/>
        </w:rPr>
        <w:t>（</w:t>
      </w:r>
      <w:r>
        <w:rPr>
          <w:rFonts w:hint="eastAsia" w:hAnsi="宋体"/>
          <w:color w:val="auto"/>
          <w:sz w:val="24"/>
          <w:highlight w:val="none"/>
          <w:lang w:val="en-US" w:eastAsia="zh-CN"/>
        </w:rPr>
        <w:t>2</w:t>
      </w:r>
      <w:r>
        <w:rPr>
          <w:rFonts w:hint="eastAsia" w:hAnsi="宋体"/>
          <w:color w:val="auto"/>
          <w:sz w:val="24"/>
          <w:highlight w:val="none"/>
          <w:lang w:eastAsia="zh-CN"/>
        </w:rPr>
        <w:t>）</w:t>
      </w:r>
      <w:r>
        <w:rPr>
          <w:rFonts w:hint="eastAsia" w:hAnsi="宋体"/>
          <w:color w:val="auto"/>
          <w:sz w:val="24"/>
          <w:highlight w:val="none"/>
        </w:rPr>
        <w:t>相关技术服务费：安装、调试、验收</w:t>
      </w:r>
      <w:r>
        <w:rPr>
          <w:rFonts w:hint="eastAsia" w:hAnsi="宋体"/>
          <w:color w:val="auto"/>
          <w:sz w:val="24"/>
          <w:highlight w:val="none"/>
          <w:lang w:eastAsia="zh-CN"/>
        </w:rPr>
        <w:t>（</w:t>
      </w:r>
      <w:r>
        <w:rPr>
          <w:rFonts w:hint="eastAsia" w:hAnsi="宋体"/>
          <w:color w:val="auto"/>
          <w:spacing w:val="-6"/>
          <w:sz w:val="24"/>
          <w:szCs w:val="24"/>
          <w:highlight w:val="none"/>
        </w:rPr>
        <w:t xml:space="preserve">包括安装过程中损耗、额外材料、设计费、水电改装费等）； </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w:t>
      </w:r>
      <w:r>
        <w:rPr>
          <w:rFonts w:hint="eastAsia" w:hAnsi="宋体"/>
          <w:color w:val="auto"/>
          <w:spacing w:val="-6"/>
          <w:sz w:val="24"/>
          <w:szCs w:val="24"/>
          <w:highlight w:val="none"/>
          <w:lang w:val="en-US" w:eastAsia="zh-CN"/>
        </w:rPr>
        <w:t>3</w:t>
      </w:r>
      <w:r>
        <w:rPr>
          <w:rFonts w:hint="eastAsia" w:hAnsi="宋体"/>
          <w:color w:val="auto"/>
          <w:spacing w:val="-6"/>
          <w:sz w:val="24"/>
          <w:szCs w:val="24"/>
          <w:highlight w:val="none"/>
        </w:rPr>
        <w:t>）外贸进口有关的一切费用（包括外贸公司代理费用、清关费用、银行手续费、海关监管手续费、报关费用、商检费用、申办机电批文费用、机场码头费等）。</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lang w:eastAsia="zh-CN"/>
        </w:rPr>
        <w:t>（</w:t>
      </w:r>
      <w:r>
        <w:rPr>
          <w:rFonts w:hint="eastAsia" w:hAnsi="宋体"/>
          <w:color w:val="auto"/>
          <w:spacing w:val="-6"/>
          <w:sz w:val="24"/>
          <w:szCs w:val="24"/>
          <w:highlight w:val="none"/>
          <w:lang w:val="en-US" w:eastAsia="zh-CN"/>
        </w:rPr>
        <w:t>4</w:t>
      </w:r>
      <w:r>
        <w:rPr>
          <w:rFonts w:hint="eastAsia" w:hAnsi="宋体"/>
          <w:color w:val="auto"/>
          <w:spacing w:val="-6"/>
          <w:sz w:val="24"/>
          <w:szCs w:val="24"/>
          <w:highlight w:val="none"/>
          <w:lang w:eastAsia="zh-CN"/>
        </w:rPr>
        <w:t>）</w:t>
      </w:r>
      <w:r>
        <w:rPr>
          <w:rFonts w:hint="eastAsia" w:hAnsi="宋体"/>
          <w:color w:val="auto"/>
          <w:spacing w:val="-6"/>
          <w:sz w:val="24"/>
          <w:szCs w:val="24"/>
          <w:highlight w:val="none"/>
        </w:rPr>
        <w:t>对于特殊货物，需要特殊处理的费用由</w:t>
      </w:r>
      <w:r>
        <w:rPr>
          <w:rFonts w:hint="eastAsia" w:hAnsi="宋体"/>
          <w:color w:val="auto"/>
          <w:spacing w:val="-6"/>
          <w:sz w:val="24"/>
          <w:szCs w:val="24"/>
          <w:highlight w:val="none"/>
          <w:lang w:val="en-US" w:eastAsia="zh-CN"/>
        </w:rPr>
        <w:t>乙方</w:t>
      </w:r>
      <w:r>
        <w:rPr>
          <w:rFonts w:hint="eastAsia" w:hAnsi="宋体"/>
          <w:color w:val="auto"/>
          <w:spacing w:val="-6"/>
          <w:sz w:val="24"/>
          <w:szCs w:val="24"/>
          <w:highlight w:val="none"/>
        </w:rPr>
        <w:t>负担；由于特殊事件，导致费用增加由责任方负担。</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w:t>
      </w:r>
      <w:r>
        <w:rPr>
          <w:rFonts w:hint="eastAsia" w:hAnsi="宋体"/>
          <w:color w:val="auto"/>
          <w:spacing w:val="-6"/>
          <w:sz w:val="24"/>
          <w:szCs w:val="24"/>
          <w:highlight w:val="none"/>
          <w:lang w:val="en-US" w:eastAsia="zh-CN"/>
        </w:rPr>
        <w:t>5</w:t>
      </w:r>
      <w:r>
        <w:rPr>
          <w:rFonts w:hint="eastAsia" w:hAnsi="宋体"/>
          <w:color w:val="auto"/>
          <w:spacing w:val="-6"/>
          <w:sz w:val="24"/>
          <w:szCs w:val="24"/>
          <w:highlight w:val="none"/>
        </w:rPr>
        <w:t xml:space="preserve">）货物运至最终目的地的内陆运输、保险和伴随货物交运的有关费用。 </w:t>
      </w:r>
    </w:p>
    <w:p>
      <w:pPr>
        <w:pStyle w:val="21"/>
        <w:tabs>
          <w:tab w:val="left" w:pos="540"/>
        </w:tabs>
        <w:adjustRightInd w:val="0"/>
        <w:snapToGrid w:val="0"/>
        <w:spacing w:line="360" w:lineRule="auto"/>
        <w:ind w:firstLine="456" w:firstLineChars="200"/>
        <w:rPr>
          <w:rFonts w:hAnsi="宋体"/>
          <w:color w:val="auto"/>
          <w:spacing w:val="-6"/>
          <w:sz w:val="24"/>
          <w:szCs w:val="24"/>
          <w:highlight w:val="none"/>
        </w:rPr>
      </w:pPr>
      <w:r>
        <w:rPr>
          <w:rFonts w:hint="eastAsia" w:hAnsi="宋体"/>
          <w:color w:val="auto"/>
          <w:spacing w:val="-6"/>
          <w:sz w:val="24"/>
          <w:szCs w:val="24"/>
          <w:highlight w:val="none"/>
        </w:rPr>
        <w:t>（</w:t>
      </w:r>
      <w:r>
        <w:rPr>
          <w:rFonts w:hint="eastAsia" w:hAnsi="宋体"/>
          <w:color w:val="auto"/>
          <w:spacing w:val="-6"/>
          <w:sz w:val="24"/>
          <w:szCs w:val="24"/>
          <w:highlight w:val="none"/>
          <w:lang w:val="en-US" w:eastAsia="zh-CN"/>
        </w:rPr>
        <w:t>6</w:t>
      </w:r>
      <w:r>
        <w:rPr>
          <w:rFonts w:hint="eastAsia" w:hAnsi="宋体"/>
          <w:color w:val="auto"/>
          <w:spacing w:val="-6"/>
          <w:sz w:val="24"/>
          <w:szCs w:val="24"/>
          <w:highlight w:val="none"/>
        </w:rPr>
        <w:t>）</w:t>
      </w:r>
      <w:r>
        <w:rPr>
          <w:rFonts w:hint="eastAsia" w:hAnsi="宋体"/>
          <w:color w:val="auto"/>
          <w:spacing w:val="-6"/>
          <w:sz w:val="24"/>
          <w:szCs w:val="24"/>
          <w:highlight w:val="none"/>
          <w:lang w:val="en-US" w:eastAsia="zh-CN"/>
        </w:rPr>
        <w:t>合同</w:t>
      </w:r>
      <w:r>
        <w:rPr>
          <w:rFonts w:hint="eastAsia" w:hAnsi="宋体"/>
          <w:color w:val="auto"/>
          <w:spacing w:val="-6"/>
          <w:sz w:val="24"/>
          <w:szCs w:val="24"/>
          <w:highlight w:val="none"/>
        </w:rPr>
        <w:t>规定的人员培训和售后服务的相关费用。</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3.合同组成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详细价格、技术说明及其它有关合同的特定信息由合同附件说明。所有附件及本项目的招投标文件、会议纪要、协议、澄清等均为本合同不可分割之一部分。</w:t>
      </w:r>
    </w:p>
    <w:p>
      <w:pPr>
        <w:spacing w:beforeLines="50" w:line="360" w:lineRule="auto"/>
        <w:rPr>
          <w:rFonts w:ascii="宋体" w:hAnsi="宋体" w:cs="宋体"/>
          <w:color w:val="auto"/>
          <w:sz w:val="24"/>
          <w:highlight w:val="none"/>
        </w:rPr>
      </w:pPr>
      <w:r>
        <w:rPr>
          <w:rFonts w:hint="eastAsia" w:ascii="宋体" w:hAnsi="宋体" w:cs="宋体"/>
          <w:b/>
          <w:color w:val="auto"/>
          <w:sz w:val="24"/>
          <w:highlight w:val="none"/>
        </w:rPr>
        <w:t>4.技术要求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乙方所提供货物，必须符合国家有关规范、行业规范、样品标准和环保要求及甲方的技术要求，并提供货物的检测报告。</w:t>
      </w:r>
    </w:p>
    <w:p>
      <w:pPr>
        <w:spacing w:beforeLines="50" w:line="360" w:lineRule="auto"/>
        <w:rPr>
          <w:rFonts w:ascii="宋体" w:hAnsi="宋体" w:cs="宋体"/>
          <w:color w:val="auto"/>
          <w:sz w:val="24"/>
          <w:highlight w:val="none"/>
        </w:rPr>
      </w:pPr>
      <w:r>
        <w:rPr>
          <w:rFonts w:hint="eastAsia" w:ascii="宋体" w:hAnsi="宋体" w:cs="宋体"/>
          <w:b/>
          <w:color w:val="auto"/>
          <w:sz w:val="24"/>
          <w:highlight w:val="none"/>
        </w:rPr>
        <w:t>5.</w:t>
      </w:r>
      <w:r>
        <w:rPr>
          <w:rFonts w:hint="eastAsia" w:ascii="宋体" w:hAnsi="宋体" w:cs="宋体"/>
          <w:b/>
          <w:color w:val="auto"/>
          <w:sz w:val="24"/>
          <w:highlight w:val="none"/>
        </w:rPr>
        <w:tab/>
      </w:r>
      <w:r>
        <w:rPr>
          <w:rFonts w:hint="eastAsia" w:ascii="宋体" w:hAnsi="宋体" w:cs="宋体"/>
          <w:b/>
          <w:color w:val="auto"/>
          <w:sz w:val="24"/>
          <w:highlight w:val="none"/>
        </w:rPr>
        <w:t>合同货物包装、交货、安装及验收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 合同货物的包装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货物的包装均应有良好的防湿、防锈、防潮、防雨、防腐及防碰撞的措施。凡由于包装不良造成的损失和由此产生的费用均由乙方承担。</w:t>
      </w:r>
    </w:p>
    <w:p>
      <w:pPr>
        <w:spacing w:line="360" w:lineRule="auto"/>
        <w:ind w:firstLine="456" w:firstLineChars="200"/>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szCs w:val="24"/>
          <w:highlight w:val="none"/>
        </w:rPr>
        <w:t>5.2</w:t>
      </w:r>
      <w:r>
        <w:rPr>
          <w:rFonts w:hint="eastAsia" w:asciiTheme="minorEastAsia" w:hAnsiTheme="minorEastAsia" w:eastAsiaTheme="minorEastAsia" w:cstheme="minorEastAsia"/>
          <w:color w:val="auto"/>
          <w:spacing w:val="-6"/>
          <w:sz w:val="24"/>
          <w:szCs w:val="24"/>
          <w:highlight w:val="none"/>
          <w:lang w:val="en-US" w:eastAsia="zh-CN"/>
        </w:rPr>
        <w:t>货物</w:t>
      </w:r>
      <w:r>
        <w:rPr>
          <w:rFonts w:hint="eastAsia" w:asciiTheme="minorEastAsia" w:hAnsiTheme="minorEastAsia" w:eastAsiaTheme="minorEastAsia" w:cstheme="minorEastAsia"/>
          <w:color w:val="auto"/>
          <w:spacing w:val="-6"/>
          <w:sz w:val="24"/>
          <w:szCs w:val="24"/>
          <w:highlight w:val="none"/>
        </w:rPr>
        <w:t>技术成熟，技术水平已达到国内先进水平；</w:t>
      </w:r>
      <w:r>
        <w:rPr>
          <w:rFonts w:hint="eastAsia" w:asciiTheme="minorEastAsia" w:hAnsiTheme="minorEastAsia" w:eastAsiaTheme="minorEastAsia" w:cstheme="minorEastAsia"/>
          <w:color w:val="auto"/>
          <w:spacing w:val="-6"/>
          <w:sz w:val="24"/>
          <w:szCs w:val="24"/>
          <w:highlight w:val="none"/>
          <w:lang w:val="en-US" w:eastAsia="zh-CN"/>
        </w:rPr>
        <w:t>货物</w:t>
      </w:r>
      <w:r>
        <w:rPr>
          <w:rFonts w:hint="eastAsia" w:asciiTheme="minorEastAsia" w:hAnsiTheme="minorEastAsia" w:eastAsiaTheme="minorEastAsia" w:cstheme="minorEastAsia"/>
          <w:color w:val="auto"/>
          <w:spacing w:val="-6"/>
          <w:sz w:val="24"/>
          <w:szCs w:val="24"/>
          <w:highlight w:val="none"/>
        </w:rPr>
        <w:t>运行稳定、不出现故障，安全可靠。</w:t>
      </w:r>
      <w:r>
        <w:rPr>
          <w:rFonts w:hint="eastAsia" w:asciiTheme="minorEastAsia" w:hAnsiTheme="minorEastAsia" w:eastAsiaTheme="minorEastAsia" w:cstheme="minorEastAsia"/>
          <w:color w:val="auto"/>
          <w:spacing w:val="-6"/>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 合同货物的交货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5.3.1 乙方交货时间：国</w:t>
      </w:r>
      <w:r>
        <w:rPr>
          <w:rFonts w:hint="eastAsia" w:cs="宋体" w:asciiTheme="minorEastAsia" w:hAnsiTheme="minorEastAsia" w:eastAsiaTheme="minorEastAsia"/>
          <w:color w:val="auto"/>
          <w:kern w:val="0"/>
          <w:sz w:val="24"/>
          <w:szCs w:val="24"/>
          <w:highlight w:val="none"/>
        </w:rPr>
        <w:t xml:space="preserve">产货物合同签订后 </w:t>
      </w:r>
      <w:r>
        <w:rPr>
          <w:rFonts w:hint="eastAsia" w:cs="宋体" w:asciiTheme="minorEastAsia" w:hAnsiTheme="minorEastAsia" w:eastAsiaTheme="minorEastAsia"/>
          <w:color w:val="auto"/>
          <w:kern w:val="0"/>
          <w:sz w:val="24"/>
          <w:szCs w:val="24"/>
          <w:highlight w:val="none"/>
          <w:u w:val="single"/>
        </w:rPr>
        <w:t xml:space="preserve">   </w:t>
      </w:r>
      <w:r>
        <w:rPr>
          <w:rFonts w:hint="eastAsia" w:cs="宋体" w:asciiTheme="minorEastAsia" w:hAnsiTheme="minorEastAsia" w:eastAsiaTheme="minorEastAsia"/>
          <w:color w:val="auto"/>
          <w:kern w:val="0"/>
          <w:sz w:val="24"/>
          <w:szCs w:val="24"/>
          <w:highlight w:val="none"/>
        </w:rPr>
        <w:t>个日历日；进口货物合同签订后</w:t>
      </w:r>
      <w:r>
        <w:rPr>
          <w:rFonts w:hint="eastAsia" w:cs="宋体" w:asciiTheme="minorEastAsia" w:hAnsiTheme="minorEastAsia" w:eastAsiaTheme="minorEastAsia"/>
          <w:color w:val="auto"/>
          <w:kern w:val="0"/>
          <w:sz w:val="24"/>
          <w:szCs w:val="24"/>
          <w:highlight w:val="none"/>
          <w:u w:val="single"/>
        </w:rPr>
        <w:t xml:space="preserve">   </w:t>
      </w:r>
      <w:r>
        <w:rPr>
          <w:rFonts w:hint="eastAsia" w:cs="宋体" w:asciiTheme="minorEastAsia" w:hAnsiTheme="minorEastAsia" w:eastAsiaTheme="minorEastAsia"/>
          <w:color w:val="auto"/>
          <w:kern w:val="0"/>
          <w:sz w:val="24"/>
          <w:szCs w:val="24"/>
          <w:highlight w:val="none"/>
        </w:rPr>
        <w:t>个日历日</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5.3.2 乙方交货地点：运输及卸车至甲方指定地点。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运输过程中因故发生的货物数量、质量问题及损失所产生费用由乙方负责。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 合同货物的安装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5.4.1 乙方负责合同项下的货物安装调试至正常运作并通过验收及格，安装调试所需一切费用由乙方负责。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若因安装调试导致货物性能问题，致使甲方产品出现任何质量、工艺问题，该后果由乙方承担。</w:t>
      </w:r>
    </w:p>
    <w:p>
      <w:pPr>
        <w:spacing w:line="360" w:lineRule="auto"/>
        <w:ind w:firstLine="480" w:firstLineChars="200"/>
        <w:rPr>
          <w:rFonts w:ascii="宋体" w:hAnsi="宋体" w:cs="宋体"/>
          <w:color w:val="auto"/>
          <w:sz w:val="24"/>
          <w:highlight w:val="none"/>
          <w:u w:val="single" w:color="FFFFFF"/>
        </w:rPr>
      </w:pPr>
      <w:r>
        <w:rPr>
          <w:rFonts w:hint="eastAsia" w:ascii="宋体" w:hAnsi="宋体" w:cs="宋体"/>
          <w:color w:val="auto"/>
          <w:sz w:val="24"/>
          <w:highlight w:val="none"/>
          <w:u w:val="single" w:color="FFFFFF"/>
        </w:rPr>
        <w:t>货物到达甲方指定地点后次日起视同为通知安装之日，乙方应在甲方通知安装之日起</w:t>
      </w:r>
      <w:r>
        <w:rPr>
          <w:rFonts w:hint="eastAsia" w:ascii="宋体" w:hAnsi="宋体" w:cs="宋体"/>
          <w:color w:val="auto"/>
          <w:sz w:val="24"/>
          <w:highlight w:val="none"/>
          <w:u w:val="single"/>
        </w:rPr>
        <w:t xml:space="preserve">  7</w:t>
      </w:r>
      <w:r>
        <w:rPr>
          <w:rFonts w:hint="eastAsia" w:ascii="宋体" w:hAnsi="宋体" w:cs="宋体"/>
          <w:color w:val="auto"/>
          <w:sz w:val="24"/>
          <w:highlight w:val="none"/>
          <w:u w:val="single" w:color="FFFFFF"/>
        </w:rPr>
        <w:t>天内完成安装调试。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5.4.2 乙方安装时须对各安装场地内的其他货物、设施有良好保护措施。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 货物的验收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5.5.1 </w:t>
      </w:r>
      <w:r>
        <w:rPr>
          <w:rFonts w:hint="eastAsia" w:ascii="宋体" w:hAnsi="宋体" w:cs="宋体"/>
          <w:color w:val="auto"/>
          <w:sz w:val="24"/>
          <w:highlight w:val="none"/>
        </w:rPr>
        <w:tab/>
      </w:r>
      <w:r>
        <w:rPr>
          <w:rFonts w:hint="eastAsia" w:ascii="宋体" w:hAnsi="宋体" w:cs="宋体"/>
          <w:color w:val="auto"/>
          <w:sz w:val="24"/>
          <w:highlight w:val="none"/>
        </w:rPr>
        <w:t>合同货物安装完成后</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个工作日内验收，验收应在甲乙双方共同参加下进行。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5.5.2 验收按国家有关的规定、规范进行。验收时如发现所交付的货物有短装、次品、损坏或其它不符合本合同规定之情形者，甲方应作出详尽的现场记录，或由甲乙双方签署备忘录。此现场记录或备忘录可用作补充、缺失和更换损坏部件的有效证据。由此产生的有关费用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5.5.3 如果合同货物运输和安装过程中因事故造成货物短缺、损坏，乙方应及时安排换装，以保证合同货物安装的成功完成。换货的相关费用由乙方承担。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 乙方保证合同项下提供的货物不侵犯任何第三方的专利、商标或版权。否则，乙方须承担对第三方的专利或版权的侵权责任并承担因此而发生的所有费用。</w:t>
      </w:r>
    </w:p>
    <w:p>
      <w:pPr>
        <w:spacing w:line="360" w:lineRule="auto"/>
        <w:ind w:firstLine="480" w:firstLineChars="200"/>
        <w:rPr>
          <w:rFonts w:ascii="宋体" w:hAnsi="宋体" w:cs="宋体"/>
          <w:b/>
          <w:color w:val="auto"/>
          <w:sz w:val="24"/>
          <w:highlight w:val="none"/>
        </w:rPr>
      </w:pPr>
      <w:r>
        <w:rPr>
          <w:rFonts w:hint="eastAsia" w:ascii="宋体" w:hAnsi="宋体"/>
          <w:color w:val="auto"/>
          <w:sz w:val="24"/>
          <w:highlight w:val="none"/>
        </w:rPr>
        <w:t>5.7 依照国家法律法规需要办理备案的特种设备，在</w:t>
      </w:r>
      <w:r>
        <w:rPr>
          <w:rFonts w:ascii="宋体" w:hAnsi="宋体"/>
          <w:color w:val="auto"/>
          <w:sz w:val="24"/>
          <w:highlight w:val="none"/>
        </w:rPr>
        <w:t>验收报账之前，</w:t>
      </w:r>
      <w:r>
        <w:rPr>
          <w:rFonts w:hint="eastAsia" w:ascii="宋体" w:hAnsi="宋体"/>
          <w:color w:val="auto"/>
          <w:sz w:val="24"/>
          <w:highlight w:val="none"/>
        </w:rPr>
        <w:t>乙方应协助甲方办理特种设备备案完毕，并向</w:t>
      </w:r>
      <w:r>
        <w:rPr>
          <w:rFonts w:ascii="宋体" w:hAnsi="宋体"/>
          <w:color w:val="auto"/>
          <w:sz w:val="24"/>
          <w:highlight w:val="none"/>
        </w:rPr>
        <w:t>甲方</w:t>
      </w:r>
      <w:r>
        <w:rPr>
          <w:rFonts w:hint="eastAsia" w:ascii="宋体" w:hAnsi="宋体"/>
          <w:color w:val="auto"/>
          <w:sz w:val="24"/>
          <w:highlight w:val="none"/>
        </w:rPr>
        <w:t>交付备案材料。</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6.质量保证及售后服务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乙方保证合同货物是全新、未曾使用过的，其质量、规格及技术特征符合合同附件的要求。</w:t>
      </w:r>
    </w:p>
    <w:p>
      <w:pPr>
        <w:tabs>
          <w:tab w:val="left" w:pos="0"/>
        </w:tabs>
        <w:spacing w:line="360" w:lineRule="auto"/>
        <w:ind w:firstLine="480" w:firstLineChars="200"/>
        <w:rPr>
          <w:rFonts w:asciiTheme="minorEastAsia" w:hAnsiTheme="minorEastAsia" w:eastAsiaTheme="minorEastAsia"/>
          <w:color w:val="auto"/>
          <w:sz w:val="24"/>
          <w:szCs w:val="24"/>
          <w:highlight w:val="none"/>
        </w:rPr>
      </w:pPr>
      <w:r>
        <w:rPr>
          <w:rFonts w:hint="eastAsia" w:ascii="宋体" w:hAnsi="宋体" w:cs="宋体"/>
          <w:color w:val="auto"/>
          <w:sz w:val="24"/>
          <w:highlight w:val="none"/>
        </w:rPr>
        <w:t xml:space="preserve">6.2 </w:t>
      </w:r>
      <w:r>
        <w:rPr>
          <w:rFonts w:hint="eastAsia" w:asciiTheme="minorEastAsia" w:hAnsiTheme="minorEastAsia" w:eastAsiaTheme="minorEastAsia"/>
          <w:color w:val="auto"/>
          <w:sz w:val="24"/>
          <w:szCs w:val="24"/>
          <w:highlight w:val="none"/>
        </w:rPr>
        <w:t>包组一：</w:t>
      </w:r>
      <w:r>
        <w:rPr>
          <w:rFonts w:hint="eastAsia" w:hAnsi="宋体"/>
          <w:color w:val="auto"/>
          <w:sz w:val="24"/>
          <w:szCs w:val="24"/>
          <w:highlight w:val="none"/>
        </w:rPr>
        <w:t>合同设备保质保用期为本项目有关部门验收签字之日起质保期如下</w:t>
      </w:r>
      <w:r>
        <w:rPr>
          <w:rFonts w:hint="eastAsia" w:asciiTheme="minorEastAsia" w:hAnsiTheme="minorEastAsia" w:eastAsiaTheme="minorEastAsia"/>
          <w:color w:val="auto"/>
          <w:sz w:val="24"/>
          <w:szCs w:val="24"/>
          <w:highlight w:val="none"/>
        </w:rPr>
        <w:t>：</w:t>
      </w:r>
    </w:p>
    <w:tbl>
      <w:tblPr>
        <w:tblStyle w:val="39"/>
        <w:tblW w:w="0" w:type="auto"/>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5175"/>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pStyle w:val="16"/>
              <w:spacing w:line="360" w:lineRule="auto"/>
              <w:jc w:val="center"/>
              <w:rPr>
                <w:color w:val="auto"/>
                <w:sz w:val="24"/>
                <w:szCs w:val="24"/>
                <w:highlight w:val="none"/>
              </w:rPr>
            </w:pPr>
            <w:r>
              <w:rPr>
                <w:rFonts w:hint="eastAsia"/>
                <w:color w:val="auto"/>
                <w:sz w:val="24"/>
                <w:szCs w:val="24"/>
                <w:highlight w:val="none"/>
              </w:rPr>
              <w:t>序号</w:t>
            </w:r>
          </w:p>
        </w:tc>
        <w:tc>
          <w:tcPr>
            <w:tcW w:w="5175" w:type="dxa"/>
          </w:tcPr>
          <w:p>
            <w:pPr>
              <w:pStyle w:val="16"/>
              <w:spacing w:line="360" w:lineRule="auto"/>
              <w:jc w:val="center"/>
              <w:rPr>
                <w:color w:val="auto"/>
                <w:sz w:val="24"/>
                <w:szCs w:val="24"/>
                <w:highlight w:val="none"/>
              </w:rPr>
            </w:pPr>
            <w:r>
              <w:rPr>
                <w:rFonts w:hint="eastAsia"/>
                <w:color w:val="auto"/>
                <w:sz w:val="24"/>
                <w:szCs w:val="24"/>
                <w:highlight w:val="none"/>
              </w:rPr>
              <w:t>设备名称</w:t>
            </w:r>
          </w:p>
        </w:tc>
        <w:tc>
          <w:tcPr>
            <w:tcW w:w="2310" w:type="dxa"/>
          </w:tcPr>
          <w:p>
            <w:pPr>
              <w:pStyle w:val="16"/>
              <w:spacing w:line="360" w:lineRule="auto"/>
              <w:jc w:val="center"/>
              <w:rPr>
                <w:color w:val="auto"/>
                <w:sz w:val="24"/>
                <w:szCs w:val="24"/>
                <w:highlight w:val="none"/>
              </w:rPr>
            </w:pPr>
            <w:r>
              <w:rPr>
                <w:rFonts w:hint="eastAsia"/>
                <w:color w:val="auto"/>
                <w:sz w:val="24"/>
                <w:szCs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 xml:space="preserve">1 </w:t>
            </w:r>
          </w:p>
        </w:tc>
        <w:tc>
          <w:tcPr>
            <w:tcW w:w="5175" w:type="dxa"/>
          </w:tcPr>
          <w:p>
            <w:pPr>
              <w:pStyle w:val="16"/>
              <w:spacing w:line="360" w:lineRule="auto"/>
              <w:jc w:val="center"/>
              <w:rPr>
                <w:color w:val="auto"/>
                <w:sz w:val="24"/>
                <w:szCs w:val="24"/>
                <w:highlight w:val="none"/>
              </w:rPr>
            </w:pPr>
            <w:r>
              <w:rPr>
                <w:rFonts w:hint="eastAsia"/>
                <w:color w:val="auto"/>
                <w:sz w:val="24"/>
                <w:szCs w:val="24"/>
                <w:highlight w:val="none"/>
              </w:rPr>
              <w:t>高频探头</w:t>
            </w:r>
          </w:p>
        </w:tc>
        <w:tc>
          <w:tcPr>
            <w:tcW w:w="2310" w:type="dxa"/>
            <w:vAlign w:val="center"/>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不少于</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宋体" w:hAnsi="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2</w:t>
            </w:r>
          </w:p>
        </w:tc>
        <w:tc>
          <w:tcPr>
            <w:tcW w:w="5175" w:type="dxa"/>
          </w:tcPr>
          <w:p>
            <w:pPr>
              <w:pStyle w:val="16"/>
              <w:spacing w:line="360" w:lineRule="auto"/>
              <w:jc w:val="center"/>
              <w:rPr>
                <w:color w:val="auto"/>
                <w:sz w:val="24"/>
                <w:szCs w:val="24"/>
                <w:highlight w:val="none"/>
              </w:rPr>
            </w:pPr>
            <w:r>
              <w:rPr>
                <w:rFonts w:hint="eastAsia"/>
                <w:color w:val="auto"/>
                <w:sz w:val="24"/>
                <w:szCs w:val="24"/>
                <w:highlight w:val="none"/>
              </w:rPr>
              <w:t>火龙罐，子午流注低频治疗仪</w:t>
            </w:r>
          </w:p>
        </w:tc>
        <w:tc>
          <w:tcPr>
            <w:tcW w:w="2310" w:type="dxa"/>
            <w:vAlign w:val="center"/>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不少于</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宋体" w:hAnsi="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5" w:type="dxa"/>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3</w:t>
            </w:r>
          </w:p>
        </w:tc>
        <w:tc>
          <w:tcPr>
            <w:tcW w:w="5175" w:type="dxa"/>
          </w:tcPr>
          <w:p>
            <w:pPr>
              <w:pStyle w:val="16"/>
              <w:spacing w:line="360" w:lineRule="auto"/>
              <w:jc w:val="center"/>
              <w:rPr>
                <w:color w:val="auto"/>
                <w:sz w:val="24"/>
                <w:szCs w:val="24"/>
                <w:highlight w:val="none"/>
              </w:rPr>
            </w:pPr>
            <w:r>
              <w:rPr>
                <w:rFonts w:hint="eastAsia"/>
                <w:color w:val="auto"/>
                <w:sz w:val="24"/>
                <w:szCs w:val="24"/>
                <w:highlight w:val="none"/>
              </w:rPr>
              <w:t>康复科专病大数据管理平台，生理参数传输管理软件</w:t>
            </w:r>
          </w:p>
        </w:tc>
        <w:tc>
          <w:tcPr>
            <w:tcW w:w="2310" w:type="dxa"/>
            <w:vAlign w:val="center"/>
          </w:tcPr>
          <w:p>
            <w:pPr>
              <w:pStyle w:val="16"/>
              <w:spacing w:line="360" w:lineRule="auto"/>
              <w:jc w:val="center"/>
              <w:rPr>
                <w:color w:val="auto"/>
                <w:sz w:val="24"/>
                <w:szCs w:val="24"/>
                <w:highlight w:val="none"/>
              </w:rPr>
            </w:pPr>
            <w:r>
              <w:rPr>
                <w:rFonts w:hint="eastAsia" w:ascii="宋体" w:hAnsi="宋体" w:cs="宋体"/>
                <w:color w:val="auto"/>
                <w:sz w:val="24"/>
                <w:szCs w:val="24"/>
                <w:highlight w:val="none"/>
              </w:rPr>
              <w:t>不少于</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宋体" w:hAnsi="宋体" w:cs="宋体"/>
                <w:color w:val="auto"/>
                <w:sz w:val="24"/>
                <w:szCs w:val="24"/>
                <w:highlight w:val="none"/>
              </w:rPr>
              <w:t>年</w:t>
            </w:r>
          </w:p>
        </w:tc>
      </w:tr>
    </w:tbl>
    <w:p>
      <w:pPr>
        <w:pStyle w:val="21"/>
        <w:tabs>
          <w:tab w:val="left" w:pos="540"/>
        </w:tabs>
        <w:adjustRightInd w:val="0"/>
        <w:snapToGrid w:val="0"/>
        <w:ind w:firstLine="720" w:firstLineChars="300"/>
        <w:rPr>
          <w:rFonts w:asciiTheme="minorEastAsia" w:hAnsiTheme="minorEastAsia" w:eastAsiaTheme="minorEastAsia"/>
          <w:color w:val="auto"/>
          <w:sz w:val="24"/>
          <w:szCs w:val="24"/>
          <w:highlight w:val="none"/>
        </w:rPr>
      </w:pPr>
    </w:p>
    <w:p>
      <w:pPr>
        <w:pStyle w:val="21"/>
        <w:tabs>
          <w:tab w:val="left" w:pos="540"/>
        </w:tabs>
        <w:adjustRightInd w:val="0"/>
        <w:snapToGrid w:val="0"/>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包组二：合同</w:t>
      </w:r>
      <w:r>
        <w:rPr>
          <w:rFonts w:hint="eastAsia" w:hAnsi="宋体"/>
          <w:color w:val="auto"/>
          <w:sz w:val="24"/>
          <w:szCs w:val="24"/>
          <w:highlight w:val="none"/>
        </w:rPr>
        <w:t>设备</w:t>
      </w:r>
      <w:r>
        <w:rPr>
          <w:rFonts w:hint="eastAsia" w:asciiTheme="minorEastAsia" w:hAnsiTheme="minorEastAsia" w:eastAsiaTheme="minorEastAsia"/>
          <w:color w:val="auto"/>
          <w:sz w:val="24"/>
          <w:szCs w:val="24"/>
          <w:highlight w:val="none"/>
        </w:rPr>
        <w:t>保质保用期为本项目有关部门验收签字之日起不少于</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lang w:val="en-US" w:eastAsia="zh-CN"/>
        </w:rPr>
        <w:t>个月</w:t>
      </w:r>
      <w:r>
        <w:rPr>
          <w:rFonts w:hint="eastAsia" w:asciiTheme="minorEastAsia" w:hAnsiTheme="minorEastAsia" w:eastAsiaTheme="minorEastAsia"/>
          <w:color w:val="auto"/>
          <w:sz w:val="24"/>
          <w:szCs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6.3</w:t>
      </w:r>
      <w:r>
        <w:rPr>
          <w:rFonts w:hint="eastAsia" w:ascii="宋体" w:hAnsi="宋体" w:cs="宋体"/>
          <w:color w:val="auto"/>
          <w:sz w:val="24"/>
          <w:highlight w:val="none"/>
        </w:rPr>
        <w:t>保质保用期内非因甲方的人为原因而出现产品质量及安装问题，由乙方负责包修、包换或包退，并承担因此而产生的一切费用。乙方应提供免费咨询电话。乙方应在收到甲方通知后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小时内响应，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小时内派员到现场维修(技术要求另有规定除外)，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小时内处理完毕。如</w:t>
      </w:r>
      <w:r>
        <w:rPr>
          <w:rFonts w:ascii="宋体" w:hAnsi="宋体" w:cs="宋体"/>
          <w:color w:val="auto"/>
          <w:sz w:val="24"/>
          <w:highlight w:val="none"/>
        </w:rPr>
        <w:t>在</w:t>
      </w:r>
      <w:r>
        <w:rPr>
          <w:rFonts w:hint="eastAsia" w:ascii="宋体" w:hAnsi="宋体" w:cs="宋体"/>
          <w:color w:val="auto"/>
          <w:sz w:val="24"/>
          <w:highlight w:val="none"/>
        </w:rPr>
        <w:t>48小时内无法</w:t>
      </w:r>
      <w:r>
        <w:rPr>
          <w:rFonts w:ascii="宋体" w:hAnsi="宋体" w:cs="宋体"/>
          <w:color w:val="auto"/>
          <w:sz w:val="24"/>
          <w:highlight w:val="none"/>
        </w:rPr>
        <w:t>处理完毕，乙方应提供甲方同意的合理解决方案，否则，甲方有权委托第三方机构及时处理，因此发生的</w:t>
      </w:r>
      <w:r>
        <w:rPr>
          <w:rFonts w:hint="eastAsia" w:ascii="宋体" w:hAnsi="宋体" w:cs="宋体"/>
          <w:color w:val="auto"/>
          <w:sz w:val="24"/>
          <w:highlight w:val="none"/>
        </w:rPr>
        <w:t>一切</w:t>
      </w:r>
      <w:r>
        <w:rPr>
          <w:rFonts w:ascii="宋体" w:hAnsi="宋体" w:cs="宋体"/>
          <w:color w:val="auto"/>
          <w:sz w:val="24"/>
          <w:highlight w:val="none"/>
        </w:rPr>
        <w:t>费用，由乙方承担</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6.4</w:t>
      </w:r>
      <w:r>
        <w:rPr>
          <w:rFonts w:hint="eastAsia" w:ascii="宋体" w:hAnsi="宋体" w:cs="宋体"/>
          <w:color w:val="auto"/>
          <w:sz w:val="24"/>
          <w:highlight w:val="none"/>
        </w:rPr>
        <w:t>保质保用期后乙方对合同货物提供终身免费保修服务，如需更换零配件，乙方只收取零配件费，在硬件无改变的情况下，软件终身免费升级。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下列情况乙方不负责免费保修：</w:t>
      </w:r>
    </w:p>
    <w:p>
      <w:pPr>
        <w:tabs>
          <w:tab w:val="left" w:pos="1488"/>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（1）不按照乙方提供的正确使用方法而引致设备故障损坏；</w:t>
      </w:r>
    </w:p>
    <w:p>
      <w:pPr>
        <w:tabs>
          <w:tab w:val="left" w:pos="1488"/>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（2）擅自改装设备（货物）。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双方同意因货物的质量问题而发生争议的，由广东省质检部门进行质量鉴定。货物符合质量标准的，鉴定费用由甲方承担；货物不符合质量标准的，鉴定费用由乙方承担。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乙方无偿培训甲方使用及维修人员，主要内容为货物的基本结构、性能、主要部件的构造及修理，日常使用保养与管理，常见故障的排除，紧急情况的处理等，培训地点主要在货物安装现场或按甲方安排。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产品必须由乙方负责完成首次计量强制检定。</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7.</w:t>
      </w:r>
      <w:r>
        <w:rPr>
          <w:rFonts w:hint="eastAsia" w:ascii="宋体" w:hAnsi="宋体" w:cs="宋体"/>
          <w:b/>
          <w:color w:val="auto"/>
          <w:sz w:val="24"/>
          <w:highlight w:val="none"/>
        </w:rPr>
        <w:tab/>
      </w:r>
      <w:r>
        <w:rPr>
          <w:rFonts w:hint="eastAsia" w:ascii="宋体" w:hAnsi="宋体" w:cs="宋体"/>
          <w:b/>
          <w:color w:val="auto"/>
          <w:sz w:val="24"/>
          <w:highlight w:val="none"/>
        </w:rPr>
        <w:t>履约保证金</w:t>
      </w:r>
    </w:p>
    <w:p>
      <w:pPr>
        <w:spacing w:line="360" w:lineRule="auto"/>
        <w:ind w:firstLine="456" w:firstLineChars="200"/>
        <w:rPr>
          <w:rFonts w:ascii="宋体" w:hAnsi="宋体" w:cs="宋体"/>
          <w:color w:val="auto"/>
          <w:sz w:val="24"/>
          <w:highlight w:val="none"/>
        </w:rPr>
      </w:pPr>
      <w:r>
        <w:rPr>
          <w:rFonts w:hint="eastAsia" w:ascii="宋体" w:hAnsi="宋体" w:eastAsia="宋体" w:cs="宋体"/>
          <w:b w:val="0"/>
          <w:bCs w:val="0"/>
          <w:color w:val="auto"/>
          <w:spacing w:val="-6"/>
          <w:sz w:val="24"/>
          <w:szCs w:val="24"/>
          <w:highlight w:val="none"/>
          <w:lang w:val="en-US" w:eastAsia="zh-CN"/>
        </w:rPr>
        <w:t>自合同签订之日起</w:t>
      </w:r>
      <w:r>
        <w:rPr>
          <w:rFonts w:hint="eastAsia" w:ascii="宋体" w:hAnsi="宋体" w:cs="宋体"/>
          <w:color w:val="auto"/>
          <w:sz w:val="24"/>
          <w:szCs w:val="24"/>
          <w:highlight w:val="none"/>
          <w:u w:val="single"/>
        </w:rPr>
        <w:t xml:space="preserve">   </w:t>
      </w:r>
      <w:r>
        <w:rPr>
          <w:rFonts w:hint="eastAsia" w:ascii="宋体" w:hAnsi="宋体" w:eastAsia="宋体" w:cs="宋体"/>
          <w:b w:val="0"/>
          <w:bCs w:val="0"/>
          <w:color w:val="auto"/>
          <w:spacing w:val="-6"/>
          <w:sz w:val="24"/>
          <w:szCs w:val="24"/>
          <w:highlight w:val="none"/>
          <w:lang w:val="en-US" w:eastAsia="zh-CN"/>
        </w:rPr>
        <w:t>个工作日内，中标人向采购人支付</w:t>
      </w:r>
      <w:r>
        <w:rPr>
          <w:rFonts w:hint="eastAsia" w:ascii="宋体" w:hAnsi="宋体" w:eastAsia="宋体" w:cs="宋体"/>
          <w:color w:val="auto"/>
          <w:spacing w:val="-6"/>
          <w:sz w:val="24"/>
          <w:szCs w:val="24"/>
          <w:highlight w:val="none"/>
        </w:rPr>
        <w:t>合同金额的</w:t>
      </w:r>
      <w:r>
        <w:rPr>
          <w:rFonts w:hint="eastAsia" w:ascii="宋体" w:hAnsi="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%作为履约保证金，以保函等非现金形式缴纳或提交</w:t>
      </w:r>
      <w:r>
        <w:rPr>
          <w:rFonts w:hint="eastAsia" w:ascii="宋体" w:hAnsi="宋体" w:cs="宋体"/>
          <w:color w:val="auto"/>
          <w:sz w:val="24"/>
          <w:highlight w:val="none"/>
        </w:rPr>
        <w:t>。本合同履行过程中，如符合以下约定情形之一, 则采购人在乙方完成交货验收后的</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rPr>
        <w:t>个工作日内应无息返还全部或剩余的履约保证金 ：（1）乙方没有发生违约或造成采购人损失的行为；（2）按照本合同的约定，扣除违约金、相应赔偿款项后仍有余额。</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8.付款办法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本项目的每笔款项以人民币支付，支付的时间和金额如下：</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8.1</w:t>
      </w:r>
      <w:r>
        <w:rPr>
          <w:rFonts w:hint="eastAsia" w:ascii="宋体" w:hAnsi="宋体" w:eastAsia="宋体" w:cs="宋体"/>
          <w:b w:val="0"/>
          <w:bCs w:val="0"/>
          <w:color w:val="auto"/>
          <w:sz w:val="24"/>
          <w:szCs w:val="24"/>
          <w:highlight w:val="none"/>
          <w:u w:val="none"/>
          <w:lang w:val="en-US" w:eastAsia="zh-CN"/>
        </w:rPr>
        <w:t>自合同签订之日起</w:t>
      </w:r>
      <w:r>
        <w:rPr>
          <w:rFonts w:hint="eastAsia" w:ascii="宋体" w:hAnsi="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个工作日内，</w:t>
      </w:r>
      <w:r>
        <w:rPr>
          <w:rFonts w:hint="eastAsia" w:ascii="宋体" w:hAnsi="宋体" w:cs="宋体"/>
          <w:b w:val="0"/>
          <w:bCs w:val="0"/>
          <w:color w:val="auto"/>
          <w:sz w:val="24"/>
          <w:szCs w:val="24"/>
          <w:highlight w:val="none"/>
          <w:u w:val="none"/>
          <w:lang w:val="en-US" w:eastAsia="zh-CN"/>
        </w:rPr>
        <w:t>乙方</w:t>
      </w:r>
      <w:r>
        <w:rPr>
          <w:rFonts w:hint="eastAsia" w:ascii="宋体" w:hAnsi="宋体" w:eastAsia="宋体" w:cs="宋体"/>
          <w:b w:val="0"/>
          <w:bCs w:val="0"/>
          <w:color w:val="auto"/>
          <w:sz w:val="24"/>
          <w:szCs w:val="24"/>
          <w:highlight w:val="none"/>
          <w:u w:val="none"/>
          <w:lang w:val="en-US" w:eastAsia="zh-CN"/>
        </w:rPr>
        <w:t>向</w:t>
      </w:r>
      <w:r>
        <w:rPr>
          <w:rFonts w:hint="eastAsia" w:ascii="宋体" w:hAnsi="宋体" w:cs="宋体"/>
          <w:b w:val="0"/>
          <w:bCs w:val="0"/>
          <w:color w:val="auto"/>
          <w:sz w:val="24"/>
          <w:szCs w:val="24"/>
          <w:highlight w:val="none"/>
          <w:u w:val="none"/>
          <w:lang w:val="en-US" w:eastAsia="zh-CN"/>
        </w:rPr>
        <w:t>甲方</w:t>
      </w:r>
      <w:r>
        <w:rPr>
          <w:rFonts w:hint="eastAsia" w:ascii="宋体" w:hAnsi="宋体" w:eastAsia="宋体" w:cs="宋体"/>
          <w:b w:val="0"/>
          <w:bCs w:val="0"/>
          <w:color w:val="auto"/>
          <w:sz w:val="24"/>
          <w:szCs w:val="24"/>
          <w:highlight w:val="none"/>
          <w:u w:val="none"/>
          <w:lang w:val="en-US" w:eastAsia="zh-CN"/>
        </w:rPr>
        <w:t>支付合同金额的</w:t>
      </w:r>
      <w:r>
        <w:rPr>
          <w:rFonts w:hint="eastAsia" w:ascii="宋体" w:hAnsi="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%作为履约保证金，</w:t>
      </w:r>
      <w:r>
        <w:rPr>
          <w:rFonts w:hint="eastAsia" w:ascii="宋体" w:hAnsi="宋体" w:cs="宋体"/>
          <w:b w:val="0"/>
          <w:bCs w:val="0"/>
          <w:color w:val="auto"/>
          <w:sz w:val="24"/>
          <w:szCs w:val="24"/>
          <w:highlight w:val="none"/>
          <w:u w:val="none"/>
          <w:lang w:val="en-US" w:eastAsia="zh-CN"/>
        </w:rPr>
        <w:t>甲方</w:t>
      </w:r>
      <w:r>
        <w:rPr>
          <w:rFonts w:hint="eastAsia" w:ascii="宋体" w:hAnsi="宋体" w:eastAsia="宋体" w:cs="宋体"/>
          <w:b w:val="0"/>
          <w:bCs w:val="0"/>
          <w:color w:val="auto"/>
          <w:sz w:val="24"/>
          <w:szCs w:val="24"/>
          <w:highlight w:val="none"/>
          <w:u w:val="none"/>
          <w:lang w:val="en-US" w:eastAsia="zh-CN"/>
        </w:rPr>
        <w:t>收到</w:t>
      </w:r>
      <w:r>
        <w:rPr>
          <w:rFonts w:hint="eastAsia" w:ascii="宋体" w:hAnsi="宋体" w:cs="宋体"/>
          <w:b w:val="0"/>
          <w:bCs w:val="0"/>
          <w:color w:val="auto"/>
          <w:sz w:val="24"/>
          <w:szCs w:val="24"/>
          <w:highlight w:val="none"/>
          <w:u w:val="none"/>
          <w:lang w:val="en-US" w:eastAsia="zh-CN"/>
        </w:rPr>
        <w:t>乙方</w:t>
      </w:r>
      <w:r>
        <w:rPr>
          <w:rFonts w:hint="eastAsia" w:ascii="宋体" w:hAnsi="宋体" w:eastAsia="宋体" w:cs="宋体"/>
          <w:b w:val="0"/>
          <w:bCs w:val="0"/>
          <w:color w:val="auto"/>
          <w:sz w:val="24"/>
          <w:szCs w:val="24"/>
          <w:highlight w:val="none"/>
          <w:u w:val="none"/>
          <w:lang w:val="en-US" w:eastAsia="zh-CN"/>
        </w:rPr>
        <w:t>支付的履约保证金后,</w:t>
      </w:r>
      <w:r>
        <w:rPr>
          <w:rFonts w:hint="eastAsia" w:ascii="宋体" w:hAnsi="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个工作日内办理支付手续，</w:t>
      </w:r>
      <w:r>
        <w:rPr>
          <w:rFonts w:hint="eastAsia" w:ascii="宋体" w:hAnsi="宋体" w:cs="宋体"/>
          <w:b w:val="0"/>
          <w:bCs w:val="0"/>
          <w:color w:val="auto"/>
          <w:sz w:val="24"/>
          <w:szCs w:val="24"/>
          <w:highlight w:val="none"/>
          <w:u w:val="none"/>
          <w:lang w:val="en-US" w:eastAsia="zh-CN"/>
        </w:rPr>
        <w:t>甲方</w:t>
      </w:r>
      <w:r>
        <w:rPr>
          <w:rFonts w:hint="eastAsia" w:ascii="宋体" w:hAnsi="宋体" w:eastAsia="宋体" w:cs="宋体"/>
          <w:b w:val="0"/>
          <w:bCs w:val="0"/>
          <w:color w:val="auto"/>
          <w:sz w:val="24"/>
          <w:szCs w:val="24"/>
          <w:highlight w:val="none"/>
          <w:u w:val="none"/>
          <w:lang w:val="en-US" w:eastAsia="zh-CN"/>
        </w:rPr>
        <w:t>支付</w:t>
      </w:r>
      <w:r>
        <w:rPr>
          <w:rFonts w:hint="eastAsia" w:ascii="宋体" w:hAnsi="宋体" w:cs="宋体"/>
          <w:b w:val="0"/>
          <w:bCs w:val="0"/>
          <w:color w:val="auto"/>
          <w:sz w:val="24"/>
          <w:szCs w:val="24"/>
          <w:highlight w:val="none"/>
          <w:u w:val="none"/>
          <w:lang w:val="en-US" w:eastAsia="zh-CN"/>
        </w:rPr>
        <w:t>乙方</w:t>
      </w:r>
      <w:r>
        <w:rPr>
          <w:rFonts w:hint="eastAsia" w:ascii="宋体" w:hAnsi="宋体" w:eastAsia="宋体" w:cs="宋体"/>
          <w:b w:val="0"/>
          <w:bCs w:val="0"/>
          <w:color w:val="auto"/>
          <w:sz w:val="24"/>
          <w:szCs w:val="24"/>
          <w:highlight w:val="none"/>
          <w:u w:val="none"/>
          <w:lang w:val="en-US" w:eastAsia="zh-CN"/>
        </w:rPr>
        <w:t>合同总金额的</w:t>
      </w:r>
      <w:r>
        <w:rPr>
          <w:rFonts w:hint="eastAsia" w:ascii="宋体" w:hAnsi="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%，其中合同金额的</w:t>
      </w:r>
      <w:r>
        <w:rPr>
          <w:rFonts w:hint="eastAsia" w:ascii="宋体" w:hAnsi="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%作为本合同的定金，剩下的</w:t>
      </w:r>
      <w:r>
        <w:rPr>
          <w:rFonts w:hint="eastAsia" w:ascii="宋体" w:hAnsi="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%作为预付款</w:t>
      </w:r>
      <w:r>
        <w:rPr>
          <w:rFonts w:hint="eastAsia" w:ascii="宋体" w:hAnsi="宋体" w:cs="宋体"/>
          <w:color w:val="auto"/>
          <w:sz w:val="24"/>
          <w:szCs w:val="24"/>
          <w:highlight w:val="none"/>
          <w:u w:val="none"/>
        </w:rPr>
        <w:t>。</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8.2 </w:t>
      </w:r>
      <w:r>
        <w:rPr>
          <w:rFonts w:hint="eastAsia" w:ascii="宋体" w:hAnsi="宋体" w:cs="宋体"/>
          <w:color w:val="auto"/>
          <w:sz w:val="24"/>
          <w:szCs w:val="24"/>
          <w:highlight w:val="none"/>
        </w:rPr>
        <w:t>合同设备全部交付到指定地点并完成安装及验收合格后，据合同、正式发票、验收调试合格报告等凭证，在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个工作日内办理支付手续，甲方应向乙方支付合同总额的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8.3 </w:t>
      </w:r>
      <w:r>
        <w:rPr>
          <w:rFonts w:hint="eastAsia" w:ascii="宋体" w:hAnsi="宋体" w:cs="宋体"/>
          <w:color w:val="auto"/>
          <w:sz w:val="24"/>
          <w:highlight w:val="none"/>
        </w:rPr>
        <w:t>如购买货物的款源来自上级财政部门，则甲方将付款有效凭证上交上级财政部门的时间视为付款时间。</w:t>
      </w:r>
    </w:p>
    <w:p>
      <w:pPr>
        <w:spacing w:beforeLines="50" w:line="360" w:lineRule="auto"/>
        <w:rPr>
          <w:rFonts w:ascii="宋体" w:hAnsi="宋体" w:cs="宋体"/>
          <w:color w:val="auto"/>
          <w:sz w:val="24"/>
          <w:highlight w:val="none"/>
        </w:rPr>
      </w:pPr>
      <w:r>
        <w:rPr>
          <w:rFonts w:hint="eastAsia" w:ascii="宋体" w:hAnsi="宋体" w:cs="宋体"/>
          <w:b/>
          <w:color w:val="auto"/>
          <w:sz w:val="24"/>
          <w:highlight w:val="none"/>
        </w:rPr>
        <w:t>9. 技术服务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乙方应派员到甲方指定地点配合工作。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乙方应按甲方提供的合同执行进度计划，配合、协调甲方及有关单位工作，积极推进合同执行进度。</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10. 不可抗力</w:t>
      </w:r>
    </w:p>
    <w:p>
      <w:pPr>
        <w:pStyle w:val="32"/>
        <w:spacing w:after="0" w:line="360" w:lineRule="auto"/>
        <w:ind w:left="0" w:leftChars="0" w:firstLine="480" w:firstLineChars="200"/>
        <w:rPr>
          <w:rFonts w:ascii="宋体" w:hAnsi="宋体" w:cs="宋体"/>
          <w:color w:val="auto"/>
          <w:sz w:val="24"/>
          <w:szCs w:val="24"/>
          <w:highlight w:val="none"/>
        </w:rPr>
      </w:pPr>
      <w:r>
        <w:rPr>
          <w:rFonts w:hint="eastAsia" w:cs="宋体"/>
          <w:color w:val="auto"/>
          <w:sz w:val="24"/>
          <w:szCs w:val="24"/>
          <w:highlight w:val="none"/>
        </w:rPr>
        <w:t>10.1 不可抗力指战争、严重火灾、洪水、台风、地震等或其它双方认定的客观的、不能克服避免的不可抗力事件。</w:t>
      </w:r>
    </w:p>
    <w:p>
      <w:pPr>
        <w:pStyle w:val="24"/>
        <w:spacing w:line="360" w:lineRule="auto"/>
        <w:ind w:left="0" w:leftChars="0" w:firstLine="480" w:firstLineChars="200"/>
        <w:rPr>
          <w:rFonts w:ascii="宋体" w:hAnsi="宋体" w:cs="宋体"/>
          <w:color w:val="auto"/>
          <w:highlight w:val="none"/>
        </w:rPr>
      </w:pPr>
      <w:r>
        <w:rPr>
          <w:rFonts w:hint="eastAsia" w:ascii="宋体" w:hAnsi="宋体" w:cs="宋体"/>
          <w:color w:val="auto"/>
          <w:highlight w:val="none"/>
        </w:rPr>
        <w:t>10.2 签约双方中任何一方由于不可抗力影响合同执行时，发生不可抗力一方应尽快通知另一方。在此情况下，乙方仍然有责任采取必要的措施解决供货相关问题，双方应通过友好协商妥善解决合同执行问题。</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11. 索赔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如甲方对货物质量有异议，甲方有权根据有关政府部门的检验结果向乙方提出索赔。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在合同执行期间，如果确认乙方对甲方就质量问题提出的索赔和差异负有责任，乙方应按照下列一种或多种方式解决赔偿事宜：</w:t>
      </w:r>
    </w:p>
    <w:p>
      <w:pPr>
        <w:tabs>
          <w:tab w:val="left" w:pos="16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（1）乙方提供货物存在严重问题，甲方要求退货的，乙方应将相应货款退还给甲方，并承担由此发生的一切损失和费用。</w:t>
      </w:r>
    </w:p>
    <w:p>
      <w:pPr>
        <w:tabs>
          <w:tab w:val="left" w:pos="16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（2）根据货物低劣程度、损坏程度以及甲方所遭受损失的数额，甲乙双方商定降低货物的价格。</w:t>
      </w:r>
    </w:p>
    <w:p>
      <w:pPr>
        <w:tabs>
          <w:tab w:val="left" w:pos="16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（3）用符合规格、质量和性能要求的新零件、部件或货物来更换有缺陷的部分或修补</w:t>
      </w:r>
    </w:p>
    <w:p>
      <w:pPr>
        <w:tabs>
          <w:tab w:val="left" w:pos="1680"/>
        </w:tabs>
        <w:spacing w:line="360" w:lineRule="auto"/>
        <w:rPr>
          <w:rFonts w:ascii="宋体" w:hAnsi="宋体" w:cs="宋体"/>
          <w:color w:val="auto"/>
          <w:sz w:val="24"/>
          <w:highlight w:val="none"/>
        </w:rPr>
      </w:pPr>
      <w:r>
        <w:rPr>
          <w:rFonts w:hint="eastAsia" w:ascii="宋体" w:hAnsi="宋体" w:cs="宋体"/>
          <w:color w:val="auto"/>
          <w:sz w:val="24"/>
          <w:highlight w:val="none"/>
        </w:rPr>
        <w:t>缺陷的部分，乙方应承担一切费用和风险并负担甲方因更换、维修货物所发生的一切直接费用。同时，相应延长质量保证期。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如果在甲方发出索赔通知后30天内，乙方未作答复，则视为乙方已默认接受上述索赔（包括金额、方式等）。甲方将从合同款项中直接扣减索赔金额。如果该些扣减款项不足以补偿损失，甲方有权向乙方提出对不足部分的赔偿。</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12. 违约与处罚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乙方交付的设备品种、型号、规格、质量不符合合同和招标文件要求的，甲方有权拒绝收货，所造成的损失由乙方负责。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由于乙方的原因未能按时交货的，每逾期一天乙方向甲方支付合同总金额的0.3%违约金，总违约金金额不超过合同总金额的5%；如超过交货期达30天或以上，甲方有权终止合同并通过法律程序向乙方进行索赔。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12.3 由于乙方的原因，在货到一周内未进行安装调试，或安装调试时间超过正常要求，乙方按每超过一天按合同总金额的0.3%向甲方支付违约金，总违约金金额不超过合同总金额的5%。情节严重者，甲方将依法律程序对乙方进行索赔。       </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13. 合同终止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如果一方严重违反合同，并在收到对方违约通知书后在30天内仍未能改正违约的，另一方可立即终止本合同。</w:t>
      </w:r>
    </w:p>
    <w:p>
      <w:pPr>
        <w:numPr>
          <w:ilvl w:val="0"/>
          <w:numId w:val="8"/>
        </w:num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通知送达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乙方送达联系人：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（电话/电邮），送达地址：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，甲方按本地址通知即视为送达乙方；如乙方送达联系人、联系方式及地址发生变更，乙方应于变更前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日内书面通知甲方，否则，由乙方承担所有法律后果。</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15.</w:t>
      </w:r>
      <w:r>
        <w:rPr>
          <w:rFonts w:hint="eastAsia" w:ascii="宋体" w:hAnsi="宋体" w:cs="宋体"/>
          <w:b/>
          <w:color w:val="auto"/>
          <w:sz w:val="24"/>
          <w:highlight w:val="none"/>
        </w:rPr>
        <w:tab/>
      </w:r>
      <w:r>
        <w:rPr>
          <w:rFonts w:hint="eastAsia" w:ascii="宋体" w:hAnsi="宋体" w:cs="宋体"/>
          <w:b/>
          <w:color w:val="auto"/>
          <w:sz w:val="24"/>
          <w:highlight w:val="none"/>
        </w:rPr>
        <w:t xml:space="preserve"> 法律诉讼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签约双方在履约中发生争执和分歧，双方应通过友好协商解决。若经协商不能达成协议，则向甲方所在地人民法院提起诉讼。受理期间，双方应继续执行合同其余部分。</w:t>
      </w:r>
    </w:p>
    <w:p>
      <w:pPr>
        <w:spacing w:beforeLines="50" w:line="360" w:lineRule="auto"/>
        <w:rPr>
          <w:rFonts w:ascii="宋体" w:hAnsi="宋体" w:cs="宋体"/>
          <w:b/>
          <w:color w:val="auto"/>
          <w:sz w:val="24"/>
          <w:highlight w:val="none"/>
        </w:rPr>
      </w:pPr>
      <w:r>
        <w:rPr>
          <w:rFonts w:hint="eastAsia" w:ascii="宋体" w:hAnsi="宋体" w:cs="宋体"/>
          <w:b/>
          <w:color w:val="auto"/>
          <w:sz w:val="24"/>
          <w:highlight w:val="none"/>
        </w:rPr>
        <w:t>16.</w:t>
      </w:r>
      <w:r>
        <w:rPr>
          <w:rFonts w:hint="eastAsia" w:ascii="宋体" w:hAnsi="宋体" w:cs="宋体"/>
          <w:b/>
          <w:color w:val="auto"/>
          <w:sz w:val="24"/>
          <w:highlight w:val="none"/>
        </w:rPr>
        <w:tab/>
      </w:r>
      <w:r>
        <w:rPr>
          <w:rFonts w:hint="eastAsia" w:ascii="宋体" w:hAnsi="宋体" w:cs="宋体"/>
          <w:b/>
          <w:color w:val="auto"/>
          <w:sz w:val="24"/>
          <w:highlight w:val="none"/>
        </w:rPr>
        <w:t xml:space="preserve"> 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本合同正本九份，具有同等法律效力，甲方执七份，乙方执一份，招标代理</w:t>
      </w:r>
      <w:r>
        <w:rPr>
          <w:rFonts w:ascii="宋体" w:hAnsi="宋体" w:cs="宋体"/>
          <w:color w:val="auto"/>
          <w:sz w:val="24"/>
          <w:highlight w:val="none"/>
        </w:rPr>
        <w:t>机构</w:t>
      </w:r>
      <w:r>
        <w:rPr>
          <w:rFonts w:hint="eastAsia" w:ascii="宋体" w:hAnsi="宋体" w:cs="宋体"/>
          <w:color w:val="auto"/>
          <w:sz w:val="24"/>
          <w:highlight w:val="none"/>
        </w:rPr>
        <w:t>一份，合同自双方签名盖章之日起即时生效。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本合同末尽事宜，由双方协商处理。</w:t>
      </w:r>
    </w:p>
    <w:p>
      <w:pPr>
        <w:spacing w:line="440" w:lineRule="exact"/>
        <w:ind w:firstLine="480" w:firstLineChars="200"/>
        <w:rPr>
          <w:rFonts w:ascii="宋体" w:hAnsi="宋体" w:cs="宋体"/>
          <w:color w:val="auto"/>
          <w:sz w:val="24"/>
          <w:highlight w:val="none"/>
        </w:rPr>
      </w:pPr>
    </w:p>
    <w:tbl>
      <w:tblPr>
        <w:tblStyle w:val="38"/>
        <w:tblW w:w="10060" w:type="dxa"/>
        <w:tblInd w:w="108" w:type="dxa"/>
        <w:tblLayout w:type="fixed"/>
        <w:tblCellMar>
          <w:top w:w="0" w:type="dxa"/>
          <w:left w:w="108" w:type="dxa"/>
          <w:bottom w:w="0" w:type="dxa"/>
          <w:right w:w="108" w:type="dxa"/>
        </w:tblCellMar>
      </w:tblPr>
      <w:tblGrid>
        <w:gridCol w:w="4403"/>
        <w:gridCol w:w="5275"/>
        <w:gridCol w:w="382"/>
      </w:tblGrid>
      <w:tr>
        <w:tblPrEx>
          <w:tblCellMar>
            <w:top w:w="0" w:type="dxa"/>
            <w:left w:w="108" w:type="dxa"/>
            <w:bottom w:w="0" w:type="dxa"/>
            <w:right w:w="108" w:type="dxa"/>
          </w:tblCellMar>
        </w:tblPrEx>
        <w:trPr>
          <w:trHeight w:val="477" w:hRule="atLeast"/>
        </w:trPr>
        <w:tc>
          <w:tcPr>
            <w:tcW w:w="4403" w:type="dxa"/>
          </w:tcPr>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甲方（盖章）：</w:t>
            </w:r>
            <w:r>
              <w:rPr>
                <w:rFonts w:hint="eastAsia" w:ascii="宋体" w:hAnsi="宋体" w:cs="宋体"/>
                <w:color w:val="auto"/>
                <w:sz w:val="24"/>
                <w:highlight w:val="none"/>
              </w:rPr>
              <w:t>广州医科大学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tc>
        <w:tc>
          <w:tcPr>
            <w:tcW w:w="5657" w:type="dxa"/>
            <w:gridSpan w:val="2"/>
          </w:tcPr>
          <w:p>
            <w:pPr>
              <w:spacing w:line="360" w:lineRule="auto"/>
              <w:ind w:left="1928" w:hanging="1928" w:hangingChars="800"/>
              <w:rPr>
                <w:rFonts w:ascii="宋体" w:hAnsi="宋体" w:cs="宋体"/>
                <w:b/>
                <w:color w:val="auto"/>
                <w:sz w:val="24"/>
                <w:highlight w:val="none"/>
              </w:rPr>
            </w:pPr>
          </w:p>
          <w:p>
            <w:pPr>
              <w:spacing w:line="360" w:lineRule="auto"/>
              <w:ind w:left="1928" w:hanging="1928" w:hangingChars="800"/>
              <w:rPr>
                <w:rFonts w:ascii="宋体" w:hAnsi="宋体" w:cs="宋体"/>
                <w:b/>
                <w:color w:val="auto"/>
                <w:sz w:val="24"/>
                <w:highlight w:val="none"/>
              </w:rPr>
            </w:pPr>
            <w:r>
              <w:rPr>
                <w:rFonts w:hint="eastAsia" w:ascii="宋体" w:hAnsi="宋体" w:cs="宋体"/>
                <w:b/>
                <w:color w:val="auto"/>
                <w:sz w:val="24"/>
                <w:highlight w:val="none"/>
              </w:rPr>
              <w:t>乙方（盖章）：</w:t>
            </w:r>
            <w:r>
              <w:rPr>
                <w:rFonts w:hint="eastAsia" w:ascii="宋体" w:hAnsi="宋体" w:cs="宋体"/>
                <w:color w:val="auto"/>
                <w:sz w:val="24"/>
                <w:highlight w:val="none"/>
              </w:rPr>
              <w:t xml:space="preserve"> </w:t>
            </w:r>
          </w:p>
        </w:tc>
      </w:tr>
      <w:tr>
        <w:tblPrEx>
          <w:tblCellMar>
            <w:top w:w="0" w:type="dxa"/>
            <w:left w:w="108" w:type="dxa"/>
            <w:bottom w:w="0" w:type="dxa"/>
            <w:right w:w="108" w:type="dxa"/>
          </w:tblCellMar>
        </w:tblPrEx>
        <w:trPr>
          <w:gridAfter w:val="1"/>
          <w:wAfter w:w="382" w:type="dxa"/>
          <w:trHeight w:val="477" w:hRule="atLeast"/>
        </w:trPr>
        <w:tc>
          <w:tcPr>
            <w:tcW w:w="4403" w:type="dxa"/>
          </w:tcPr>
          <w:p>
            <w:pPr>
              <w:spacing w:line="360" w:lineRule="auto"/>
              <w:rPr>
                <w:rFonts w:ascii="宋体" w:hAnsi="宋体" w:cs="宋体"/>
                <w:b/>
                <w:color w:val="auto"/>
                <w:sz w:val="24"/>
                <w:highlight w:val="none"/>
              </w:rPr>
            </w:pPr>
            <w:r>
              <w:rPr>
                <w:rFonts w:hint="eastAsia" w:ascii="宋体" w:hAnsi="宋体" w:cs="宋体"/>
                <w:b/>
                <w:color w:val="auto"/>
                <w:sz w:val="24"/>
                <w:highlight w:val="none"/>
              </w:rPr>
              <w:t>代表（签字）：</w:t>
            </w:r>
          </w:p>
        </w:tc>
        <w:tc>
          <w:tcPr>
            <w:tcW w:w="5275" w:type="dxa"/>
          </w:tcPr>
          <w:p>
            <w:pPr>
              <w:spacing w:line="360" w:lineRule="auto"/>
              <w:rPr>
                <w:rFonts w:ascii="宋体" w:hAnsi="宋体" w:cs="宋体"/>
                <w:b/>
                <w:color w:val="auto"/>
                <w:sz w:val="24"/>
                <w:highlight w:val="none"/>
              </w:rPr>
            </w:pPr>
            <w:r>
              <w:rPr>
                <w:rFonts w:hint="eastAsia" w:ascii="宋体" w:hAnsi="宋体" w:cs="宋体"/>
                <w:b/>
                <w:color w:val="auto"/>
                <w:sz w:val="24"/>
                <w:highlight w:val="none"/>
              </w:rPr>
              <w:t>代表（签字）：</w:t>
            </w:r>
          </w:p>
        </w:tc>
      </w:tr>
      <w:tr>
        <w:tblPrEx>
          <w:tblCellMar>
            <w:top w:w="0" w:type="dxa"/>
            <w:left w:w="108" w:type="dxa"/>
            <w:bottom w:w="0" w:type="dxa"/>
            <w:right w:w="108" w:type="dxa"/>
          </w:tblCellMar>
        </w:tblPrEx>
        <w:trPr>
          <w:gridAfter w:val="1"/>
          <w:wAfter w:w="382" w:type="dxa"/>
          <w:trHeight w:val="477" w:hRule="atLeast"/>
        </w:trPr>
        <w:tc>
          <w:tcPr>
            <w:tcW w:w="4403" w:type="dxa"/>
          </w:tcPr>
          <w:p>
            <w:pPr>
              <w:spacing w:line="360" w:lineRule="auto"/>
              <w:rPr>
                <w:rFonts w:ascii="宋体" w:hAnsi="宋体" w:cs="宋体"/>
                <w:color w:val="auto"/>
                <w:sz w:val="24"/>
                <w:highlight w:val="none"/>
              </w:rPr>
            </w:pPr>
          </w:p>
        </w:tc>
        <w:tc>
          <w:tcPr>
            <w:tcW w:w="5275" w:type="dxa"/>
          </w:tcPr>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gridAfter w:val="1"/>
          <w:wAfter w:w="382" w:type="dxa"/>
          <w:trHeight w:val="477" w:hRule="atLeast"/>
        </w:trPr>
        <w:tc>
          <w:tcPr>
            <w:tcW w:w="4403" w:type="dxa"/>
          </w:tcPr>
          <w:p>
            <w:pPr>
              <w:spacing w:line="360" w:lineRule="auto"/>
              <w:rPr>
                <w:rFonts w:ascii="宋体" w:hAnsi="宋体" w:cs="宋体"/>
                <w:color w:val="auto"/>
                <w:sz w:val="24"/>
                <w:highlight w:val="none"/>
              </w:rPr>
            </w:pPr>
            <w:r>
              <w:rPr>
                <w:rFonts w:hint="eastAsia" w:ascii="宋体" w:hAnsi="宋体" w:cs="宋体"/>
                <w:b/>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    月    日</w:t>
            </w:r>
          </w:p>
        </w:tc>
        <w:tc>
          <w:tcPr>
            <w:tcW w:w="5275" w:type="dxa"/>
          </w:tcPr>
          <w:p>
            <w:pPr>
              <w:spacing w:line="360" w:lineRule="auto"/>
              <w:rPr>
                <w:rFonts w:ascii="宋体" w:hAnsi="宋体" w:cs="宋体"/>
                <w:color w:val="auto"/>
                <w:sz w:val="24"/>
                <w:highlight w:val="none"/>
              </w:rPr>
            </w:pPr>
            <w:r>
              <w:rPr>
                <w:rFonts w:hint="eastAsia" w:ascii="宋体" w:hAnsi="宋体" w:cs="宋体"/>
                <w:b/>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    月    日</w:t>
            </w:r>
          </w:p>
        </w:tc>
      </w:tr>
    </w:tbl>
    <w:p>
      <w:pPr>
        <w:tabs>
          <w:tab w:val="left" w:pos="1140"/>
        </w:tabs>
        <w:rPr>
          <w:color w:val="auto"/>
          <w:highlight w:val="none"/>
        </w:rPr>
      </w:pPr>
    </w:p>
    <w:p>
      <w:pPr>
        <w:rPr>
          <w:rFonts w:ascii="宋体" w:hAnsi="宋体"/>
          <w:b/>
          <w:color w:val="auto"/>
          <w:sz w:val="32"/>
          <w:highlight w:val="none"/>
        </w:rPr>
      </w:pPr>
      <w:bookmarkStart w:id="22" w:name="_Toc435514851"/>
      <w:bookmarkStart w:id="23" w:name="_Toc435115056"/>
      <w:r>
        <w:rPr>
          <w:rFonts w:hint="eastAsia" w:ascii="宋体" w:hAnsi="宋体"/>
          <w:b/>
          <w:color w:val="auto"/>
          <w:sz w:val="32"/>
          <w:highlight w:val="none"/>
        </w:rPr>
        <w:br w:type="page"/>
      </w:r>
    </w:p>
    <w:p>
      <w:pPr>
        <w:spacing w:line="360" w:lineRule="auto"/>
        <w:jc w:val="center"/>
        <w:rPr>
          <w:rFonts w:ascii="宋体" w:hAnsi="宋体"/>
          <w:b/>
          <w:color w:val="auto"/>
          <w:sz w:val="32"/>
          <w:highlight w:val="none"/>
        </w:rPr>
      </w:pPr>
      <w:r>
        <w:rPr>
          <w:rFonts w:hint="eastAsia" w:ascii="宋体" w:hAnsi="宋体"/>
          <w:b/>
          <w:color w:val="auto"/>
          <w:sz w:val="32"/>
          <w:highlight w:val="none"/>
        </w:rPr>
        <w:t>验收报告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3210"/>
        <w:gridCol w:w="1222"/>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43"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单位名称</w:t>
            </w:r>
          </w:p>
        </w:tc>
        <w:tc>
          <w:tcPr>
            <w:tcW w:w="3210"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广州医科大学</w:t>
            </w:r>
          </w:p>
        </w:tc>
        <w:tc>
          <w:tcPr>
            <w:tcW w:w="1222"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项目名称</w:t>
            </w:r>
          </w:p>
        </w:tc>
        <w:tc>
          <w:tcPr>
            <w:tcW w:w="3525" w:type="dxa"/>
            <w:vAlign w:val="center"/>
          </w:tcPr>
          <w:p>
            <w:pPr>
              <w:spacing w:line="36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43"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供应商</w:t>
            </w:r>
          </w:p>
        </w:tc>
        <w:tc>
          <w:tcPr>
            <w:tcW w:w="3210" w:type="dxa"/>
            <w:vAlign w:val="center"/>
          </w:tcPr>
          <w:p>
            <w:pPr>
              <w:spacing w:line="360" w:lineRule="auto"/>
              <w:jc w:val="left"/>
              <w:rPr>
                <w:rFonts w:ascii="宋体" w:hAnsi="宋体"/>
                <w:color w:val="auto"/>
                <w:sz w:val="24"/>
                <w:highlight w:val="none"/>
              </w:rPr>
            </w:pPr>
          </w:p>
        </w:tc>
        <w:tc>
          <w:tcPr>
            <w:tcW w:w="1222"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合同编号</w:t>
            </w:r>
          </w:p>
        </w:tc>
        <w:tc>
          <w:tcPr>
            <w:tcW w:w="3525"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pPr>
              <w:spacing w:line="360" w:lineRule="auto"/>
              <w:jc w:val="left"/>
              <w:rPr>
                <w:rFonts w:ascii="宋体" w:hAnsi="宋体"/>
                <w:color w:val="auto"/>
                <w:sz w:val="24"/>
                <w:highlight w:val="none"/>
              </w:rPr>
            </w:pPr>
            <w:r>
              <w:rPr>
                <w:rFonts w:hint="eastAsia"/>
                <w:color w:val="auto"/>
                <w:sz w:val="24"/>
                <w:highlight w:val="none"/>
              </w:rPr>
              <w:t>产品信息</w:t>
            </w:r>
          </w:p>
        </w:tc>
        <w:tc>
          <w:tcPr>
            <w:tcW w:w="7957" w:type="dxa"/>
            <w:gridSpan w:val="3"/>
            <w:vAlign w:val="center"/>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金  额</w:t>
            </w:r>
          </w:p>
        </w:tc>
        <w:tc>
          <w:tcPr>
            <w:tcW w:w="7957" w:type="dxa"/>
            <w:gridSpan w:val="3"/>
            <w:vAlign w:val="center"/>
          </w:tcPr>
          <w:p>
            <w:pPr>
              <w:spacing w:line="36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0" w:hRule="atLeast"/>
          <w:jc w:val="center"/>
        </w:trPr>
        <w:tc>
          <w:tcPr>
            <w:tcW w:w="9300" w:type="dxa"/>
            <w:gridSpan w:val="4"/>
          </w:tcPr>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具体验收情况：</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1、货物数量与合同要求一致，实际交货按合同要求。  是 （   ）  否 （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2、质量及技术指标符合生产厂的技术指标要求。      是 （   ）  否 （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3、对供应商服务评价良好。                        是 （   ）  否 （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4、综合评价良好。                                是 （   ）  否 （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5、同意按合同付款。                              是 （   ）  否 （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用户验收人签名：</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p>
          <w:p>
            <w:pPr>
              <w:spacing w:line="360" w:lineRule="auto"/>
              <w:rPr>
                <w:rFonts w:ascii="宋体" w:hAnsi="宋体"/>
                <w:color w:val="auto"/>
                <w:sz w:val="24"/>
                <w:highlight w:val="none"/>
                <w:u w:val="single"/>
              </w:rPr>
            </w:pPr>
            <w:r>
              <w:rPr>
                <w:rFonts w:hint="eastAsia" w:ascii="宋体" w:hAnsi="宋体"/>
                <w:color w:val="auto"/>
                <w:sz w:val="24"/>
                <w:highlight w:val="none"/>
              </w:rPr>
              <w:t>所在二级学院(或部门)负责人签名（公章）：</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学校资产科验收人签名：</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                                          年   月   日</w:t>
            </w:r>
          </w:p>
        </w:tc>
      </w:tr>
    </w:tbl>
    <w:p>
      <w:pPr>
        <w:spacing w:beforeLines="50" w:line="360" w:lineRule="auto"/>
        <w:rPr>
          <w:rFonts w:cs="宋体" w:asciiTheme="minorEastAsia" w:hAnsiTheme="minorEastAsia" w:eastAsiaTheme="minorEastAsia"/>
          <w:b/>
          <w:bCs/>
          <w:color w:val="auto"/>
          <w:sz w:val="24"/>
          <w:szCs w:val="24"/>
          <w:highlight w:val="none"/>
        </w:rPr>
      </w:pPr>
    </w:p>
    <w:p>
      <w:pP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32"/>
          <w:szCs w:val="32"/>
          <w:highlight w:val="none"/>
        </w:rPr>
        <w:br w:type="page"/>
      </w:r>
    </w:p>
    <w:p>
      <w:pPr>
        <w:spacing w:beforeLines="50" w:afterLines="50" w:line="360" w:lineRule="auto"/>
        <w:jc w:val="center"/>
        <w:outlineLvl w:val="0"/>
        <w:rPr>
          <w:rFonts w:asciiTheme="minorEastAsia" w:hAnsiTheme="minorEastAsia" w:eastAsiaTheme="minorEastAsia"/>
          <w:b/>
          <w:bCs/>
          <w:color w:val="auto"/>
          <w:sz w:val="32"/>
          <w:szCs w:val="32"/>
          <w:highlight w:val="none"/>
        </w:rPr>
      </w:pPr>
      <w:bookmarkStart w:id="24" w:name="_Toc14394"/>
      <w:r>
        <w:rPr>
          <w:rFonts w:hint="eastAsia" w:cs="宋体" w:asciiTheme="minorEastAsia" w:hAnsiTheme="minorEastAsia" w:eastAsiaTheme="minorEastAsia"/>
          <w:b/>
          <w:bCs/>
          <w:color w:val="auto"/>
          <w:sz w:val="32"/>
          <w:szCs w:val="32"/>
          <w:highlight w:val="none"/>
        </w:rPr>
        <w:t>第六章</w:t>
      </w:r>
      <w:r>
        <w:rPr>
          <w:rFonts w:asciiTheme="minorEastAsia" w:hAnsiTheme="minorEastAsia" w:eastAsiaTheme="minorEastAsia"/>
          <w:b/>
          <w:bCs/>
          <w:color w:val="auto"/>
          <w:sz w:val="32"/>
          <w:szCs w:val="32"/>
          <w:highlight w:val="none"/>
        </w:rPr>
        <w:t xml:space="preserve"> </w:t>
      </w:r>
      <w:r>
        <w:rPr>
          <w:rFonts w:hint="eastAsia" w:cs="宋体" w:asciiTheme="minorEastAsia" w:hAnsiTheme="minorEastAsia" w:eastAsiaTheme="minorEastAsia"/>
          <w:b/>
          <w:bCs/>
          <w:color w:val="auto"/>
          <w:sz w:val="32"/>
          <w:szCs w:val="32"/>
          <w:highlight w:val="none"/>
        </w:rPr>
        <w:t>投标文件格式</w:t>
      </w:r>
      <w:bookmarkEnd w:id="22"/>
      <w:bookmarkEnd w:id="23"/>
      <w:bookmarkEnd w:id="24"/>
    </w:p>
    <w:p>
      <w:pPr>
        <w:pStyle w:val="4"/>
        <w:spacing w:line="440" w:lineRule="exact"/>
        <w:jc w:val="center"/>
        <w:rPr>
          <w:rFonts w:cs="Times New Roman" w:asciiTheme="minorEastAsia" w:hAnsiTheme="minorEastAsia" w:eastAsiaTheme="minorEastAsia"/>
          <w:color w:val="auto"/>
          <w:sz w:val="24"/>
          <w:szCs w:val="24"/>
          <w:highlight w:val="none"/>
        </w:rPr>
      </w:pPr>
      <w:bookmarkStart w:id="25" w:name="_Toc435514852"/>
      <w:bookmarkStart w:id="26" w:name="_Toc435515292"/>
      <w:r>
        <w:rPr>
          <w:rFonts w:hint="eastAsia" w:cs="黑体" w:asciiTheme="minorEastAsia" w:hAnsiTheme="minorEastAsia" w:eastAsiaTheme="minorEastAsia"/>
          <w:color w:val="auto"/>
          <w:sz w:val="24"/>
          <w:szCs w:val="24"/>
          <w:highlight w:val="none"/>
        </w:rPr>
        <w:t>投标文件包装封面参考</w:t>
      </w:r>
      <w:bookmarkEnd w:id="25"/>
      <w:bookmarkEnd w:id="26"/>
    </w:p>
    <w:tbl>
      <w:tblPr>
        <w:tblStyle w:val="38"/>
        <w:tblW w:w="90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pPr>
              <w:pStyle w:val="16"/>
              <w:spacing w:line="360" w:lineRule="auto"/>
              <w:ind w:firstLine="361" w:firstLineChars="150"/>
              <w:rPr>
                <w:rFonts w:asciiTheme="minorEastAsia" w:hAnsiTheme="minorEastAsia" w:eastAsiaTheme="minorEastAsia"/>
                <w:b/>
                <w:bCs/>
                <w:color w:val="auto"/>
                <w:kern w:val="2"/>
                <w:sz w:val="24"/>
                <w:szCs w:val="24"/>
                <w:highlight w:val="none"/>
              </w:rPr>
            </w:pPr>
          </w:p>
          <w:p>
            <w:pPr>
              <w:pStyle w:val="16"/>
              <w:spacing w:line="360" w:lineRule="auto"/>
              <w:ind w:firstLine="361" w:firstLineChars="150"/>
              <w:rPr>
                <w:rFonts w:asciiTheme="minorEastAsia" w:hAnsiTheme="minorEastAsia" w:eastAsiaTheme="minorEastAsia"/>
                <w:b/>
                <w:bCs/>
                <w:color w:val="auto"/>
                <w:kern w:val="2"/>
                <w:sz w:val="24"/>
                <w:szCs w:val="24"/>
                <w:highlight w:val="none"/>
              </w:rPr>
            </w:pPr>
          </w:p>
          <w:p>
            <w:pPr>
              <w:pStyle w:val="16"/>
              <w:spacing w:line="360" w:lineRule="auto"/>
              <w:ind w:firstLine="361" w:firstLineChars="150"/>
              <w:rPr>
                <w:rFonts w:asciiTheme="minorEastAsia" w:hAnsiTheme="minorEastAsia" w:eastAsiaTheme="minorEastAsia"/>
                <w:b/>
                <w:bCs/>
                <w:color w:val="auto"/>
                <w:kern w:val="2"/>
                <w:sz w:val="24"/>
                <w:szCs w:val="24"/>
                <w:highlight w:val="none"/>
              </w:rPr>
            </w:pPr>
          </w:p>
          <w:p>
            <w:pPr>
              <w:pStyle w:val="16"/>
              <w:spacing w:line="360" w:lineRule="auto"/>
              <w:jc w:val="center"/>
              <w:rPr>
                <w:rFonts w:asciiTheme="minorEastAsia" w:hAnsiTheme="minorEastAsia" w:eastAsiaTheme="minorEastAsia"/>
                <w:b/>
                <w:bCs/>
                <w:color w:val="auto"/>
                <w:kern w:val="2"/>
                <w:sz w:val="24"/>
                <w:szCs w:val="24"/>
                <w:highlight w:val="none"/>
              </w:rPr>
            </w:pPr>
            <w:r>
              <w:rPr>
                <w:rFonts w:hint="eastAsia" w:cs="黑体" w:asciiTheme="minorEastAsia" w:hAnsiTheme="minorEastAsia" w:eastAsiaTheme="minorEastAsia"/>
                <w:b/>
                <w:bCs/>
                <w:color w:val="auto"/>
                <w:kern w:val="2"/>
                <w:sz w:val="40"/>
                <w:szCs w:val="40"/>
                <w:highlight w:val="none"/>
              </w:rPr>
              <w:t>投</w:t>
            </w:r>
            <w:r>
              <w:rPr>
                <w:rFonts w:cs="黑体" w:asciiTheme="minorEastAsia" w:hAnsiTheme="minorEastAsia" w:eastAsiaTheme="minorEastAsia"/>
                <w:b/>
                <w:bCs/>
                <w:color w:val="auto"/>
                <w:kern w:val="2"/>
                <w:sz w:val="40"/>
                <w:szCs w:val="40"/>
                <w:highlight w:val="none"/>
              </w:rPr>
              <w:t xml:space="preserve"> </w:t>
            </w:r>
            <w:r>
              <w:rPr>
                <w:rFonts w:hint="eastAsia" w:cs="黑体" w:asciiTheme="minorEastAsia" w:hAnsiTheme="minorEastAsia" w:eastAsiaTheme="minorEastAsia"/>
                <w:b/>
                <w:bCs/>
                <w:color w:val="auto"/>
                <w:kern w:val="2"/>
                <w:sz w:val="40"/>
                <w:szCs w:val="40"/>
                <w:highlight w:val="none"/>
              </w:rPr>
              <w:t>标</w:t>
            </w:r>
            <w:r>
              <w:rPr>
                <w:rFonts w:cs="黑体" w:asciiTheme="minorEastAsia" w:hAnsiTheme="minorEastAsia" w:eastAsiaTheme="minorEastAsia"/>
                <w:b/>
                <w:bCs/>
                <w:color w:val="auto"/>
                <w:kern w:val="2"/>
                <w:sz w:val="40"/>
                <w:szCs w:val="40"/>
                <w:highlight w:val="none"/>
              </w:rPr>
              <w:t xml:space="preserve"> </w:t>
            </w:r>
            <w:r>
              <w:rPr>
                <w:rFonts w:hint="eastAsia" w:cs="黑体" w:asciiTheme="minorEastAsia" w:hAnsiTheme="minorEastAsia" w:eastAsiaTheme="minorEastAsia"/>
                <w:b/>
                <w:bCs/>
                <w:color w:val="auto"/>
                <w:kern w:val="2"/>
                <w:sz w:val="40"/>
                <w:szCs w:val="40"/>
                <w:highlight w:val="none"/>
              </w:rPr>
              <w:t>文</w:t>
            </w:r>
            <w:r>
              <w:rPr>
                <w:rFonts w:cs="黑体" w:asciiTheme="minorEastAsia" w:hAnsiTheme="minorEastAsia" w:eastAsiaTheme="minorEastAsia"/>
                <w:b/>
                <w:bCs/>
                <w:color w:val="auto"/>
                <w:kern w:val="2"/>
                <w:sz w:val="40"/>
                <w:szCs w:val="40"/>
                <w:highlight w:val="none"/>
              </w:rPr>
              <w:t xml:space="preserve"> </w:t>
            </w:r>
            <w:r>
              <w:rPr>
                <w:rFonts w:hint="eastAsia" w:cs="黑体" w:asciiTheme="minorEastAsia" w:hAnsiTheme="minorEastAsia" w:eastAsiaTheme="minorEastAsia"/>
                <w:b/>
                <w:bCs/>
                <w:color w:val="auto"/>
                <w:kern w:val="2"/>
                <w:sz w:val="40"/>
                <w:szCs w:val="40"/>
                <w:highlight w:val="none"/>
              </w:rPr>
              <w:t>件</w:t>
            </w:r>
          </w:p>
          <w:p>
            <w:pPr>
              <w:pStyle w:val="16"/>
              <w:spacing w:line="360" w:lineRule="auto"/>
              <w:ind w:firstLine="1569" w:firstLineChars="651"/>
              <w:rPr>
                <w:rFonts w:asciiTheme="minorEastAsia" w:hAnsiTheme="minorEastAsia" w:eastAsiaTheme="minorEastAsia"/>
                <w:b/>
                <w:bCs/>
                <w:color w:val="auto"/>
                <w:kern w:val="2"/>
                <w:sz w:val="24"/>
                <w:szCs w:val="24"/>
                <w:highlight w:val="none"/>
              </w:rPr>
            </w:pPr>
            <w:r>
              <w:rPr>
                <w:rFonts w:hint="eastAsia" w:cs="黑体" w:asciiTheme="minorEastAsia" w:hAnsiTheme="minorEastAsia" w:eastAsiaTheme="minorEastAsia"/>
                <w:b/>
                <w:bCs/>
                <w:color w:val="auto"/>
                <w:kern w:val="2"/>
                <w:sz w:val="24"/>
                <w:szCs w:val="24"/>
                <w:highlight w:val="none"/>
              </w:rPr>
              <w:t>口</w:t>
            </w:r>
            <w:r>
              <w:rPr>
                <w:rFonts w:cs="黑体" w:asciiTheme="minorEastAsia" w:hAnsiTheme="minorEastAsia" w:eastAsiaTheme="minorEastAsia"/>
                <w:b/>
                <w:bCs/>
                <w:color w:val="auto"/>
                <w:kern w:val="2"/>
                <w:sz w:val="24"/>
                <w:szCs w:val="24"/>
                <w:highlight w:val="none"/>
              </w:rPr>
              <w:t xml:space="preserve"> </w:t>
            </w:r>
            <w:r>
              <w:rPr>
                <w:rFonts w:hint="eastAsia" w:cs="黑体" w:asciiTheme="minorEastAsia" w:hAnsiTheme="minorEastAsia" w:eastAsiaTheme="minorEastAsia"/>
                <w:b/>
                <w:bCs/>
                <w:color w:val="auto"/>
                <w:kern w:val="2"/>
                <w:sz w:val="24"/>
                <w:szCs w:val="24"/>
                <w:highlight w:val="none"/>
              </w:rPr>
              <w:t>正本</w:t>
            </w:r>
          </w:p>
          <w:p>
            <w:pPr>
              <w:pStyle w:val="16"/>
              <w:spacing w:line="360" w:lineRule="auto"/>
              <w:ind w:firstLine="1569" w:firstLineChars="651"/>
              <w:rPr>
                <w:rFonts w:asciiTheme="minorEastAsia" w:hAnsiTheme="minorEastAsia" w:eastAsiaTheme="minorEastAsia"/>
                <w:b/>
                <w:bCs/>
                <w:color w:val="auto"/>
                <w:kern w:val="2"/>
                <w:sz w:val="24"/>
                <w:szCs w:val="24"/>
                <w:highlight w:val="none"/>
              </w:rPr>
            </w:pPr>
            <w:r>
              <w:rPr>
                <w:rFonts w:hint="eastAsia" w:cs="黑体" w:asciiTheme="minorEastAsia" w:hAnsiTheme="minorEastAsia" w:eastAsiaTheme="minorEastAsia"/>
                <w:b/>
                <w:bCs/>
                <w:color w:val="auto"/>
                <w:kern w:val="2"/>
                <w:sz w:val="24"/>
                <w:szCs w:val="24"/>
                <w:highlight w:val="none"/>
              </w:rPr>
              <w:t>口</w:t>
            </w:r>
            <w:r>
              <w:rPr>
                <w:rFonts w:cs="黑体" w:asciiTheme="minorEastAsia" w:hAnsiTheme="minorEastAsia" w:eastAsiaTheme="minorEastAsia"/>
                <w:b/>
                <w:bCs/>
                <w:color w:val="auto"/>
                <w:kern w:val="2"/>
                <w:sz w:val="24"/>
                <w:szCs w:val="24"/>
                <w:highlight w:val="none"/>
              </w:rPr>
              <w:t xml:space="preserve"> </w:t>
            </w:r>
            <w:r>
              <w:rPr>
                <w:rFonts w:hint="eastAsia" w:cs="黑体" w:asciiTheme="minorEastAsia" w:hAnsiTheme="minorEastAsia" w:eastAsiaTheme="minorEastAsia"/>
                <w:b/>
                <w:bCs/>
                <w:color w:val="auto"/>
                <w:kern w:val="2"/>
                <w:sz w:val="24"/>
                <w:szCs w:val="24"/>
                <w:highlight w:val="none"/>
              </w:rPr>
              <w:t>副本</w:t>
            </w:r>
          </w:p>
          <w:p>
            <w:pPr>
              <w:pStyle w:val="16"/>
              <w:spacing w:line="360" w:lineRule="auto"/>
              <w:rPr>
                <w:rFonts w:asciiTheme="minorEastAsia" w:hAnsiTheme="minorEastAsia" w:eastAsiaTheme="minorEastAsia"/>
                <w:b/>
                <w:bCs/>
                <w:color w:val="auto"/>
                <w:kern w:val="2"/>
                <w:sz w:val="24"/>
                <w:szCs w:val="24"/>
                <w:highlight w:val="none"/>
              </w:rPr>
            </w:pPr>
          </w:p>
          <w:p>
            <w:pPr>
              <w:pStyle w:val="16"/>
              <w:spacing w:line="360" w:lineRule="auto"/>
              <w:jc w:val="center"/>
              <w:rPr>
                <w:rFonts w:hint="eastAsia" w:asciiTheme="minorEastAsia" w:hAnsiTheme="minorEastAsia" w:eastAsiaTheme="minorEastAsia"/>
                <w:b/>
                <w:bCs/>
                <w:color w:val="auto"/>
                <w:kern w:val="2"/>
                <w:sz w:val="24"/>
                <w:szCs w:val="24"/>
                <w:highlight w:val="none"/>
                <w:lang w:eastAsia="zh-CN"/>
              </w:rPr>
            </w:pPr>
            <w:r>
              <w:rPr>
                <w:rFonts w:hint="eastAsia" w:asciiTheme="minorEastAsia" w:hAnsiTheme="minorEastAsia" w:eastAsiaTheme="minorEastAsia"/>
                <w:b/>
                <w:bCs/>
                <w:color w:val="auto"/>
                <w:kern w:val="2"/>
                <w:sz w:val="24"/>
                <w:szCs w:val="24"/>
                <w:highlight w:val="none"/>
              </w:rPr>
              <w:t>包组号</w:t>
            </w:r>
          </w:p>
          <w:p>
            <w:pPr>
              <w:pStyle w:val="16"/>
              <w:spacing w:line="360" w:lineRule="auto"/>
              <w:jc w:val="center"/>
              <w:rPr>
                <w:rFonts w:hint="eastAsia" w:asciiTheme="minorEastAsia" w:hAnsiTheme="minorEastAsia" w:eastAsiaTheme="minorEastAsia"/>
                <w:b/>
                <w:bCs/>
                <w:color w:val="auto"/>
                <w:kern w:val="2"/>
                <w:sz w:val="24"/>
                <w:szCs w:val="24"/>
                <w:highlight w:val="none"/>
                <w:lang w:eastAsia="zh-CN"/>
              </w:rPr>
            </w:pPr>
          </w:p>
          <w:p>
            <w:pPr>
              <w:pStyle w:val="16"/>
              <w:spacing w:line="400" w:lineRule="exact"/>
              <w:ind w:firstLine="771" w:firstLineChars="320"/>
              <w:rPr>
                <w:rFonts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采购项目编号：</w:t>
            </w:r>
            <w:r>
              <w:rPr>
                <w:rFonts w:hint="eastAsia" w:cs="仿宋_GB2312" w:asciiTheme="minorEastAsia" w:hAnsiTheme="minorEastAsia" w:eastAsiaTheme="minorEastAsia"/>
                <w:b/>
                <w:bCs/>
                <w:color w:val="auto"/>
                <w:kern w:val="2"/>
                <w:sz w:val="24"/>
                <w:szCs w:val="24"/>
                <w:highlight w:val="none"/>
                <w:u w:val="single"/>
              </w:rPr>
              <w:t>（采购项目完整编号）</w:t>
            </w:r>
          </w:p>
          <w:p>
            <w:pPr>
              <w:pStyle w:val="16"/>
              <w:spacing w:line="400" w:lineRule="exact"/>
              <w:ind w:firstLine="771" w:firstLineChars="320"/>
              <w:rPr>
                <w:rFonts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采购项目名称：</w:t>
            </w:r>
            <w:r>
              <w:rPr>
                <w:rFonts w:hint="eastAsia" w:cs="仿宋_GB2312" w:asciiTheme="minorEastAsia" w:hAnsiTheme="minorEastAsia" w:eastAsiaTheme="minorEastAsia"/>
                <w:b/>
                <w:bCs/>
                <w:color w:val="auto"/>
                <w:kern w:val="2"/>
                <w:sz w:val="24"/>
                <w:szCs w:val="24"/>
                <w:highlight w:val="none"/>
                <w:u w:val="single"/>
              </w:rPr>
              <w:t>（采购项目完整项目名称）</w:t>
            </w:r>
          </w:p>
          <w:p>
            <w:pPr>
              <w:pStyle w:val="16"/>
              <w:spacing w:line="400" w:lineRule="exact"/>
              <w:ind w:firstLine="771" w:firstLineChars="320"/>
              <w:rPr>
                <w:rFonts w:cs="仿宋_GB2312" w:asciiTheme="minorEastAsia" w:hAnsiTheme="minorEastAsia" w:eastAsiaTheme="minorEastAsia"/>
                <w:b/>
                <w:bCs/>
                <w:color w:val="auto"/>
                <w:kern w:val="2"/>
                <w:sz w:val="24"/>
                <w:szCs w:val="24"/>
                <w:highlight w:val="none"/>
                <w:u w:val="single"/>
              </w:rPr>
            </w:pPr>
            <w:r>
              <w:rPr>
                <w:rFonts w:hint="eastAsia" w:cs="仿宋_GB2312" w:asciiTheme="minorEastAsia" w:hAnsiTheme="minorEastAsia" w:eastAsiaTheme="minorEastAsia"/>
                <w:b/>
                <w:bCs/>
                <w:color w:val="auto"/>
                <w:kern w:val="2"/>
                <w:sz w:val="24"/>
                <w:szCs w:val="24"/>
                <w:highlight w:val="none"/>
              </w:rPr>
              <w:t>投标人名称：</w:t>
            </w:r>
            <w:r>
              <w:rPr>
                <w:rFonts w:cs="仿宋_GB2312" w:asciiTheme="minorEastAsia" w:hAnsiTheme="minorEastAsia" w:eastAsiaTheme="minorEastAsia"/>
                <w:b/>
                <w:bCs/>
                <w:color w:val="auto"/>
                <w:kern w:val="2"/>
                <w:sz w:val="24"/>
                <w:szCs w:val="24"/>
                <w:highlight w:val="none"/>
                <w:u w:val="single"/>
              </w:rPr>
              <w:t xml:space="preserve">                              </w:t>
            </w:r>
          </w:p>
          <w:p>
            <w:pPr>
              <w:pStyle w:val="16"/>
              <w:spacing w:line="400" w:lineRule="exact"/>
              <w:ind w:firstLine="771" w:firstLineChars="320"/>
              <w:rPr>
                <w:rFonts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投标人地址：</w:t>
            </w:r>
            <w:r>
              <w:rPr>
                <w:rFonts w:cs="仿宋_GB2312" w:asciiTheme="minorEastAsia" w:hAnsiTheme="minorEastAsia" w:eastAsiaTheme="minorEastAsia"/>
                <w:b/>
                <w:bCs/>
                <w:color w:val="auto"/>
                <w:kern w:val="2"/>
                <w:sz w:val="24"/>
                <w:szCs w:val="24"/>
                <w:highlight w:val="none"/>
                <w:u w:val="single"/>
              </w:rPr>
              <w:t xml:space="preserve">                              </w:t>
            </w:r>
          </w:p>
          <w:p>
            <w:pPr>
              <w:tabs>
                <w:tab w:val="left" w:pos="851"/>
              </w:tabs>
              <w:autoSpaceDE w:val="0"/>
              <w:autoSpaceDN w:val="0"/>
              <w:adjustRightInd w:val="0"/>
              <w:snapToGrid w:val="0"/>
              <w:spacing w:line="420" w:lineRule="auto"/>
              <w:ind w:firstLine="711" w:firstLineChars="295"/>
              <w:jc w:val="center"/>
              <w:rPr>
                <w:rFonts w:asciiTheme="minorEastAsia" w:hAnsiTheme="minorEastAsia" w:eastAsiaTheme="minorEastAsia"/>
                <w:b/>
                <w:bCs/>
                <w:color w:val="auto"/>
                <w:sz w:val="24"/>
                <w:szCs w:val="24"/>
                <w:highlight w:val="none"/>
              </w:rPr>
            </w:pPr>
          </w:p>
          <w:p>
            <w:pPr>
              <w:tabs>
                <w:tab w:val="left" w:pos="851"/>
              </w:tabs>
              <w:autoSpaceDE w:val="0"/>
              <w:autoSpaceDN w:val="0"/>
              <w:adjustRightInd w:val="0"/>
              <w:snapToGrid w:val="0"/>
              <w:spacing w:line="420" w:lineRule="auto"/>
              <w:ind w:firstLine="711" w:firstLineChars="295"/>
              <w:jc w:val="center"/>
              <w:rPr>
                <w:rFonts w:asciiTheme="minorEastAsia" w:hAnsiTheme="minorEastAsia" w:eastAsiaTheme="minorEastAsia"/>
                <w:b/>
                <w:bCs/>
                <w:color w:val="auto"/>
                <w:sz w:val="24"/>
                <w:szCs w:val="24"/>
                <w:highlight w:val="none"/>
              </w:rPr>
            </w:pPr>
            <w:r>
              <w:rPr>
                <w:rFonts w:cs="仿宋_GB2312" w:asciiTheme="minorEastAsia" w:hAnsiTheme="minorEastAsia" w:eastAsiaTheme="minorEastAsia"/>
                <w:b/>
                <w:bCs/>
                <w:color w:val="auto"/>
                <w:sz w:val="24"/>
                <w:szCs w:val="24"/>
                <w:highlight w:val="none"/>
              </w:rPr>
              <w:t xml:space="preserve">(20   </w:t>
            </w:r>
            <w:r>
              <w:rPr>
                <w:rFonts w:hint="eastAsia" w:cs="仿宋_GB2312" w:asciiTheme="minorEastAsia" w:hAnsiTheme="minorEastAsia" w:eastAsiaTheme="minorEastAsia"/>
                <w:b/>
                <w:bCs/>
                <w:color w:val="auto"/>
                <w:sz w:val="24"/>
                <w:szCs w:val="24"/>
                <w:highlight w:val="none"/>
              </w:rPr>
              <w:t>年</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月</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日</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时</w:t>
            </w:r>
            <w:r>
              <w:rPr>
                <w:rFonts w:cs="仿宋_GB2312" w:asciiTheme="minorEastAsia" w:hAnsiTheme="minorEastAsia" w:eastAsiaTheme="minorEastAsia"/>
                <w:b/>
                <w:bCs/>
                <w:color w:val="auto"/>
                <w:sz w:val="24"/>
                <w:szCs w:val="24"/>
                <w:highlight w:val="none"/>
              </w:rPr>
              <w:t xml:space="preserve">  </w:t>
            </w:r>
            <w:r>
              <w:rPr>
                <w:rFonts w:hint="eastAsia" w:cs="仿宋_GB2312" w:asciiTheme="minorEastAsia" w:hAnsiTheme="minorEastAsia" w:eastAsiaTheme="minorEastAsia"/>
                <w:b/>
                <w:bCs/>
                <w:color w:val="auto"/>
                <w:sz w:val="24"/>
                <w:szCs w:val="24"/>
                <w:highlight w:val="none"/>
              </w:rPr>
              <w:t>分</w:t>
            </w:r>
            <w:r>
              <w:rPr>
                <w:rFonts w:cs="仿宋_GB2312" w:asciiTheme="minorEastAsia" w:hAnsiTheme="minorEastAsia" w:eastAsiaTheme="minorEastAsia"/>
                <w:b/>
                <w:bCs/>
                <w:color w:val="auto"/>
                <w:sz w:val="24"/>
                <w:szCs w:val="24"/>
                <w:highlight w:val="none"/>
              </w:rPr>
              <w:t>)</w:t>
            </w:r>
            <w:r>
              <w:rPr>
                <w:rFonts w:hint="eastAsia" w:cs="仿宋_GB2312" w:asciiTheme="minorEastAsia" w:hAnsiTheme="minorEastAsia" w:eastAsiaTheme="minorEastAsia"/>
                <w:b/>
                <w:bCs/>
                <w:color w:val="auto"/>
                <w:sz w:val="24"/>
                <w:szCs w:val="24"/>
                <w:highlight w:val="none"/>
              </w:rPr>
              <w:t>之前不得启封</w:t>
            </w:r>
          </w:p>
        </w:tc>
      </w:tr>
    </w:tbl>
    <w:p>
      <w:pPr>
        <w:pStyle w:val="4"/>
        <w:spacing w:beforeLines="50"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color w:val="auto"/>
          <w:sz w:val="24"/>
          <w:szCs w:val="24"/>
          <w:highlight w:val="none"/>
        </w:rPr>
        <w:br w:type="page"/>
      </w:r>
      <w:r>
        <w:rPr>
          <w:rFonts w:hint="eastAsia" w:cs="黑体" w:asciiTheme="minorEastAsia" w:hAnsiTheme="minorEastAsia" w:eastAsiaTheme="minorEastAsia"/>
          <w:color w:val="auto"/>
          <w:highlight w:val="none"/>
        </w:rPr>
        <w:t>投标文件目录表</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采购项目名称：（采购项目完整项目名称）</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采购项目编号：（采购项目完整编号）</w:t>
      </w:r>
    </w:p>
    <w:p>
      <w:pPr>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说明：</w:t>
      </w:r>
      <w:r>
        <w:rPr>
          <w:rFonts w:cs="宋体" w:asciiTheme="minorEastAsia" w:hAnsiTheme="minorEastAsia" w:eastAsiaTheme="minorEastAsia"/>
          <w:b/>
          <w:bCs/>
          <w:color w:val="auto"/>
          <w:sz w:val="24"/>
          <w:szCs w:val="24"/>
          <w:highlight w:val="none"/>
        </w:rPr>
        <w:t>1</w:t>
      </w:r>
      <w:r>
        <w:rPr>
          <w:rFonts w:hint="eastAsia" w:cs="宋体" w:asciiTheme="minorEastAsia" w:hAnsiTheme="minorEastAsia" w:eastAsiaTheme="minorEastAsia"/>
          <w:b/>
          <w:bCs/>
          <w:color w:val="auto"/>
          <w:sz w:val="24"/>
          <w:szCs w:val="24"/>
          <w:highlight w:val="none"/>
        </w:rPr>
        <w:t>、投标文件包括但不限于以下组成内容，请按顺序制作。</w:t>
      </w:r>
    </w:p>
    <w:p>
      <w:pPr>
        <w:adjustRightInd w:val="0"/>
        <w:snapToGrid w:val="0"/>
        <w:spacing w:line="360" w:lineRule="auto"/>
        <w:ind w:left="708" w:leftChars="337"/>
        <w:rPr>
          <w:rFonts w:asciiTheme="minorEastAsia" w:hAnsiTheme="minorEastAsia" w:eastAsiaTheme="minorEastAsia"/>
          <w:b/>
          <w:bCs/>
          <w:color w:val="auto"/>
          <w:sz w:val="24"/>
          <w:szCs w:val="24"/>
          <w:highlight w:val="none"/>
        </w:rPr>
      </w:pPr>
      <w:r>
        <w:rPr>
          <w:rFonts w:cs="宋体" w:asciiTheme="minorEastAsia" w:hAnsiTheme="minorEastAsia" w:eastAsiaTheme="minorEastAsia"/>
          <w:b/>
          <w:bCs/>
          <w:color w:val="auto"/>
          <w:sz w:val="24"/>
          <w:szCs w:val="24"/>
          <w:highlight w:val="none"/>
        </w:rPr>
        <w:t>2</w:t>
      </w:r>
      <w:r>
        <w:rPr>
          <w:rFonts w:hint="eastAsia" w:cs="宋体" w:asciiTheme="minorEastAsia" w:hAnsiTheme="minorEastAsia" w:eastAsiaTheme="minorEastAsia"/>
          <w:b/>
          <w:bCs/>
          <w:color w:val="auto"/>
          <w:sz w:val="24"/>
          <w:szCs w:val="24"/>
          <w:highlight w:val="none"/>
        </w:rPr>
        <w:t>、投标人编制投标文件中的采购项目编号应为（采购项目完整编号）。</w:t>
      </w:r>
    </w:p>
    <w:p>
      <w:pPr>
        <w:adjustRightInd w:val="0"/>
        <w:snapToGrid w:val="0"/>
        <w:spacing w:line="360" w:lineRule="auto"/>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价格评审自查表</w:t>
      </w:r>
    </w:p>
    <w:tbl>
      <w:tblPr>
        <w:tblStyle w:val="3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12" w:space="0"/>
              <w:left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5422"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评审分项</w:t>
            </w:r>
          </w:p>
        </w:tc>
        <w:tc>
          <w:tcPr>
            <w:tcW w:w="3120" w:type="dxa"/>
            <w:tcBorders>
              <w:top w:val="single" w:color="auto" w:sz="12" w:space="0"/>
              <w:right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开标一览表</w:t>
            </w:r>
            <w:r>
              <w:rPr>
                <w:rFonts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报价表</w:t>
            </w:r>
            <w:r>
              <w:rPr>
                <w:rFonts w:asciiTheme="minorEastAsia" w:hAnsiTheme="minorEastAsia" w:eastAsiaTheme="minorEastAsia"/>
                <w:color w:val="auto"/>
                <w:sz w:val="24"/>
                <w:szCs w:val="24"/>
                <w:highlight w:val="none"/>
              </w:rPr>
              <w:t>)</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投标分项报价表</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中小企业声明函</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政策适用性说明</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6" w:type="dxa"/>
            <w:tcBorders>
              <w:left w:val="single" w:color="auto" w:sz="12" w:space="0"/>
            </w:tcBorders>
            <w:vAlign w:val="center"/>
          </w:tcPr>
          <w:p>
            <w:pPr>
              <w:numPr>
                <w:ilvl w:val="0"/>
                <w:numId w:val="9"/>
              </w:numPr>
              <w:adjustRightInd w:val="0"/>
              <w:snapToGrid w:val="0"/>
              <w:rPr>
                <w:rFonts w:asciiTheme="minorEastAsia" w:hAnsiTheme="minorEastAsia" w:eastAsiaTheme="minorEastAsia"/>
                <w:color w:val="auto"/>
                <w:sz w:val="24"/>
                <w:szCs w:val="24"/>
                <w:highlight w:val="none"/>
              </w:rPr>
            </w:pPr>
          </w:p>
        </w:tc>
        <w:tc>
          <w:tcPr>
            <w:tcW w:w="5422"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监狱企业的证明文件</w:t>
            </w:r>
          </w:p>
        </w:tc>
        <w:tc>
          <w:tcPr>
            <w:tcW w:w="3120" w:type="dxa"/>
            <w:tcBorders>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6" w:type="dxa"/>
            <w:tcBorders>
              <w:left w:val="single" w:color="auto" w:sz="12" w:space="0"/>
              <w:bottom w:val="single" w:color="auto" w:sz="12" w:space="0"/>
            </w:tcBorders>
            <w:vAlign w:val="center"/>
          </w:tcPr>
          <w:p>
            <w:pPr>
              <w:numPr>
                <w:ilvl w:val="0"/>
                <w:numId w:val="9"/>
              </w:numPr>
              <w:adjustRightInd w:val="0"/>
              <w:snapToGrid w:val="0"/>
              <w:rPr>
                <w:rFonts w:asciiTheme="minorEastAsia" w:hAnsiTheme="minorEastAsia" w:eastAsiaTheme="minorEastAsia"/>
                <w:color w:val="auto"/>
                <w:sz w:val="24"/>
                <w:szCs w:val="24"/>
                <w:highlight w:val="none"/>
              </w:rPr>
            </w:pPr>
          </w:p>
        </w:tc>
        <w:tc>
          <w:tcPr>
            <w:tcW w:w="5422" w:type="dxa"/>
            <w:tcBorders>
              <w:bottom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残疾人福利性单位声明函</w:t>
            </w:r>
          </w:p>
        </w:tc>
        <w:tc>
          <w:tcPr>
            <w:tcW w:w="3120" w:type="dxa"/>
            <w:tcBorders>
              <w:bottom w:val="single" w:color="auto" w:sz="12" w:space="0"/>
              <w:right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jc w:val="center"/>
        <w:rPr>
          <w:rFonts w:asciiTheme="minorEastAsia" w:hAnsiTheme="minorEastAsia" w:eastAsiaTheme="minorEastAsia"/>
          <w:b/>
          <w:bCs/>
          <w:color w:val="auto"/>
          <w:sz w:val="24"/>
          <w:szCs w:val="24"/>
          <w:highlight w:val="none"/>
        </w:rPr>
      </w:pPr>
    </w:p>
    <w:p>
      <w:pPr>
        <w:adjustRightInd w:val="0"/>
        <w:snapToGrid w:val="0"/>
        <w:jc w:val="center"/>
        <w:rPr>
          <w:rFonts w:cs="宋体"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24"/>
          <w:szCs w:val="24"/>
          <w:highlight w:val="none"/>
        </w:rPr>
        <w:br w:type="page"/>
      </w:r>
      <w:r>
        <w:rPr>
          <w:rFonts w:hint="eastAsia" w:cs="宋体" w:asciiTheme="minorEastAsia" w:hAnsiTheme="minorEastAsia" w:eastAsiaTheme="minorEastAsia"/>
          <w:b/>
          <w:bCs/>
          <w:color w:val="auto"/>
          <w:sz w:val="32"/>
          <w:szCs w:val="32"/>
          <w:highlight w:val="none"/>
        </w:rPr>
        <w:t>资格性自查表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6318"/>
        <w:gridCol w:w="141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24"/>
                <w:szCs w:val="24"/>
                <w:highlight w:val="none"/>
              </w:rPr>
              <w:t>序号</w:t>
            </w:r>
          </w:p>
        </w:tc>
        <w:tc>
          <w:tcPr>
            <w:tcW w:w="6318"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Style w:val="41"/>
                <w:rFonts w:hint="eastAsia" w:cs="宋体" w:asciiTheme="minorEastAsia" w:hAnsiTheme="minorEastAsia" w:eastAsiaTheme="minorEastAsia"/>
                <w:color w:val="auto"/>
                <w:sz w:val="24"/>
                <w:szCs w:val="24"/>
                <w:highlight w:val="none"/>
              </w:rPr>
              <w:t>招标文件要求</w:t>
            </w:r>
          </w:p>
        </w:tc>
        <w:tc>
          <w:tcPr>
            <w:tcW w:w="1419"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Style w:val="41"/>
                <w:rFonts w:hint="eastAsia" w:cs="宋体" w:asciiTheme="minorEastAsia" w:hAnsiTheme="minorEastAsia" w:eastAsiaTheme="minorEastAsia"/>
                <w:color w:val="auto"/>
                <w:sz w:val="24"/>
                <w:szCs w:val="24"/>
                <w:highlight w:val="none"/>
              </w:rPr>
              <w:t>自查结论</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27"/>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6318" w:type="dxa"/>
            <w:vAlign w:val="center"/>
          </w:tcPr>
          <w:p>
            <w:pPr>
              <w:adjustRightInd w:val="0"/>
              <w:snapToGrid w:val="0"/>
              <w:spacing w:line="380" w:lineRule="exact"/>
              <w:rPr>
                <w:rFonts w:asciiTheme="minorEastAsia" w:hAnsiTheme="minorEastAsia" w:eastAsiaTheme="minorEastAsia"/>
                <w:color w:val="auto"/>
                <w:spacing w:val="-6"/>
                <w:sz w:val="24"/>
                <w:szCs w:val="24"/>
                <w:highlight w:val="none"/>
              </w:rPr>
            </w:pPr>
            <w:r>
              <w:rPr>
                <w:rFonts w:hint="eastAsia" w:cs="宋体" w:asciiTheme="minorEastAsia" w:hAnsiTheme="minorEastAsia" w:eastAsiaTheme="minorEastAsia"/>
                <w:color w:val="auto"/>
                <w:spacing w:val="-6"/>
                <w:sz w:val="24"/>
                <w:szCs w:val="24"/>
                <w:highlight w:val="none"/>
              </w:rPr>
              <w:t>投标人应具备《政府采购法》第二十二条规定的条件，即：</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1)</w:t>
            </w:r>
            <w:r>
              <w:rPr>
                <w:rFonts w:hint="eastAsia" w:ascii="宋体" w:hAnsi="宋体" w:cs="宋体"/>
                <w:color w:val="auto"/>
                <w:sz w:val="24"/>
                <w:highlight w:val="none"/>
                <w:shd w:val="clear" w:color="auto" w:fill="FFFFFF"/>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7"/>
              <w:jc w:val="center"/>
              <w:rPr>
                <w:rFonts w:cs="宋体" w:asciiTheme="minorEastAsia" w:hAnsiTheme="minorEastAsia" w:eastAsiaTheme="minorEastAsia"/>
                <w:color w:val="auto"/>
                <w:sz w:val="24"/>
                <w:szCs w:val="24"/>
                <w:highlight w:val="none"/>
              </w:rPr>
            </w:pPr>
          </w:p>
        </w:tc>
        <w:tc>
          <w:tcPr>
            <w:tcW w:w="6318" w:type="dxa"/>
            <w:vAlign w:val="center"/>
          </w:tcPr>
          <w:p>
            <w:pPr>
              <w:spacing w:line="360" w:lineRule="auto"/>
              <w:rPr>
                <w:rFonts w:cs="宋体" w:asciiTheme="minorEastAsia" w:hAnsiTheme="minorEastAsia" w:eastAsiaTheme="minorEastAsia"/>
                <w:b/>
                <w:bCs/>
                <w:color w:val="auto"/>
                <w:sz w:val="32"/>
                <w:szCs w:val="32"/>
                <w:highlight w:val="none"/>
              </w:rPr>
            </w:pPr>
            <w:r>
              <w:rPr>
                <w:rFonts w:cs="宋体" w:asciiTheme="minorEastAsia" w:hAnsiTheme="minorEastAsia" w:eastAsiaTheme="minorEastAsia"/>
                <w:color w:val="auto"/>
                <w:sz w:val="24"/>
                <w:szCs w:val="24"/>
                <w:highlight w:val="none"/>
              </w:rPr>
              <w:t>2)</w:t>
            </w:r>
            <w:r>
              <w:rPr>
                <w:rFonts w:hint="eastAsia" w:ascii="宋体" w:hAnsi="宋体" w:cs="宋体"/>
                <w:color w:val="auto"/>
                <w:sz w:val="24"/>
                <w:highlight w:val="none"/>
                <w:shd w:val="clear" w:color="auto" w:fill="FFFFFF"/>
              </w:rPr>
              <w:t>有依法缴纳税收和社会保障资金的良好记录：提供投标截止日前6个月内任意1个月依法缴纳税收和社会保障资金的相关材料。如依法免税或不需要缴纳社会保障资金的，提供相应证明材料（如供应商已对接“粤省事”“粤商通”等系统且能通过系统查询到相关内容，则无须提供该项证明文件，供应商可以提供相关承诺函）；</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7"/>
              <w:jc w:val="center"/>
              <w:rPr>
                <w:rFonts w:cs="宋体" w:asciiTheme="minorEastAsia" w:hAnsiTheme="minorEastAsia" w:eastAsiaTheme="minorEastAsia"/>
                <w:color w:val="auto"/>
                <w:sz w:val="24"/>
                <w:szCs w:val="24"/>
                <w:highlight w:val="none"/>
              </w:rPr>
            </w:pPr>
          </w:p>
        </w:tc>
        <w:tc>
          <w:tcPr>
            <w:tcW w:w="6318" w:type="dxa"/>
            <w:vAlign w:val="center"/>
          </w:tcPr>
          <w:p>
            <w:pPr>
              <w:adjustRightInd w:val="0"/>
              <w:snapToGrid w:val="0"/>
              <w:spacing w:line="380" w:lineRule="exact"/>
              <w:rPr>
                <w:rFonts w:cs="宋体" w:asciiTheme="minorEastAsia" w:hAnsiTheme="minorEastAsia" w:eastAsiaTheme="minorEastAsia"/>
                <w:b/>
                <w:bCs/>
                <w:color w:val="auto"/>
                <w:sz w:val="32"/>
                <w:szCs w:val="32"/>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具有良好的商业信誉和健全的财务会计制度：提供2020或2021年度财务状况报告或基本开户行出具的资信证明或财政部门认可的政府采购专业担保机构出具的担保函（如供应商已对接“粤省事”“粤商通”等系统且能通过系统查询到相关内容，则无须提供该项证明文件，供应商可以提供相关承诺函）；</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7"/>
              <w:jc w:val="center"/>
              <w:rPr>
                <w:rFonts w:cs="宋体" w:asciiTheme="minorEastAsia" w:hAnsiTheme="minorEastAsia" w:eastAsiaTheme="minorEastAsia"/>
                <w:color w:val="auto"/>
                <w:sz w:val="24"/>
                <w:szCs w:val="24"/>
                <w:highlight w:val="none"/>
              </w:rPr>
            </w:pPr>
          </w:p>
        </w:tc>
        <w:tc>
          <w:tcPr>
            <w:tcW w:w="6318" w:type="dxa"/>
            <w:vAlign w:val="center"/>
          </w:tcPr>
          <w:p>
            <w:pPr>
              <w:adjustRightInd w:val="0"/>
              <w:snapToGrid w:val="0"/>
              <w:spacing w:line="380" w:lineRule="exact"/>
              <w:rPr>
                <w:rFonts w:cs="宋体" w:asciiTheme="minorEastAsia" w:hAnsiTheme="minorEastAsia" w:eastAsiaTheme="minorEastAsia"/>
                <w:b/>
                <w:bCs/>
                <w:color w:val="auto"/>
                <w:sz w:val="32"/>
                <w:szCs w:val="32"/>
                <w:highlight w:val="none"/>
              </w:rPr>
            </w:pPr>
            <w:r>
              <w:rPr>
                <w:rFonts w:cs="宋体" w:asciiTheme="minorEastAsia" w:hAnsiTheme="minorEastAsia" w:eastAsiaTheme="minorEastAsia"/>
                <w:color w:val="auto"/>
                <w:sz w:val="24"/>
                <w:szCs w:val="24"/>
                <w:highlight w:val="none"/>
              </w:rPr>
              <w:t>4)</w:t>
            </w:r>
            <w:r>
              <w:rPr>
                <w:rFonts w:hint="eastAsia" w:ascii="宋体" w:hAnsi="宋体" w:cs="宋体"/>
                <w:color w:val="auto"/>
                <w:sz w:val="24"/>
                <w:highlight w:val="none"/>
                <w:shd w:val="clear" w:color="auto" w:fill="FFFFFF"/>
              </w:rPr>
              <w:t>履行合同所必须的设备和专业技术能力：</w:t>
            </w:r>
            <w:r>
              <w:rPr>
                <w:rFonts w:hint="eastAsia" w:ascii="宋体" w:hAnsi="宋体" w:cs="宋体"/>
                <w:color w:val="auto"/>
                <w:sz w:val="24"/>
                <w:szCs w:val="24"/>
                <w:highlight w:val="none"/>
              </w:rPr>
              <w:t>以具有相关的设备及专业技术能力的证明材料或书面承诺为准</w:t>
            </w:r>
            <w:r>
              <w:rPr>
                <w:rFonts w:hint="eastAsia" w:ascii="宋体" w:hAnsi="宋体" w:cs="宋体"/>
                <w:color w:val="auto"/>
                <w:sz w:val="24"/>
                <w:highlight w:val="none"/>
                <w:shd w:val="clear" w:color="auto" w:fill="FFFFFF"/>
              </w:rPr>
              <w:t>；</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7"/>
              <w:jc w:val="center"/>
              <w:rPr>
                <w:rFonts w:cs="宋体" w:asciiTheme="minorEastAsia" w:hAnsiTheme="minorEastAsia" w:eastAsiaTheme="minorEastAsia"/>
                <w:color w:val="auto"/>
                <w:sz w:val="24"/>
                <w:szCs w:val="24"/>
                <w:highlight w:val="none"/>
              </w:rPr>
            </w:pPr>
          </w:p>
        </w:tc>
        <w:tc>
          <w:tcPr>
            <w:tcW w:w="6318" w:type="dxa"/>
            <w:vAlign w:val="center"/>
          </w:tcPr>
          <w:p>
            <w:pPr>
              <w:adjustRightInd w:val="0"/>
              <w:snapToGrid w:val="0"/>
              <w:spacing w:line="380" w:lineRule="exact"/>
              <w:rPr>
                <w:rFonts w:cs="宋体" w:asciiTheme="minorEastAsia" w:hAnsiTheme="minorEastAsia" w:eastAsiaTheme="minorEastAsia"/>
                <w:b/>
                <w:bCs/>
                <w:color w:val="auto"/>
                <w:sz w:val="32"/>
                <w:szCs w:val="32"/>
                <w:highlight w:val="none"/>
              </w:rPr>
            </w:pPr>
            <w:r>
              <w:rPr>
                <w:rFonts w:cs="宋体" w:asciiTheme="minorEastAsia" w:hAnsiTheme="minorEastAsia" w:eastAsiaTheme="minorEastAsia"/>
                <w:color w:val="auto"/>
                <w:sz w:val="24"/>
                <w:szCs w:val="24"/>
                <w:highlight w:val="none"/>
              </w:rPr>
              <w:t>5)</w:t>
            </w:r>
            <w:r>
              <w:rPr>
                <w:rFonts w:hint="eastAsia" w:ascii="宋体" w:hAnsi="宋体" w:cs="宋体"/>
                <w:color w:val="auto"/>
                <w:sz w:val="24"/>
                <w:highlight w:val="none"/>
                <w:shd w:val="clear" w:color="auto" w:fill="FFFFFF"/>
              </w:rPr>
              <w:t>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Merge w:val="continue"/>
            <w:vAlign w:val="center"/>
          </w:tcPr>
          <w:p>
            <w:pPr>
              <w:pStyle w:val="27"/>
              <w:jc w:val="center"/>
              <w:rPr>
                <w:rFonts w:cs="宋体" w:asciiTheme="minorEastAsia" w:hAnsiTheme="minorEastAsia" w:eastAsiaTheme="minorEastAsia"/>
                <w:color w:val="auto"/>
                <w:sz w:val="24"/>
                <w:szCs w:val="24"/>
                <w:highlight w:val="none"/>
              </w:rPr>
            </w:pPr>
          </w:p>
        </w:tc>
        <w:tc>
          <w:tcPr>
            <w:tcW w:w="6318" w:type="dxa"/>
            <w:vAlign w:val="center"/>
          </w:tcPr>
          <w:p>
            <w:pPr>
              <w:adjustRightInd w:val="0"/>
              <w:snapToGrid w:val="0"/>
              <w:spacing w:line="380" w:lineRule="exact"/>
              <w:rPr>
                <w:rFonts w:cs="宋体" w:asciiTheme="minorEastAsia" w:hAnsiTheme="minorEastAsia" w:eastAsiaTheme="minorEastAsia"/>
                <w:b/>
                <w:bCs/>
                <w:color w:val="auto"/>
                <w:sz w:val="32"/>
                <w:szCs w:val="32"/>
                <w:highlight w:val="none"/>
              </w:rPr>
            </w:pPr>
            <w:r>
              <w:rPr>
                <w:rStyle w:val="46"/>
                <w:rFonts w:cs="宋体" w:asciiTheme="minorEastAsia" w:hAnsiTheme="minorEastAsia" w:eastAsiaTheme="minorEastAsia"/>
                <w:color w:val="auto"/>
                <w:sz w:val="24"/>
                <w:szCs w:val="24"/>
                <w:highlight w:val="none"/>
              </w:rPr>
              <w:t>6</w:t>
            </w:r>
            <w:r>
              <w:rPr>
                <w:rStyle w:val="46"/>
                <w:rFonts w:hint="eastAsia" w:cs="宋体" w:asciiTheme="minorEastAsia" w:hAnsiTheme="minorEastAsia" w:eastAsiaTheme="minorEastAsia"/>
                <w:color w:val="auto"/>
                <w:sz w:val="24"/>
                <w:szCs w:val="24"/>
                <w:highlight w:val="none"/>
              </w:rPr>
              <w:t>）法律、行政法规规定的其他条件：须提供书面声明，格式自定。</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20" w:type="dxa"/>
            <w:vAlign w:val="center"/>
          </w:tcPr>
          <w:p>
            <w:pPr>
              <w:pStyle w:val="27"/>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6318" w:type="dxa"/>
            <w:vAlign w:val="center"/>
          </w:tcPr>
          <w:p>
            <w:pPr>
              <w:adjustRightInd w:val="0"/>
              <w:snapToGrid w:val="0"/>
              <w:spacing w:line="38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供应商应当具备的其他资格条件：</w:t>
            </w:r>
          </w:p>
          <w:p>
            <w:pPr>
              <w:adjustRightInd w:val="0"/>
              <w:snapToGrid w:val="0"/>
              <w:spacing w:line="38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如投标人为所投产品的生产企业：所投产品为第二类、三类医疗器械，提供食品药品监督管理部门签发的有效的《医疗器械生产许可证》复印件。 </w:t>
            </w:r>
          </w:p>
          <w:p>
            <w:pPr>
              <w:adjustRightInd w:val="0"/>
              <w:snapToGrid w:val="0"/>
              <w:spacing w:line="38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如投标人为所投产品的经营企业：所投产品为第三类医疗器械，提供食品药品监督管理部门签发的有效的《医疗器械经营许可证》复印件。 </w:t>
            </w:r>
          </w:p>
          <w:p>
            <w:pPr>
              <w:adjustRightInd w:val="0"/>
              <w:snapToGrid w:val="0"/>
              <w:spacing w:line="38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注：若所投产品并非医疗器械，则无须提供上述要求。</w:t>
            </w:r>
          </w:p>
        </w:tc>
        <w:tc>
          <w:tcPr>
            <w:tcW w:w="1419" w:type="dxa"/>
            <w:vAlign w:val="center"/>
          </w:tcPr>
          <w:p>
            <w:pPr>
              <w:adjustRightInd w:val="0"/>
              <w:snapToGrid w:val="0"/>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p>
          <w:p>
            <w:pPr>
              <w:adjustRightInd w:val="0"/>
              <w:snapToGrid w:val="0"/>
              <w:spacing w:line="40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40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20" w:type="dxa"/>
            <w:vAlign w:val="center"/>
          </w:tcPr>
          <w:p>
            <w:pPr>
              <w:tabs>
                <w:tab w:val="left" w:pos="176"/>
                <w:tab w:val="left" w:pos="612"/>
              </w:tabs>
              <w:spacing w:line="380" w:lineRule="exact"/>
              <w:jc w:val="center"/>
              <w:rPr>
                <w:rFonts w:hint="eastAsia"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3</w:t>
            </w:r>
          </w:p>
        </w:tc>
        <w:tc>
          <w:tcPr>
            <w:tcW w:w="6318" w:type="dxa"/>
            <w:vAlign w:val="center"/>
          </w:tcPr>
          <w:p>
            <w:pPr>
              <w:tabs>
                <w:tab w:val="left" w:pos="612"/>
              </w:tabs>
              <w:spacing w:line="380" w:lineRule="exact"/>
              <w:rPr>
                <w:rFonts w:hint="eastAsia" w:eastAsia="宋体" w:asciiTheme="minorEastAsia" w:hAnsiTheme="minorEastAsia"/>
                <w:color w:val="auto"/>
                <w:sz w:val="24"/>
                <w:szCs w:val="24"/>
                <w:highlight w:val="none"/>
                <w:lang w:val="en-US" w:eastAsia="zh-CN"/>
              </w:rPr>
            </w:pPr>
            <w:r>
              <w:rPr>
                <w:rFonts w:hint="eastAsia" w:ascii="宋体" w:hAnsi="宋体" w:eastAsia="宋体" w:cs="宋体"/>
                <w:color w:val="auto"/>
                <w:kern w:val="0"/>
                <w:sz w:val="24"/>
                <w:szCs w:val="24"/>
                <w:highlight w:val="none"/>
              </w:rPr>
              <w:t>落实政府采购政策需满足的资格要求</w:t>
            </w:r>
            <w:r>
              <w:rPr>
                <w:rFonts w:hint="eastAsia" w:ascii="宋体" w:hAnsi="宋体" w:eastAsia="宋体" w:cs="宋体"/>
                <w:color w:val="auto"/>
                <w:kern w:val="0"/>
                <w:sz w:val="24"/>
                <w:szCs w:val="24"/>
                <w:highlight w:val="none"/>
                <w:lang w:val="en-US" w:eastAsia="zh-CN"/>
              </w:rPr>
              <w:t>:</w:t>
            </w:r>
          </w:p>
          <w:p>
            <w:pPr>
              <w:tabs>
                <w:tab w:val="left" w:pos="612"/>
              </w:tabs>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包组一：中标人须承诺预留该采购包合同金额比例的39.75%给小、微企业。（供应商须提供《分包意向协议》（</w:t>
            </w:r>
            <w:r>
              <w:rPr>
                <w:rFonts w:hint="eastAsia" w:asciiTheme="minorEastAsia" w:hAnsiTheme="minorEastAsia" w:eastAsiaTheme="minorEastAsia"/>
                <w:color w:val="auto"/>
                <w:sz w:val="24"/>
                <w:szCs w:val="24"/>
                <w:highlight w:val="none"/>
                <w:lang w:val="en-US" w:eastAsia="zh-CN"/>
              </w:rPr>
              <w:t>见</w:t>
            </w:r>
            <w:r>
              <w:rPr>
                <w:rFonts w:hint="eastAsia" w:asciiTheme="minorEastAsia" w:hAnsiTheme="minorEastAsia" w:eastAsiaTheme="minorEastAsia"/>
                <w:color w:val="auto"/>
                <w:sz w:val="24"/>
                <w:szCs w:val="24"/>
                <w:highlight w:val="none"/>
              </w:rPr>
              <w:t>投标文件格式），中小企业以供应商填写的《中小企业声明函》（见投标文件格式）为判定标准，残疾人福利性单位以供应商提供的《残疾人福利性单位声明函》（见投标文件格式）为判定标准，监狱企业须供应商提供由省级以上监狱管理局、戒毒管理局（含新疆生产建设兵团）出具的属于监狱企业的证明文件，接受分包合同的任何一方不得再以自己名义单独或接受其他供应商的分包参加本项目（同一采购包）的投标，否则不予认定。（注：如果供应商本身提供的所有标的均由中小企业承接，视同符合上述资格条件，无需再向中小企业分包）</w:t>
            </w:r>
          </w:p>
          <w:p>
            <w:pPr>
              <w:tabs>
                <w:tab w:val="left" w:pos="612"/>
              </w:tabs>
              <w:spacing w:line="380" w:lineRule="exact"/>
              <w:rPr>
                <w:rFonts w:hint="eastAsia"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包组二：本包组不属于专门面向中小企业采购的项目，允许非中小微企业、监狱企业、残疾人福利性单位参与项目投标。</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20" w:type="dxa"/>
            <w:vAlign w:val="center"/>
          </w:tcPr>
          <w:p>
            <w:pPr>
              <w:tabs>
                <w:tab w:val="left" w:pos="176"/>
                <w:tab w:val="left" w:pos="612"/>
              </w:tabs>
              <w:spacing w:line="380" w:lineRule="exact"/>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4</w:t>
            </w:r>
          </w:p>
        </w:tc>
        <w:tc>
          <w:tcPr>
            <w:tcW w:w="6318" w:type="dxa"/>
            <w:vAlign w:val="center"/>
          </w:tcPr>
          <w:p>
            <w:pPr>
              <w:tabs>
                <w:tab w:val="left" w:pos="612"/>
              </w:tabs>
              <w:spacing w:line="380" w:lineRule="exac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tabs>
                <w:tab w:val="left" w:pos="176"/>
                <w:tab w:val="left" w:pos="612"/>
              </w:tabs>
              <w:spacing w:line="380" w:lineRule="exact"/>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5</w:t>
            </w:r>
          </w:p>
        </w:tc>
        <w:tc>
          <w:tcPr>
            <w:tcW w:w="6318" w:type="dxa"/>
            <w:vAlign w:val="center"/>
          </w:tcPr>
          <w:p>
            <w:pPr>
              <w:tabs>
                <w:tab w:val="left" w:pos="612"/>
              </w:tabs>
              <w:spacing w:line="380" w:lineRule="exact"/>
              <w:rPr>
                <w:rStyle w:val="46"/>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投标人应承诺公平竞争。以书面公平竞争承诺书为准。</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tabs>
                <w:tab w:val="left" w:pos="176"/>
                <w:tab w:val="left" w:pos="612"/>
              </w:tabs>
              <w:spacing w:line="380" w:lineRule="exact"/>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6</w:t>
            </w:r>
          </w:p>
        </w:tc>
        <w:tc>
          <w:tcPr>
            <w:tcW w:w="6318" w:type="dxa"/>
            <w:vAlign w:val="center"/>
          </w:tcPr>
          <w:p>
            <w:pPr>
              <w:tabs>
                <w:tab w:val="left" w:pos="612"/>
              </w:tabs>
              <w:spacing w:line="380" w:lineRule="exact"/>
              <w:rPr>
                <w:rFonts w:cs="宋体" w:asciiTheme="minorEastAsia" w:hAnsiTheme="minorEastAsia" w:eastAsiaTheme="minorEastAsia"/>
                <w:b/>
                <w:bCs/>
                <w:color w:val="auto"/>
                <w:sz w:val="32"/>
                <w:szCs w:val="32"/>
                <w:highlight w:val="none"/>
              </w:rPr>
            </w:pPr>
            <w:r>
              <w:rPr>
                <w:rFonts w:hint="eastAsia" w:ascii="宋体" w:hAnsi="宋体" w:cs="宋体"/>
                <w:color w:val="auto"/>
                <w:sz w:val="24"/>
                <w:szCs w:val="24"/>
                <w:highlight w:val="none"/>
              </w:rPr>
              <w:t>单位负责人为同一人或者存在直接控股、管理关系的不同供应商，不得同时参加本采购包投标（响应）。资格声明函相关承诺要求内容。</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tabs>
                <w:tab w:val="left" w:pos="176"/>
                <w:tab w:val="left" w:pos="612"/>
              </w:tabs>
              <w:spacing w:line="380" w:lineRule="exact"/>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7</w:t>
            </w:r>
          </w:p>
        </w:tc>
        <w:tc>
          <w:tcPr>
            <w:tcW w:w="6318" w:type="dxa"/>
            <w:vAlign w:val="center"/>
          </w:tcPr>
          <w:p>
            <w:pPr>
              <w:tabs>
                <w:tab w:val="left" w:pos="612"/>
              </w:tabs>
              <w:spacing w:line="380" w:lineRule="exact"/>
              <w:rPr>
                <w:rFonts w:cs="宋体"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为本项目提供整体设计、规范编制或者项目管理、监理、检测等服务的供应商，不得再参与本项目投标（响应）。资格声明函相关承诺要求内容。</w:t>
            </w:r>
          </w:p>
        </w:tc>
        <w:tc>
          <w:tcPr>
            <w:tcW w:w="1419" w:type="dxa"/>
            <w:vAlign w:val="center"/>
          </w:tcPr>
          <w:p>
            <w:pPr>
              <w:adjustRightInd w:val="0"/>
              <w:snapToGrid w:val="0"/>
              <w:spacing w:line="38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spacing w:line="38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283" w:type="dxa"/>
            <w:vAlign w:val="center"/>
          </w:tcPr>
          <w:p>
            <w:pPr>
              <w:adjustRightInd w:val="0"/>
              <w:snapToGrid w:val="0"/>
              <w:spacing w:line="38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pStyle w:val="27"/>
        <w:rPr>
          <w:rFonts w:cs="宋体" w:asciiTheme="minorEastAsia" w:hAnsiTheme="minorEastAsia" w:eastAsiaTheme="minorEastAsia"/>
          <w:b/>
          <w:bCs/>
          <w:color w:val="auto"/>
          <w:sz w:val="32"/>
          <w:szCs w:val="32"/>
          <w:highlight w:val="none"/>
        </w:rPr>
      </w:pPr>
    </w:p>
    <w:p>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说明：投标人必须严格按照《资格性审查表》的评审内容的要求如实提供证明材料。未通过</w:t>
      </w:r>
    </w:p>
    <w:p>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资格性审查的投标人，不进入符合性审查。</w:t>
      </w:r>
    </w:p>
    <w:p>
      <w:pPr>
        <w:widowControl/>
        <w:spacing w:line="360" w:lineRule="auto"/>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br w:type="page"/>
      </w:r>
      <w:r>
        <w:rPr>
          <w:rFonts w:hint="eastAsia" w:cs="宋体" w:asciiTheme="minorEastAsia" w:hAnsiTheme="minorEastAsia" w:eastAsiaTheme="minorEastAsia"/>
          <w:b/>
          <w:bCs/>
          <w:color w:val="auto"/>
          <w:sz w:val="32"/>
          <w:szCs w:val="32"/>
          <w:highlight w:val="none"/>
        </w:rPr>
        <w:t>符合性自查表</w:t>
      </w:r>
    </w:p>
    <w:tbl>
      <w:tblPr>
        <w:tblStyle w:val="38"/>
        <w:tblW w:w="9361"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859"/>
        <w:gridCol w:w="5177"/>
        <w:gridCol w:w="1426"/>
        <w:gridCol w:w="1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859" w:type="dxa"/>
            <w:tcBorders>
              <w:top w:val="single" w:color="auto" w:sz="12" w:space="0"/>
            </w:tcBorders>
          </w:tcPr>
          <w:p>
            <w:pPr>
              <w:adjustRightInd w:val="0"/>
              <w:snapToGrid w:val="0"/>
              <w:jc w:val="center"/>
              <w:rPr>
                <w:rStyle w:val="41"/>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5177" w:type="dxa"/>
            <w:tcBorders>
              <w:top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Style w:val="41"/>
                <w:rFonts w:hint="eastAsia" w:cs="宋体" w:asciiTheme="minorEastAsia" w:hAnsiTheme="minorEastAsia" w:eastAsiaTheme="minorEastAsia"/>
                <w:color w:val="auto"/>
                <w:sz w:val="24"/>
                <w:szCs w:val="24"/>
                <w:highlight w:val="none"/>
              </w:rPr>
              <w:t>招标文件要求</w:t>
            </w:r>
          </w:p>
        </w:tc>
        <w:tc>
          <w:tcPr>
            <w:tcW w:w="1426" w:type="dxa"/>
            <w:tcBorders>
              <w:top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Style w:val="41"/>
                <w:rFonts w:hint="eastAsia" w:cs="宋体" w:asciiTheme="minorEastAsia" w:hAnsiTheme="minorEastAsia" w:eastAsiaTheme="minorEastAsia"/>
                <w:color w:val="auto"/>
                <w:sz w:val="24"/>
                <w:szCs w:val="24"/>
                <w:highlight w:val="none"/>
              </w:rPr>
              <w:t>自查结论</w:t>
            </w:r>
          </w:p>
        </w:tc>
        <w:tc>
          <w:tcPr>
            <w:tcW w:w="1899" w:type="dxa"/>
            <w:tcBorders>
              <w:top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58" w:hRule="atLeast"/>
        </w:trPr>
        <w:tc>
          <w:tcPr>
            <w:tcW w:w="859" w:type="dxa"/>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采购响应文件有供应商盖章或其法定代表人（或法定代表人委托的代理人）的印鉴或签名</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采购响应文件完全满足采购文件中带“★”号的条款和指标</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供应商无出现报价不确定或超过采购文件中列出的单价限价或采购预算（最高限价）的情形</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投标文件有效期符合招标文件要求的</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评审期间，供应商无出现按评标委员会要求提交经授权代表签字的澄清、说明、补正或改变了采购响应文件的实质性内容的情形</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投标文件没有招标文件中规定的其它无效投标或投标无效条款的</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vAlign w:val="center"/>
          </w:tcPr>
          <w:p>
            <w:pPr>
              <w:adjustRightInd w:val="0"/>
              <w:snapToGrid w:val="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无出现按有关法律、法规、规章规定属于投标无效的</w:t>
            </w:r>
          </w:p>
        </w:tc>
        <w:tc>
          <w:tcPr>
            <w:tcW w:w="1426" w:type="dxa"/>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82" w:hRule="atLeast"/>
        </w:trPr>
        <w:tc>
          <w:tcPr>
            <w:tcW w:w="859" w:type="dxa"/>
            <w:tcBorders>
              <w:bottom w:val="single" w:color="auto" w:sz="12" w:space="0"/>
            </w:tcBorders>
            <w:vAlign w:val="center"/>
          </w:tcPr>
          <w:p>
            <w:pPr>
              <w:pStyle w:val="97"/>
              <w:numPr>
                <w:ilvl w:val="0"/>
                <w:numId w:val="10"/>
              </w:numPr>
              <w:adjustRightInd w:val="0"/>
              <w:snapToGrid w:val="0"/>
              <w:ind w:firstLineChars="0"/>
              <w:jc w:val="center"/>
              <w:rPr>
                <w:rFonts w:asciiTheme="minorEastAsia" w:hAnsiTheme="minorEastAsia" w:eastAsiaTheme="minorEastAsia"/>
                <w:color w:val="auto"/>
                <w:sz w:val="24"/>
                <w:szCs w:val="24"/>
                <w:highlight w:val="none"/>
              </w:rPr>
            </w:pPr>
          </w:p>
        </w:tc>
        <w:tc>
          <w:tcPr>
            <w:tcW w:w="5177" w:type="dxa"/>
            <w:tcBorders>
              <w:bottom w:val="single" w:color="auto" w:sz="12" w:space="0"/>
            </w:tcBorders>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已按照招标公告及招标文件的规定获取招标文件。</w:t>
            </w:r>
          </w:p>
        </w:tc>
        <w:tc>
          <w:tcPr>
            <w:tcW w:w="1426" w:type="dxa"/>
            <w:tcBorders>
              <w:bottom w:val="single" w:color="auto" w:sz="12" w:space="0"/>
            </w:tcBorders>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□通过</w:t>
            </w:r>
            <w:r>
              <w:rPr>
                <w:rFonts w:cs="宋体" w:asciiTheme="minorEastAsia" w:hAnsiTheme="minorEastAsia" w:eastAsiaTheme="minorEastAsia"/>
                <w:color w:val="auto"/>
                <w:sz w:val="24"/>
                <w:szCs w:val="24"/>
                <w:highlight w:val="none"/>
              </w:rPr>
              <w:t xml:space="preserve"> </w:t>
            </w:r>
          </w:p>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□不通过</w:t>
            </w:r>
          </w:p>
        </w:tc>
        <w:tc>
          <w:tcPr>
            <w:tcW w:w="1899" w:type="dxa"/>
            <w:tcBorders>
              <w:bottom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widowControl/>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说明：投标人必须严格按照《符合性审查表》的评审内容的要求如实提供证明材料。未通过符合性审查的投标人，不进入技术、商务和价格评审。</w:t>
      </w:r>
    </w:p>
    <w:p>
      <w:pPr>
        <w:tabs>
          <w:tab w:val="left" w:pos="420"/>
          <w:tab w:val="left" w:pos="630"/>
        </w:tabs>
        <w:autoSpaceDE w:val="0"/>
        <w:autoSpaceDN w:val="0"/>
        <w:adjustRightInd w:val="0"/>
        <w:spacing w:line="360" w:lineRule="auto"/>
        <w:rPr>
          <w:rFonts w:asciiTheme="minorEastAsia" w:hAnsiTheme="minorEastAsia" w:eastAsiaTheme="minorEastAsia"/>
          <w:b/>
          <w:bCs/>
          <w:color w:val="auto"/>
          <w:sz w:val="24"/>
          <w:szCs w:val="24"/>
          <w:highlight w:val="none"/>
        </w:rPr>
      </w:pPr>
    </w:p>
    <w:p>
      <w:pPr>
        <w:tabs>
          <w:tab w:val="left" w:pos="7367"/>
        </w:tabs>
        <w:adjustRightInd w:val="0"/>
        <w:snapToGrid w:val="0"/>
        <w:spacing w:line="360" w:lineRule="auto"/>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br w:type="page"/>
      </w:r>
      <w:r>
        <w:rPr>
          <w:rFonts w:hint="eastAsia" w:cs="宋体" w:asciiTheme="minorEastAsia" w:hAnsiTheme="minorEastAsia" w:eastAsiaTheme="minorEastAsia"/>
          <w:b/>
          <w:bCs/>
          <w:color w:val="auto"/>
          <w:sz w:val="24"/>
          <w:szCs w:val="24"/>
          <w:highlight w:val="none"/>
        </w:rPr>
        <w:t>说明：</w:t>
      </w:r>
      <w:r>
        <w:rPr>
          <w:rFonts w:cs="宋体" w:asciiTheme="minorEastAsia" w:hAnsiTheme="minorEastAsia" w:eastAsiaTheme="minorEastAsia"/>
          <w:b/>
          <w:bCs/>
          <w:color w:val="auto"/>
          <w:sz w:val="24"/>
          <w:szCs w:val="24"/>
          <w:highlight w:val="none"/>
        </w:rPr>
        <w:t>1.</w:t>
      </w:r>
      <w:r>
        <w:rPr>
          <w:rFonts w:hint="eastAsia" w:cs="宋体" w:asciiTheme="minorEastAsia" w:hAnsiTheme="minorEastAsia" w:eastAsiaTheme="minorEastAsia"/>
          <w:b/>
          <w:bCs/>
          <w:color w:val="auto"/>
          <w:sz w:val="24"/>
          <w:szCs w:val="24"/>
          <w:highlight w:val="none"/>
        </w:rPr>
        <w:t>投标人应根据《技术评分表》、《商务评分表》的各项内容填写此表。</w:t>
      </w:r>
      <w:r>
        <w:rPr>
          <w:rFonts w:asciiTheme="minorEastAsia" w:hAnsiTheme="minorEastAsia" w:eastAsiaTheme="minorEastAsia"/>
          <w:b/>
          <w:bCs/>
          <w:color w:val="auto"/>
          <w:sz w:val="24"/>
          <w:szCs w:val="24"/>
          <w:highlight w:val="none"/>
        </w:rPr>
        <w:tab/>
      </w:r>
    </w:p>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32"/>
          <w:szCs w:val="32"/>
          <w:highlight w:val="none"/>
        </w:rPr>
        <w:t>技术评审自查表</w:t>
      </w:r>
    </w:p>
    <w:tbl>
      <w:tblPr>
        <w:tblStyle w:val="38"/>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3088"/>
        <w:gridCol w:w="3360"/>
        <w:gridCol w:w="2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3088"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评审分项</w:t>
            </w:r>
          </w:p>
        </w:tc>
        <w:tc>
          <w:tcPr>
            <w:tcW w:w="3360"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内容</w:t>
            </w:r>
          </w:p>
        </w:tc>
        <w:tc>
          <w:tcPr>
            <w:tcW w:w="2094"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jc w:val="left"/>
              <w:rPr>
                <w:rFonts w:asciiTheme="minorEastAsia" w:hAnsiTheme="minorEastAsia" w:eastAsiaTheme="minorEastAsia"/>
                <w:color w:val="auto"/>
                <w:sz w:val="24"/>
                <w:szCs w:val="24"/>
                <w:highlight w:val="none"/>
              </w:rPr>
            </w:pPr>
          </w:p>
        </w:tc>
        <w:tc>
          <w:tcPr>
            <w:tcW w:w="3360"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jc w:val="left"/>
              <w:rPr>
                <w:rFonts w:asciiTheme="minorEastAsia" w:hAnsiTheme="minorEastAsia" w:eastAsiaTheme="minorEastAsia"/>
                <w:color w:val="auto"/>
                <w:sz w:val="24"/>
                <w:szCs w:val="24"/>
                <w:highlight w:val="none"/>
              </w:rPr>
            </w:pPr>
          </w:p>
        </w:tc>
        <w:tc>
          <w:tcPr>
            <w:tcW w:w="3360"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spacing w:line="360" w:lineRule="auto"/>
              <w:rPr>
                <w:rFonts w:ascii="宋体" w:hAnsi="宋体" w:cs="宋体"/>
                <w:color w:val="auto"/>
                <w:kern w:val="0"/>
                <w:sz w:val="24"/>
                <w:szCs w:val="24"/>
                <w:highlight w:val="none"/>
              </w:rPr>
            </w:pPr>
          </w:p>
        </w:tc>
        <w:tc>
          <w:tcPr>
            <w:tcW w:w="3360"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jc w:val="left"/>
              <w:rPr>
                <w:rFonts w:asciiTheme="minorEastAsia" w:hAnsiTheme="minorEastAsia" w:eastAsiaTheme="minorEastAsia"/>
                <w:color w:val="auto"/>
                <w:sz w:val="24"/>
                <w:szCs w:val="24"/>
                <w:highlight w:val="none"/>
              </w:rPr>
            </w:pPr>
          </w:p>
        </w:tc>
        <w:tc>
          <w:tcPr>
            <w:tcW w:w="3360"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tabs>
                <w:tab w:val="left" w:pos="840"/>
              </w:tabs>
              <w:rPr>
                <w:rFonts w:ascii="宋体" w:hAnsi="宋体" w:cs="宋体"/>
                <w:color w:val="auto"/>
                <w:sz w:val="24"/>
                <w:szCs w:val="24"/>
                <w:highlight w:val="none"/>
              </w:rPr>
            </w:pPr>
          </w:p>
        </w:tc>
        <w:tc>
          <w:tcPr>
            <w:tcW w:w="3360"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tabs>
                <w:tab w:val="left" w:pos="840"/>
              </w:tabs>
              <w:rPr>
                <w:rFonts w:ascii="宋体" w:hAnsi="宋体" w:cs="宋体"/>
                <w:color w:val="auto"/>
                <w:sz w:val="24"/>
                <w:szCs w:val="24"/>
                <w:highlight w:val="none"/>
              </w:rPr>
            </w:pPr>
          </w:p>
        </w:tc>
        <w:tc>
          <w:tcPr>
            <w:tcW w:w="3360"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1"/>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tabs>
                <w:tab w:val="left" w:pos="840"/>
              </w:tabs>
              <w:rPr>
                <w:rFonts w:ascii="宋体" w:hAnsi="宋体" w:cs="宋体"/>
                <w:color w:val="auto"/>
                <w:sz w:val="24"/>
                <w:szCs w:val="24"/>
                <w:highlight w:val="none"/>
              </w:rPr>
            </w:pPr>
          </w:p>
        </w:tc>
        <w:tc>
          <w:tcPr>
            <w:tcW w:w="3360" w:type="dxa"/>
            <w:vAlign w:val="center"/>
          </w:tcPr>
          <w:p>
            <w:pPr>
              <w:adjustRightInd w:val="0"/>
              <w:snapToGrid w:val="0"/>
              <w:jc w:val="left"/>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p>
        </w:tc>
      </w:tr>
    </w:tbl>
    <w:p>
      <w:pPr>
        <w:adjustRightInd w:val="0"/>
        <w:snapToGrid w:val="0"/>
        <w:jc w:val="center"/>
        <w:rPr>
          <w:rFonts w:asciiTheme="minorEastAsia" w:hAnsiTheme="minorEastAsia" w:eastAsiaTheme="minorEastAsia"/>
          <w:b/>
          <w:bCs/>
          <w:color w:val="auto"/>
          <w:sz w:val="24"/>
          <w:szCs w:val="24"/>
          <w:highlight w:val="none"/>
        </w:rPr>
      </w:pPr>
    </w:p>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32"/>
          <w:szCs w:val="32"/>
          <w:highlight w:val="none"/>
        </w:rPr>
        <w:t>商务评审自查表</w:t>
      </w:r>
    </w:p>
    <w:tbl>
      <w:tblPr>
        <w:tblStyle w:val="38"/>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3088"/>
        <w:gridCol w:w="3360"/>
        <w:gridCol w:w="2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3088"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评审分项</w:t>
            </w:r>
          </w:p>
        </w:tc>
        <w:tc>
          <w:tcPr>
            <w:tcW w:w="3360"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内容</w:t>
            </w:r>
          </w:p>
        </w:tc>
        <w:tc>
          <w:tcPr>
            <w:tcW w:w="2094"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snapToGrid w:val="0"/>
              <w:rPr>
                <w:rFonts w:asciiTheme="minorEastAsia" w:hAnsiTheme="minorEastAsia" w:eastAsiaTheme="minorEastAsia"/>
                <w:color w:val="auto"/>
                <w:sz w:val="24"/>
                <w:szCs w:val="24"/>
                <w:highlight w:val="none"/>
              </w:rPr>
            </w:pPr>
          </w:p>
        </w:tc>
        <w:tc>
          <w:tcPr>
            <w:tcW w:w="3360"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tabs>
                <w:tab w:val="left" w:pos="840"/>
              </w:tabs>
              <w:rPr>
                <w:rFonts w:asciiTheme="minorEastAsia" w:hAnsiTheme="minorEastAsia" w:eastAsiaTheme="minorEastAsia"/>
                <w:color w:val="auto"/>
                <w:sz w:val="24"/>
                <w:szCs w:val="24"/>
                <w:highlight w:val="none"/>
              </w:rPr>
            </w:pPr>
          </w:p>
        </w:tc>
        <w:tc>
          <w:tcPr>
            <w:tcW w:w="3360"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tabs>
                <w:tab w:val="left" w:pos="840"/>
              </w:tabs>
              <w:rPr>
                <w:rFonts w:ascii="宋体" w:hAnsi="宋体" w:cs="宋体"/>
                <w:color w:val="auto"/>
                <w:sz w:val="24"/>
                <w:szCs w:val="24"/>
                <w:highlight w:val="none"/>
              </w:rPr>
            </w:pPr>
          </w:p>
        </w:tc>
        <w:tc>
          <w:tcPr>
            <w:tcW w:w="3360"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tabs>
                <w:tab w:val="left" w:pos="840"/>
              </w:tabs>
              <w:rPr>
                <w:rFonts w:ascii="宋体" w:hAnsi="宋体" w:cs="宋体"/>
                <w:color w:val="auto"/>
                <w:sz w:val="24"/>
                <w:szCs w:val="24"/>
                <w:highlight w:val="none"/>
              </w:rPr>
            </w:pPr>
          </w:p>
        </w:tc>
        <w:tc>
          <w:tcPr>
            <w:tcW w:w="3360"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2"/>
              </w:numPr>
              <w:adjustRightInd w:val="0"/>
              <w:snapToGrid w:val="0"/>
              <w:jc w:val="center"/>
              <w:rPr>
                <w:rFonts w:asciiTheme="minorEastAsia" w:hAnsiTheme="minorEastAsia" w:eastAsiaTheme="minorEastAsia"/>
                <w:color w:val="auto"/>
                <w:sz w:val="24"/>
                <w:szCs w:val="24"/>
                <w:highlight w:val="none"/>
              </w:rPr>
            </w:pPr>
          </w:p>
        </w:tc>
        <w:tc>
          <w:tcPr>
            <w:tcW w:w="3088" w:type="dxa"/>
            <w:vAlign w:val="center"/>
          </w:tcPr>
          <w:p>
            <w:pPr>
              <w:tabs>
                <w:tab w:val="left" w:pos="840"/>
              </w:tabs>
              <w:rPr>
                <w:rFonts w:ascii="宋体" w:hAnsi="宋体" w:cs="宋体"/>
                <w:color w:val="auto"/>
                <w:sz w:val="24"/>
                <w:szCs w:val="24"/>
                <w:highlight w:val="none"/>
              </w:rPr>
            </w:pPr>
          </w:p>
        </w:tc>
        <w:tc>
          <w:tcPr>
            <w:tcW w:w="3360" w:type="dxa"/>
            <w:vAlign w:val="center"/>
          </w:tcPr>
          <w:p>
            <w:pPr>
              <w:adjustRightInd w:val="0"/>
              <w:snapToGrid w:val="0"/>
              <w:jc w:val="center"/>
              <w:rPr>
                <w:rFonts w:asciiTheme="minorEastAsia" w:hAnsiTheme="minorEastAsia" w:eastAsiaTheme="minorEastAsia"/>
                <w:color w:val="auto"/>
                <w:sz w:val="24"/>
                <w:szCs w:val="24"/>
                <w:highlight w:val="none"/>
              </w:rPr>
            </w:pPr>
          </w:p>
        </w:tc>
        <w:tc>
          <w:tcPr>
            <w:tcW w:w="2094" w:type="dxa"/>
            <w:vAlign w:val="center"/>
          </w:tcPr>
          <w:p>
            <w:pPr>
              <w:adjustRightInd w:val="0"/>
              <w:snapToGrid w:val="0"/>
              <w:jc w:val="center"/>
              <w:rPr>
                <w:rFonts w:cs="宋体" w:asciiTheme="minorEastAsia" w:hAnsiTheme="minorEastAsia" w:eastAsiaTheme="minorEastAsia"/>
                <w:color w:val="auto"/>
                <w:sz w:val="24"/>
                <w:szCs w:val="24"/>
                <w:highlight w:val="none"/>
              </w:rPr>
            </w:pPr>
          </w:p>
        </w:tc>
      </w:tr>
    </w:tbl>
    <w:p>
      <w:pPr>
        <w:adjustRightInd w:val="0"/>
        <w:snapToGrid w:val="0"/>
        <w:rPr>
          <w:rFonts w:asciiTheme="minorEastAsia" w:hAnsiTheme="minorEastAsia" w:eastAsiaTheme="minorEastAsia"/>
          <w:color w:val="auto"/>
          <w:sz w:val="24"/>
          <w:szCs w:val="24"/>
          <w:highlight w:val="none"/>
        </w:rPr>
      </w:pPr>
    </w:p>
    <w:p>
      <w:pPr>
        <w:adjustRightInd w:val="0"/>
        <w:snapToGrid w:val="0"/>
        <w:rPr>
          <w:rFonts w:asciiTheme="minorEastAsia" w:hAnsiTheme="minorEastAsia" w:eastAsiaTheme="minorEastAsia"/>
          <w:color w:val="auto"/>
          <w:sz w:val="24"/>
          <w:szCs w:val="24"/>
          <w:highlight w:val="none"/>
        </w:rPr>
      </w:pPr>
    </w:p>
    <w:tbl>
      <w:tblPr>
        <w:tblStyle w:val="38"/>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6435"/>
        <w:gridCol w:w="21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序号</w:t>
            </w:r>
          </w:p>
        </w:tc>
        <w:tc>
          <w:tcPr>
            <w:tcW w:w="6435"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其他内容资料</w:t>
            </w:r>
          </w:p>
        </w:tc>
        <w:tc>
          <w:tcPr>
            <w:tcW w:w="2107" w:type="dxa"/>
            <w:tcBorders>
              <w:top w:val="single" w:color="auto" w:sz="12" w:space="0"/>
            </w:tcBorders>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3"/>
              </w:numPr>
              <w:adjustRightInd w:val="0"/>
              <w:snapToGrid w:val="0"/>
              <w:rPr>
                <w:rFonts w:asciiTheme="minorEastAsia" w:hAnsiTheme="minorEastAsia" w:eastAsiaTheme="minorEastAsia"/>
                <w:color w:val="auto"/>
                <w:sz w:val="24"/>
                <w:szCs w:val="24"/>
                <w:highlight w:val="none"/>
              </w:rPr>
            </w:pPr>
          </w:p>
        </w:tc>
        <w:tc>
          <w:tcPr>
            <w:tcW w:w="6435" w:type="dxa"/>
            <w:vAlign w:val="center"/>
          </w:tcPr>
          <w:p>
            <w:pPr>
              <w:adjustRightInd w:val="0"/>
              <w:snapToGrid w:val="0"/>
              <w:rPr>
                <w:rFonts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投标人基本情况表</w:t>
            </w:r>
          </w:p>
        </w:tc>
        <w:tc>
          <w:tcPr>
            <w:tcW w:w="2107"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13"/>
              </w:numPr>
              <w:adjustRightInd w:val="0"/>
              <w:snapToGrid w:val="0"/>
              <w:rPr>
                <w:rFonts w:asciiTheme="minorEastAsia" w:hAnsiTheme="minorEastAsia" w:eastAsiaTheme="minorEastAsia"/>
                <w:color w:val="auto"/>
                <w:sz w:val="24"/>
                <w:szCs w:val="24"/>
                <w:highlight w:val="none"/>
              </w:rPr>
            </w:pPr>
          </w:p>
        </w:tc>
        <w:tc>
          <w:tcPr>
            <w:tcW w:w="6435" w:type="dxa"/>
            <w:vAlign w:val="center"/>
          </w:tcPr>
          <w:p>
            <w:pPr>
              <w:adjustRightInd w:val="0"/>
              <w:snapToGrid w:val="0"/>
              <w:rPr>
                <w:rFonts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招标代理服务费承诺书</w:t>
            </w:r>
          </w:p>
        </w:tc>
        <w:tc>
          <w:tcPr>
            <w:tcW w:w="2107" w:type="dxa"/>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bottom w:val="single" w:color="auto" w:sz="12" w:space="0"/>
            </w:tcBorders>
            <w:vAlign w:val="center"/>
          </w:tcPr>
          <w:p>
            <w:pPr>
              <w:numPr>
                <w:ilvl w:val="0"/>
                <w:numId w:val="13"/>
              </w:numPr>
              <w:adjustRightInd w:val="0"/>
              <w:snapToGrid w:val="0"/>
              <w:rPr>
                <w:rFonts w:asciiTheme="minorEastAsia" w:hAnsiTheme="minorEastAsia" w:eastAsiaTheme="minorEastAsia"/>
                <w:color w:val="auto"/>
                <w:sz w:val="24"/>
                <w:szCs w:val="24"/>
                <w:highlight w:val="none"/>
              </w:rPr>
            </w:pPr>
          </w:p>
        </w:tc>
        <w:tc>
          <w:tcPr>
            <w:tcW w:w="6435" w:type="dxa"/>
            <w:tcBorders>
              <w:bottom w:val="single" w:color="auto" w:sz="12" w:space="0"/>
            </w:tcBorders>
            <w:vAlign w:val="center"/>
          </w:tcPr>
          <w:p>
            <w:pPr>
              <w:adjustRightInd w:val="0"/>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开票资料说明函</w:t>
            </w:r>
          </w:p>
        </w:tc>
        <w:tc>
          <w:tcPr>
            <w:tcW w:w="2107" w:type="dxa"/>
            <w:tcBorders>
              <w:bottom w:val="single" w:color="auto" w:sz="12" w:space="0"/>
            </w:tcBorders>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）页</w:t>
            </w:r>
          </w:p>
        </w:tc>
      </w:tr>
    </w:tbl>
    <w:p>
      <w:pPr>
        <w:adjustRightInd w:val="0"/>
        <w:snapToGrid w:val="0"/>
        <w:rPr>
          <w:rFonts w:asciiTheme="minorEastAsia" w:hAnsiTheme="minorEastAsia" w:eastAsiaTheme="minorEastAsia"/>
          <w:color w:val="auto"/>
          <w:sz w:val="24"/>
          <w:szCs w:val="24"/>
          <w:highlight w:val="none"/>
        </w:rPr>
      </w:pPr>
      <w:bookmarkStart w:id="27" w:name="_Toc435515305"/>
      <w:bookmarkStart w:id="28" w:name="_Toc435514865"/>
    </w:p>
    <w:p>
      <w:pPr>
        <w:adjustRightInd w:val="0"/>
        <w:snapToGrid w:val="0"/>
        <w:rPr>
          <w:rFonts w:asciiTheme="minorEastAsia" w:hAnsiTheme="minorEastAsia" w:eastAsiaTheme="minorEastAsia"/>
          <w:color w:val="auto"/>
          <w:sz w:val="24"/>
          <w:szCs w:val="24"/>
          <w:highlight w:val="none"/>
        </w:rPr>
      </w:pPr>
    </w:p>
    <w:p>
      <w:pPr>
        <w:pStyle w:val="4"/>
        <w:adjustRightInd w:val="0"/>
        <w:snapToGrid w:val="0"/>
        <w:spacing w:beforeLines="50" w:afterLines="50" w:line="360" w:lineRule="auto"/>
        <w:jc w:val="center"/>
        <w:rPr>
          <w:rFonts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开标一览表</w:t>
      </w:r>
      <w:r>
        <w:rPr>
          <w:rFonts w:asciiTheme="minorEastAsia" w:hAnsiTheme="minorEastAsia" w:eastAsiaTheme="minorEastAsia"/>
          <w:color w:val="auto"/>
          <w:highlight w:val="none"/>
        </w:rPr>
        <w:t>(</w:t>
      </w:r>
      <w:r>
        <w:rPr>
          <w:rFonts w:hint="eastAsia" w:cs="黑体" w:asciiTheme="minorEastAsia" w:hAnsiTheme="minorEastAsia" w:eastAsiaTheme="minorEastAsia"/>
          <w:color w:val="auto"/>
          <w:highlight w:val="none"/>
        </w:rPr>
        <w:t>报价表</w:t>
      </w:r>
      <w:r>
        <w:rPr>
          <w:rFonts w:asciiTheme="minorEastAsia" w:hAnsiTheme="minorEastAsia" w:eastAsiaTheme="minorEastAsia"/>
          <w:color w:val="auto"/>
          <w:highlight w:val="none"/>
        </w:rPr>
        <w:t>)</w:t>
      </w:r>
      <w:bookmarkEnd w:id="27"/>
      <w:bookmarkEnd w:id="28"/>
    </w:p>
    <w:p>
      <w:pPr>
        <w:tabs>
          <w:tab w:val="left" w:pos="7740"/>
        </w:tabs>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u w:val="single"/>
        </w:rPr>
        <w:t xml:space="preserve">                        </w:t>
      </w:r>
    </w:p>
    <w:p>
      <w:pPr>
        <w:tabs>
          <w:tab w:val="left" w:pos="7740"/>
        </w:tabs>
        <w:adjustRightInd w:val="0"/>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采购项目编号：（采购项目完整编号）</w:t>
      </w:r>
    </w:p>
    <w:p>
      <w:pPr>
        <w:pStyle w:val="27"/>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包组：</w:t>
      </w:r>
      <w:r>
        <w:rPr>
          <w:rFonts w:cs="宋体" w:asciiTheme="minorEastAsia" w:hAnsiTheme="minorEastAsia" w:eastAsiaTheme="minorEastAsia"/>
          <w:color w:val="auto"/>
          <w:sz w:val="24"/>
          <w:szCs w:val="24"/>
          <w:highlight w:val="none"/>
          <w:u w:val="single"/>
        </w:rPr>
        <w:t xml:space="preserve">            </w:t>
      </w:r>
    </w:p>
    <w:p>
      <w:pPr>
        <w:pStyle w:val="27"/>
        <w:rPr>
          <w:rFonts w:cs="宋体" w:asciiTheme="minorEastAsia" w:hAnsiTheme="minorEastAsia" w:eastAsiaTheme="minorEastAsia"/>
          <w:color w:val="auto"/>
          <w:sz w:val="24"/>
          <w:szCs w:val="24"/>
          <w:highlight w:val="none"/>
          <w:u w:val="single"/>
        </w:rPr>
      </w:pPr>
    </w:p>
    <w:tbl>
      <w:tblPr>
        <w:tblStyle w:val="38"/>
        <w:tblW w:w="9502"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63"/>
        <w:gridCol w:w="1014"/>
        <w:gridCol w:w="3400"/>
        <w:gridCol w:w="25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89" w:type="dxa"/>
            <w:tcBorders>
              <w:top w:val="single" w:color="auto" w:sz="12" w:space="0"/>
              <w:bottom w:val="double" w:color="auto" w:sz="4" w:space="0"/>
            </w:tcBorders>
            <w:shd w:val="clear" w:color="auto" w:fill="EEECE1"/>
            <w:vAlign w:val="center"/>
          </w:tcPr>
          <w:p>
            <w:pPr>
              <w:adjustRightInd w:val="0"/>
              <w:snapToGrid w:val="0"/>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包组号</w:t>
            </w:r>
          </w:p>
        </w:tc>
        <w:tc>
          <w:tcPr>
            <w:tcW w:w="1563"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采购内容</w:t>
            </w:r>
          </w:p>
        </w:tc>
        <w:tc>
          <w:tcPr>
            <w:tcW w:w="1014"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数量</w:t>
            </w:r>
          </w:p>
        </w:tc>
        <w:tc>
          <w:tcPr>
            <w:tcW w:w="3400"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投标总报价</w:t>
            </w:r>
          </w:p>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（人民币</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b/>
                <w:bCs/>
                <w:color w:val="auto"/>
                <w:sz w:val="24"/>
                <w:szCs w:val="24"/>
                <w:highlight w:val="none"/>
              </w:rPr>
              <w:t>元）</w:t>
            </w:r>
          </w:p>
        </w:tc>
        <w:tc>
          <w:tcPr>
            <w:tcW w:w="2536"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989" w:type="dxa"/>
            <w:tcBorders>
              <w:top w:val="double" w:color="auto" w:sz="4" w:space="0"/>
              <w:bottom w:val="single" w:color="auto" w:sz="12" w:space="0"/>
            </w:tcBorders>
            <w:vAlign w:val="center"/>
          </w:tcPr>
          <w:p>
            <w:pPr>
              <w:adjustRightInd w:val="0"/>
              <w:snapToGrid w:val="0"/>
              <w:spacing w:line="360" w:lineRule="auto"/>
              <w:jc w:val="center"/>
              <w:rPr>
                <w:rFonts w:asciiTheme="minorEastAsia" w:hAnsiTheme="minorEastAsia" w:eastAsiaTheme="minorEastAsia"/>
                <w:color w:val="auto"/>
                <w:sz w:val="24"/>
                <w:szCs w:val="24"/>
                <w:highlight w:val="none"/>
              </w:rPr>
            </w:pPr>
          </w:p>
        </w:tc>
        <w:tc>
          <w:tcPr>
            <w:tcW w:w="1563" w:type="dxa"/>
            <w:tcBorders>
              <w:top w:val="double" w:color="auto" w:sz="4" w:space="0"/>
              <w:bottom w:val="single" w:color="auto" w:sz="12" w:space="0"/>
            </w:tcBorders>
            <w:vAlign w:val="center"/>
          </w:tcPr>
          <w:p>
            <w:pPr>
              <w:adjustRightInd w:val="0"/>
              <w:snapToGrid w:val="0"/>
              <w:spacing w:line="360" w:lineRule="auto"/>
              <w:jc w:val="center"/>
              <w:rPr>
                <w:rFonts w:asciiTheme="minorEastAsia" w:hAnsiTheme="minorEastAsia" w:eastAsiaTheme="minorEastAsia"/>
                <w:color w:val="auto"/>
                <w:sz w:val="24"/>
                <w:szCs w:val="24"/>
                <w:highlight w:val="none"/>
              </w:rPr>
            </w:pPr>
          </w:p>
        </w:tc>
        <w:tc>
          <w:tcPr>
            <w:tcW w:w="1014" w:type="dxa"/>
            <w:tcBorders>
              <w:top w:val="double" w:color="auto" w:sz="4" w:space="0"/>
              <w:bottom w:val="single" w:color="auto" w:sz="12" w:space="0"/>
            </w:tcBorders>
            <w:vAlign w:val="center"/>
          </w:tcPr>
          <w:p>
            <w:pPr>
              <w:jc w:val="center"/>
              <w:rPr>
                <w:rFonts w:asciiTheme="minorEastAsia" w:hAnsiTheme="minorEastAsia" w:eastAsiaTheme="minorEastAsia"/>
                <w:color w:val="auto"/>
                <w:sz w:val="24"/>
                <w:szCs w:val="24"/>
                <w:highlight w:val="none"/>
              </w:rPr>
            </w:pPr>
          </w:p>
        </w:tc>
        <w:tc>
          <w:tcPr>
            <w:tcW w:w="3400" w:type="dxa"/>
            <w:tcBorders>
              <w:top w:val="double" w:color="auto" w:sz="4" w:space="0"/>
              <w:bottom w:val="single" w:color="auto" w:sz="12" w:space="0"/>
            </w:tcBorders>
            <w:vAlign w:val="center"/>
          </w:tcPr>
          <w:p>
            <w:pPr>
              <w:adjustRightInd w:val="0"/>
              <w:snapToGrid w:val="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小写：</w:t>
            </w:r>
            <w:r>
              <w:rPr>
                <w:rFonts w:cs="宋体" w:asciiTheme="minorEastAsia" w:hAnsiTheme="minorEastAsia" w:eastAsiaTheme="minorEastAsia"/>
                <w:color w:val="auto"/>
                <w:sz w:val="24"/>
                <w:szCs w:val="24"/>
                <w:highlight w:val="none"/>
              </w:rPr>
              <w:t>RMB</w:t>
            </w:r>
            <w:r>
              <w:rPr>
                <w:rFonts w:cs="宋体" w:asciiTheme="minorEastAsia" w:hAnsiTheme="minorEastAsia" w:eastAsiaTheme="minorEastAsia"/>
                <w:color w:val="auto"/>
                <w:sz w:val="24"/>
                <w:szCs w:val="24"/>
                <w:highlight w:val="none"/>
                <w:u w:val="single"/>
              </w:rPr>
              <w:t xml:space="preserve">                   </w:t>
            </w:r>
          </w:p>
          <w:p>
            <w:pPr>
              <w:adjustRightInd w:val="0"/>
              <w:snapToGrid w:val="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大写：</w:t>
            </w:r>
            <w:r>
              <w:rPr>
                <w:rFonts w:cs="宋体" w:asciiTheme="minorEastAsia" w:hAnsiTheme="minorEastAsia" w:eastAsiaTheme="minorEastAsia"/>
                <w:color w:val="auto"/>
                <w:sz w:val="24"/>
                <w:szCs w:val="24"/>
                <w:highlight w:val="none"/>
                <w:u w:val="single"/>
              </w:rPr>
              <w:t xml:space="preserve">                      </w:t>
            </w:r>
          </w:p>
        </w:tc>
        <w:tc>
          <w:tcPr>
            <w:tcW w:w="2536" w:type="dxa"/>
            <w:tcBorders>
              <w:top w:val="double" w:color="auto" w:sz="4" w:space="0"/>
              <w:bottom w:val="single" w:color="auto" w:sz="12" w:space="0"/>
            </w:tcBorders>
            <w:vAlign w:val="center"/>
          </w:tcPr>
          <w:p>
            <w:pPr>
              <w:pStyle w:val="110"/>
              <w:spacing w:line="440" w:lineRule="exact"/>
              <w:ind w:firstLine="120"/>
              <w:rPr>
                <w:rFonts w:asciiTheme="minorEastAsia" w:hAnsiTheme="minorEastAsia" w:eastAsiaTheme="minorEastAsia"/>
                <w:color w:val="auto"/>
                <w:spacing w:val="0"/>
                <w:kern w:val="2"/>
                <w:highlight w:val="none"/>
              </w:rPr>
            </w:pPr>
          </w:p>
        </w:tc>
      </w:tr>
    </w:tbl>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日</w:t>
      </w:r>
    </w:p>
    <w:p>
      <w:pPr>
        <w:spacing w:line="520" w:lineRule="exact"/>
        <w:rPr>
          <w:rFonts w:asciiTheme="minorEastAsia" w:hAnsiTheme="minorEastAsia" w:eastAsiaTheme="minorEastAsia"/>
          <w:color w:val="auto"/>
          <w:spacing w:val="4"/>
          <w:sz w:val="24"/>
          <w:szCs w:val="24"/>
          <w:highlight w:val="none"/>
        </w:rPr>
      </w:pPr>
    </w:p>
    <w:p>
      <w:pPr>
        <w:spacing w:line="40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备注：</w:t>
      </w:r>
    </w:p>
    <w:p>
      <w:pPr>
        <w:tabs>
          <w:tab w:val="left" w:pos="360"/>
        </w:tabs>
        <w:snapToGrid w:val="0"/>
        <w:spacing w:line="360" w:lineRule="auto"/>
        <w:rPr>
          <w:rFonts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1.中文大写金额用汉字，如壹、贰、叁、肆、伍、陆、柒、捌、玖、拾、佰、仟、万、亿、元、角、分、零、整（正）等。如：小写：</w:t>
      </w:r>
      <w:r>
        <w:rPr>
          <w:rFonts w:asciiTheme="minorEastAsia" w:hAnsiTheme="minorEastAsia" w:eastAsiaTheme="minorEastAsia"/>
          <w:color w:val="auto"/>
          <w:spacing w:val="4"/>
          <w:sz w:val="24"/>
          <w:szCs w:val="24"/>
          <w:highlight w:val="none"/>
          <w:u w:val="single"/>
        </w:rPr>
        <w:t>RMB1230000</w:t>
      </w:r>
      <w:r>
        <w:rPr>
          <w:rFonts w:hint="eastAsia" w:cs="宋体" w:asciiTheme="minorEastAsia" w:hAnsiTheme="minorEastAsia" w:eastAsiaTheme="minorEastAsia"/>
          <w:color w:val="auto"/>
          <w:spacing w:val="4"/>
          <w:sz w:val="24"/>
          <w:szCs w:val="24"/>
          <w:highlight w:val="none"/>
        </w:rPr>
        <w:t>，大写：</w:t>
      </w:r>
      <w:r>
        <w:rPr>
          <w:rFonts w:hint="eastAsia" w:cs="宋体" w:asciiTheme="minorEastAsia" w:hAnsiTheme="minorEastAsia" w:eastAsiaTheme="minorEastAsia"/>
          <w:color w:val="auto"/>
          <w:spacing w:val="4"/>
          <w:sz w:val="24"/>
          <w:szCs w:val="24"/>
          <w:highlight w:val="none"/>
          <w:u w:val="single"/>
        </w:rPr>
        <w:t>壹佰贰拾叁万元整</w:t>
      </w:r>
      <w:r>
        <w:rPr>
          <w:rFonts w:hint="eastAsia" w:cs="宋体" w:asciiTheme="minorEastAsia" w:hAnsiTheme="minorEastAsia" w:eastAsiaTheme="minorEastAsia"/>
          <w:color w:val="auto"/>
          <w:spacing w:val="4"/>
          <w:sz w:val="24"/>
          <w:szCs w:val="24"/>
          <w:highlight w:val="none"/>
        </w:rPr>
        <w:t>。</w:t>
      </w:r>
    </w:p>
    <w:p>
      <w:pPr>
        <w:tabs>
          <w:tab w:val="left" w:pos="36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2.投标报价的小数点后保留两位有效数。</w:t>
      </w:r>
    </w:p>
    <w:p>
      <w:pPr>
        <w:tabs>
          <w:tab w:val="left" w:pos="360"/>
          <w:tab w:val="left" w:pos="84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3.除招标文件另有规定外，投标文件内不得含有任何对本报价进行价格折扣的说明或资料，否则为无效投标。</w:t>
      </w:r>
    </w:p>
    <w:p>
      <w:pPr>
        <w:tabs>
          <w:tab w:val="left" w:pos="360"/>
          <w:tab w:val="left" w:pos="84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4.投标报价要求具体见“第三章开标、评标、定标”及用户需求要求。</w:t>
      </w:r>
    </w:p>
    <w:p>
      <w:pPr>
        <w:tabs>
          <w:tab w:val="left" w:pos="378"/>
          <w:tab w:val="left" w:pos="840"/>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5.本项目不接受有选择性的投标报价。</w:t>
      </w:r>
    </w:p>
    <w:p>
      <w:pPr>
        <w:tabs>
          <w:tab w:val="left" w:pos="1200"/>
        </w:tabs>
        <w:snapToGrid w:val="0"/>
        <w:spacing w:line="360" w:lineRule="auto"/>
        <w:ind w:left="360"/>
        <w:rPr>
          <w:rFonts w:asciiTheme="minorEastAsia" w:hAnsiTheme="minorEastAsia" w:eastAsiaTheme="minorEastAsia"/>
          <w:b/>
          <w:bCs/>
          <w:color w:val="auto"/>
          <w:sz w:val="24"/>
          <w:szCs w:val="24"/>
          <w:highlight w:val="none"/>
        </w:rPr>
      </w:pPr>
    </w:p>
    <w:p>
      <w:pPr>
        <w:spacing w:line="400" w:lineRule="exact"/>
        <w:rPr>
          <w:rFonts w:asciiTheme="minorEastAsia" w:hAnsiTheme="minorEastAsia" w:eastAsiaTheme="minorEastAsia"/>
          <w:b/>
          <w:bCs/>
          <w:color w:val="auto"/>
          <w:sz w:val="24"/>
          <w:szCs w:val="24"/>
          <w:highlight w:val="none"/>
        </w:rPr>
        <w:sectPr>
          <w:headerReference r:id="rId4" w:type="default"/>
          <w:footerReference r:id="rId5" w:type="default"/>
          <w:pgSz w:w="11906" w:h="16838"/>
          <w:pgMar w:top="1418" w:right="1191" w:bottom="1134" w:left="1191" w:header="851" w:footer="567" w:gutter="0"/>
          <w:pgNumType w:start="1"/>
          <w:cols w:space="720" w:num="1"/>
          <w:docGrid w:type="lines" w:linePitch="312" w:charSpace="0"/>
        </w:sectPr>
      </w:pP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29" w:name="_Toc435514866"/>
      <w:bookmarkStart w:id="30" w:name="_Toc192662843"/>
      <w:bookmarkStart w:id="31" w:name="_Toc435515306"/>
      <w:bookmarkStart w:id="32" w:name="_Toc275865611"/>
      <w:r>
        <w:rPr>
          <w:rFonts w:hint="eastAsia" w:cs="黑体" w:asciiTheme="minorEastAsia" w:hAnsiTheme="minorEastAsia" w:eastAsiaTheme="minorEastAsia"/>
          <w:color w:val="auto"/>
          <w:highlight w:val="none"/>
        </w:rPr>
        <w:t>投标分项报价表</w:t>
      </w:r>
      <w:bookmarkEnd w:id="29"/>
      <w:bookmarkEnd w:id="30"/>
      <w:bookmarkEnd w:id="31"/>
      <w:bookmarkEnd w:id="32"/>
    </w:p>
    <w:p>
      <w:pPr>
        <w:tabs>
          <w:tab w:val="left" w:pos="7740"/>
        </w:tabs>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u w:val="single"/>
        </w:rPr>
        <w:t xml:space="preserve">                        </w:t>
      </w:r>
    </w:p>
    <w:p>
      <w:pPr>
        <w:tabs>
          <w:tab w:val="left" w:pos="7740"/>
        </w:tabs>
        <w:adjustRightInd w:val="0"/>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采购项目编号：（采购项目完整编号）</w:t>
      </w:r>
    </w:p>
    <w:p>
      <w:pPr>
        <w:pStyle w:val="27"/>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包组：</w:t>
      </w:r>
      <w:r>
        <w:rPr>
          <w:rFonts w:cs="宋体" w:asciiTheme="minorEastAsia" w:hAnsiTheme="minorEastAsia" w:eastAsiaTheme="minorEastAsia"/>
          <w:color w:val="auto"/>
          <w:sz w:val="24"/>
          <w:szCs w:val="24"/>
          <w:highlight w:val="none"/>
          <w:u w:val="single"/>
        </w:rPr>
        <w:t xml:space="preserve">            </w:t>
      </w:r>
    </w:p>
    <w:p>
      <w:pPr>
        <w:pStyle w:val="27"/>
        <w:rPr>
          <w:rFonts w:cs="宋体" w:asciiTheme="minorEastAsia" w:hAnsiTheme="minorEastAsia" w:eastAsiaTheme="minorEastAsia"/>
          <w:color w:val="auto"/>
          <w:sz w:val="24"/>
          <w:szCs w:val="24"/>
          <w:highlight w:val="none"/>
          <w:u w:val="single"/>
        </w:rPr>
      </w:pPr>
    </w:p>
    <w:tbl>
      <w:tblPr>
        <w:tblStyle w:val="38"/>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46"/>
        <w:gridCol w:w="774"/>
        <w:gridCol w:w="616"/>
        <w:gridCol w:w="2315"/>
        <w:gridCol w:w="711"/>
        <w:gridCol w:w="682"/>
        <w:gridCol w:w="864"/>
        <w:gridCol w:w="864"/>
        <w:gridCol w:w="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3"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746"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产品</w:t>
            </w:r>
          </w:p>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名称</w:t>
            </w:r>
          </w:p>
        </w:tc>
        <w:tc>
          <w:tcPr>
            <w:tcW w:w="774"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规格型号</w:t>
            </w:r>
          </w:p>
        </w:tc>
        <w:tc>
          <w:tcPr>
            <w:tcW w:w="616"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品牌</w:t>
            </w:r>
          </w:p>
        </w:tc>
        <w:tc>
          <w:tcPr>
            <w:tcW w:w="2315"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原厂商及原产地</w:t>
            </w:r>
          </w:p>
        </w:tc>
        <w:tc>
          <w:tcPr>
            <w:tcW w:w="711"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w:t>
            </w:r>
          </w:p>
        </w:tc>
        <w:tc>
          <w:tcPr>
            <w:tcW w:w="682"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数量</w:t>
            </w:r>
          </w:p>
        </w:tc>
        <w:tc>
          <w:tcPr>
            <w:tcW w:w="864"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单价（元）</w:t>
            </w:r>
          </w:p>
        </w:tc>
        <w:tc>
          <w:tcPr>
            <w:tcW w:w="864" w:type="dxa"/>
            <w:tcBorders>
              <w:top w:val="single" w:color="auto" w:sz="12" w:space="0"/>
              <w:bottom w:val="double" w:color="auto" w:sz="4" w:space="0"/>
            </w:tcBorders>
            <w:shd w:val="clear" w:color="auto" w:fill="EEECE1"/>
            <w:vAlign w:val="center"/>
          </w:tcPr>
          <w:p>
            <w:pPr>
              <w:widowControl/>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合计（元）</w:t>
            </w:r>
          </w:p>
        </w:tc>
        <w:tc>
          <w:tcPr>
            <w:tcW w:w="944"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179" w:type="dxa"/>
            <w:gridSpan w:val="10"/>
            <w:tcBorders>
              <w:top w:val="double" w:color="auto" w:sz="4" w:space="0"/>
            </w:tcBorders>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货物类费用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p>
        </w:tc>
        <w:tc>
          <w:tcPr>
            <w:tcW w:w="746" w:type="dxa"/>
            <w:vAlign w:val="center"/>
          </w:tcPr>
          <w:p>
            <w:pPr>
              <w:jc w:val="center"/>
              <w:rPr>
                <w:rFonts w:asciiTheme="minorEastAsia" w:hAnsiTheme="minorEastAsia" w:eastAsiaTheme="minorEastAsia"/>
                <w:color w:val="auto"/>
                <w:sz w:val="24"/>
                <w:szCs w:val="24"/>
                <w:highlight w:val="none"/>
              </w:rPr>
            </w:pPr>
          </w:p>
        </w:tc>
        <w:tc>
          <w:tcPr>
            <w:tcW w:w="774" w:type="dxa"/>
            <w:vAlign w:val="center"/>
          </w:tcPr>
          <w:p>
            <w:pPr>
              <w:jc w:val="center"/>
              <w:rPr>
                <w:rFonts w:asciiTheme="minorEastAsia" w:hAnsiTheme="minorEastAsia" w:eastAsiaTheme="minorEastAsia"/>
                <w:color w:val="auto"/>
                <w:sz w:val="24"/>
                <w:szCs w:val="24"/>
                <w:highlight w:val="none"/>
              </w:rPr>
            </w:pPr>
          </w:p>
        </w:tc>
        <w:tc>
          <w:tcPr>
            <w:tcW w:w="616" w:type="dxa"/>
            <w:vAlign w:val="center"/>
          </w:tcPr>
          <w:p>
            <w:pPr>
              <w:jc w:val="center"/>
              <w:rPr>
                <w:rFonts w:asciiTheme="minorEastAsia" w:hAnsiTheme="minorEastAsia" w:eastAsiaTheme="minorEastAsia"/>
                <w:color w:val="auto"/>
                <w:sz w:val="24"/>
                <w:szCs w:val="24"/>
                <w:highlight w:val="none"/>
              </w:rPr>
            </w:pPr>
          </w:p>
        </w:tc>
        <w:tc>
          <w:tcPr>
            <w:tcW w:w="2315" w:type="dxa"/>
            <w:vAlign w:val="center"/>
          </w:tcPr>
          <w:p>
            <w:pPr>
              <w:jc w:val="center"/>
              <w:rPr>
                <w:rFonts w:asciiTheme="minorEastAsia" w:hAnsiTheme="minorEastAsia" w:eastAsiaTheme="minorEastAsia"/>
                <w:color w:val="auto"/>
                <w:sz w:val="24"/>
                <w:szCs w:val="24"/>
                <w:highlight w:val="none"/>
              </w:rPr>
            </w:pPr>
          </w:p>
        </w:tc>
        <w:tc>
          <w:tcPr>
            <w:tcW w:w="711" w:type="dxa"/>
            <w:vAlign w:val="center"/>
          </w:tcPr>
          <w:p>
            <w:pPr>
              <w:jc w:val="center"/>
              <w:rPr>
                <w:rFonts w:asciiTheme="minorEastAsia" w:hAnsiTheme="minorEastAsia" w:eastAsiaTheme="minorEastAsia"/>
                <w:color w:val="auto"/>
                <w:sz w:val="24"/>
                <w:szCs w:val="24"/>
                <w:highlight w:val="none"/>
              </w:rPr>
            </w:pPr>
          </w:p>
        </w:tc>
        <w:tc>
          <w:tcPr>
            <w:tcW w:w="682"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944"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p>
        </w:tc>
        <w:tc>
          <w:tcPr>
            <w:tcW w:w="746" w:type="dxa"/>
            <w:vAlign w:val="center"/>
          </w:tcPr>
          <w:p>
            <w:pPr>
              <w:jc w:val="center"/>
              <w:rPr>
                <w:rFonts w:asciiTheme="minorEastAsia" w:hAnsiTheme="minorEastAsia" w:eastAsiaTheme="minorEastAsia"/>
                <w:color w:val="auto"/>
                <w:sz w:val="24"/>
                <w:szCs w:val="24"/>
                <w:highlight w:val="none"/>
              </w:rPr>
            </w:pPr>
          </w:p>
        </w:tc>
        <w:tc>
          <w:tcPr>
            <w:tcW w:w="774" w:type="dxa"/>
            <w:vAlign w:val="center"/>
          </w:tcPr>
          <w:p>
            <w:pPr>
              <w:jc w:val="center"/>
              <w:rPr>
                <w:rFonts w:asciiTheme="minorEastAsia" w:hAnsiTheme="minorEastAsia" w:eastAsiaTheme="minorEastAsia"/>
                <w:color w:val="auto"/>
                <w:sz w:val="24"/>
                <w:szCs w:val="24"/>
                <w:highlight w:val="none"/>
              </w:rPr>
            </w:pPr>
          </w:p>
        </w:tc>
        <w:tc>
          <w:tcPr>
            <w:tcW w:w="616" w:type="dxa"/>
            <w:vAlign w:val="center"/>
          </w:tcPr>
          <w:p>
            <w:pPr>
              <w:jc w:val="center"/>
              <w:rPr>
                <w:rFonts w:asciiTheme="minorEastAsia" w:hAnsiTheme="minorEastAsia" w:eastAsiaTheme="minorEastAsia"/>
                <w:color w:val="auto"/>
                <w:sz w:val="24"/>
                <w:szCs w:val="24"/>
                <w:highlight w:val="none"/>
              </w:rPr>
            </w:pPr>
          </w:p>
        </w:tc>
        <w:tc>
          <w:tcPr>
            <w:tcW w:w="2315" w:type="dxa"/>
            <w:vAlign w:val="center"/>
          </w:tcPr>
          <w:p>
            <w:pPr>
              <w:jc w:val="center"/>
              <w:rPr>
                <w:rFonts w:asciiTheme="minorEastAsia" w:hAnsiTheme="minorEastAsia" w:eastAsiaTheme="minorEastAsia"/>
                <w:color w:val="auto"/>
                <w:sz w:val="24"/>
                <w:szCs w:val="24"/>
                <w:highlight w:val="none"/>
              </w:rPr>
            </w:pPr>
          </w:p>
        </w:tc>
        <w:tc>
          <w:tcPr>
            <w:tcW w:w="711" w:type="dxa"/>
            <w:vAlign w:val="center"/>
          </w:tcPr>
          <w:p>
            <w:pPr>
              <w:jc w:val="center"/>
              <w:rPr>
                <w:rFonts w:asciiTheme="minorEastAsia" w:hAnsiTheme="minorEastAsia" w:eastAsiaTheme="minorEastAsia"/>
                <w:color w:val="auto"/>
                <w:sz w:val="24"/>
                <w:szCs w:val="24"/>
                <w:highlight w:val="none"/>
              </w:rPr>
            </w:pPr>
          </w:p>
        </w:tc>
        <w:tc>
          <w:tcPr>
            <w:tcW w:w="682"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944"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746" w:type="dxa"/>
            <w:vAlign w:val="center"/>
          </w:tcPr>
          <w:p>
            <w:pPr>
              <w:jc w:val="center"/>
              <w:rPr>
                <w:rFonts w:asciiTheme="minorEastAsia" w:hAnsiTheme="minorEastAsia" w:eastAsiaTheme="minorEastAsia"/>
                <w:color w:val="auto"/>
                <w:sz w:val="24"/>
                <w:szCs w:val="24"/>
                <w:highlight w:val="none"/>
              </w:rPr>
            </w:pPr>
          </w:p>
        </w:tc>
        <w:tc>
          <w:tcPr>
            <w:tcW w:w="774" w:type="dxa"/>
            <w:vAlign w:val="center"/>
          </w:tcPr>
          <w:p>
            <w:pPr>
              <w:jc w:val="center"/>
              <w:rPr>
                <w:rFonts w:asciiTheme="minorEastAsia" w:hAnsiTheme="minorEastAsia" w:eastAsiaTheme="minorEastAsia"/>
                <w:color w:val="auto"/>
                <w:sz w:val="24"/>
                <w:szCs w:val="24"/>
                <w:highlight w:val="none"/>
              </w:rPr>
            </w:pPr>
          </w:p>
        </w:tc>
        <w:tc>
          <w:tcPr>
            <w:tcW w:w="616" w:type="dxa"/>
            <w:vAlign w:val="center"/>
          </w:tcPr>
          <w:p>
            <w:pPr>
              <w:jc w:val="center"/>
              <w:rPr>
                <w:rFonts w:asciiTheme="minorEastAsia" w:hAnsiTheme="minorEastAsia" w:eastAsiaTheme="minorEastAsia"/>
                <w:color w:val="auto"/>
                <w:sz w:val="24"/>
                <w:szCs w:val="24"/>
                <w:highlight w:val="none"/>
              </w:rPr>
            </w:pPr>
          </w:p>
        </w:tc>
        <w:tc>
          <w:tcPr>
            <w:tcW w:w="2315" w:type="dxa"/>
            <w:vAlign w:val="center"/>
          </w:tcPr>
          <w:p>
            <w:pPr>
              <w:jc w:val="center"/>
              <w:rPr>
                <w:rFonts w:asciiTheme="minorEastAsia" w:hAnsiTheme="minorEastAsia" w:eastAsiaTheme="minorEastAsia"/>
                <w:color w:val="auto"/>
                <w:sz w:val="24"/>
                <w:szCs w:val="24"/>
                <w:highlight w:val="none"/>
              </w:rPr>
            </w:pPr>
          </w:p>
        </w:tc>
        <w:tc>
          <w:tcPr>
            <w:tcW w:w="711" w:type="dxa"/>
            <w:vAlign w:val="center"/>
          </w:tcPr>
          <w:p>
            <w:pPr>
              <w:jc w:val="center"/>
              <w:rPr>
                <w:rFonts w:asciiTheme="minorEastAsia" w:hAnsiTheme="minorEastAsia" w:eastAsiaTheme="minorEastAsia"/>
                <w:color w:val="auto"/>
                <w:sz w:val="24"/>
                <w:szCs w:val="24"/>
                <w:highlight w:val="none"/>
              </w:rPr>
            </w:pPr>
          </w:p>
        </w:tc>
        <w:tc>
          <w:tcPr>
            <w:tcW w:w="682"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944"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179" w:type="dxa"/>
            <w:gridSpan w:val="10"/>
            <w:vAlign w:val="center"/>
          </w:tcPr>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63"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2136" w:type="dxa"/>
            <w:gridSpan w:val="3"/>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分项名称</w:t>
            </w:r>
          </w:p>
        </w:tc>
        <w:tc>
          <w:tcPr>
            <w:tcW w:w="2315"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具体内容</w:t>
            </w:r>
          </w:p>
        </w:tc>
        <w:tc>
          <w:tcPr>
            <w:tcW w:w="711"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w:t>
            </w:r>
          </w:p>
        </w:tc>
        <w:tc>
          <w:tcPr>
            <w:tcW w:w="682"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数量</w:t>
            </w:r>
          </w:p>
        </w:tc>
        <w:tc>
          <w:tcPr>
            <w:tcW w:w="864"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单价</w:t>
            </w:r>
          </w:p>
        </w:tc>
        <w:tc>
          <w:tcPr>
            <w:tcW w:w="864" w:type="dxa"/>
            <w:vAlign w:val="center"/>
          </w:tcPr>
          <w:p>
            <w:pPr>
              <w:ind w:left="-92" w:leftChars="-44"/>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合计（元）</w:t>
            </w:r>
          </w:p>
        </w:tc>
        <w:tc>
          <w:tcPr>
            <w:tcW w:w="944"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p>
        </w:tc>
        <w:tc>
          <w:tcPr>
            <w:tcW w:w="2136" w:type="dxa"/>
            <w:gridSpan w:val="3"/>
            <w:vAlign w:val="center"/>
          </w:tcPr>
          <w:p>
            <w:pPr>
              <w:jc w:val="center"/>
              <w:rPr>
                <w:rFonts w:asciiTheme="minorEastAsia" w:hAnsiTheme="minorEastAsia" w:eastAsiaTheme="minorEastAsia"/>
                <w:color w:val="auto"/>
                <w:sz w:val="24"/>
                <w:szCs w:val="24"/>
                <w:highlight w:val="none"/>
              </w:rPr>
            </w:pPr>
          </w:p>
        </w:tc>
        <w:tc>
          <w:tcPr>
            <w:tcW w:w="2315" w:type="dxa"/>
            <w:vAlign w:val="center"/>
          </w:tcPr>
          <w:p>
            <w:pPr>
              <w:jc w:val="center"/>
              <w:rPr>
                <w:rFonts w:asciiTheme="minorEastAsia" w:hAnsiTheme="minorEastAsia" w:eastAsiaTheme="minorEastAsia"/>
                <w:color w:val="auto"/>
                <w:sz w:val="24"/>
                <w:szCs w:val="24"/>
                <w:highlight w:val="none"/>
              </w:rPr>
            </w:pPr>
          </w:p>
        </w:tc>
        <w:tc>
          <w:tcPr>
            <w:tcW w:w="711" w:type="dxa"/>
            <w:vAlign w:val="center"/>
          </w:tcPr>
          <w:p>
            <w:pPr>
              <w:jc w:val="center"/>
              <w:rPr>
                <w:rFonts w:asciiTheme="minorEastAsia" w:hAnsiTheme="minorEastAsia" w:eastAsiaTheme="minorEastAsia"/>
                <w:color w:val="auto"/>
                <w:sz w:val="24"/>
                <w:szCs w:val="24"/>
                <w:highlight w:val="none"/>
              </w:rPr>
            </w:pPr>
          </w:p>
        </w:tc>
        <w:tc>
          <w:tcPr>
            <w:tcW w:w="682"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944"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p>
        </w:tc>
        <w:tc>
          <w:tcPr>
            <w:tcW w:w="2136" w:type="dxa"/>
            <w:gridSpan w:val="3"/>
            <w:vAlign w:val="center"/>
          </w:tcPr>
          <w:p>
            <w:pPr>
              <w:jc w:val="center"/>
              <w:rPr>
                <w:rFonts w:asciiTheme="minorEastAsia" w:hAnsiTheme="minorEastAsia" w:eastAsiaTheme="minorEastAsia"/>
                <w:color w:val="auto"/>
                <w:sz w:val="24"/>
                <w:szCs w:val="24"/>
                <w:highlight w:val="none"/>
              </w:rPr>
            </w:pPr>
          </w:p>
        </w:tc>
        <w:tc>
          <w:tcPr>
            <w:tcW w:w="2315" w:type="dxa"/>
            <w:vAlign w:val="center"/>
          </w:tcPr>
          <w:p>
            <w:pPr>
              <w:jc w:val="center"/>
              <w:rPr>
                <w:rFonts w:asciiTheme="minorEastAsia" w:hAnsiTheme="minorEastAsia" w:eastAsiaTheme="minorEastAsia"/>
                <w:color w:val="auto"/>
                <w:sz w:val="24"/>
                <w:szCs w:val="24"/>
                <w:highlight w:val="none"/>
              </w:rPr>
            </w:pPr>
          </w:p>
        </w:tc>
        <w:tc>
          <w:tcPr>
            <w:tcW w:w="711" w:type="dxa"/>
            <w:vAlign w:val="center"/>
          </w:tcPr>
          <w:p>
            <w:pPr>
              <w:jc w:val="center"/>
              <w:rPr>
                <w:rFonts w:asciiTheme="minorEastAsia" w:hAnsiTheme="minorEastAsia" w:eastAsiaTheme="minorEastAsia"/>
                <w:color w:val="auto"/>
                <w:sz w:val="24"/>
                <w:szCs w:val="24"/>
                <w:highlight w:val="none"/>
              </w:rPr>
            </w:pPr>
          </w:p>
        </w:tc>
        <w:tc>
          <w:tcPr>
            <w:tcW w:w="682"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944"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2136" w:type="dxa"/>
            <w:gridSpan w:val="3"/>
            <w:vAlign w:val="center"/>
          </w:tcPr>
          <w:p>
            <w:pPr>
              <w:jc w:val="center"/>
              <w:rPr>
                <w:rFonts w:asciiTheme="minorEastAsia" w:hAnsiTheme="minorEastAsia" w:eastAsiaTheme="minorEastAsia"/>
                <w:color w:val="auto"/>
                <w:sz w:val="24"/>
                <w:szCs w:val="24"/>
                <w:highlight w:val="none"/>
              </w:rPr>
            </w:pPr>
          </w:p>
        </w:tc>
        <w:tc>
          <w:tcPr>
            <w:tcW w:w="2315" w:type="dxa"/>
            <w:vAlign w:val="center"/>
          </w:tcPr>
          <w:p>
            <w:pPr>
              <w:jc w:val="center"/>
              <w:rPr>
                <w:rFonts w:asciiTheme="minorEastAsia" w:hAnsiTheme="minorEastAsia" w:eastAsiaTheme="minorEastAsia"/>
                <w:color w:val="auto"/>
                <w:sz w:val="24"/>
                <w:szCs w:val="24"/>
                <w:highlight w:val="none"/>
              </w:rPr>
            </w:pPr>
          </w:p>
        </w:tc>
        <w:tc>
          <w:tcPr>
            <w:tcW w:w="711" w:type="dxa"/>
            <w:vAlign w:val="center"/>
          </w:tcPr>
          <w:p>
            <w:pPr>
              <w:jc w:val="center"/>
              <w:rPr>
                <w:rFonts w:asciiTheme="minorEastAsia" w:hAnsiTheme="minorEastAsia" w:eastAsiaTheme="minorEastAsia"/>
                <w:color w:val="auto"/>
                <w:sz w:val="24"/>
                <w:szCs w:val="24"/>
                <w:highlight w:val="none"/>
              </w:rPr>
            </w:pPr>
          </w:p>
        </w:tc>
        <w:tc>
          <w:tcPr>
            <w:tcW w:w="682"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864" w:type="dxa"/>
            <w:vAlign w:val="center"/>
          </w:tcPr>
          <w:p>
            <w:pPr>
              <w:jc w:val="center"/>
              <w:rPr>
                <w:rFonts w:asciiTheme="minorEastAsia" w:hAnsiTheme="minorEastAsia" w:eastAsiaTheme="minorEastAsia"/>
                <w:color w:val="auto"/>
                <w:sz w:val="24"/>
                <w:szCs w:val="24"/>
                <w:highlight w:val="none"/>
              </w:rPr>
            </w:pPr>
          </w:p>
        </w:tc>
        <w:tc>
          <w:tcPr>
            <w:tcW w:w="944"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tcBorders>
              <w:bottom w:val="single" w:color="auto" w:sz="12" w:space="0"/>
            </w:tcBorders>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总计</w:t>
            </w:r>
          </w:p>
        </w:tc>
        <w:tc>
          <w:tcPr>
            <w:tcW w:w="8516" w:type="dxa"/>
            <w:gridSpan w:val="9"/>
            <w:tcBorders>
              <w:bottom w:val="single" w:color="auto" w:sz="12" w:space="0"/>
            </w:tcBorders>
            <w:vAlign w:val="center"/>
          </w:tcPr>
          <w:p>
            <w:pP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￥：大写：</w:t>
            </w:r>
          </w:p>
        </w:tc>
      </w:tr>
    </w:tbl>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cs="宋体"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日</w:t>
      </w:r>
    </w:p>
    <w:p>
      <w:pPr>
        <w:pStyle w:val="16"/>
        <w:rPr>
          <w:color w:val="auto"/>
          <w:highlight w:val="none"/>
        </w:rPr>
      </w:pPr>
    </w:p>
    <w:p>
      <w:pPr>
        <w:tabs>
          <w:tab w:val="left" w:pos="567"/>
        </w:tabs>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备注：</w:t>
      </w:r>
    </w:p>
    <w:p>
      <w:pPr>
        <w:tabs>
          <w:tab w:val="left" w:pos="0"/>
        </w:tabs>
        <w:snapToGrid w:val="0"/>
        <w:spacing w:line="360" w:lineRule="auto"/>
        <w:rPr>
          <w:rFonts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1.中文大写金额用汉字，如壹、贰、叁、肆、伍、陆、柒、捌、玖、拾、佰、仟、万、亿、元、角、分、零、整（正）等。如：小写：</w:t>
      </w:r>
      <w:r>
        <w:rPr>
          <w:rFonts w:asciiTheme="minorEastAsia" w:hAnsiTheme="minorEastAsia" w:eastAsiaTheme="minorEastAsia"/>
          <w:color w:val="auto"/>
          <w:spacing w:val="4"/>
          <w:sz w:val="24"/>
          <w:szCs w:val="24"/>
          <w:highlight w:val="none"/>
          <w:u w:val="single"/>
        </w:rPr>
        <w:t>RMB1230000</w:t>
      </w:r>
      <w:r>
        <w:rPr>
          <w:rFonts w:hint="eastAsia" w:cs="宋体" w:asciiTheme="minorEastAsia" w:hAnsiTheme="minorEastAsia" w:eastAsiaTheme="minorEastAsia"/>
          <w:color w:val="auto"/>
          <w:spacing w:val="4"/>
          <w:sz w:val="24"/>
          <w:szCs w:val="24"/>
          <w:highlight w:val="none"/>
        </w:rPr>
        <w:t>，大写：</w:t>
      </w:r>
      <w:r>
        <w:rPr>
          <w:rFonts w:hint="eastAsia" w:cs="宋体" w:asciiTheme="minorEastAsia" w:hAnsiTheme="minorEastAsia" w:eastAsiaTheme="minorEastAsia"/>
          <w:color w:val="auto"/>
          <w:spacing w:val="4"/>
          <w:sz w:val="24"/>
          <w:szCs w:val="24"/>
          <w:highlight w:val="none"/>
          <w:u w:val="single"/>
        </w:rPr>
        <w:t>壹佰贰拾叁万元整</w:t>
      </w:r>
      <w:r>
        <w:rPr>
          <w:rFonts w:hint="eastAsia" w:cs="宋体" w:asciiTheme="minorEastAsia" w:hAnsiTheme="minorEastAsia" w:eastAsiaTheme="minorEastAsia"/>
          <w:color w:val="auto"/>
          <w:spacing w:val="4"/>
          <w:sz w:val="24"/>
          <w:szCs w:val="24"/>
          <w:highlight w:val="none"/>
        </w:rPr>
        <w:t>。</w:t>
      </w:r>
    </w:p>
    <w:p>
      <w:pPr>
        <w:tabs>
          <w:tab w:val="left" w:pos="0"/>
        </w:tabs>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2.此表为《开标一览表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报价表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》的报价明细表。</w:t>
      </w:r>
    </w:p>
    <w:p>
      <w:pPr>
        <w:tabs>
          <w:tab w:val="left" w:pos="0"/>
        </w:tabs>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所有价格均以人民币作为货币单位填写及计算。对于有配件、耗材、选件和特殊工具的货物，还应填报投标货物配件、耗材、选件表和备件及特殊工具清单，注明品牌、型号、产地、功能、单价等内容，该表格式由投标人自行设计。投标人按照上述要求分类报价，其目的是便于评标，但在任何情况下并不限制采购人以任何条款签订合同的权利。</w:t>
      </w:r>
    </w:p>
    <w:p>
      <w:pPr>
        <w:tabs>
          <w:tab w:val="left" w:pos="0"/>
        </w:tabs>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4.该表格式仅作参考，投标人的详细报价表格式可自定。</w:t>
      </w:r>
    </w:p>
    <w:p>
      <w:pPr>
        <w:tabs>
          <w:tab w:val="left" w:pos="0"/>
        </w:tabs>
        <w:snapToGrid w:val="0"/>
        <w:spacing w:line="360" w:lineRule="auto"/>
        <w:rPr>
          <w:rFonts w:cs="宋体" w:asciiTheme="minorEastAsia" w:hAnsiTheme="minorEastAsia" w:eastAsiaTheme="minorEastAsia"/>
          <w:color w:val="auto"/>
          <w:sz w:val="24"/>
          <w:szCs w:val="24"/>
          <w:highlight w:val="none"/>
        </w:rPr>
      </w:pPr>
      <w:bookmarkStart w:id="33" w:name="_Toc435515315"/>
      <w:bookmarkStart w:id="34" w:name="_Toc435514875"/>
      <w:r>
        <w:rPr>
          <w:rFonts w:hint="eastAsia" w:cs="宋体" w:asciiTheme="minorEastAsia" w:hAnsiTheme="minorEastAsia" w:eastAsiaTheme="minorEastAsia"/>
          <w:color w:val="auto"/>
          <w:sz w:val="24"/>
          <w:szCs w:val="24"/>
          <w:highlight w:val="none"/>
        </w:rPr>
        <w:t>5.若招标文件中产品名称与投标人实际所能提供的厂家产品名称存在差异，投标人在投标时需标注出两个产品名称，例如A为招标文件产品名称，B为实际厂家产品名称，则投标时产品名称为“A（B）”。</w:t>
      </w:r>
    </w:p>
    <w:p>
      <w:pPr>
        <w:tabs>
          <w:tab w:val="left" w:pos="0"/>
        </w:tabs>
        <w:snapToGrid w:val="0"/>
        <w:spacing w:line="360" w:lineRule="auto"/>
        <w:rPr>
          <w:rFonts w:asciiTheme="minorEastAsia" w:hAnsiTheme="minorEastAsia" w:eastAsiaTheme="minorEastAsia"/>
          <w:color w:val="auto"/>
          <w:sz w:val="24"/>
          <w:szCs w:val="24"/>
          <w:highlight w:val="none"/>
          <w:lang w:val="en-GB"/>
        </w:rPr>
      </w:pPr>
      <w:r>
        <w:rPr>
          <w:rFonts w:asciiTheme="minorEastAsia" w:hAnsiTheme="minorEastAsia" w:eastAsiaTheme="minorEastAsia"/>
          <w:color w:val="auto"/>
          <w:sz w:val="24"/>
          <w:szCs w:val="24"/>
          <w:highlight w:val="none"/>
          <w:lang w:val="en-GB"/>
        </w:rPr>
        <w:br w:type="page"/>
      </w:r>
      <w:r>
        <w:rPr>
          <w:rFonts w:hint="eastAsia" w:cs="宋体" w:asciiTheme="minorEastAsia" w:hAnsiTheme="minorEastAsia" w:eastAsiaTheme="minorEastAsia"/>
          <w:color w:val="auto"/>
          <w:sz w:val="24"/>
          <w:szCs w:val="24"/>
          <w:highlight w:val="none"/>
          <w:lang w:val="en-GB"/>
        </w:rPr>
        <w:t>附件</w:t>
      </w:r>
    </w:p>
    <w:p>
      <w:pPr>
        <w:autoSpaceDE w:val="0"/>
        <w:autoSpaceDN w:val="0"/>
        <w:adjustRightInd w:val="0"/>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中小企业声明函（货物）</w:t>
      </w:r>
    </w:p>
    <w:p>
      <w:pPr>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（投标人认为其为中小企业的应提交本函，明确企业类型，否则评审时不能享受相应的价格扣除）</w:t>
      </w:r>
    </w:p>
    <w:p>
      <w:pPr>
        <w:pStyle w:val="16"/>
        <w:spacing w:line="360" w:lineRule="auto"/>
        <w:rPr>
          <w:color w:val="auto"/>
          <w:highlight w:val="none"/>
        </w:rPr>
      </w:pP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本公司（联合体）郑重声明，根据《政府采购促进中小企业发展管理办法》（财库</w:t>
      </w:r>
      <w:r>
        <w:rPr>
          <w:rFonts w:hint="eastAsia" w:ascii="宋体" w:hAnsi="宋体" w:cs="宋体"/>
          <w:color w:val="auto"/>
          <w:kern w:val="0"/>
          <w:sz w:val="24"/>
          <w:szCs w:val="24"/>
          <w:highlight w:val="none"/>
        </w:rPr>
        <w:t>﹝</w:t>
      </w:r>
      <w:r>
        <w:rPr>
          <w:rFonts w:ascii="宋体" w:hAnsi="宋体" w:cs="仿宋"/>
          <w:color w:val="auto"/>
          <w:kern w:val="0"/>
          <w:sz w:val="24"/>
          <w:szCs w:val="24"/>
          <w:highlight w:val="none"/>
        </w:rPr>
        <w:t>2020</w:t>
      </w:r>
      <w:r>
        <w:rPr>
          <w:rFonts w:hint="eastAsia" w:ascii="宋体" w:hAnsi="宋体" w:cs="宋体"/>
          <w:color w:val="auto"/>
          <w:kern w:val="0"/>
          <w:sz w:val="24"/>
          <w:szCs w:val="24"/>
          <w:highlight w:val="none"/>
        </w:rPr>
        <w:t>﹞</w:t>
      </w:r>
      <w:r>
        <w:rPr>
          <w:rFonts w:ascii="宋体" w:hAnsi="宋体" w:cs="仿宋"/>
          <w:color w:val="auto"/>
          <w:kern w:val="0"/>
          <w:sz w:val="24"/>
          <w:szCs w:val="24"/>
          <w:highlight w:val="none"/>
        </w:rPr>
        <w:t xml:space="preserve">46 </w:t>
      </w:r>
      <w:r>
        <w:rPr>
          <w:rFonts w:hint="eastAsia" w:ascii="宋体" w:hAnsi="宋体" w:cs="仿宋"/>
          <w:color w:val="auto"/>
          <w:kern w:val="0"/>
          <w:sz w:val="24"/>
          <w:szCs w:val="24"/>
          <w:highlight w:val="none"/>
        </w:rPr>
        <w:t>号）的规定，本公司（联合体）参加</w:t>
      </w:r>
      <w:r>
        <w:rPr>
          <w:rFonts w:hint="eastAsia" w:ascii="宋体" w:hAnsi="宋体" w:cs="仿宋"/>
          <w:i/>
          <w:color w:val="auto"/>
          <w:kern w:val="0"/>
          <w:sz w:val="24"/>
          <w:szCs w:val="24"/>
          <w:highlight w:val="none"/>
          <w:u w:val="single"/>
        </w:rPr>
        <w:t>（单位名称）</w:t>
      </w:r>
      <w:r>
        <w:rPr>
          <w:rFonts w:hint="eastAsia" w:ascii="宋体" w:hAnsi="宋体" w:cs="仿宋"/>
          <w:color w:val="auto"/>
          <w:kern w:val="0"/>
          <w:sz w:val="24"/>
          <w:szCs w:val="24"/>
          <w:highlight w:val="none"/>
        </w:rPr>
        <w:t>的</w:t>
      </w:r>
      <w:r>
        <w:rPr>
          <w:rFonts w:hint="eastAsia" w:ascii="宋体" w:hAnsi="宋体" w:cs="仿宋"/>
          <w:i/>
          <w:color w:val="auto"/>
          <w:kern w:val="0"/>
          <w:sz w:val="24"/>
          <w:szCs w:val="24"/>
          <w:highlight w:val="none"/>
          <w:u w:val="single"/>
        </w:rPr>
        <w:t>（项目名称）</w:t>
      </w:r>
      <w:r>
        <w:rPr>
          <w:rFonts w:hint="eastAsia" w:ascii="宋体" w:hAnsi="宋体" w:cs="仿宋"/>
          <w:color w:val="auto"/>
          <w:kern w:val="0"/>
          <w:sz w:val="24"/>
          <w:szCs w:val="24"/>
          <w:highlight w:val="none"/>
        </w:rPr>
        <w:t>采购活动，提供的货物全部由符合政策要求的中小企业制造。相关企业</w:t>
      </w:r>
    </w:p>
    <w:p>
      <w:pPr>
        <w:autoSpaceDE w:val="0"/>
        <w:autoSpaceDN w:val="0"/>
        <w:adjustRightInd w:val="0"/>
        <w:spacing w:line="360" w:lineRule="auto"/>
        <w:rPr>
          <w:rFonts w:ascii="宋体" w:hAnsi="宋体" w:cs="仿宋"/>
          <w:color w:val="auto"/>
          <w:kern w:val="0"/>
          <w:sz w:val="24"/>
          <w:szCs w:val="24"/>
          <w:highlight w:val="none"/>
        </w:rPr>
      </w:pPr>
      <w:r>
        <w:rPr>
          <w:rFonts w:hint="eastAsia" w:ascii="宋体" w:hAnsi="宋体" w:cs="仿宋"/>
          <w:color w:val="auto"/>
          <w:kern w:val="0"/>
          <w:sz w:val="24"/>
          <w:szCs w:val="24"/>
          <w:highlight w:val="none"/>
        </w:rPr>
        <w:t>（含联合体中的中小企业、签订分包意向协议的中小企业）的具体情况如下：</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ascii="宋体" w:hAnsi="宋体" w:cs="仿宋"/>
          <w:color w:val="auto"/>
          <w:kern w:val="0"/>
          <w:sz w:val="24"/>
          <w:szCs w:val="24"/>
          <w:highlight w:val="none"/>
        </w:rPr>
        <w:t>1.</w:t>
      </w:r>
      <w:r>
        <w:rPr>
          <w:rFonts w:hint="eastAsia" w:ascii="宋体" w:hAnsi="宋体" w:cs="仿宋"/>
          <w:i/>
          <w:color w:val="auto"/>
          <w:kern w:val="0"/>
          <w:sz w:val="24"/>
          <w:szCs w:val="24"/>
          <w:highlight w:val="none"/>
          <w:u w:val="single"/>
        </w:rPr>
        <w:t>（标的名称）</w:t>
      </w:r>
      <w:r>
        <w:rPr>
          <w:rFonts w:hint="eastAsia" w:ascii="宋体" w:hAnsi="宋体" w:cs="仿宋"/>
          <w:color w:val="auto"/>
          <w:kern w:val="0"/>
          <w:sz w:val="24"/>
          <w:szCs w:val="24"/>
          <w:highlight w:val="none"/>
        </w:rPr>
        <w:t>，属于</w:t>
      </w:r>
      <w:r>
        <w:rPr>
          <w:rFonts w:hint="eastAsia" w:ascii="宋体" w:hAnsi="宋体" w:cs="仿宋"/>
          <w:i/>
          <w:color w:val="auto"/>
          <w:kern w:val="0"/>
          <w:sz w:val="24"/>
          <w:szCs w:val="24"/>
          <w:highlight w:val="none"/>
          <w:u w:val="single"/>
        </w:rPr>
        <w:t>（采购文件中明确的所属行业）</w:t>
      </w:r>
      <w:r>
        <w:rPr>
          <w:rFonts w:hint="eastAsia" w:ascii="宋体" w:hAnsi="宋体" w:cs="仿宋"/>
          <w:color w:val="auto"/>
          <w:kern w:val="0"/>
          <w:sz w:val="24"/>
          <w:szCs w:val="24"/>
          <w:highlight w:val="none"/>
        </w:rPr>
        <w:t>行业；制造商为</w:t>
      </w:r>
      <w:r>
        <w:rPr>
          <w:rFonts w:hint="eastAsia" w:ascii="宋体" w:hAnsi="宋体" w:cs="仿宋"/>
          <w:i/>
          <w:color w:val="auto"/>
          <w:kern w:val="0"/>
          <w:sz w:val="24"/>
          <w:szCs w:val="24"/>
          <w:highlight w:val="none"/>
          <w:u w:val="single"/>
        </w:rPr>
        <w:t>（企业名称）</w:t>
      </w:r>
      <w:r>
        <w:rPr>
          <w:rFonts w:hint="eastAsia" w:ascii="宋体" w:hAnsi="宋体" w:cs="仿宋"/>
          <w:color w:val="auto"/>
          <w:kern w:val="0"/>
          <w:sz w:val="24"/>
          <w:szCs w:val="24"/>
          <w:highlight w:val="none"/>
        </w:rPr>
        <w:t>，从业人员</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人，营业收入为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万元，资产总额为</w:t>
      </w:r>
      <w:r>
        <w:rPr>
          <w:rFonts w:hint="eastAsia" w:ascii="宋体" w:hAnsi="宋体" w:cs="仿宋"/>
          <w:i/>
          <w:color w:val="auto"/>
          <w:kern w:val="0"/>
          <w:sz w:val="24"/>
          <w:szCs w:val="24"/>
          <w:highlight w:val="none"/>
          <w:u w:val="single"/>
        </w:rPr>
        <w:t xml:space="preserve">     </w:t>
      </w:r>
      <w:r>
        <w:rPr>
          <w:rFonts w:hint="eastAsia" w:ascii="宋体" w:hAnsi="宋体" w:cs="仿宋"/>
          <w:color w:val="auto"/>
          <w:kern w:val="0"/>
          <w:sz w:val="24"/>
          <w:szCs w:val="24"/>
          <w:highlight w:val="none"/>
        </w:rPr>
        <w:t>万元，属于</w:t>
      </w:r>
      <w:r>
        <w:rPr>
          <w:rFonts w:hint="eastAsia" w:ascii="宋体" w:hAnsi="宋体" w:cs="仿宋"/>
          <w:i/>
          <w:color w:val="auto"/>
          <w:kern w:val="0"/>
          <w:sz w:val="24"/>
          <w:szCs w:val="24"/>
          <w:highlight w:val="none"/>
          <w:u w:val="single"/>
        </w:rPr>
        <w:t>（中型企业、小型企业、微型企业）</w:t>
      </w:r>
      <w:r>
        <w:rPr>
          <w:rFonts w:hint="eastAsia" w:ascii="宋体" w:hAnsi="宋体" w:cs="仿宋"/>
          <w:color w:val="auto"/>
          <w:kern w:val="0"/>
          <w:sz w:val="24"/>
          <w:szCs w:val="24"/>
          <w:highlight w:val="none"/>
        </w:rPr>
        <w:t>；</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ascii="宋体" w:hAnsi="宋体" w:cs="仿宋"/>
          <w:color w:val="auto"/>
          <w:kern w:val="0"/>
          <w:sz w:val="24"/>
          <w:szCs w:val="24"/>
          <w:highlight w:val="none"/>
        </w:rPr>
        <w:t>2.</w:t>
      </w:r>
      <w:r>
        <w:rPr>
          <w:rFonts w:hint="eastAsia" w:ascii="宋体" w:hAnsi="宋体" w:cs="仿宋"/>
          <w:color w:val="auto"/>
          <w:kern w:val="0"/>
          <w:sz w:val="24"/>
          <w:szCs w:val="24"/>
          <w:highlight w:val="none"/>
          <w:u w:val="single"/>
        </w:rPr>
        <w:t>（标的名称）</w:t>
      </w:r>
      <w:r>
        <w:rPr>
          <w:rFonts w:hint="eastAsia" w:ascii="宋体" w:hAnsi="宋体" w:cs="仿宋"/>
          <w:color w:val="auto"/>
          <w:kern w:val="0"/>
          <w:sz w:val="24"/>
          <w:szCs w:val="24"/>
          <w:highlight w:val="none"/>
        </w:rPr>
        <w:t>，属于</w:t>
      </w:r>
      <w:r>
        <w:rPr>
          <w:rFonts w:hint="eastAsia" w:ascii="宋体" w:hAnsi="宋体" w:cs="仿宋"/>
          <w:i/>
          <w:color w:val="auto"/>
          <w:kern w:val="0"/>
          <w:sz w:val="24"/>
          <w:szCs w:val="24"/>
          <w:highlight w:val="none"/>
          <w:u w:val="single"/>
        </w:rPr>
        <w:t>（采购文件中明确的所属行业）</w:t>
      </w:r>
      <w:r>
        <w:rPr>
          <w:rFonts w:hint="eastAsia" w:ascii="宋体" w:hAnsi="宋体" w:cs="仿宋"/>
          <w:color w:val="auto"/>
          <w:kern w:val="0"/>
          <w:sz w:val="24"/>
          <w:szCs w:val="24"/>
          <w:highlight w:val="none"/>
        </w:rPr>
        <w:t>行业；制造商为</w:t>
      </w:r>
      <w:r>
        <w:rPr>
          <w:rFonts w:hint="eastAsia" w:ascii="宋体" w:hAnsi="宋体" w:cs="仿宋"/>
          <w:i/>
          <w:color w:val="auto"/>
          <w:kern w:val="0"/>
          <w:sz w:val="24"/>
          <w:szCs w:val="24"/>
          <w:highlight w:val="none"/>
          <w:u w:val="single"/>
        </w:rPr>
        <w:t>（企业名称）</w:t>
      </w:r>
      <w:r>
        <w:rPr>
          <w:rFonts w:hint="eastAsia" w:ascii="宋体" w:hAnsi="宋体" w:cs="仿宋"/>
          <w:color w:val="auto"/>
          <w:kern w:val="0"/>
          <w:sz w:val="24"/>
          <w:szCs w:val="24"/>
          <w:highlight w:val="none"/>
        </w:rPr>
        <w:t>，从业人员</w:t>
      </w:r>
      <w:r>
        <w:rPr>
          <w:rFonts w:hint="eastAsia" w:ascii="宋体" w:hAnsi="宋体" w:cs="仿宋"/>
          <w:i/>
          <w:color w:val="auto"/>
          <w:kern w:val="0"/>
          <w:sz w:val="24"/>
          <w:szCs w:val="24"/>
          <w:highlight w:val="none"/>
          <w:u w:val="single"/>
        </w:rPr>
        <w:t xml:space="preserve">     </w:t>
      </w:r>
      <w:r>
        <w:rPr>
          <w:rFonts w:hint="eastAsia" w:ascii="宋体" w:hAnsi="宋体" w:cs="仿宋"/>
          <w:color w:val="auto"/>
          <w:kern w:val="0"/>
          <w:sz w:val="24"/>
          <w:szCs w:val="24"/>
          <w:highlight w:val="none"/>
        </w:rPr>
        <w:t>人，营业收入为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万元，资产总额为</w:t>
      </w:r>
      <w:r>
        <w:rPr>
          <w:rFonts w:hint="eastAsia" w:ascii="宋体" w:hAnsi="宋体" w:cs="仿宋"/>
          <w:color w:val="auto"/>
          <w:kern w:val="0"/>
          <w:sz w:val="24"/>
          <w:szCs w:val="24"/>
          <w:highlight w:val="none"/>
          <w:u w:val="single"/>
        </w:rPr>
        <w:t xml:space="preserve">     </w:t>
      </w:r>
      <w:r>
        <w:rPr>
          <w:rFonts w:hint="eastAsia" w:ascii="宋体" w:hAnsi="宋体" w:cs="仿宋"/>
          <w:color w:val="auto"/>
          <w:kern w:val="0"/>
          <w:sz w:val="24"/>
          <w:szCs w:val="24"/>
          <w:highlight w:val="none"/>
        </w:rPr>
        <w:t>万元，属于（中型企业、小型企业、微型企业）；</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rPr>
          <w:rFonts w:ascii="宋体" w:hAnsi="宋体" w:cs="仿宋"/>
          <w:color w:val="auto"/>
          <w:kern w:val="0"/>
          <w:sz w:val="24"/>
          <w:szCs w:val="24"/>
          <w:highlight w:val="none"/>
        </w:rPr>
      </w:pPr>
      <w:r>
        <w:rPr>
          <w:rFonts w:hint="eastAsia" w:ascii="宋体" w:hAnsi="宋体" w:cs="仿宋"/>
          <w:color w:val="auto"/>
          <w:kern w:val="0"/>
          <w:sz w:val="24"/>
          <w:szCs w:val="24"/>
          <w:highlight w:val="none"/>
        </w:rPr>
        <w:t>本企业对上述声明内容的真实性负责。如有虚假，将依法承担相应责任。</w:t>
      </w:r>
    </w:p>
    <w:p>
      <w:pPr>
        <w:autoSpaceDE w:val="0"/>
        <w:autoSpaceDN w:val="0"/>
        <w:adjustRightInd w:val="0"/>
        <w:spacing w:line="360" w:lineRule="auto"/>
        <w:ind w:firstLine="3960" w:firstLineChars="1650"/>
        <w:rPr>
          <w:rFonts w:ascii="宋体" w:hAnsi="宋体" w:cs="仿宋"/>
          <w:color w:val="auto"/>
          <w:kern w:val="0"/>
          <w:sz w:val="24"/>
          <w:szCs w:val="24"/>
          <w:highlight w:val="none"/>
        </w:rPr>
      </w:pPr>
      <w:r>
        <w:rPr>
          <w:rFonts w:hint="eastAsia" w:ascii="宋体" w:hAnsi="宋体" w:cs="仿宋"/>
          <w:color w:val="auto"/>
          <w:kern w:val="0"/>
          <w:sz w:val="24"/>
          <w:szCs w:val="24"/>
          <w:highlight w:val="none"/>
        </w:rPr>
        <w:t>企业名称（盖章）：</w:t>
      </w:r>
    </w:p>
    <w:p>
      <w:pPr>
        <w:autoSpaceDE w:val="0"/>
        <w:autoSpaceDN w:val="0"/>
        <w:adjustRightInd w:val="0"/>
        <w:spacing w:line="360" w:lineRule="auto"/>
        <w:ind w:firstLine="3960" w:firstLineChars="1650"/>
        <w:rPr>
          <w:rFonts w:ascii="宋体" w:hAnsi="宋体" w:cs="仿宋"/>
          <w:color w:val="auto"/>
          <w:kern w:val="0"/>
          <w:sz w:val="24"/>
          <w:szCs w:val="24"/>
          <w:highlight w:val="none"/>
        </w:rPr>
      </w:pPr>
      <w:r>
        <w:rPr>
          <w:rFonts w:hint="eastAsia" w:ascii="宋体" w:hAnsi="宋体" w:cs="仿宋"/>
          <w:color w:val="auto"/>
          <w:kern w:val="0"/>
          <w:sz w:val="24"/>
          <w:szCs w:val="24"/>
          <w:highlight w:val="none"/>
        </w:rPr>
        <w:t>日期：</w:t>
      </w:r>
    </w:p>
    <w:p>
      <w:pPr>
        <w:spacing w:line="360" w:lineRule="auto"/>
        <w:jc w:val="left"/>
        <w:rPr>
          <w:rFonts w:ascii="宋体" w:hAnsi="宋体"/>
          <w:color w:val="auto"/>
          <w:sz w:val="24"/>
          <w:szCs w:val="24"/>
          <w:highlight w:val="none"/>
          <w:u w:val="single"/>
        </w:rPr>
      </w:pPr>
      <w:r>
        <w:rPr>
          <w:rFonts w:hint="eastAsia" w:ascii="宋体" w:hAnsi="宋体"/>
          <w:b/>
          <w:color w:val="auto"/>
          <w:sz w:val="24"/>
          <w:szCs w:val="24"/>
          <w:highlight w:val="none"/>
        </w:rPr>
        <w:t>请投标人认真阅读如下内容：</w:t>
      </w:r>
    </w:p>
    <w:p>
      <w:pPr>
        <w:spacing w:line="360" w:lineRule="auto"/>
        <w:ind w:firstLine="480" w:firstLineChars="200"/>
        <w:rPr>
          <w:rFonts w:ascii="宋体" w:hAnsi="宋体"/>
          <w:color w:val="auto"/>
          <w:sz w:val="24"/>
          <w:szCs w:val="24"/>
          <w:highlight w:val="none"/>
        </w:rPr>
      </w:pPr>
      <w:r>
        <w:rPr>
          <w:color w:val="auto"/>
          <w:sz w:val="24"/>
          <w:szCs w:val="24"/>
          <w:highlight w:val="none"/>
        </w:rPr>
        <w:t>根据《政府采购促进中小企业发展管理办法》（财库﹝2020﹞46号）的规定</w:t>
      </w:r>
      <w:r>
        <w:rPr>
          <w:rFonts w:hint="eastAsia"/>
          <w:color w:val="auto"/>
          <w:sz w:val="24"/>
          <w:szCs w:val="24"/>
          <w:highlight w:val="none"/>
        </w:rPr>
        <w:t>，中标、成交供应商享受本办法规定的中小企业扶持政策的，采购人、采购代理机构应当随中标、成交结果公开中标、成交供应商的《中小企业声明函》。</w:t>
      </w:r>
    </w:p>
    <w:p>
      <w:pPr>
        <w:pStyle w:val="16"/>
        <w:rPr>
          <w:color w:val="auto"/>
          <w:highlight w:val="none"/>
        </w:rPr>
      </w:pPr>
    </w:p>
    <w:p>
      <w:pPr>
        <w:autoSpaceDE w:val="0"/>
        <w:autoSpaceDN w:val="0"/>
        <w:adjustRightInd w:val="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备注：从业人员、营业收入、资产总额填报上一年度数据，无上一年度数据的新成立企业可不填报。</w:t>
      </w:r>
    </w:p>
    <w:bookmarkEnd w:id="33"/>
    <w:bookmarkEnd w:id="34"/>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6"/>
        <w:numPr>
          <w:ilvl w:val="1"/>
          <w:numId w:val="0"/>
        </w:numPr>
        <w:tabs>
          <w:tab w:val="left" w:pos="945"/>
        </w:tabs>
        <w:ind w:leftChars="-4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分包意向协议（以合同分包形式参加投标时适用）</w:t>
      </w:r>
    </w:p>
    <w:p>
      <w:pPr>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备注：若以合同分包形式参加投标时，参考下列格式提供《分包意向协议》。不要求以分包形式参加投标的，可不提供本协议。</w:t>
      </w:r>
    </w:p>
    <w:p>
      <w:pPr>
        <w:ind w:firstLine="480" w:firstLineChars="200"/>
        <w:rPr>
          <w:rFonts w:hint="eastAsia" w:ascii="宋体" w:hAnsi="宋体"/>
          <w:color w:val="auto"/>
          <w:sz w:val="24"/>
          <w:szCs w:val="24"/>
          <w:highlight w:val="none"/>
        </w:rPr>
      </w:pPr>
    </w:p>
    <w:p>
      <w:pPr>
        <w:jc w:val="center"/>
        <w:rPr>
          <w:rFonts w:hint="eastAsia" w:ascii="宋体" w:hAnsi="宋体"/>
          <w:color w:val="auto"/>
          <w:sz w:val="24"/>
          <w:highlight w:val="none"/>
        </w:rPr>
      </w:pPr>
      <w:r>
        <w:rPr>
          <w:rFonts w:hint="eastAsia" w:ascii="宋体" w:hAnsi="宋体"/>
          <w:b/>
          <w:color w:val="auto"/>
          <w:sz w:val="30"/>
          <w:szCs w:val="30"/>
          <w:highlight w:val="none"/>
        </w:rPr>
        <w:t>分包意向协议</w:t>
      </w: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采购项目名称：</w:t>
      </w:r>
      <w:r>
        <w:rPr>
          <w:rFonts w:hint="eastAsia" w:ascii="宋体" w:hAnsi="宋体"/>
          <w:color w:val="auto"/>
          <w:sz w:val="24"/>
          <w:szCs w:val="24"/>
          <w:highlight w:val="none"/>
          <w:u w:val="single"/>
        </w:rPr>
        <w:t xml:space="preserve">                              采购包号（如有）             </w:t>
      </w:r>
      <w:r>
        <w:rPr>
          <w:rFonts w:hint="eastAsia" w:ascii="宋体" w:hAnsi="宋体"/>
          <w:color w:val="auto"/>
          <w:sz w:val="24"/>
          <w:szCs w:val="24"/>
          <w:highlight w:val="none"/>
        </w:rPr>
        <w:t>。</w:t>
      </w:r>
    </w:p>
    <w:p>
      <w:pPr>
        <w:pStyle w:val="21"/>
        <w:spacing w:line="360" w:lineRule="auto"/>
        <w:rPr>
          <w:rFonts w:hAnsi="宋体"/>
          <w:color w:val="auto"/>
          <w:sz w:val="24"/>
          <w:szCs w:val="24"/>
          <w:highlight w:val="none"/>
        </w:rPr>
      </w:pPr>
      <w:r>
        <w:rPr>
          <w:rFonts w:hint="eastAsia" w:hAnsi="宋体"/>
          <w:color w:val="auto"/>
          <w:sz w:val="24"/>
          <w:szCs w:val="24"/>
          <w:highlight w:val="none"/>
        </w:rPr>
        <w:t>致：</w:t>
      </w:r>
      <w:r>
        <w:rPr>
          <w:rFonts w:hint="eastAsia" w:hAnsi="宋体"/>
          <w:color w:val="auto"/>
          <w:sz w:val="24"/>
          <w:szCs w:val="24"/>
          <w:highlight w:val="none"/>
          <w:u w:val="single"/>
        </w:rPr>
        <w:t xml:space="preserve">                                    </w:t>
      </w:r>
      <w:r>
        <w:rPr>
          <w:rFonts w:hint="eastAsia" w:hAnsi="宋体"/>
          <w:color w:val="auto"/>
          <w:sz w:val="24"/>
          <w:szCs w:val="24"/>
          <w:highlight w:val="none"/>
        </w:rPr>
        <w:t>（采购人、采购代理机构名称）</w:t>
      </w:r>
    </w:p>
    <w:p>
      <w:pPr>
        <w:spacing w:line="360" w:lineRule="auto"/>
        <w:jc w:val="left"/>
        <w:rPr>
          <w:rFonts w:ascii="宋体" w:hAnsi="宋体"/>
          <w:color w:val="auto"/>
          <w:sz w:val="24"/>
          <w:szCs w:val="24"/>
          <w:highlight w:val="none"/>
        </w:rPr>
      </w:pPr>
    </w:p>
    <w:p>
      <w:pPr>
        <w:pStyle w:val="21"/>
        <w:spacing w:line="360" w:lineRule="auto"/>
        <w:ind w:firstLine="420"/>
        <w:rPr>
          <w:rFonts w:hint="eastAsia" w:hAnsi="宋体"/>
          <w:color w:val="auto"/>
          <w:sz w:val="24"/>
          <w:szCs w:val="24"/>
          <w:highlight w:val="none"/>
        </w:rPr>
      </w:pPr>
      <w:r>
        <w:rPr>
          <w:rFonts w:hint="eastAsia" w:hAnsi="宋体"/>
          <w:color w:val="auto"/>
          <w:sz w:val="24"/>
          <w:szCs w:val="24"/>
          <w:highlight w:val="none"/>
        </w:rPr>
        <w:t>我方</w:t>
      </w:r>
      <w:r>
        <w:rPr>
          <w:rFonts w:hint="eastAsia" w:hAnsi="宋体"/>
          <w:i/>
          <w:color w:val="auto"/>
          <w:sz w:val="24"/>
          <w:szCs w:val="24"/>
          <w:highlight w:val="none"/>
          <w:u w:val="single"/>
        </w:rPr>
        <w:t>（分包企业即报价供应商全称）</w:t>
      </w:r>
      <w:r>
        <w:rPr>
          <w:rFonts w:hint="eastAsia" w:hAnsi="宋体"/>
          <w:color w:val="auto"/>
          <w:sz w:val="24"/>
          <w:szCs w:val="24"/>
          <w:highlight w:val="none"/>
        </w:rPr>
        <w:t>决定参加以上项目的投标，并作为总包单位与接受分包合同的企业协商一致订立分包意向协议如下：</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1.各方承担的工作内容为：</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我方（即分包企业）承担本项目的主体、关键性内容。</w:t>
      </w:r>
    </w:p>
    <w:p>
      <w:pPr>
        <w:spacing w:line="360" w:lineRule="auto"/>
        <w:ind w:firstLine="480" w:firstLineChars="200"/>
        <w:rPr>
          <w:rFonts w:hint="eastAsia" w:ascii="宋体" w:hAnsi="宋体"/>
          <w:i/>
          <w:color w:val="auto"/>
          <w:sz w:val="24"/>
          <w:szCs w:val="24"/>
          <w:highlight w:val="none"/>
        </w:rPr>
      </w:pPr>
      <w:r>
        <w:rPr>
          <w:rFonts w:hint="eastAsia" w:ascii="宋体" w:hAnsi="宋体"/>
          <w:i/>
          <w:color w:val="auto"/>
          <w:sz w:val="24"/>
          <w:szCs w:val="24"/>
          <w:highlight w:val="none"/>
          <w:u w:val="single"/>
        </w:rPr>
        <w:t>（</w:t>
      </w:r>
      <w:r>
        <w:rPr>
          <w:rFonts w:hint="eastAsia" w:hAnsi="宋体"/>
          <w:i/>
          <w:color w:val="auto"/>
          <w:sz w:val="24"/>
          <w:szCs w:val="24"/>
          <w:highlight w:val="none"/>
          <w:u w:val="single"/>
        </w:rPr>
        <w:t>接受分包合同企业</w:t>
      </w:r>
      <w:r>
        <w:rPr>
          <w:rFonts w:hint="eastAsia" w:ascii="宋体" w:hAnsi="宋体"/>
          <w:i/>
          <w:color w:val="auto"/>
          <w:sz w:val="24"/>
          <w:szCs w:val="24"/>
          <w:highlight w:val="none"/>
          <w:u w:val="single"/>
        </w:rPr>
        <w:t>1全称）</w:t>
      </w:r>
      <w:r>
        <w:rPr>
          <w:rFonts w:hint="eastAsia" w:ascii="宋体" w:hAnsi="宋体"/>
          <w:color w:val="auto"/>
          <w:sz w:val="24"/>
          <w:szCs w:val="24"/>
          <w:highlight w:val="none"/>
        </w:rPr>
        <w:t>承担</w:t>
      </w:r>
      <w:r>
        <w:rPr>
          <w:rFonts w:hint="eastAsia" w:ascii="宋体" w:hAnsi="宋体"/>
          <w:i/>
          <w:color w:val="auto"/>
          <w:sz w:val="24"/>
          <w:szCs w:val="24"/>
          <w:highlight w:val="none"/>
          <w:u w:val="single"/>
        </w:rPr>
        <w:t xml:space="preserve">              </w:t>
      </w:r>
      <w:r>
        <w:rPr>
          <w:rFonts w:hint="eastAsia" w:ascii="宋体" w:hAnsi="宋体"/>
          <w:i/>
          <w:color w:val="auto"/>
          <w:sz w:val="24"/>
          <w:szCs w:val="24"/>
          <w:highlight w:val="none"/>
        </w:rPr>
        <w:t>。</w:t>
      </w:r>
    </w:p>
    <w:p>
      <w:pPr>
        <w:spacing w:line="360" w:lineRule="auto"/>
        <w:ind w:firstLine="480" w:firstLineChars="200"/>
        <w:rPr>
          <w:rFonts w:hint="eastAsia" w:ascii="宋体" w:hAnsi="宋体"/>
          <w:i/>
          <w:color w:val="auto"/>
          <w:sz w:val="24"/>
          <w:szCs w:val="24"/>
          <w:highlight w:val="none"/>
        </w:rPr>
      </w:pPr>
      <w:r>
        <w:rPr>
          <w:rFonts w:hint="eastAsia" w:ascii="宋体" w:hAnsi="宋体"/>
          <w:i/>
          <w:color w:val="auto"/>
          <w:sz w:val="24"/>
          <w:szCs w:val="24"/>
          <w:highlight w:val="none"/>
          <w:u w:val="single"/>
        </w:rPr>
        <w:t>（</w:t>
      </w:r>
      <w:r>
        <w:rPr>
          <w:rFonts w:hint="eastAsia" w:hAnsi="宋体"/>
          <w:i/>
          <w:color w:val="auto"/>
          <w:sz w:val="24"/>
          <w:szCs w:val="24"/>
          <w:highlight w:val="none"/>
          <w:u w:val="single"/>
        </w:rPr>
        <w:t>接受分包合同企业2</w:t>
      </w:r>
      <w:r>
        <w:rPr>
          <w:rFonts w:hint="eastAsia" w:ascii="宋体" w:hAnsi="宋体"/>
          <w:i/>
          <w:color w:val="auto"/>
          <w:sz w:val="24"/>
          <w:szCs w:val="24"/>
          <w:highlight w:val="none"/>
          <w:u w:val="single"/>
        </w:rPr>
        <w:t>全称）</w:t>
      </w:r>
      <w:r>
        <w:rPr>
          <w:rFonts w:hint="eastAsia" w:ascii="宋体" w:hAnsi="宋体"/>
          <w:color w:val="auto"/>
          <w:sz w:val="24"/>
          <w:szCs w:val="24"/>
          <w:highlight w:val="none"/>
        </w:rPr>
        <w:t>承担</w:t>
      </w:r>
      <w:r>
        <w:rPr>
          <w:rFonts w:hint="eastAsia" w:ascii="宋体" w:hAnsi="宋体"/>
          <w:i/>
          <w:color w:val="auto"/>
          <w:sz w:val="24"/>
          <w:szCs w:val="24"/>
          <w:highlight w:val="none"/>
          <w:u w:val="single"/>
        </w:rPr>
        <w:t xml:space="preserve">              </w:t>
      </w:r>
      <w:r>
        <w:rPr>
          <w:rFonts w:hint="eastAsia" w:ascii="宋体" w:hAnsi="宋体"/>
          <w:i/>
          <w:color w:val="auto"/>
          <w:sz w:val="24"/>
          <w:szCs w:val="24"/>
          <w:highlight w:val="none"/>
        </w:rPr>
        <w:t>。</w:t>
      </w:r>
    </w:p>
    <w:p>
      <w:pPr>
        <w:spacing w:line="360" w:lineRule="auto"/>
        <w:ind w:firstLine="480" w:firstLineChars="200"/>
        <w:rPr>
          <w:rFonts w:hint="eastAsia" w:ascii="宋体" w:hAnsi="宋体"/>
          <w:i/>
          <w:color w:val="auto"/>
          <w:sz w:val="24"/>
          <w:szCs w:val="24"/>
          <w:highlight w:val="none"/>
        </w:rPr>
      </w:pPr>
      <w:r>
        <w:rPr>
          <w:rFonts w:ascii="宋体" w:hAnsi="宋体"/>
          <w:i/>
          <w:color w:val="auto"/>
          <w:sz w:val="24"/>
          <w:szCs w:val="24"/>
          <w:highlight w:val="none"/>
        </w:rPr>
        <w:t>……</w:t>
      </w:r>
    </w:p>
    <w:p>
      <w:pPr>
        <w:spacing w:line="360" w:lineRule="auto"/>
        <w:ind w:firstLine="480" w:firstLineChars="200"/>
        <w:rPr>
          <w:rFonts w:hint="eastAsia" w:ascii="宋体" w:hAnsi="宋体"/>
          <w:b/>
          <w:i w:val="0"/>
          <w:iCs/>
          <w:color w:val="auto"/>
          <w:sz w:val="24"/>
          <w:highlight w:val="none"/>
        </w:rPr>
      </w:pPr>
      <w:r>
        <w:rPr>
          <w:rFonts w:hint="eastAsia" w:ascii="宋体" w:hAnsi="宋体"/>
          <w:i w:val="0"/>
          <w:iCs/>
          <w:color w:val="auto"/>
          <w:sz w:val="24"/>
          <w:szCs w:val="24"/>
          <w:highlight w:val="none"/>
        </w:rPr>
        <w:t>其中：</w:t>
      </w:r>
      <w:r>
        <w:rPr>
          <w:rFonts w:hint="eastAsia" w:hAnsi="宋体"/>
          <w:i w:val="0"/>
          <w:iCs/>
          <w:color w:val="auto"/>
          <w:sz w:val="24"/>
          <w:szCs w:val="24"/>
          <w:highlight w:val="none"/>
          <w:u w:val="single"/>
        </w:rPr>
        <w:t>接受分包合同的企业</w:t>
      </w:r>
      <w:r>
        <w:rPr>
          <w:rFonts w:hint="eastAsia" w:ascii="宋体" w:hAnsi="宋体"/>
          <w:i w:val="0"/>
          <w:iCs/>
          <w:color w:val="auto"/>
          <w:sz w:val="24"/>
          <w:szCs w:val="24"/>
          <w:highlight w:val="none"/>
        </w:rPr>
        <w:t>中</w:t>
      </w:r>
      <w:r>
        <w:rPr>
          <w:rFonts w:hint="eastAsia" w:ascii="宋体" w:hAnsi="宋体"/>
          <w:i w:val="0"/>
          <w:iCs/>
          <w:color w:val="auto"/>
          <w:sz w:val="24"/>
          <w:highlight w:val="none"/>
          <w:u w:val="single"/>
        </w:rPr>
        <w:t>（某成员或部分成员</w:t>
      </w:r>
      <w:r>
        <w:rPr>
          <w:rFonts w:ascii="宋体" w:hAnsi="宋体"/>
          <w:i w:val="0"/>
          <w:iCs/>
          <w:color w:val="auto"/>
          <w:sz w:val="24"/>
          <w:highlight w:val="none"/>
          <w:u w:val="single"/>
        </w:rPr>
        <w:t>……</w:t>
      </w:r>
      <w:r>
        <w:rPr>
          <w:rFonts w:hint="eastAsia" w:ascii="宋体" w:hAnsi="宋体"/>
          <w:i w:val="0"/>
          <w:iCs/>
          <w:color w:val="auto"/>
          <w:sz w:val="24"/>
          <w:highlight w:val="none"/>
          <w:u w:val="single"/>
        </w:rPr>
        <w:t>全称）</w:t>
      </w:r>
      <w:r>
        <w:rPr>
          <w:rFonts w:hint="eastAsia" w:ascii="宋体" w:hAnsi="宋体"/>
          <w:i w:val="0"/>
          <w:iCs/>
          <w:color w:val="auto"/>
          <w:sz w:val="24"/>
          <w:highlight w:val="none"/>
        </w:rPr>
        <w:t>为中小微企业，将承担合同总金额</w:t>
      </w:r>
      <w:r>
        <w:rPr>
          <w:rFonts w:hint="eastAsia" w:ascii="宋体" w:hAnsi="宋体"/>
          <w:i w:val="0"/>
          <w:iCs/>
          <w:color w:val="auto"/>
          <w:sz w:val="24"/>
          <w:highlight w:val="none"/>
          <w:u w:val="single"/>
        </w:rPr>
        <w:t>不低于  %</w:t>
      </w:r>
      <w:r>
        <w:rPr>
          <w:rFonts w:hint="eastAsia" w:ascii="宋体" w:hAnsi="宋体"/>
          <w:i w:val="0"/>
          <w:iCs/>
          <w:color w:val="auto"/>
          <w:sz w:val="24"/>
          <w:highlight w:val="none"/>
        </w:rPr>
        <w:t>的工作内容（其中：小微企业承担合同总金额</w:t>
      </w:r>
      <w:r>
        <w:rPr>
          <w:rFonts w:hint="eastAsia" w:ascii="宋体" w:hAnsi="宋体"/>
          <w:i w:val="0"/>
          <w:iCs/>
          <w:color w:val="auto"/>
          <w:sz w:val="24"/>
          <w:highlight w:val="none"/>
          <w:u w:val="single"/>
        </w:rPr>
        <w:t>不低于   %</w:t>
      </w:r>
      <w:r>
        <w:rPr>
          <w:rFonts w:hint="eastAsia" w:ascii="宋体" w:hAnsi="宋体"/>
          <w:i w:val="0"/>
          <w:iCs/>
          <w:color w:val="auto"/>
          <w:sz w:val="24"/>
          <w:highlight w:val="none"/>
        </w:rPr>
        <w:t>的工作内容）。</w:t>
      </w:r>
      <w:r>
        <w:rPr>
          <w:rFonts w:hint="eastAsia" w:ascii="宋体" w:hAnsi="宋体"/>
          <w:i w:val="0"/>
          <w:iCs/>
          <w:color w:val="auto"/>
          <w:kern w:val="0"/>
          <w:sz w:val="24"/>
          <w:szCs w:val="24"/>
          <w:highlight w:val="none"/>
        </w:rPr>
        <w:t>我方确认，接受分包合同的中小微企业与我方之间不存在直接控股、管理关系。</w:t>
      </w:r>
      <w:r>
        <w:rPr>
          <w:rFonts w:hint="eastAsia" w:ascii="宋体" w:hAnsi="宋体"/>
          <w:b/>
          <w:i w:val="0"/>
          <w:iCs/>
          <w:color w:val="auto"/>
          <w:sz w:val="24"/>
          <w:highlight w:val="none"/>
        </w:rPr>
        <w:t>（接受分包合同企业中有中型、小型、微型企业时选用）。</w:t>
      </w:r>
    </w:p>
    <w:p>
      <w:pPr>
        <w:spacing w:line="360" w:lineRule="auto"/>
        <w:ind w:firstLine="480" w:firstLineChars="200"/>
        <w:rPr>
          <w:rFonts w:hint="eastAsia" w:ascii="宋体" w:hAnsi="宋体"/>
          <w:i w:val="0"/>
          <w:iCs/>
          <w:color w:val="auto"/>
          <w:sz w:val="24"/>
          <w:szCs w:val="24"/>
          <w:highlight w:val="none"/>
        </w:rPr>
      </w:pPr>
      <w:r>
        <w:rPr>
          <w:rFonts w:hint="eastAsia" w:ascii="宋体" w:hAnsi="宋体"/>
          <w:i w:val="0"/>
          <w:iCs/>
          <w:color w:val="auto"/>
          <w:sz w:val="24"/>
          <w:szCs w:val="24"/>
          <w:highlight w:val="none"/>
        </w:rPr>
        <w:t>其中：</w:t>
      </w:r>
      <w:r>
        <w:rPr>
          <w:rFonts w:hint="eastAsia" w:hAnsi="宋体"/>
          <w:i w:val="0"/>
          <w:iCs/>
          <w:color w:val="auto"/>
          <w:sz w:val="24"/>
          <w:szCs w:val="24"/>
          <w:highlight w:val="none"/>
          <w:u w:val="single"/>
        </w:rPr>
        <w:t>接受分包合同的企业</w:t>
      </w:r>
      <w:r>
        <w:rPr>
          <w:rFonts w:hint="eastAsia" w:ascii="宋体" w:hAnsi="宋体"/>
          <w:i w:val="0"/>
          <w:iCs/>
          <w:color w:val="auto"/>
          <w:sz w:val="24"/>
          <w:szCs w:val="24"/>
          <w:highlight w:val="none"/>
        </w:rPr>
        <w:t>中</w:t>
      </w:r>
      <w:r>
        <w:rPr>
          <w:rFonts w:hint="eastAsia" w:ascii="宋体" w:hAnsi="宋体"/>
          <w:i w:val="0"/>
          <w:iCs/>
          <w:color w:val="auto"/>
          <w:sz w:val="24"/>
          <w:highlight w:val="none"/>
          <w:u w:val="single"/>
        </w:rPr>
        <w:t>（某成员或部分成员</w:t>
      </w:r>
      <w:r>
        <w:rPr>
          <w:rFonts w:ascii="宋体" w:hAnsi="宋体"/>
          <w:i w:val="0"/>
          <w:iCs/>
          <w:color w:val="auto"/>
          <w:sz w:val="24"/>
          <w:highlight w:val="none"/>
          <w:u w:val="single"/>
        </w:rPr>
        <w:t>……</w:t>
      </w:r>
      <w:r>
        <w:rPr>
          <w:rFonts w:hint="eastAsia" w:ascii="宋体" w:hAnsi="宋体"/>
          <w:i w:val="0"/>
          <w:iCs/>
          <w:color w:val="auto"/>
          <w:sz w:val="24"/>
          <w:highlight w:val="none"/>
          <w:u w:val="single"/>
        </w:rPr>
        <w:t>全称）</w:t>
      </w:r>
      <w:r>
        <w:rPr>
          <w:rFonts w:hint="eastAsia" w:ascii="宋体" w:hAnsi="宋体"/>
          <w:i w:val="0"/>
          <w:iCs/>
          <w:color w:val="auto"/>
          <w:sz w:val="24"/>
          <w:highlight w:val="none"/>
        </w:rPr>
        <w:t>为小微企业，将承担合同总金额</w:t>
      </w:r>
      <w:r>
        <w:rPr>
          <w:rFonts w:hint="eastAsia" w:ascii="宋体" w:hAnsi="宋体"/>
          <w:i w:val="0"/>
          <w:iCs/>
          <w:color w:val="auto"/>
          <w:sz w:val="24"/>
          <w:highlight w:val="none"/>
          <w:u w:val="single"/>
        </w:rPr>
        <w:t>不低于  %</w:t>
      </w:r>
      <w:r>
        <w:rPr>
          <w:rFonts w:hint="eastAsia" w:ascii="宋体" w:hAnsi="宋体"/>
          <w:i w:val="0"/>
          <w:iCs/>
          <w:color w:val="auto"/>
          <w:sz w:val="24"/>
          <w:highlight w:val="none"/>
        </w:rPr>
        <w:t>的工作内容。</w:t>
      </w:r>
      <w:r>
        <w:rPr>
          <w:rFonts w:hint="eastAsia" w:ascii="宋体" w:hAnsi="宋体"/>
          <w:i w:val="0"/>
          <w:iCs/>
          <w:color w:val="auto"/>
          <w:kern w:val="0"/>
          <w:sz w:val="24"/>
          <w:szCs w:val="24"/>
          <w:highlight w:val="none"/>
        </w:rPr>
        <w:t>我方确认，接受分包合同的小微企业与我方之间不存在直接控股、管理关系。</w:t>
      </w:r>
      <w:r>
        <w:rPr>
          <w:rFonts w:hint="eastAsia" w:ascii="宋体" w:hAnsi="宋体"/>
          <w:b/>
          <w:i w:val="0"/>
          <w:iCs/>
          <w:color w:val="auto"/>
          <w:sz w:val="24"/>
          <w:highlight w:val="none"/>
        </w:rPr>
        <w:t>（接受分包合同企业中有小型、微型企业时选用）。</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具体内容中选后再详细商定，同时符合法律、法规规定的其他规定。</w:t>
      </w:r>
    </w:p>
    <w:p>
      <w:pPr>
        <w:spacing w:line="360" w:lineRule="auto"/>
        <w:ind w:firstLine="480" w:firstLineChars="200"/>
        <w:rPr>
          <w:rFonts w:hint="eastAsia" w:ascii="宋体" w:hAnsi="宋体"/>
          <w:b/>
          <w:color w:val="auto"/>
          <w:sz w:val="24"/>
          <w:szCs w:val="24"/>
          <w:highlight w:val="none"/>
        </w:rPr>
      </w:pPr>
      <w:r>
        <w:rPr>
          <w:rFonts w:hint="eastAsia" w:ascii="宋体" w:hAnsi="宋体"/>
          <w:color w:val="auto"/>
          <w:sz w:val="24"/>
          <w:szCs w:val="24"/>
          <w:highlight w:val="none"/>
        </w:rPr>
        <w:t>2.相关文件的盖章、签署（除招标文件有特别说明要求外）</w:t>
      </w:r>
    </w:p>
    <w:p>
      <w:pPr>
        <w:pStyle w:val="21"/>
        <w:spacing w:line="360" w:lineRule="auto"/>
        <w:ind w:firstLine="420"/>
        <w:rPr>
          <w:rFonts w:hint="eastAsia" w:hAnsi="宋体"/>
          <w:color w:val="auto"/>
          <w:sz w:val="24"/>
          <w:szCs w:val="24"/>
          <w:highlight w:val="none"/>
        </w:rPr>
      </w:pPr>
      <w:r>
        <w:rPr>
          <w:rFonts w:hint="eastAsia" w:hAnsi="宋体"/>
          <w:color w:val="auto"/>
          <w:sz w:val="24"/>
          <w:szCs w:val="24"/>
          <w:highlight w:val="none"/>
        </w:rPr>
        <w:t>我方代表所有接受分包合同企业参加采购活动，签署文件，提交和接收相关的资料、信息及指示，进行合同谈判活动，负责合同实施阶段的组织和协调工作，以及处理与本采购项目有关的一切事宜，并承担本项目的所有实施、管理及相关责任。我方及我方推选的授权代表负责在本项目投标中签署一切文件和处理的一切事宜。</w:t>
      </w:r>
    </w:p>
    <w:p>
      <w:pPr>
        <w:spacing w:line="360" w:lineRule="auto"/>
        <w:ind w:firstLine="480" w:firstLineChars="200"/>
        <w:rPr>
          <w:rFonts w:hint="eastAsia" w:ascii="宋体" w:hAnsi="宋体"/>
          <w:i w:val="0"/>
          <w:iCs/>
          <w:color w:val="auto"/>
          <w:sz w:val="24"/>
          <w:szCs w:val="24"/>
          <w:highlight w:val="none"/>
        </w:rPr>
      </w:pPr>
      <w:r>
        <w:rPr>
          <w:rFonts w:hint="eastAsia" w:ascii="宋体" w:hAnsi="宋体"/>
          <w:color w:val="auto"/>
          <w:sz w:val="24"/>
          <w:szCs w:val="24"/>
          <w:highlight w:val="none"/>
        </w:rPr>
        <w:t>我方及各</w:t>
      </w:r>
      <w:r>
        <w:rPr>
          <w:rFonts w:hint="eastAsia" w:hAnsi="宋体"/>
          <w:color w:val="auto"/>
          <w:sz w:val="24"/>
          <w:szCs w:val="24"/>
          <w:highlight w:val="none"/>
        </w:rPr>
        <w:t>接受分包合同企业</w:t>
      </w:r>
      <w:r>
        <w:rPr>
          <w:rFonts w:hint="eastAsia" w:ascii="宋体" w:hAnsi="宋体"/>
          <w:color w:val="auto"/>
          <w:sz w:val="24"/>
          <w:szCs w:val="24"/>
          <w:highlight w:val="none"/>
        </w:rPr>
        <w:t>单方签署、盖章确认的本项目响应文件及相关响应资料，我方均承认其法律效力，并对响应文件内容的真实性、合法性和完整性承担民事、行政、刑事责任。</w:t>
      </w:r>
    </w:p>
    <w:p>
      <w:pPr>
        <w:pStyle w:val="21"/>
        <w:spacing w:line="360" w:lineRule="auto"/>
        <w:ind w:firstLine="420"/>
        <w:rPr>
          <w:rFonts w:hint="eastAsia" w:hAnsi="宋体"/>
          <w:color w:val="auto"/>
          <w:sz w:val="24"/>
          <w:szCs w:val="24"/>
          <w:highlight w:val="none"/>
          <w:shd w:val="clear" w:color="auto" w:fill="FFFFFF"/>
        </w:rPr>
      </w:pPr>
      <w:r>
        <w:rPr>
          <w:rFonts w:hint="eastAsia" w:hAnsi="宋体"/>
          <w:i w:val="0"/>
          <w:iCs/>
          <w:color w:val="auto"/>
          <w:sz w:val="24"/>
          <w:szCs w:val="24"/>
          <w:highlight w:val="none"/>
        </w:rPr>
        <w:t>3.如中选，我方与</w:t>
      </w:r>
      <w:r>
        <w:rPr>
          <w:rFonts w:hint="eastAsia" w:hAnsi="宋体"/>
          <w:i w:val="0"/>
          <w:iCs/>
          <w:color w:val="auto"/>
          <w:sz w:val="24"/>
          <w:szCs w:val="24"/>
          <w:highlight w:val="none"/>
          <w:u w:val="single"/>
        </w:rPr>
        <w:t>(采购人名称)</w:t>
      </w:r>
      <w:r>
        <w:rPr>
          <w:rFonts w:hint="eastAsia" w:hAnsi="宋体"/>
          <w:i w:val="0"/>
          <w:iCs/>
          <w:color w:val="auto"/>
          <w:sz w:val="24"/>
          <w:szCs w:val="24"/>
          <w:highlight w:val="none"/>
        </w:rPr>
        <w:t>签订</w:t>
      </w:r>
      <w:r>
        <w:rPr>
          <w:rFonts w:hint="eastAsia" w:hAnsi="宋体"/>
          <w:color w:val="auto"/>
          <w:sz w:val="24"/>
          <w:szCs w:val="24"/>
          <w:highlight w:val="none"/>
        </w:rPr>
        <w:t>合同书，各接受分包合同企业与我方分别签订分包合同。</w:t>
      </w:r>
      <w:r>
        <w:rPr>
          <w:rFonts w:hint="eastAsia" w:hAnsi="宋体"/>
          <w:color w:val="auto"/>
          <w:sz w:val="24"/>
          <w:szCs w:val="24"/>
          <w:highlight w:val="none"/>
          <w:shd w:val="clear" w:color="auto" w:fill="FFFFFF"/>
        </w:rPr>
        <w:t>我方就采购项目（含分包项目）向采购人负责。</w:t>
      </w:r>
    </w:p>
    <w:p>
      <w:pPr>
        <w:spacing w:line="360" w:lineRule="auto"/>
        <w:ind w:firstLine="405"/>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4.我方及</w:t>
      </w:r>
      <w:r>
        <w:rPr>
          <w:rFonts w:hint="eastAsia" w:hAnsi="宋体"/>
          <w:color w:val="auto"/>
          <w:sz w:val="24"/>
          <w:szCs w:val="24"/>
          <w:highlight w:val="none"/>
        </w:rPr>
        <w:t>接受分包合同企业</w:t>
      </w:r>
      <w:r>
        <w:rPr>
          <w:rFonts w:hint="eastAsia" w:ascii="宋体" w:hAnsi="宋体"/>
          <w:color w:val="auto"/>
          <w:sz w:val="24"/>
          <w:szCs w:val="24"/>
          <w:highlight w:val="none"/>
          <w:shd w:val="clear" w:color="auto" w:fill="FFFFFF"/>
        </w:rPr>
        <w:t>不得再以自己名义单独或加入其他供应商参加本项目（同一采购包）的投标。</w:t>
      </w:r>
    </w:p>
    <w:p>
      <w:pPr>
        <w:spacing w:line="360" w:lineRule="auto"/>
        <w:ind w:firstLine="405"/>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5.我方（及接受分包合同的企业）如因违约过失责任而导致采购人经济损失或被索赔时，我方同意无条件优先清偿采购人的一切债务和经济赔偿。</w:t>
      </w:r>
    </w:p>
    <w:p>
      <w:pPr>
        <w:spacing w:line="360" w:lineRule="auto"/>
        <w:ind w:firstLine="405"/>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6.本协议在自签署之日起生效，投标有效期内有效，如获中标资格，合同有效期延续至合同履行完毕之日。</w:t>
      </w:r>
    </w:p>
    <w:p>
      <w:pPr>
        <w:spacing w:line="360" w:lineRule="auto"/>
        <w:ind w:firstLine="405"/>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7.本协议书正本一式</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份，随投标文件装订</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份，送采购人</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份，分包单位成员各一份；副本一式</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份，各成员各执</w:t>
      </w:r>
      <w:r>
        <w:rPr>
          <w:rFonts w:hint="eastAsia" w:ascii="宋体" w:hAnsi="宋体"/>
          <w:color w:val="auto"/>
          <w:sz w:val="24"/>
          <w:szCs w:val="24"/>
          <w:highlight w:val="none"/>
          <w:u w:val="single"/>
          <w:shd w:val="clear" w:color="auto" w:fill="FFFFFF"/>
        </w:rPr>
        <w:t xml:space="preserve">   </w:t>
      </w:r>
      <w:r>
        <w:rPr>
          <w:rFonts w:hint="eastAsia" w:ascii="宋体" w:hAnsi="宋体"/>
          <w:color w:val="auto"/>
          <w:sz w:val="24"/>
          <w:szCs w:val="24"/>
          <w:highlight w:val="none"/>
          <w:shd w:val="clear" w:color="auto" w:fill="FFFFFF"/>
        </w:rPr>
        <w:t>份。</w:t>
      </w:r>
    </w:p>
    <w:p>
      <w:pPr>
        <w:spacing w:line="360" w:lineRule="auto"/>
        <w:ind w:firstLine="405"/>
        <w:rPr>
          <w:rFonts w:hint="eastAsia" w:ascii="宋体" w:hAnsi="宋体"/>
          <w:color w:val="auto"/>
          <w:sz w:val="24"/>
          <w:szCs w:val="24"/>
          <w:highlight w:val="none"/>
        </w:rPr>
      </w:pPr>
      <w:r>
        <w:rPr>
          <w:rFonts w:hint="eastAsia" w:ascii="宋体" w:hAnsi="宋体"/>
          <w:b/>
          <w:color w:val="auto"/>
          <w:sz w:val="24"/>
          <w:szCs w:val="24"/>
          <w:highlight w:val="none"/>
        </w:rPr>
        <w:t>本《分包意向协议》同时作为各成员的法人证明书和法人授权委托书（附</w:t>
      </w:r>
      <w:r>
        <w:rPr>
          <w:rFonts w:hint="eastAsia" w:ascii="宋体" w:hAnsi="宋体"/>
          <w:b/>
          <w:bCs/>
          <w:color w:val="auto"/>
          <w:sz w:val="24"/>
          <w:szCs w:val="24"/>
          <w:highlight w:val="none"/>
        </w:rPr>
        <w:t>各成员法定代表人（最高负责人）身份证明、共同推选的授权代表身份证明</w:t>
      </w:r>
      <w:r>
        <w:rPr>
          <w:rFonts w:hint="eastAsia" w:ascii="宋体" w:hAnsi="宋体"/>
          <w:b/>
          <w:color w:val="auto"/>
          <w:sz w:val="24"/>
          <w:szCs w:val="24"/>
          <w:highlight w:val="none"/>
        </w:rPr>
        <w:t>）。</w:t>
      </w:r>
    </w:p>
    <w:p>
      <w:pPr>
        <w:pStyle w:val="21"/>
        <w:spacing w:line="360" w:lineRule="auto"/>
        <w:rPr>
          <w:rFonts w:hint="eastAsia" w:hAnsi="宋体"/>
          <w:color w:val="auto"/>
          <w:sz w:val="24"/>
          <w:szCs w:val="24"/>
          <w:highlight w:val="none"/>
        </w:rPr>
      </w:pPr>
    </w:p>
    <w:p>
      <w:pPr>
        <w:widowControl/>
        <w:spacing w:line="360" w:lineRule="auto"/>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投标供应商全称（加盖公章）：</w:t>
      </w:r>
      <w:r>
        <w:rPr>
          <w:rFonts w:hint="eastAsia" w:ascii="宋体" w:hAnsi="宋体"/>
          <w:color w:val="auto"/>
          <w:kern w:val="0"/>
          <w:sz w:val="24"/>
          <w:szCs w:val="24"/>
          <w:highlight w:val="none"/>
          <w:u w:val="single"/>
        </w:rPr>
        <w:t xml:space="preserve">                    </w:t>
      </w:r>
    </w:p>
    <w:p>
      <w:pPr>
        <w:widowControl/>
        <w:spacing w:line="360" w:lineRule="auto"/>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法定代表人（签字或盖章）：</w:t>
      </w:r>
      <w:r>
        <w:rPr>
          <w:rFonts w:hint="eastAsia" w:ascii="宋体" w:hAnsi="宋体"/>
          <w:color w:val="auto"/>
          <w:kern w:val="0"/>
          <w:sz w:val="24"/>
          <w:szCs w:val="24"/>
          <w:highlight w:val="none"/>
          <w:u w:val="single"/>
        </w:rPr>
        <w:t xml:space="preserve">                  </w:t>
      </w:r>
    </w:p>
    <w:p>
      <w:pPr>
        <w:widowControl/>
        <w:spacing w:line="360" w:lineRule="auto"/>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签署日期：        年    月    日</w:t>
      </w:r>
    </w:p>
    <w:p>
      <w:pPr>
        <w:widowControl/>
        <w:spacing w:line="360" w:lineRule="auto"/>
        <w:jc w:val="left"/>
        <w:rPr>
          <w:rFonts w:hint="eastAsia" w:ascii="宋体" w:hAnsi="宋体"/>
          <w:color w:val="auto"/>
          <w:kern w:val="0"/>
          <w:sz w:val="24"/>
          <w:szCs w:val="24"/>
          <w:highlight w:val="none"/>
        </w:rPr>
      </w:pPr>
    </w:p>
    <w:p>
      <w:pPr>
        <w:widowControl/>
        <w:spacing w:line="360" w:lineRule="auto"/>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接受分包合同的企业1全称（加盖公章）：</w:t>
      </w:r>
      <w:r>
        <w:rPr>
          <w:rFonts w:hint="eastAsia" w:ascii="宋体" w:hAnsi="宋体"/>
          <w:color w:val="auto"/>
          <w:kern w:val="0"/>
          <w:sz w:val="24"/>
          <w:szCs w:val="24"/>
          <w:highlight w:val="none"/>
          <w:u w:val="single"/>
        </w:rPr>
        <w:t xml:space="preserve">                    </w:t>
      </w:r>
    </w:p>
    <w:p>
      <w:pPr>
        <w:widowControl/>
        <w:spacing w:line="360" w:lineRule="auto"/>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法定代表人（签字或盖章）：</w:t>
      </w:r>
      <w:r>
        <w:rPr>
          <w:rFonts w:hint="eastAsia" w:ascii="宋体" w:hAnsi="宋体"/>
          <w:color w:val="auto"/>
          <w:kern w:val="0"/>
          <w:sz w:val="24"/>
          <w:szCs w:val="24"/>
          <w:highlight w:val="none"/>
          <w:u w:val="single"/>
        </w:rPr>
        <w:t xml:space="preserve">                  </w:t>
      </w:r>
    </w:p>
    <w:p>
      <w:pPr>
        <w:widowControl/>
        <w:spacing w:line="360" w:lineRule="auto"/>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签署日期：        年    月    日</w:t>
      </w:r>
    </w:p>
    <w:p>
      <w:pPr>
        <w:widowControl/>
        <w:spacing w:line="360" w:lineRule="auto"/>
        <w:jc w:val="left"/>
        <w:rPr>
          <w:rFonts w:hint="eastAsia" w:ascii="宋体" w:hAnsi="宋体"/>
          <w:color w:val="auto"/>
          <w:kern w:val="0"/>
          <w:sz w:val="24"/>
          <w:szCs w:val="24"/>
          <w:highlight w:val="none"/>
        </w:rPr>
      </w:pPr>
      <w:r>
        <w:rPr>
          <w:rFonts w:ascii="宋体" w:hAnsi="宋体"/>
          <w:color w:val="auto"/>
          <w:kern w:val="0"/>
          <w:sz w:val="24"/>
          <w:szCs w:val="24"/>
          <w:highlight w:val="none"/>
        </w:rPr>
        <w:t>……</w:t>
      </w:r>
    </w:p>
    <w:p>
      <w:pPr>
        <w:widowControl/>
        <w:spacing w:line="360" w:lineRule="auto"/>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接受分包合同的企业</w:t>
      </w:r>
      <w:r>
        <w:rPr>
          <w:rFonts w:ascii="宋体" w:hAnsi="宋体"/>
          <w:color w:val="auto"/>
          <w:kern w:val="0"/>
          <w:sz w:val="24"/>
          <w:szCs w:val="24"/>
          <w:highlight w:val="none"/>
        </w:rPr>
        <w:t>…</w:t>
      </w:r>
      <w:r>
        <w:rPr>
          <w:rFonts w:hint="eastAsia" w:ascii="宋体" w:hAnsi="宋体"/>
          <w:color w:val="auto"/>
          <w:kern w:val="0"/>
          <w:sz w:val="24"/>
          <w:szCs w:val="24"/>
          <w:highlight w:val="none"/>
        </w:rPr>
        <w:t>全称（加盖公章）：</w:t>
      </w:r>
      <w:r>
        <w:rPr>
          <w:rFonts w:hint="eastAsia" w:ascii="宋体" w:hAnsi="宋体"/>
          <w:color w:val="auto"/>
          <w:kern w:val="0"/>
          <w:sz w:val="24"/>
          <w:szCs w:val="24"/>
          <w:highlight w:val="none"/>
          <w:u w:val="single"/>
        </w:rPr>
        <w:t xml:space="preserve">                  </w:t>
      </w:r>
    </w:p>
    <w:p>
      <w:pPr>
        <w:widowControl/>
        <w:spacing w:line="360" w:lineRule="auto"/>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法定代表人（签字或盖章）：</w:t>
      </w:r>
      <w:r>
        <w:rPr>
          <w:rFonts w:hint="eastAsia" w:ascii="宋体" w:hAnsi="宋体"/>
          <w:color w:val="auto"/>
          <w:kern w:val="0"/>
          <w:sz w:val="24"/>
          <w:szCs w:val="24"/>
          <w:highlight w:val="none"/>
          <w:u w:val="single"/>
        </w:rPr>
        <w:t xml:space="preserve">                  </w:t>
      </w:r>
    </w:p>
    <w:p>
      <w:pPr>
        <w:widowControl/>
        <w:spacing w:line="360" w:lineRule="auto"/>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签署日期：        年    月    日</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附：各成员法定代表人（最高负责人）身份证件扫描件或复印件（分别提供）</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22" w:type="dxa"/>
            <w:vAlign w:val="center"/>
          </w:tcPr>
          <w:p>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身份证件（正反面）扫描件或粘贴复印件</w:t>
            </w:r>
          </w:p>
        </w:tc>
      </w:tr>
    </w:tbl>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附：共同推选的授权代表（授权代表姓名）身份证件扫描件或复印件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22" w:type="dxa"/>
            <w:vAlign w:val="center"/>
          </w:tcPr>
          <w:p>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身份证件（正反面）扫描件或粘贴复印件</w:t>
            </w:r>
          </w:p>
        </w:tc>
      </w:tr>
    </w:tbl>
    <w:p>
      <w:pPr>
        <w:ind w:left="708" w:hanging="708" w:hangingChars="294"/>
        <w:rPr>
          <w:rFonts w:hint="eastAsia" w:ascii="宋体" w:hAnsi="宋体"/>
          <w:b/>
          <w:color w:val="auto"/>
          <w:sz w:val="24"/>
          <w:szCs w:val="24"/>
          <w:highlight w:val="none"/>
        </w:rPr>
      </w:pPr>
      <w:r>
        <w:rPr>
          <w:rFonts w:hint="eastAsia" w:ascii="宋体" w:hAnsi="宋体"/>
          <w:b/>
          <w:color w:val="auto"/>
          <w:sz w:val="24"/>
          <w:szCs w:val="24"/>
          <w:highlight w:val="none"/>
        </w:rPr>
        <w:t>备注：</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1.以合同分包形式投标时需提供本协议，各方成员应在本协议上共同盖章、签署确认。</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2.本协议关键内容不得擅自修改。此协议将作为签订合同的附件之一。可选内容选定后可以删除多余内容。</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3.投标文件除特别说明的格式及本《分包意向协议》外，均可以按本协议约定的方式进行盖章、签署。</w:t>
      </w:r>
    </w:p>
    <w:p>
      <w:pPr>
        <w:rPr>
          <w:color w:val="auto"/>
          <w:highlight w:val="none"/>
        </w:rPr>
      </w:pPr>
    </w:p>
    <w:p>
      <w:pPr>
        <w:pStyle w:val="16"/>
        <w:rPr>
          <w:color w:val="auto"/>
          <w:highlight w:val="none"/>
        </w:rPr>
      </w:pPr>
    </w:p>
    <w:p>
      <w:pPr>
        <w:widowControl/>
        <w:jc w:val="left"/>
        <w:rPr>
          <w:rFonts w:asciiTheme="minorEastAsia" w:hAnsiTheme="minorEastAsia" w:eastAsiaTheme="minorEastAsia"/>
          <w:b/>
          <w:bCs/>
          <w:color w:val="auto"/>
          <w:sz w:val="24"/>
          <w:szCs w:val="24"/>
          <w:highlight w:val="none"/>
          <w:lang w:val="en-GB"/>
        </w:rPr>
      </w:pPr>
      <w:r>
        <w:rPr>
          <w:rFonts w:asciiTheme="minorEastAsia" w:hAnsiTheme="minorEastAsia" w:eastAsiaTheme="minorEastAsia"/>
          <w:color w:val="auto"/>
          <w:sz w:val="24"/>
          <w:szCs w:val="24"/>
          <w:highlight w:val="none"/>
        </w:rPr>
        <w:br w:type="page"/>
      </w:r>
      <w:bookmarkStart w:id="35" w:name="_Toc435515314"/>
      <w:bookmarkStart w:id="36" w:name="_Toc435514874"/>
      <w:r>
        <w:rPr>
          <w:rFonts w:hint="eastAsia" w:cs="宋体" w:asciiTheme="minorEastAsia" w:hAnsiTheme="minorEastAsia" w:eastAsiaTheme="minorEastAsia"/>
          <w:b/>
          <w:bCs/>
          <w:color w:val="auto"/>
          <w:sz w:val="24"/>
          <w:szCs w:val="24"/>
          <w:highlight w:val="none"/>
          <w:lang w:val="en-GB"/>
        </w:rPr>
        <w:t>附件</w:t>
      </w:r>
      <w:r>
        <w:rPr>
          <w:rFonts w:cs="宋体" w:asciiTheme="minorEastAsia" w:hAnsiTheme="minorEastAsia" w:eastAsiaTheme="minorEastAsia"/>
          <w:b/>
          <w:bCs/>
          <w:color w:val="auto"/>
          <w:sz w:val="24"/>
          <w:szCs w:val="24"/>
          <w:highlight w:val="none"/>
          <w:lang w:val="en-GB"/>
        </w:rPr>
        <w:t>:</w:t>
      </w: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r>
        <w:rPr>
          <w:rFonts w:hint="eastAsia" w:cs="黑体" w:asciiTheme="minorEastAsia" w:hAnsiTheme="minorEastAsia" w:eastAsiaTheme="minorEastAsia"/>
          <w:color w:val="auto"/>
          <w:highlight w:val="none"/>
        </w:rPr>
        <w:t>政策适用性说明（如有）</w:t>
      </w:r>
      <w:bookmarkEnd w:id="35"/>
      <w:bookmarkEnd w:id="36"/>
    </w:p>
    <w:p>
      <w:pPr>
        <w:autoSpaceDE w:val="0"/>
        <w:autoSpaceDN w:val="0"/>
        <w:adjustRightInd w:val="0"/>
        <w:jc w:val="left"/>
        <w:rPr>
          <w:rFonts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按照政府采购有关政策的要求，在本次投标中，采用符合</w:t>
      </w:r>
      <w:r>
        <w:rPr>
          <w:rFonts w:hint="eastAsia" w:cs="宋体" w:asciiTheme="minorEastAsia" w:hAnsiTheme="minorEastAsia" w:eastAsiaTheme="minorEastAsia"/>
          <w:color w:val="auto"/>
          <w:sz w:val="24"/>
          <w:szCs w:val="24"/>
          <w:highlight w:val="none"/>
        </w:rPr>
        <w:t>如下</w:t>
      </w:r>
      <w:r>
        <w:rPr>
          <w:rFonts w:hint="eastAsia" w:cs="宋体" w:asciiTheme="minorEastAsia" w:hAnsiTheme="minorEastAsia" w:eastAsiaTheme="minorEastAsia"/>
          <w:color w:val="auto"/>
          <w:sz w:val="24"/>
          <w:szCs w:val="24"/>
          <w:highlight w:val="none"/>
          <w:lang w:val="en-GB"/>
        </w:rPr>
        <w:t>政策，介绍说明如下：</w:t>
      </w:r>
    </w:p>
    <w:tbl>
      <w:tblPr>
        <w:tblStyle w:val="3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926"/>
        <w:gridCol w:w="1050"/>
        <w:gridCol w:w="1418"/>
        <w:gridCol w:w="1843"/>
        <w:gridCol w:w="56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3" w:type="dxa"/>
            <w:vMerge w:val="restart"/>
            <w:vAlign w:val="center"/>
          </w:tcPr>
          <w:p>
            <w:pPr>
              <w:tabs>
                <w:tab w:val="left" w:pos="1260"/>
              </w:tabs>
              <w:ind w:left="-86" w:leftChars="-41" w:right="-71" w:rightChars="-34"/>
              <w:jc w:val="center"/>
              <w:rPr>
                <w:rFonts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b/>
                <w:bCs/>
                <w:color w:val="auto"/>
                <w:sz w:val="24"/>
                <w:szCs w:val="24"/>
                <w:highlight w:val="none"/>
              </w:rPr>
              <w:t>节能产品</w:t>
            </w:r>
          </w:p>
        </w:tc>
        <w:tc>
          <w:tcPr>
            <w:tcW w:w="1926" w:type="dxa"/>
            <w:vAlign w:val="center"/>
          </w:tcPr>
          <w:p>
            <w:pPr>
              <w:tabs>
                <w:tab w:val="left" w:pos="1260"/>
              </w:tabs>
              <w:ind w:left="-86" w:leftChars="-41" w:right="-71" w:rightChars="-34"/>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产品名称</w:t>
            </w:r>
          </w:p>
          <w:p>
            <w:pPr>
              <w:tabs>
                <w:tab w:val="left" w:pos="1260"/>
              </w:tabs>
              <w:ind w:left="-86" w:leftChars="-41" w:right="-71" w:rightChars="-34"/>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（品牌、型号）</w:t>
            </w:r>
          </w:p>
        </w:tc>
        <w:tc>
          <w:tcPr>
            <w:tcW w:w="1050" w:type="dxa"/>
            <w:vAlign w:val="center"/>
          </w:tcPr>
          <w:p>
            <w:pPr>
              <w:tabs>
                <w:tab w:val="left" w:pos="1260"/>
              </w:tabs>
              <w:ind w:left="-86" w:leftChars="-41" w:right="-71" w:rightChars="-34"/>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制造商</w:t>
            </w:r>
          </w:p>
        </w:tc>
        <w:tc>
          <w:tcPr>
            <w:tcW w:w="1418" w:type="dxa"/>
            <w:vAlign w:val="center"/>
          </w:tcPr>
          <w:p>
            <w:pPr>
              <w:tabs>
                <w:tab w:val="left" w:pos="1260"/>
              </w:tabs>
              <w:ind w:left="-86" w:leftChars="-41" w:right="-71" w:rightChars="-34"/>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认证证书编号</w:t>
            </w:r>
          </w:p>
        </w:tc>
        <w:tc>
          <w:tcPr>
            <w:tcW w:w="1843" w:type="dxa"/>
            <w:vAlign w:val="center"/>
          </w:tcPr>
          <w:p>
            <w:pPr>
              <w:tabs>
                <w:tab w:val="left" w:pos="1260"/>
              </w:tabs>
              <w:ind w:right="-71" w:rightChars="-34"/>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清</w:t>
            </w:r>
            <w:r>
              <w:rPr>
                <w:rFonts w:cs="宋体" w:asciiTheme="minorEastAsia" w:hAnsiTheme="minorEastAsia" w:eastAsiaTheme="minorEastAsia"/>
                <w:b/>
                <w:bCs/>
                <w:color w:val="auto"/>
                <w:sz w:val="24"/>
                <w:szCs w:val="24"/>
                <w:highlight w:val="none"/>
                <w:lang w:val="en-GB"/>
              </w:rPr>
              <w:t xml:space="preserve"> </w:t>
            </w:r>
            <w:r>
              <w:rPr>
                <w:rFonts w:hint="eastAsia" w:cs="宋体" w:asciiTheme="minorEastAsia" w:hAnsiTheme="minorEastAsia" w:eastAsiaTheme="minorEastAsia"/>
                <w:b/>
                <w:bCs/>
                <w:color w:val="auto"/>
                <w:sz w:val="24"/>
                <w:szCs w:val="24"/>
                <w:highlight w:val="none"/>
                <w:lang w:val="en-GB"/>
              </w:rPr>
              <w:t>单</w:t>
            </w:r>
          </w:p>
        </w:tc>
        <w:tc>
          <w:tcPr>
            <w:tcW w:w="567" w:type="dxa"/>
            <w:vAlign w:val="center"/>
          </w:tcPr>
          <w:p>
            <w:pPr>
              <w:tabs>
                <w:tab w:val="left" w:pos="1260"/>
              </w:tabs>
              <w:ind w:left="-86" w:leftChars="-41" w:right="-71" w:rightChars="-34"/>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金额</w:t>
            </w:r>
          </w:p>
        </w:tc>
        <w:tc>
          <w:tcPr>
            <w:tcW w:w="1353" w:type="dxa"/>
            <w:vAlign w:val="center"/>
          </w:tcPr>
          <w:p>
            <w:pPr>
              <w:tabs>
                <w:tab w:val="left" w:pos="1260"/>
              </w:tabs>
              <w:ind w:left="-86" w:leftChars="-41" w:right="-71" w:rightChars="-34"/>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金额占总报价比重（累计</w:t>
            </w:r>
            <w:r>
              <w:rPr>
                <w:rFonts w:cs="宋体" w:asciiTheme="minorEastAsia" w:hAnsiTheme="minorEastAsia" w:eastAsiaTheme="minorEastAsia"/>
                <w:b/>
                <w:bCs/>
                <w:color w:val="auto"/>
                <w:sz w:val="24"/>
                <w:szCs w:val="24"/>
                <w:highlight w:val="none"/>
                <w:lang w:val="en-GB"/>
              </w:rPr>
              <w:t xml:space="preserve"> %</w:t>
            </w:r>
            <w:r>
              <w:rPr>
                <w:rFonts w:hint="eastAsia" w:cs="宋体" w:asciiTheme="minorEastAsia" w:hAnsiTheme="minorEastAsia" w:eastAsiaTheme="minorEastAsia"/>
                <w:b/>
                <w:bCs/>
                <w:color w:val="auto"/>
                <w:sz w:val="24"/>
                <w:szCs w:val="24"/>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auto"/>
                <w:sz w:val="24"/>
                <w:szCs w:val="24"/>
                <w:highlight w:val="none"/>
                <w:lang w:val="en-GB"/>
              </w:rPr>
            </w:pPr>
          </w:p>
        </w:tc>
        <w:tc>
          <w:tcPr>
            <w:tcW w:w="1926"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050"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418"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第</w:t>
            </w:r>
            <w:r>
              <w:rPr>
                <w:rFonts w:hint="eastAsia" w:cs="宋体" w:asciiTheme="minorEastAsia" w:hAnsiTheme="minorEastAsia" w:eastAsiaTheme="minorEastAsia"/>
                <w:color w:val="auto"/>
                <w:sz w:val="24"/>
                <w:szCs w:val="24"/>
                <w:highlight w:val="none"/>
                <w:u w:val="single"/>
                <w:lang w:val="en-GB"/>
              </w:rPr>
              <w:t>　</w:t>
            </w:r>
            <w:r>
              <w:rPr>
                <w:rFonts w:hint="eastAsia" w:cs="宋体" w:asciiTheme="minorEastAsia" w:hAnsiTheme="minorEastAsia" w:eastAsiaTheme="minorEastAsia"/>
                <w:color w:val="auto"/>
                <w:sz w:val="24"/>
                <w:szCs w:val="24"/>
                <w:highlight w:val="none"/>
                <w:lang w:val="en-GB"/>
              </w:rPr>
              <w:t>期清单（如有）</w:t>
            </w:r>
          </w:p>
        </w:tc>
        <w:tc>
          <w:tcPr>
            <w:tcW w:w="567"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353"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auto"/>
                <w:sz w:val="24"/>
                <w:szCs w:val="24"/>
                <w:highlight w:val="none"/>
                <w:lang w:val="en-GB"/>
              </w:rPr>
            </w:pPr>
          </w:p>
        </w:tc>
        <w:tc>
          <w:tcPr>
            <w:tcW w:w="1926"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050"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418"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第</w:t>
            </w:r>
            <w:r>
              <w:rPr>
                <w:rFonts w:hint="eastAsia" w:cs="宋体" w:asciiTheme="minorEastAsia" w:hAnsiTheme="minorEastAsia" w:eastAsiaTheme="minorEastAsia"/>
                <w:color w:val="auto"/>
                <w:sz w:val="24"/>
                <w:szCs w:val="24"/>
                <w:highlight w:val="none"/>
                <w:u w:val="single"/>
                <w:lang w:val="en-GB"/>
              </w:rPr>
              <w:t>　</w:t>
            </w:r>
            <w:r>
              <w:rPr>
                <w:rFonts w:hint="eastAsia" w:cs="宋体" w:asciiTheme="minorEastAsia" w:hAnsiTheme="minorEastAsia" w:eastAsiaTheme="minorEastAsia"/>
                <w:color w:val="auto"/>
                <w:sz w:val="24"/>
                <w:szCs w:val="24"/>
                <w:highlight w:val="none"/>
                <w:lang w:val="en-GB"/>
              </w:rPr>
              <w:t>期清单（如有）</w:t>
            </w:r>
          </w:p>
        </w:tc>
        <w:tc>
          <w:tcPr>
            <w:tcW w:w="567"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353"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auto"/>
                <w:sz w:val="24"/>
                <w:szCs w:val="24"/>
                <w:highlight w:val="none"/>
                <w:lang w:val="en-GB"/>
              </w:rPr>
            </w:pPr>
          </w:p>
        </w:tc>
        <w:tc>
          <w:tcPr>
            <w:tcW w:w="6237" w:type="dxa"/>
            <w:gridSpan w:val="4"/>
            <w:vAlign w:val="center"/>
          </w:tcPr>
          <w:p>
            <w:pPr>
              <w:tabs>
                <w:tab w:val="left" w:pos="1260"/>
              </w:tabs>
              <w:jc w:val="center"/>
              <w:rPr>
                <w:rFonts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合计</w:t>
            </w:r>
          </w:p>
        </w:tc>
        <w:tc>
          <w:tcPr>
            <w:tcW w:w="567"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353"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restart"/>
            <w:vAlign w:val="center"/>
          </w:tcPr>
          <w:p>
            <w:pPr>
              <w:tabs>
                <w:tab w:val="left" w:pos="1260"/>
              </w:tabs>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rPr>
              <w:t>环境保护标志产品</w:t>
            </w:r>
          </w:p>
        </w:tc>
        <w:tc>
          <w:tcPr>
            <w:tcW w:w="1926"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050"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418"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第</w:t>
            </w:r>
            <w:r>
              <w:rPr>
                <w:rFonts w:hint="eastAsia" w:cs="宋体" w:asciiTheme="minorEastAsia" w:hAnsiTheme="minorEastAsia" w:eastAsiaTheme="minorEastAsia"/>
                <w:color w:val="auto"/>
                <w:sz w:val="24"/>
                <w:szCs w:val="24"/>
                <w:highlight w:val="none"/>
                <w:u w:val="single"/>
                <w:lang w:val="en-GB"/>
              </w:rPr>
              <w:t>　</w:t>
            </w:r>
            <w:r>
              <w:rPr>
                <w:rFonts w:hint="eastAsia" w:cs="宋体" w:asciiTheme="minorEastAsia" w:hAnsiTheme="minorEastAsia" w:eastAsiaTheme="minorEastAsia"/>
                <w:color w:val="auto"/>
                <w:sz w:val="24"/>
                <w:szCs w:val="24"/>
                <w:highlight w:val="none"/>
                <w:lang w:val="en-GB"/>
              </w:rPr>
              <w:t>期清单（如有）</w:t>
            </w:r>
          </w:p>
        </w:tc>
        <w:tc>
          <w:tcPr>
            <w:tcW w:w="567"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353"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auto"/>
                <w:sz w:val="24"/>
                <w:szCs w:val="24"/>
                <w:highlight w:val="none"/>
                <w:lang w:val="en-GB"/>
              </w:rPr>
            </w:pPr>
          </w:p>
        </w:tc>
        <w:tc>
          <w:tcPr>
            <w:tcW w:w="1926"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050"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418"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843" w:type="dxa"/>
            <w:vAlign w:val="center"/>
          </w:tcPr>
          <w:p>
            <w:pPr>
              <w:tabs>
                <w:tab w:val="left" w:pos="1260"/>
              </w:tabs>
              <w:ind w:left="-105" w:leftChars="-50" w:right="-105" w:rightChars="-50"/>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第</w:t>
            </w:r>
            <w:r>
              <w:rPr>
                <w:rFonts w:hint="eastAsia" w:cs="宋体" w:asciiTheme="minorEastAsia" w:hAnsiTheme="minorEastAsia" w:eastAsiaTheme="minorEastAsia"/>
                <w:color w:val="auto"/>
                <w:sz w:val="24"/>
                <w:szCs w:val="24"/>
                <w:highlight w:val="none"/>
                <w:u w:val="single"/>
                <w:lang w:val="en-GB"/>
              </w:rPr>
              <w:t>　</w:t>
            </w:r>
            <w:r>
              <w:rPr>
                <w:rFonts w:hint="eastAsia" w:cs="宋体" w:asciiTheme="minorEastAsia" w:hAnsiTheme="minorEastAsia" w:eastAsiaTheme="minorEastAsia"/>
                <w:color w:val="auto"/>
                <w:sz w:val="24"/>
                <w:szCs w:val="24"/>
                <w:highlight w:val="none"/>
                <w:lang w:val="en-GB"/>
              </w:rPr>
              <w:t>期清单（如有）</w:t>
            </w:r>
          </w:p>
        </w:tc>
        <w:tc>
          <w:tcPr>
            <w:tcW w:w="567"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353"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Merge w:val="continue"/>
            <w:vAlign w:val="center"/>
          </w:tcPr>
          <w:p>
            <w:pPr>
              <w:tabs>
                <w:tab w:val="left" w:pos="1260"/>
              </w:tabs>
              <w:rPr>
                <w:rFonts w:asciiTheme="minorEastAsia" w:hAnsiTheme="minorEastAsia" w:eastAsiaTheme="minorEastAsia"/>
                <w:b/>
                <w:bCs/>
                <w:color w:val="auto"/>
                <w:sz w:val="24"/>
                <w:szCs w:val="24"/>
                <w:highlight w:val="none"/>
                <w:lang w:val="en-GB"/>
              </w:rPr>
            </w:pPr>
          </w:p>
        </w:tc>
        <w:tc>
          <w:tcPr>
            <w:tcW w:w="6237" w:type="dxa"/>
            <w:gridSpan w:val="4"/>
            <w:vAlign w:val="center"/>
          </w:tcPr>
          <w:p>
            <w:pPr>
              <w:tabs>
                <w:tab w:val="left" w:pos="1260"/>
              </w:tabs>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合计</w:t>
            </w:r>
          </w:p>
        </w:tc>
        <w:tc>
          <w:tcPr>
            <w:tcW w:w="567"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c>
          <w:tcPr>
            <w:tcW w:w="1353" w:type="dxa"/>
            <w:vAlign w:val="center"/>
          </w:tcPr>
          <w:p>
            <w:pPr>
              <w:tabs>
                <w:tab w:val="left" w:pos="1260"/>
              </w:tabs>
              <w:jc w:val="center"/>
              <w:rPr>
                <w:rFonts w:asciiTheme="minorEastAsia" w:hAnsiTheme="minorEastAsia" w:eastAsiaTheme="minorEastAsia"/>
                <w:b/>
                <w:bCs/>
                <w:color w:val="auto"/>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63" w:type="dxa"/>
            <w:vAlign w:val="center"/>
          </w:tcPr>
          <w:p>
            <w:pPr>
              <w:tabs>
                <w:tab w:val="left" w:pos="1260"/>
              </w:tabs>
              <w:jc w:val="center"/>
              <w:rPr>
                <w:rFonts w:asciiTheme="minorEastAsia" w:hAnsiTheme="minorEastAsia" w:eastAsiaTheme="minorEastAsia"/>
                <w:b/>
                <w:bCs/>
                <w:color w:val="auto"/>
                <w:sz w:val="24"/>
                <w:szCs w:val="24"/>
                <w:highlight w:val="none"/>
                <w:lang w:val="en-GB"/>
              </w:rPr>
            </w:pPr>
            <w:r>
              <w:rPr>
                <w:rFonts w:hint="eastAsia" w:cs="宋体" w:asciiTheme="minorEastAsia" w:hAnsiTheme="minorEastAsia" w:eastAsiaTheme="minorEastAsia"/>
                <w:b/>
                <w:bCs/>
                <w:color w:val="auto"/>
                <w:sz w:val="24"/>
                <w:szCs w:val="24"/>
                <w:highlight w:val="none"/>
                <w:lang w:val="en-GB"/>
              </w:rPr>
              <w:t>注</w:t>
            </w:r>
          </w:p>
        </w:tc>
        <w:tc>
          <w:tcPr>
            <w:tcW w:w="8157" w:type="dxa"/>
            <w:gridSpan w:val="6"/>
            <w:vAlign w:val="center"/>
          </w:tcPr>
          <w:p>
            <w:pPr>
              <w:tabs>
                <w:tab w:val="left" w:pos="360"/>
                <w:tab w:val="left" w:pos="993"/>
              </w:tabs>
              <w:adjustRightInd w:val="0"/>
              <w:snapToGrid w:val="0"/>
              <w:spacing w:line="420" w:lineRule="exact"/>
              <w:ind w:left="-141" w:leftChars="-67"/>
              <w:jc w:val="left"/>
              <w:rPr>
                <w:rFonts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“节能产品、环保标志产品”是属于国家行业主管部门颁布的清单目录中的产品，须填写认证证书编号，并在“清单”栏中填写属于“第　期目录”的产品（产品被列入多期目录的，以最新一期为准），同时提供下述文件（均为复印件，加盖投标人公章）：</w:t>
            </w:r>
          </w:p>
          <w:p>
            <w:pPr>
              <w:pStyle w:val="97"/>
              <w:numPr>
                <w:ilvl w:val="0"/>
                <w:numId w:val="14"/>
              </w:numPr>
              <w:tabs>
                <w:tab w:val="left" w:pos="567"/>
                <w:tab w:val="left" w:pos="993"/>
              </w:tabs>
              <w:adjustRightInd w:val="0"/>
              <w:snapToGrid w:val="0"/>
              <w:spacing w:line="420" w:lineRule="exact"/>
              <w:ind w:firstLineChars="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属于“节能产品政府采购目录”中品目的产品，提供“节能产品政府采购目录（第</w:t>
            </w:r>
            <w:r>
              <w:rPr>
                <w:rFonts w:cs="宋体" w:asciiTheme="minorEastAsia" w:hAnsiTheme="minorEastAsia" w:eastAsiaTheme="minorEastAsia"/>
                <w:color w:val="auto"/>
                <w:sz w:val="24"/>
                <w:szCs w:val="24"/>
                <w:highlight w:val="none"/>
              </w:rPr>
              <w:t>___</w:t>
            </w:r>
            <w:r>
              <w:rPr>
                <w:rFonts w:hint="eastAsia" w:cs="宋体" w:asciiTheme="minorEastAsia" w:hAnsiTheme="minorEastAsia" w:eastAsiaTheme="minorEastAsia"/>
                <w:color w:val="auto"/>
                <w:sz w:val="24"/>
                <w:szCs w:val="24"/>
                <w:highlight w:val="none"/>
              </w:rPr>
              <w:t>期）”中投标产品所在目录页并加盖投标人公章，节能目录在中华人民共和国财政部网站（</w:t>
            </w:r>
            <w:r>
              <w:rPr>
                <w:rFonts w:cs="宋体" w:asciiTheme="minorEastAsia" w:hAnsiTheme="minorEastAsia" w:eastAsiaTheme="minorEastAsia"/>
                <w:color w:val="auto"/>
                <w:sz w:val="24"/>
                <w:szCs w:val="24"/>
                <w:highlight w:val="none"/>
              </w:rPr>
              <w:t>http://www.mof.gov.cn</w:t>
            </w:r>
            <w:r>
              <w:rPr>
                <w:rFonts w:hint="eastAsia" w:cs="宋体" w:asciiTheme="minorEastAsia" w:hAnsiTheme="minorEastAsia" w:eastAsiaTheme="minorEastAsia"/>
                <w:color w:val="auto"/>
                <w:sz w:val="24"/>
                <w:szCs w:val="24"/>
                <w:highlight w:val="none"/>
              </w:rPr>
              <w:t>）、中国政府采购网（</w:t>
            </w:r>
            <w:r>
              <w:rPr>
                <w:rFonts w:cs="宋体" w:asciiTheme="minorEastAsia" w:hAnsiTheme="minorEastAsia" w:eastAsiaTheme="minorEastAsia"/>
                <w:color w:val="auto"/>
                <w:sz w:val="24"/>
                <w:szCs w:val="24"/>
                <w:highlight w:val="none"/>
              </w:rPr>
              <w:t>http://www.ccgp.gov.cn/</w:t>
            </w:r>
            <w:r>
              <w:rPr>
                <w:rFonts w:hint="eastAsia" w:cs="宋体" w:asciiTheme="minorEastAsia" w:hAnsiTheme="minorEastAsia" w:eastAsiaTheme="minorEastAsia"/>
                <w:color w:val="auto"/>
                <w:sz w:val="24"/>
                <w:szCs w:val="24"/>
                <w:highlight w:val="none"/>
              </w:rPr>
              <w:t>）、国家发展改革委网站（</w:t>
            </w:r>
            <w:r>
              <w:rPr>
                <w:rFonts w:cs="宋体" w:asciiTheme="minorEastAsia" w:hAnsiTheme="minorEastAsia" w:eastAsiaTheme="minorEastAsia"/>
                <w:color w:val="auto"/>
                <w:sz w:val="24"/>
                <w:szCs w:val="24"/>
                <w:highlight w:val="none"/>
              </w:rPr>
              <w:t>http://hzs.ndrc.gov.cn/</w:t>
            </w:r>
            <w:r>
              <w:rPr>
                <w:rFonts w:hint="eastAsia" w:cs="宋体" w:asciiTheme="minorEastAsia" w:hAnsiTheme="minorEastAsia" w:eastAsiaTheme="minorEastAsia"/>
                <w:color w:val="auto"/>
                <w:sz w:val="24"/>
                <w:szCs w:val="24"/>
                <w:highlight w:val="none"/>
              </w:rPr>
              <w:t>）和中国质量认证中心网站（</w:t>
            </w:r>
            <w:r>
              <w:rPr>
                <w:rFonts w:cs="宋体" w:asciiTheme="minorEastAsia" w:hAnsiTheme="minorEastAsia" w:eastAsiaTheme="minorEastAsia"/>
                <w:color w:val="auto"/>
                <w:sz w:val="24"/>
                <w:szCs w:val="24"/>
                <w:highlight w:val="none"/>
              </w:rPr>
              <w:t>http://www.cqc.com.cn/</w:t>
            </w:r>
            <w:r>
              <w:rPr>
                <w:rFonts w:hint="eastAsia" w:cs="宋体" w:asciiTheme="minorEastAsia" w:hAnsiTheme="minorEastAsia" w:eastAsiaTheme="minorEastAsia"/>
                <w:color w:val="auto"/>
                <w:sz w:val="24"/>
                <w:szCs w:val="24"/>
                <w:highlight w:val="none"/>
              </w:rPr>
              <w:t>）上发布；</w:t>
            </w:r>
          </w:p>
          <w:p>
            <w:pPr>
              <w:pStyle w:val="97"/>
              <w:numPr>
                <w:ilvl w:val="0"/>
                <w:numId w:val="14"/>
              </w:numPr>
              <w:tabs>
                <w:tab w:val="left" w:pos="567"/>
                <w:tab w:val="left" w:pos="993"/>
              </w:tabs>
              <w:adjustRightInd w:val="0"/>
              <w:snapToGrid w:val="0"/>
              <w:spacing w:line="420" w:lineRule="exact"/>
              <w:ind w:firstLineChars="0"/>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属于“环境标志产品政府采购目录”中品目的产品，提供最新“环境标志产品政府采购目录”中投标产品所在目录页并加盖投标人公章，目录在中华人民共和国财政部网站（</w:t>
            </w:r>
            <w:r>
              <w:rPr>
                <w:rFonts w:cs="宋体" w:asciiTheme="minorEastAsia" w:hAnsiTheme="minorEastAsia" w:eastAsiaTheme="minorEastAsia"/>
                <w:color w:val="auto"/>
                <w:sz w:val="24"/>
                <w:szCs w:val="24"/>
                <w:highlight w:val="none"/>
              </w:rPr>
              <w:t>http://www.mof.gov.cn</w:t>
            </w:r>
            <w:r>
              <w:rPr>
                <w:rFonts w:hint="eastAsia" w:cs="宋体" w:asciiTheme="minorEastAsia" w:hAnsiTheme="minorEastAsia" w:eastAsiaTheme="minorEastAsia"/>
                <w:color w:val="auto"/>
                <w:sz w:val="24"/>
                <w:szCs w:val="24"/>
                <w:highlight w:val="none"/>
              </w:rPr>
              <w:t>）、中国政府采购网（</w:t>
            </w:r>
            <w:r>
              <w:rPr>
                <w:rFonts w:cs="宋体" w:asciiTheme="minorEastAsia" w:hAnsiTheme="minorEastAsia" w:eastAsiaTheme="minorEastAsia"/>
                <w:color w:val="auto"/>
                <w:sz w:val="24"/>
                <w:szCs w:val="24"/>
                <w:highlight w:val="none"/>
              </w:rPr>
              <w:t>http://www.ccgp.gov.cn/</w:t>
            </w:r>
            <w:r>
              <w:rPr>
                <w:rFonts w:hint="eastAsia" w:cs="宋体" w:asciiTheme="minorEastAsia" w:hAnsiTheme="minorEastAsia" w:eastAsiaTheme="minorEastAsia"/>
                <w:color w:val="auto"/>
                <w:sz w:val="24"/>
                <w:szCs w:val="24"/>
                <w:highlight w:val="none"/>
              </w:rPr>
              <w:t>）、中华人民共和国环境保护部网站（</w:t>
            </w:r>
            <w:r>
              <w:rPr>
                <w:rFonts w:cs="宋体" w:asciiTheme="minorEastAsia" w:hAnsiTheme="minorEastAsia" w:eastAsiaTheme="minorEastAsia"/>
                <w:color w:val="auto"/>
                <w:sz w:val="24"/>
                <w:szCs w:val="24"/>
                <w:highlight w:val="none"/>
              </w:rPr>
              <w:t>http://www.zhb.gov.cn</w:t>
            </w:r>
            <w:r>
              <w:rPr>
                <w:rFonts w:hint="eastAsia" w:cs="宋体" w:asciiTheme="minorEastAsia" w:hAnsiTheme="minorEastAsia" w:eastAsiaTheme="minorEastAsia"/>
                <w:color w:val="auto"/>
                <w:sz w:val="24"/>
                <w:szCs w:val="24"/>
                <w:highlight w:val="none"/>
              </w:rPr>
              <w:t>）、中国绿色采购网（</w:t>
            </w:r>
            <w:r>
              <w:rPr>
                <w:rFonts w:cs="宋体" w:asciiTheme="minorEastAsia" w:hAnsiTheme="minorEastAsia" w:eastAsiaTheme="minorEastAsia"/>
                <w:color w:val="auto"/>
                <w:sz w:val="24"/>
                <w:szCs w:val="24"/>
                <w:highlight w:val="none"/>
              </w:rPr>
              <w:t>http://www.cgpn.org/</w:t>
            </w:r>
            <w:r>
              <w:rPr>
                <w:rFonts w:hint="eastAsia" w:cs="宋体" w:asciiTheme="minorEastAsia" w:hAnsiTheme="minorEastAsia" w:eastAsiaTheme="minorEastAsia"/>
                <w:color w:val="auto"/>
                <w:sz w:val="24"/>
                <w:szCs w:val="24"/>
                <w:highlight w:val="none"/>
              </w:rPr>
              <w:t>）上发布。</w:t>
            </w:r>
          </w:p>
        </w:tc>
      </w:tr>
    </w:tbl>
    <w:p>
      <w:pPr>
        <w:spacing w:line="440" w:lineRule="atLeas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440" w:lineRule="atLeas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440" w:lineRule="atLeast"/>
        <w:rPr>
          <w:rFonts w:asciiTheme="minorEastAsia" w:hAnsiTheme="minorEastAsia" w:eastAsiaTheme="minorEastAsia"/>
          <w:color w:val="auto"/>
          <w:spacing w:val="4"/>
          <w:sz w:val="24"/>
          <w:szCs w:val="24"/>
          <w:highlight w:val="non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rPr>
        <w:t xml:space="preserve">  </w:t>
      </w:r>
      <w:r>
        <w:rPr>
          <w:rFonts w:hint="eastAsia" w:cs="宋体" w:asciiTheme="minorEastAsia" w:hAnsiTheme="minorEastAsia" w:eastAsiaTheme="minorEastAsia"/>
          <w:color w:val="auto"/>
          <w:spacing w:val="4"/>
          <w:sz w:val="24"/>
          <w:szCs w:val="24"/>
          <w:highlight w:val="none"/>
        </w:rPr>
        <w:t>日</w:t>
      </w:r>
    </w:p>
    <w:p>
      <w:pPr>
        <w:pStyle w:val="4"/>
        <w:adjustRightInd w:val="0"/>
        <w:snapToGrid w:val="0"/>
        <w:spacing w:beforeLines="50" w:afterLines="50" w:line="240" w:lineRule="auto"/>
        <w:rPr>
          <w:rFonts w:cs="宋体" w:asciiTheme="minorEastAsia" w:hAnsiTheme="minorEastAsia" w:eastAsiaTheme="minorEastAsia"/>
          <w:color w:val="auto"/>
          <w:sz w:val="24"/>
          <w:szCs w:val="24"/>
          <w:highlight w:val="none"/>
          <w:lang w:val="en-GB"/>
        </w:rPr>
      </w:pPr>
      <w:r>
        <w:rPr>
          <w:rFonts w:cs="Times New Roman" w:asciiTheme="minorEastAsia" w:hAnsiTheme="minorEastAsia" w:eastAsiaTheme="minorEastAsia"/>
          <w:b w:val="0"/>
          <w:bCs w:val="0"/>
          <w:color w:val="auto"/>
          <w:sz w:val="24"/>
          <w:szCs w:val="24"/>
          <w:highlight w:val="none"/>
        </w:rPr>
        <w:br w:type="page"/>
      </w:r>
      <w:r>
        <w:rPr>
          <w:rFonts w:hint="eastAsia" w:cs="宋体" w:asciiTheme="minorEastAsia" w:hAnsiTheme="minorEastAsia" w:eastAsiaTheme="minorEastAsia"/>
          <w:color w:val="auto"/>
          <w:sz w:val="24"/>
          <w:szCs w:val="24"/>
          <w:highlight w:val="none"/>
          <w:lang w:val="en-GB"/>
        </w:rPr>
        <w:t>附件</w:t>
      </w:r>
      <w:r>
        <w:rPr>
          <w:rFonts w:cs="宋体" w:asciiTheme="minorEastAsia" w:hAnsiTheme="minorEastAsia" w:eastAsiaTheme="minorEastAsia"/>
          <w:color w:val="auto"/>
          <w:sz w:val="24"/>
          <w:szCs w:val="24"/>
          <w:highlight w:val="none"/>
          <w:lang w:val="en-GB"/>
        </w:rPr>
        <w:t>:</w:t>
      </w: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37" w:name="OLE_LINK13"/>
      <w:bookmarkStart w:id="38" w:name="OLE_LINK14"/>
      <w:r>
        <w:rPr>
          <w:rFonts w:hint="eastAsia" w:cs="黑体" w:asciiTheme="minorEastAsia" w:hAnsiTheme="minorEastAsia" w:eastAsiaTheme="minorEastAsia"/>
          <w:color w:val="auto"/>
          <w:highlight w:val="none"/>
        </w:rPr>
        <w:t>残疾人福利性单位声明函</w:t>
      </w:r>
    </w:p>
    <w:bookmarkEnd w:id="37"/>
    <w:bookmarkEnd w:id="38"/>
    <w:p>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cs="宋体" w:asciiTheme="minorEastAsia" w:hAnsiTheme="minorEastAsia" w:eastAsiaTheme="minorEastAsia"/>
          <w:color w:val="auto"/>
          <w:spacing w:val="6"/>
          <w:sz w:val="24"/>
          <w:szCs w:val="24"/>
          <w:highlight w:val="none"/>
        </w:rPr>
        <w:t>本单位郑重声明，根据《财政部</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民政部</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中国残疾人联合会关于促进残疾人就业政府采购政策的通知》（财库</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2017</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141</w:t>
      </w:r>
      <w:r>
        <w:rPr>
          <w:rFonts w:hint="eastAsia" w:cs="宋体" w:asciiTheme="minorEastAsia" w:hAnsiTheme="minorEastAsia" w:eastAsiaTheme="minorEastAsia"/>
          <w:color w:val="auto"/>
          <w:spacing w:val="6"/>
          <w:sz w:val="24"/>
          <w:szCs w:val="24"/>
          <w:highlight w:val="none"/>
        </w:rPr>
        <w:t>号）的规定，本单位为符合条件的残疾人福利性单位，且本单位参加</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采购人单位名称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的</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采购项目名称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pacing w:val="6"/>
          <w:sz w:val="24"/>
          <w:szCs w:val="24"/>
          <w:highlight w:val="none"/>
        </w:rPr>
        <w:t>项目采购活动提供本单位制造的货物（由本单位承担工程</w:t>
      </w:r>
      <w:r>
        <w:rPr>
          <w:rFonts w:cs="宋体" w:asciiTheme="minorEastAsia" w:hAnsiTheme="minorEastAsia" w:eastAsiaTheme="minorEastAsia"/>
          <w:color w:val="auto"/>
          <w:spacing w:val="6"/>
          <w:sz w:val="24"/>
          <w:szCs w:val="24"/>
          <w:highlight w:val="none"/>
        </w:rPr>
        <w:t>/</w:t>
      </w:r>
      <w:r>
        <w:rPr>
          <w:rFonts w:hint="eastAsia" w:cs="宋体" w:asciiTheme="minorEastAsia" w:hAnsiTheme="minorEastAsia" w:eastAsiaTheme="minorEastAsia"/>
          <w:color w:val="auto"/>
          <w:spacing w:val="6"/>
          <w:sz w:val="24"/>
          <w:szCs w:val="24"/>
          <w:highlight w:val="none"/>
        </w:rPr>
        <w:t>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cs="宋体" w:asciiTheme="minorEastAsia" w:hAnsiTheme="minorEastAsia" w:eastAsiaTheme="minorEastAsia"/>
          <w:color w:val="auto"/>
          <w:spacing w:val="6"/>
          <w:sz w:val="24"/>
          <w:szCs w:val="24"/>
          <w:highlight w:val="none"/>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szCs w:val="24"/>
          <w:highlight w:val="none"/>
        </w:rPr>
      </w:pPr>
    </w:p>
    <w:p>
      <w:pPr>
        <w:spacing w:line="588" w:lineRule="exact"/>
        <w:ind w:firstLine="504" w:firstLineChars="200"/>
        <w:rPr>
          <w:rFonts w:asciiTheme="minorEastAsia" w:hAnsiTheme="minorEastAsia" w:eastAsiaTheme="minorEastAsia"/>
          <w:color w:val="auto"/>
          <w:spacing w:val="6"/>
          <w:sz w:val="24"/>
          <w:szCs w:val="24"/>
          <w:highlight w:val="none"/>
        </w:rPr>
      </w:pPr>
    </w:p>
    <w:p>
      <w:pPr>
        <w:tabs>
          <w:tab w:val="left" w:pos="4860"/>
        </w:tabs>
        <w:spacing w:line="588" w:lineRule="exact"/>
        <w:ind w:right="-60" w:firstLine="5720" w:firstLineChars="2270"/>
        <w:rPr>
          <w:rFonts w:asciiTheme="minorEastAsia" w:hAnsiTheme="minorEastAsia" w:eastAsiaTheme="minorEastAsia"/>
          <w:color w:val="auto"/>
          <w:spacing w:val="6"/>
          <w:sz w:val="24"/>
          <w:szCs w:val="24"/>
          <w:highlight w:val="none"/>
          <w:u w:val="single"/>
        </w:rPr>
      </w:pPr>
      <w:r>
        <w:rPr>
          <w:rFonts w:hint="eastAsia" w:cs="宋体" w:asciiTheme="minorEastAsia" w:hAnsiTheme="minorEastAsia" w:eastAsiaTheme="minorEastAsia"/>
          <w:color w:val="auto"/>
          <w:spacing w:val="6"/>
          <w:sz w:val="24"/>
          <w:szCs w:val="24"/>
          <w:highlight w:val="none"/>
        </w:rPr>
        <w:t>单位名称（盖章）：</w:t>
      </w:r>
      <w:r>
        <w:rPr>
          <w:rFonts w:cs="宋体" w:asciiTheme="minorEastAsia" w:hAnsiTheme="minorEastAsia" w:eastAsiaTheme="minorEastAsia"/>
          <w:color w:val="auto"/>
          <w:spacing w:val="6"/>
          <w:sz w:val="24"/>
          <w:szCs w:val="24"/>
          <w:highlight w:val="none"/>
          <w:u w:val="single"/>
        </w:rPr>
        <w:t xml:space="preserve">                  </w:t>
      </w:r>
    </w:p>
    <w:p>
      <w:pPr>
        <w:tabs>
          <w:tab w:val="left" w:pos="4860"/>
        </w:tabs>
        <w:spacing w:line="588" w:lineRule="exact"/>
        <w:ind w:right="140" w:firstLine="5720" w:firstLineChars="2270"/>
        <w:rPr>
          <w:rFonts w:asciiTheme="minorEastAsia" w:hAnsiTheme="minorEastAsia" w:eastAsiaTheme="minorEastAsia"/>
          <w:color w:val="auto"/>
          <w:spacing w:val="6"/>
          <w:sz w:val="24"/>
          <w:szCs w:val="24"/>
          <w:highlight w:val="none"/>
        </w:rPr>
      </w:pPr>
      <w:r>
        <w:rPr>
          <w:rFonts w:hint="eastAsia" w:cs="宋体" w:asciiTheme="minorEastAsia" w:hAnsiTheme="minorEastAsia" w:eastAsiaTheme="minorEastAsia"/>
          <w:color w:val="auto"/>
          <w:spacing w:val="6"/>
          <w:sz w:val="24"/>
          <w:szCs w:val="24"/>
          <w:highlight w:val="none"/>
        </w:rPr>
        <w:t>日</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期：</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年</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月</w:t>
      </w:r>
      <w:r>
        <w:rPr>
          <w:rFonts w:cs="宋体" w:asciiTheme="minorEastAsia" w:hAnsiTheme="minorEastAsia" w:eastAsiaTheme="minorEastAsia"/>
          <w:color w:val="auto"/>
          <w:spacing w:val="6"/>
          <w:sz w:val="24"/>
          <w:szCs w:val="24"/>
          <w:highlight w:val="none"/>
        </w:rPr>
        <w:t xml:space="preserve">   </w:t>
      </w:r>
      <w:r>
        <w:rPr>
          <w:rFonts w:hint="eastAsia" w:cs="宋体" w:asciiTheme="minorEastAsia" w:hAnsiTheme="minorEastAsia" w:eastAsiaTheme="minorEastAsia"/>
          <w:color w:val="auto"/>
          <w:spacing w:val="6"/>
          <w:sz w:val="24"/>
          <w:szCs w:val="24"/>
          <w:highlight w:val="none"/>
        </w:rPr>
        <w:t>日</w:t>
      </w:r>
    </w:p>
    <w:p>
      <w:pPr>
        <w:spacing w:line="440" w:lineRule="exact"/>
        <w:rPr>
          <w:rFonts w:asciiTheme="minorEastAsia" w:hAnsiTheme="minorEastAsia" w:eastAsiaTheme="minorEastAsia"/>
          <w:b/>
          <w:bCs/>
          <w:color w:val="auto"/>
          <w:sz w:val="24"/>
          <w:szCs w:val="24"/>
          <w:highlight w:val="none"/>
        </w:rPr>
      </w:pP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bookmarkStart w:id="39" w:name="_Toc275865605"/>
      <w:bookmarkStart w:id="40" w:name="_Toc435515294"/>
      <w:bookmarkStart w:id="41" w:name="_Toc435514854"/>
      <w:r>
        <w:rPr>
          <w:rFonts w:hint="eastAsia" w:cs="黑体" w:asciiTheme="minorEastAsia" w:hAnsiTheme="minorEastAsia" w:eastAsiaTheme="minorEastAsia"/>
          <w:color w:val="auto"/>
          <w:highlight w:val="none"/>
        </w:rPr>
        <w:t>投标函</w:t>
      </w:r>
      <w:bookmarkEnd w:id="39"/>
      <w:bookmarkEnd w:id="40"/>
      <w:bookmarkEnd w:id="41"/>
    </w:p>
    <w:p>
      <w:pPr>
        <w:spacing w:line="360" w:lineRule="auto"/>
        <w:ind w:left="105" w:leftChars="50" w:firstLine="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致：广东远东招标代理有限公司</w:t>
      </w:r>
    </w:p>
    <w:p>
      <w:pPr>
        <w:spacing w:line="360" w:lineRule="auto"/>
        <w:ind w:left="105" w:leftChars="50" w:firstLine="427" w:firstLineChars="1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我方确认收到贵方</w:t>
      </w:r>
      <w:r>
        <w:rPr>
          <w:rFonts w:cs="宋体" w:asciiTheme="minorEastAsia" w:hAnsiTheme="minorEastAsia" w:eastAsiaTheme="minorEastAsia"/>
          <w:color w:val="auto"/>
          <w:kern w:val="28"/>
          <w:sz w:val="24"/>
          <w:szCs w:val="24"/>
          <w:highlight w:val="none"/>
          <w:u w:val="single"/>
        </w:rPr>
        <w:t xml:space="preserve">    </w:t>
      </w:r>
      <w:r>
        <w:rPr>
          <w:rFonts w:hint="eastAsia" w:cs="宋体" w:asciiTheme="minorEastAsia" w:hAnsiTheme="minorEastAsia" w:eastAsiaTheme="minorEastAsia"/>
          <w:color w:val="auto"/>
          <w:kern w:val="28"/>
          <w:sz w:val="24"/>
          <w:szCs w:val="24"/>
          <w:highlight w:val="none"/>
          <w:u w:val="single"/>
        </w:rPr>
        <w:t>（采购项目完整项目名称）</w:t>
      </w:r>
      <w:r>
        <w:rPr>
          <w:rFonts w:cs="宋体" w:asciiTheme="minorEastAsia" w:hAnsiTheme="minorEastAsia" w:eastAsiaTheme="minorEastAsia"/>
          <w:color w:val="auto"/>
          <w:kern w:val="28"/>
          <w:sz w:val="24"/>
          <w:szCs w:val="24"/>
          <w:highlight w:val="none"/>
          <w:u w:val="single"/>
        </w:rPr>
        <w:t xml:space="preserve">    </w:t>
      </w:r>
      <w:r>
        <w:rPr>
          <w:rFonts w:hint="eastAsia" w:cs="宋体" w:asciiTheme="minorEastAsia" w:hAnsiTheme="minorEastAsia" w:eastAsiaTheme="minorEastAsia"/>
          <w:color w:val="auto"/>
          <w:kern w:val="28"/>
          <w:sz w:val="24"/>
          <w:szCs w:val="24"/>
          <w:highlight w:val="none"/>
        </w:rPr>
        <w:t>采购</w:t>
      </w:r>
      <w:r>
        <w:rPr>
          <w:rFonts w:hint="eastAsia" w:cs="宋体" w:asciiTheme="minorEastAsia" w:hAnsiTheme="minorEastAsia" w:eastAsiaTheme="minorEastAsia"/>
          <w:color w:val="auto"/>
          <w:sz w:val="24"/>
          <w:szCs w:val="24"/>
          <w:highlight w:val="none"/>
        </w:rPr>
        <w:t>货物及相关服务的招标文件（采购项目编号：</w:t>
      </w:r>
      <w:r>
        <w:rPr>
          <w:rFonts w:hint="eastAsia" w:cs="宋体" w:asciiTheme="minorEastAsia" w:hAnsiTheme="minorEastAsia" w:eastAsiaTheme="minorEastAsia"/>
          <w:color w:val="auto"/>
          <w:sz w:val="24"/>
          <w:szCs w:val="24"/>
          <w:highlight w:val="none"/>
          <w:u w:val="single"/>
        </w:rPr>
        <w:t>（采购项目完整编号</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w:t>
      </w:r>
      <w:r>
        <w:rPr>
          <w:rFonts w:hint="eastAsia" w:cs="宋体" w:asciiTheme="minorEastAsia" w:hAnsiTheme="minorEastAsia" w:eastAsiaTheme="minorEastAsia"/>
          <w:color w:val="auto"/>
          <w:sz w:val="24"/>
          <w:szCs w:val="24"/>
          <w:highlight w:val="none"/>
          <w:u w:val="single"/>
        </w:rPr>
        <w:t>投标人名称、地址</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作为投标人已正式授权</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被投标人授权代表全名、职务</w:t>
      </w:r>
      <w:r>
        <w:rPr>
          <w:rFonts w:cs="宋体" w:asciiTheme="minorEastAsia" w:hAnsiTheme="minorEastAsia" w:eastAsiaTheme="minorEastAsia"/>
          <w:color w:val="auto"/>
          <w:sz w:val="24"/>
          <w:szCs w:val="24"/>
          <w:highlight w:val="none"/>
          <w:u w:val="single"/>
        </w:rPr>
        <w:t>)</w:t>
      </w:r>
      <w:r>
        <w:rPr>
          <w:rFonts w:hint="eastAsia" w:cs="宋体" w:asciiTheme="minorEastAsia" w:hAnsiTheme="minorEastAsia" w:eastAsiaTheme="minorEastAsia"/>
          <w:color w:val="auto"/>
          <w:sz w:val="24"/>
          <w:szCs w:val="24"/>
          <w:highlight w:val="none"/>
        </w:rPr>
        <w:t>为我方签名代表，签名代表在此声明并同意：</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我们愿意遵守采购代理机构招标文件的各项规定，自愿参加投标，并已清楚招标文件的要求及有关文件规定，并严格按照招标文件的规定履行全部责任和义务。</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我们同意本投标文件的投标有效期从提交投标文件的截止之日起</w:t>
      </w:r>
      <w:r>
        <w:rPr>
          <w:rFonts w:cs="宋体" w:asciiTheme="minorEastAsia" w:hAnsiTheme="minorEastAsia" w:eastAsiaTheme="minorEastAsia"/>
          <w:bCs/>
          <w:color w:val="auto"/>
          <w:sz w:val="24"/>
          <w:szCs w:val="24"/>
          <w:highlight w:val="none"/>
          <w:u w:val="single"/>
        </w:rPr>
        <w:t>90</w:t>
      </w:r>
      <w:r>
        <w:rPr>
          <w:rFonts w:hint="eastAsia" w:cs="宋体" w:asciiTheme="minorEastAsia" w:hAnsiTheme="minorEastAsia" w:eastAsiaTheme="minorEastAsia"/>
          <w:bCs/>
          <w:color w:val="auto"/>
          <w:sz w:val="24"/>
          <w:szCs w:val="24"/>
          <w:highlight w:val="none"/>
        </w:rPr>
        <w:t>天内有效。如果我们的投标被接受，则直至合同生效时止，本投标始终有效并不撤回已递交的投标文件。</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我们已经详细地阅读并完全明白了全部招标文件及附件，包括澄清（如有）及参考文件，我们完全理解本招标文件的要求，我们同意放弃对招标文件提出不明或误解的一切权力。</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我们同意提供</w:t>
      </w:r>
      <w:r>
        <w:rPr>
          <w:rFonts w:hint="eastAsia" w:cs="宋体" w:asciiTheme="minorEastAsia" w:hAnsiTheme="minorEastAsia" w:eastAsiaTheme="minorEastAsia"/>
          <w:bCs/>
          <w:color w:val="auto"/>
          <w:sz w:val="24"/>
          <w:szCs w:val="24"/>
          <w:highlight w:val="none"/>
          <w:lang w:eastAsia="zh-TW"/>
        </w:rPr>
        <w:t>采购人或者采购代理机构</w:t>
      </w:r>
      <w:r>
        <w:rPr>
          <w:rFonts w:hint="eastAsia" w:cs="宋体" w:asciiTheme="minorEastAsia" w:hAnsiTheme="minorEastAsia" w:eastAsiaTheme="minorEastAsia"/>
          <w:bCs/>
          <w:color w:val="auto"/>
          <w:sz w:val="24"/>
          <w:szCs w:val="24"/>
          <w:highlight w:val="none"/>
        </w:rPr>
        <w:t>与评标委员会要求的有关投标的一切数据或资料。</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我们理解</w:t>
      </w:r>
      <w:r>
        <w:rPr>
          <w:rFonts w:hint="eastAsia" w:cs="宋体" w:asciiTheme="minorEastAsia" w:hAnsiTheme="minorEastAsia" w:eastAsiaTheme="minorEastAsia"/>
          <w:bCs/>
          <w:color w:val="auto"/>
          <w:sz w:val="24"/>
          <w:szCs w:val="24"/>
          <w:highlight w:val="none"/>
          <w:lang w:eastAsia="zh-TW"/>
        </w:rPr>
        <w:t>采购人或者采购代理机构</w:t>
      </w:r>
      <w:r>
        <w:rPr>
          <w:rFonts w:hint="eastAsia" w:cs="宋体" w:asciiTheme="minorEastAsia" w:hAnsiTheme="minorEastAsia" w:eastAsiaTheme="minorEastAsia"/>
          <w:bCs/>
          <w:color w:val="auto"/>
          <w:sz w:val="24"/>
          <w:szCs w:val="24"/>
          <w:highlight w:val="none"/>
        </w:rPr>
        <w:t>与评标委员会并无义务必须接受最低报价的投标或其它任何投标，完全理解采购代理机构拒绝迟到的任何投标和最低投标报价不是被授予中标的唯一条件。</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如果我们未对招标文件全部要求作出实质性响应，则完全同意并接受按无效投标处理。</w:t>
      </w:r>
      <w:r>
        <w:rPr>
          <w:rFonts w:cs="宋体" w:asciiTheme="minorEastAsia" w:hAnsiTheme="minorEastAsia" w:eastAsiaTheme="minorEastAsia"/>
          <w:bCs/>
          <w:color w:val="auto"/>
          <w:sz w:val="24"/>
          <w:szCs w:val="24"/>
          <w:highlight w:val="none"/>
        </w:rPr>
        <w:t xml:space="preserve"> </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如果我们提供的声明或承诺不真实，则完全同意认定为我司提供虚假材料，并同意作相应处理。</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我们是依法注册的法人，在法律、财务及运作上完全独立于本项目采购人、用户单位（如有）和采购代理机构。</w:t>
      </w:r>
    </w:p>
    <w:p>
      <w:pPr>
        <w:numPr>
          <w:ilvl w:val="0"/>
          <w:numId w:val="15"/>
        </w:numPr>
        <w:tabs>
          <w:tab w:val="clear" w:pos="780"/>
        </w:tabs>
        <w:snapToGrid w:val="0"/>
        <w:spacing w:line="360" w:lineRule="auto"/>
        <w:ind w:left="42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所有有关本次投标的函电请寄：</w:t>
      </w:r>
      <w:r>
        <w:rPr>
          <w:rFonts w:cs="宋体" w:asciiTheme="minorEastAsia" w:hAnsiTheme="minorEastAsia" w:eastAsiaTheme="minorEastAsia"/>
          <w:bCs/>
          <w:color w:val="auto"/>
          <w:sz w:val="24"/>
          <w:szCs w:val="24"/>
          <w:highlight w:val="none"/>
          <w:u w:val="single"/>
        </w:rPr>
        <w:t xml:space="preserve">   </w:t>
      </w:r>
      <w:r>
        <w:rPr>
          <w:rFonts w:hint="eastAsia" w:cs="宋体" w:asciiTheme="minorEastAsia" w:hAnsiTheme="minorEastAsia" w:eastAsiaTheme="minorEastAsia"/>
          <w:bCs/>
          <w:color w:val="auto"/>
          <w:sz w:val="24"/>
          <w:szCs w:val="24"/>
          <w:highlight w:val="none"/>
          <w:u w:val="single"/>
        </w:rPr>
        <w:t>（投标人地址）</w:t>
      </w:r>
      <w:r>
        <w:rPr>
          <w:rFonts w:cs="宋体" w:asciiTheme="minorEastAsia" w:hAnsiTheme="minorEastAsia" w:eastAsiaTheme="minorEastAsia"/>
          <w:bCs/>
          <w:color w:val="auto"/>
          <w:sz w:val="24"/>
          <w:szCs w:val="24"/>
          <w:highlight w:val="none"/>
          <w:u w:val="single"/>
        </w:rPr>
        <w:t xml:space="preserve">   </w:t>
      </w:r>
    </w:p>
    <w:p>
      <w:pPr>
        <w:autoSpaceDE w:val="0"/>
        <w:autoSpaceDN w:val="0"/>
        <w:adjustRightInd w:val="0"/>
        <w:spacing w:line="360" w:lineRule="auto"/>
        <w:ind w:left="420" w:firstLine="6"/>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备注：本投标函内容不得擅自删改，否则视为无效投标。</w:t>
      </w:r>
    </w:p>
    <w:p>
      <w:pPr>
        <w:ind w:left="480"/>
        <w:rPr>
          <w:rFonts w:asciiTheme="minorEastAsia" w:hAnsiTheme="minorEastAsia" w:eastAsiaTheme="minorEastAsia"/>
          <w:color w:val="auto"/>
          <w:sz w:val="24"/>
          <w:szCs w:val="24"/>
          <w:highlight w:val="none"/>
        </w:rPr>
      </w:pPr>
    </w:p>
    <w:p>
      <w:pPr>
        <w:adjustRightInd w:val="0"/>
        <w:snapToGrid w:val="0"/>
        <w:spacing w:line="360" w:lineRule="auto"/>
        <w:ind w:firstLine="496" w:firstLineChars="200"/>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6" w:firstLineChars="200"/>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投标人公章：</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电话：</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传真：</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494" w:firstLineChars="206"/>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邮编：</w:t>
      </w:r>
      <w:r>
        <w:rPr>
          <w:rFonts w:asciiTheme="minorEastAsia" w:hAnsiTheme="minorEastAsia" w:eastAsiaTheme="minorEastAsia"/>
          <w:color w:val="auto"/>
          <w:spacing w:val="4"/>
          <w:sz w:val="24"/>
          <w:szCs w:val="24"/>
          <w:highlight w:val="none"/>
          <w:u w:val="single"/>
        </w:rPr>
        <w:t xml:space="preserve">                        </w:t>
      </w:r>
    </w:p>
    <w:p>
      <w:pPr>
        <w:adjustRightInd w:val="0"/>
        <w:snapToGrid w:val="0"/>
        <w:spacing w:line="360" w:lineRule="auto"/>
        <w:ind w:firstLine="510" w:firstLineChars="206"/>
        <w:rPr>
          <w:rFonts w:asciiTheme="minorEastAsia" w:hAnsiTheme="minorEastAsia" w:eastAsiaTheme="minorEastAsia"/>
          <w:color w:val="auto"/>
          <w:spacing w:val="4"/>
          <w:sz w:val="24"/>
          <w:szCs w:val="24"/>
          <w:highlight w:val="none"/>
          <w:u w:val="single"/>
        </w:rPr>
      </w:pPr>
    </w:p>
    <w:p>
      <w:pPr>
        <w:adjustRightInd w:val="0"/>
        <w:snapToGrid w:val="0"/>
        <w:spacing w:line="360" w:lineRule="auto"/>
        <w:ind w:firstLine="494" w:firstLineChars="206"/>
        <w:rPr>
          <w:rFonts w:asciiTheme="minorEastAsia" w:hAnsiTheme="minorEastAsia" w:eastAsiaTheme="minorEastAsia"/>
          <w:color w:val="auto"/>
          <w:sz w:val="24"/>
          <w:szCs w:val="24"/>
          <w:highlight w:val="none"/>
        </w:rPr>
        <w:sectPr>
          <w:pgSz w:w="11906" w:h="16838"/>
          <w:pgMar w:top="1440" w:right="1286" w:bottom="1440" w:left="1440" w:header="851" w:footer="992" w:gutter="0"/>
          <w:cols w:space="720" w:num="1"/>
          <w:docGrid w:type="lines" w:linePitch="312" w:charSpace="0"/>
        </w:sectPr>
      </w:pP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42" w:name="_Toc435514855"/>
      <w:bookmarkStart w:id="43" w:name="_Toc435515295"/>
      <w:bookmarkStart w:id="44" w:name="_Toc275865606"/>
      <w:r>
        <w:rPr>
          <w:rFonts w:hint="eastAsia" w:cs="黑体" w:asciiTheme="minorEastAsia" w:hAnsiTheme="minorEastAsia" w:eastAsiaTheme="minorEastAsia"/>
          <w:color w:val="auto"/>
          <w:highlight w:val="none"/>
        </w:rPr>
        <w:t>投标人资格声明函</w:t>
      </w:r>
      <w:bookmarkEnd w:id="42"/>
      <w:bookmarkEnd w:id="43"/>
      <w:bookmarkEnd w:id="44"/>
    </w:p>
    <w:p>
      <w:pP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广东远东招标代理有限公司：</w:t>
      </w:r>
    </w:p>
    <w:p>
      <w:pPr>
        <w:snapToGrid w:val="0"/>
        <w:spacing w:beforeLines="50"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关于贵公司</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日发布项目（采购项目编号：（采购项目完整编号））的采购公告，本公司（企业）愿意参加投标，并声明：</w:t>
      </w:r>
    </w:p>
    <w:p>
      <w:pPr>
        <w:snapToGrid w:val="0"/>
        <w:spacing w:line="360" w:lineRule="auto"/>
        <w:ind w:firstLine="484" w:firstLineChars="202"/>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具备《政府采购法》第二十二条规定的条件，即：</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有依法缴纳税收和社会保障资金的良好记录：提供投标截止日前6个月内任意1个月依法缴纳税收和社会保障资金的相关材料。如依法免税或不需要缴纳社会保障资金的，提供相应证明材料（如供应商已对接“粤省事”“粤商通”等系统且能通过系统查询到相关内容，则无须提供该项证明文件，供应商可以提供相关承诺函）；</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w:t>
      </w:r>
      <w:r>
        <w:rPr>
          <w:rFonts w:hint="eastAsia" w:ascii="宋体" w:hAnsi="宋体" w:cs="宋体"/>
          <w:color w:val="auto"/>
          <w:sz w:val="24"/>
          <w:szCs w:val="24"/>
          <w:highlight w:val="none"/>
        </w:rPr>
        <w:t>具有良好的商业信誉和健全的财务会计制度：提供2020或2021年度财务状况报告或基本开户行出具的资信证明</w:t>
      </w:r>
      <w:r>
        <w:rPr>
          <w:rFonts w:hint="eastAsia" w:ascii="宋体" w:hAnsi="宋体"/>
          <w:color w:val="auto"/>
          <w:sz w:val="24"/>
          <w:highlight w:val="none"/>
        </w:rPr>
        <w:t>或财政部门认可的政府采购专业担保机构出具的担保函</w:t>
      </w:r>
      <w:r>
        <w:rPr>
          <w:rFonts w:hint="eastAsia" w:ascii="宋体" w:hAnsi="宋体" w:cs="宋体"/>
          <w:color w:val="auto"/>
          <w:sz w:val="24"/>
          <w:szCs w:val="24"/>
          <w:highlight w:val="none"/>
        </w:rPr>
        <w:t>（如供应商已对接“粤省事”“粤商通”等系统且能通过系统查询到相关内容，则无须提供该项证明文件，供应商可以提供相关承诺函）</w:t>
      </w:r>
      <w:r>
        <w:rPr>
          <w:rFonts w:hint="eastAsia" w:ascii="宋体" w:hAnsi="宋体" w:cs="宋体"/>
          <w:color w:val="auto"/>
          <w:sz w:val="24"/>
          <w:highlight w:val="none"/>
          <w:shd w:val="clear" w:color="auto" w:fill="FFFFFF"/>
        </w:rPr>
        <w:t>；</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4）履行合同所必须的设备和专业技术能力：</w:t>
      </w:r>
      <w:r>
        <w:rPr>
          <w:rFonts w:hint="eastAsia" w:ascii="宋体" w:hAnsi="宋体" w:cs="宋体"/>
          <w:color w:val="auto"/>
          <w:sz w:val="24"/>
          <w:szCs w:val="24"/>
          <w:highlight w:val="none"/>
        </w:rPr>
        <w:t>以具有相关的设备及专业技术能力的证明材料或书面承诺为准</w:t>
      </w:r>
      <w:r>
        <w:rPr>
          <w:rFonts w:hint="eastAsia" w:ascii="宋体" w:hAnsi="宋体" w:cs="宋体"/>
          <w:color w:val="auto"/>
          <w:sz w:val="24"/>
          <w:highlight w:val="none"/>
          <w:shd w:val="clear" w:color="auto" w:fill="FFFFFF"/>
        </w:rPr>
        <w:t>；</w:t>
      </w:r>
    </w:p>
    <w:p>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pStyle w:val="21"/>
        <w:spacing w:line="360" w:lineRule="auto"/>
        <w:ind w:firstLine="480" w:firstLineChars="200"/>
        <w:rPr>
          <w:rFonts w:hAnsi="宋体"/>
          <w:color w:val="auto"/>
          <w:highlight w:val="none"/>
        </w:rPr>
      </w:pPr>
      <w:r>
        <w:rPr>
          <w:rFonts w:hint="eastAsia" w:hAnsi="宋体"/>
          <w:color w:val="auto"/>
          <w:sz w:val="24"/>
          <w:highlight w:val="none"/>
          <w:shd w:val="clear" w:color="auto" w:fill="FFFFFF"/>
        </w:rPr>
        <w:t>6）法律、行政法规规定的其他条件：须提供书面声明，格式自定。</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2.落实政府采购政策需满足的资格要求：</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szCs w:val="24"/>
          <w:highlight w:val="none"/>
        </w:rPr>
        <w:t>包组一：中标人须承诺预留该采购包合同金额比例的</w:t>
      </w:r>
      <w:r>
        <w:rPr>
          <w:rFonts w:hint="eastAsia" w:cs="宋体" w:asciiTheme="minorEastAsia" w:hAnsiTheme="minorEastAsia"/>
          <w:color w:val="auto"/>
          <w:sz w:val="24"/>
          <w:szCs w:val="24"/>
          <w:highlight w:val="none"/>
        </w:rPr>
        <w:t>39.75</w:t>
      </w:r>
      <w:r>
        <w:rPr>
          <w:rFonts w:hint="eastAsia" w:cs="宋体" w:asciiTheme="minorEastAsia" w:hAnsiTheme="minorEastAsia" w:eastAsiaTheme="minorEastAsia"/>
          <w:color w:val="auto"/>
          <w:sz w:val="24"/>
          <w:szCs w:val="24"/>
          <w:highlight w:val="none"/>
        </w:rPr>
        <w:t>%给小、微企业</w:t>
      </w:r>
      <w:r>
        <w:rPr>
          <w:rFonts w:hint="eastAsia" w:ascii="宋体" w:hAnsi="宋体" w:cs="宋体"/>
          <w:color w:val="auto"/>
          <w:sz w:val="24"/>
          <w:highlight w:val="none"/>
        </w:rPr>
        <w:t>。</w:t>
      </w:r>
      <w:r>
        <w:rPr>
          <w:rFonts w:hint="eastAsia" w:cs="宋体" w:asciiTheme="minorEastAsia" w:hAnsiTheme="minorEastAsia" w:eastAsiaTheme="minorEastAsia"/>
          <w:color w:val="auto"/>
          <w:sz w:val="24"/>
          <w:szCs w:val="24"/>
          <w:highlight w:val="none"/>
        </w:rPr>
        <w:t>（供应商须提供《分包意向协议》（见投标文件格式），中小企业以供应商填写的《中小企业声明函》（见投标文件格式）为判定标准，残疾人福利性单位以供应商提供的《残疾人福利性单位声明函》（见投标文件格式）为判定标准，监狱企业须供应商提供由省级以上监狱管理局、戒毒管理局（含新疆生产建设兵团）出具的属于监狱企业的证明文件，接受分包合同的任何一方不得再以自己名义单独或接受其他供应商的分包参加本项目（同一采购包）的投标，否则不予认定。（注：如果供应商本身提供的所有标的均由中小企业承接，视同符合上述资格条件，无需再向中小企业分包）</w:t>
      </w:r>
    </w:p>
    <w:p>
      <w:pPr>
        <w:spacing w:line="360" w:lineRule="auto"/>
        <w:ind w:firstLine="480" w:firstLineChars="200"/>
        <w:rPr>
          <w:color w:val="auto"/>
          <w:highlight w:val="none"/>
        </w:rPr>
      </w:pPr>
      <w:r>
        <w:rPr>
          <w:rFonts w:hint="eastAsia" w:ascii="宋体" w:hAnsi="宋体" w:cs="宋体"/>
          <w:color w:val="auto"/>
          <w:sz w:val="24"/>
          <w:highlight w:val="none"/>
          <w:shd w:val="clear" w:color="auto" w:fill="FFFFFF"/>
        </w:rPr>
        <w:t>包组二：本包组</w:t>
      </w:r>
      <w:r>
        <w:rPr>
          <w:rFonts w:hint="eastAsia" w:ascii="宋体" w:hAnsi="宋体" w:cs="宋体"/>
          <w:color w:val="auto"/>
          <w:sz w:val="24"/>
          <w:highlight w:val="none"/>
        </w:rPr>
        <w:t>不属于专门面向中小企业采购的项目，</w:t>
      </w:r>
      <w:r>
        <w:rPr>
          <w:rFonts w:hint="eastAsia" w:ascii="宋体" w:hAnsi="宋体" w:cs="宋体"/>
          <w:color w:val="auto"/>
          <w:sz w:val="24"/>
          <w:highlight w:val="none"/>
          <w:shd w:val="clear" w:color="auto" w:fill="FFFFFF"/>
        </w:rPr>
        <w:t>允许非中小微企业、监狱企业、残疾人福利性单位参与项目投标</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pPr>
        <w:pStyle w:val="112"/>
        <w:spacing w:line="360" w:lineRule="auto"/>
        <w:ind w:firstLine="480" w:firstLineChars="200"/>
        <w:rPr>
          <w:rFonts w:hAnsi="宋体"/>
          <w:color w:val="auto"/>
          <w:highlight w:val="none"/>
        </w:rPr>
      </w:pPr>
      <w:r>
        <w:rPr>
          <w:rFonts w:hint="eastAsia" w:hAnsi="宋体"/>
          <w:color w:val="auto"/>
          <w:highlight w:val="none"/>
        </w:rPr>
        <w:t>1）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112"/>
        <w:spacing w:line="360" w:lineRule="auto"/>
        <w:ind w:firstLine="480" w:firstLineChars="200"/>
        <w:rPr>
          <w:rFonts w:hAnsi="宋体"/>
          <w:color w:val="auto"/>
          <w:highlight w:val="none"/>
        </w:rPr>
      </w:pPr>
      <w:r>
        <w:rPr>
          <w:rFonts w:hint="eastAsia" w:hAnsi="宋体"/>
          <w:color w:val="auto"/>
          <w:highlight w:val="none"/>
        </w:rPr>
        <w:t>2）单位负责人为同一人或者存在直接控股、管理关系的不同供应商，不得同时参加本采购包投标（响应）。为本项目提供整体设计、规范编制或者项目管理、监理、检测等服务的供应商，不得再参与本项目投标（响应）。</w:t>
      </w:r>
      <w:r>
        <w:rPr>
          <w:rFonts w:hint="eastAsia" w:cs="黑体" w:asciiTheme="minorEastAsia" w:hAnsiTheme="minorEastAsia" w:eastAsiaTheme="minorEastAsia"/>
          <w:color w:val="auto"/>
          <w:highlight w:val="none"/>
        </w:rPr>
        <w:t>资格声明函</w:t>
      </w:r>
      <w:r>
        <w:rPr>
          <w:rFonts w:hint="eastAsia" w:hAnsi="宋体"/>
          <w:color w:val="auto"/>
          <w:highlight w:val="none"/>
        </w:rPr>
        <w:t>相关承诺要求内容。</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3）供应商应当具备的其他资格条件：</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 xml:space="preserve">如投标人为所投产品的生产企业：所投产品为第二类、三类医疗器械，提供食品药品监督管理部门签发的有效的《医疗器械生产许可证》复印件。 </w:t>
      </w:r>
    </w:p>
    <w:p>
      <w:pPr>
        <w:pStyle w:val="112"/>
        <w:spacing w:line="360" w:lineRule="auto"/>
        <w:ind w:firstLine="480" w:firstLineChars="200"/>
        <w:rPr>
          <w:rFonts w:hAnsi="宋体"/>
          <w:color w:val="auto"/>
          <w:highlight w:val="none"/>
          <w:shd w:val="clear" w:color="auto" w:fill="FFFFFF"/>
        </w:rPr>
      </w:pPr>
      <w:r>
        <w:rPr>
          <w:rFonts w:hint="eastAsia" w:hAnsi="宋体"/>
          <w:color w:val="auto"/>
          <w:highlight w:val="none"/>
          <w:shd w:val="clear" w:color="auto" w:fill="FFFFFF"/>
        </w:rPr>
        <w:t xml:space="preserve">如投标人为所投产品的经营企业：所投产品为第三类医疗器械，提供食品药品监督管理部门签发的有效的《医疗器械经营许可证》复印件。 </w:t>
      </w:r>
    </w:p>
    <w:p>
      <w:pPr>
        <w:pStyle w:val="112"/>
        <w:spacing w:line="360" w:lineRule="auto"/>
        <w:ind w:firstLine="480" w:firstLineChars="200"/>
        <w:rPr>
          <w:rFonts w:hAnsi="宋体"/>
          <w:color w:val="auto"/>
          <w:highlight w:val="none"/>
        </w:rPr>
      </w:pPr>
      <w:r>
        <w:rPr>
          <w:rFonts w:hint="eastAsia" w:hAnsi="宋体"/>
          <w:color w:val="auto"/>
          <w:highlight w:val="none"/>
          <w:shd w:val="clear" w:color="auto" w:fill="FFFFFF"/>
        </w:rPr>
        <w:t>注：若所投产品并非医疗器械，则无须提供上述要求</w:t>
      </w:r>
      <w:r>
        <w:rPr>
          <w:rFonts w:hint="eastAsia" w:hAnsi="宋体"/>
          <w:color w:val="auto"/>
          <w:highlight w:val="none"/>
        </w:rPr>
        <w:t>。</w:t>
      </w:r>
    </w:p>
    <w:p>
      <w:pPr>
        <w:pStyle w:val="112"/>
        <w:spacing w:line="360" w:lineRule="auto"/>
        <w:ind w:firstLine="480" w:firstLineChars="200"/>
        <w:rPr>
          <w:rFonts w:hAnsi="宋体"/>
          <w:color w:val="auto"/>
          <w:highlight w:val="none"/>
        </w:rPr>
      </w:pPr>
      <w:r>
        <w:rPr>
          <w:rFonts w:hint="eastAsia" w:hAnsi="宋体"/>
          <w:color w:val="auto"/>
          <w:highlight w:val="none"/>
        </w:rPr>
        <w:t>4）本项目不接受联合体投标。</w:t>
      </w:r>
    </w:p>
    <w:p>
      <w:p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附件：相关证明材料</w:t>
      </w:r>
    </w:p>
    <w:p>
      <w:pPr>
        <w:spacing w:line="360" w:lineRule="auto"/>
        <w:ind w:firstLine="420"/>
        <w:rPr>
          <w:rFonts w:asciiTheme="minorEastAsia" w:hAnsiTheme="minorEastAsia" w:eastAsiaTheme="minorEastAsia"/>
          <w:color w:val="auto"/>
          <w:sz w:val="24"/>
          <w:szCs w:val="24"/>
          <w:highlight w:val="none"/>
        </w:rPr>
      </w:pPr>
    </w:p>
    <w:p>
      <w:pPr>
        <w:spacing w:line="360" w:lineRule="auto"/>
        <w:ind w:firstLine="42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单位名称：</w:t>
      </w:r>
      <w:r>
        <w:rPr>
          <w:rFonts w:asciiTheme="minorEastAsia" w:hAnsiTheme="minorEastAsia" w:eastAsiaTheme="minorEastAsia"/>
          <w:color w:val="auto"/>
          <w:spacing w:val="4"/>
          <w:sz w:val="24"/>
          <w:szCs w:val="24"/>
          <w:highlight w:val="none"/>
          <w:u w:val="single"/>
        </w:rPr>
        <w:t xml:space="preserve">                        </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法定代表人或投标人授权代表（签名或盖章）：</w:t>
      </w:r>
      <w:r>
        <w:rPr>
          <w:rFonts w:asciiTheme="minorEastAsia" w:hAnsiTheme="minorEastAsia" w:eastAsiaTheme="minorEastAsia"/>
          <w:color w:val="auto"/>
          <w:spacing w:val="4"/>
          <w:sz w:val="24"/>
          <w:szCs w:val="24"/>
          <w:highlight w:val="none"/>
          <w:u w:val="single"/>
        </w:rPr>
        <w:t xml:space="preserve">                 </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z w:val="24"/>
          <w:szCs w:val="24"/>
          <w:highlight w:val="none"/>
        </w:rPr>
        <w:t>单位公章：</w:t>
      </w:r>
      <w:r>
        <w:rPr>
          <w:rFonts w:asciiTheme="minorEastAsia" w:hAnsiTheme="minorEastAsia" w:eastAsiaTheme="minorEastAsia"/>
          <w:color w:val="auto"/>
          <w:spacing w:val="4"/>
          <w:sz w:val="24"/>
          <w:szCs w:val="24"/>
          <w:highlight w:val="none"/>
          <w:u w:val="single"/>
        </w:rPr>
        <w:t xml:space="preserve">                    </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z w:val="24"/>
          <w:szCs w:val="24"/>
          <w:highlight w:val="none"/>
        </w:rPr>
        <w:t>日期：</w:t>
      </w:r>
      <w:r>
        <w:rPr>
          <w:rFonts w:asciiTheme="minorEastAsia" w:hAnsiTheme="minorEastAsia" w:eastAsiaTheme="minorEastAsia"/>
          <w:color w:val="auto"/>
          <w:spacing w:val="4"/>
          <w:sz w:val="24"/>
          <w:szCs w:val="24"/>
          <w:highlight w:val="none"/>
          <w:u w:val="single"/>
        </w:rPr>
        <w:t xml:space="preserve">                        </w:t>
      </w:r>
    </w:p>
    <w:p>
      <w:pPr>
        <w:spacing w:line="360" w:lineRule="auto"/>
        <w:ind w:firstLine="480" w:firstLineChars="2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联系电话：</w:t>
      </w:r>
      <w:r>
        <w:rPr>
          <w:rFonts w:asciiTheme="minorEastAsia" w:hAnsiTheme="minorEastAsia" w:eastAsiaTheme="minorEastAsia"/>
          <w:color w:val="auto"/>
          <w:spacing w:val="4"/>
          <w:sz w:val="24"/>
          <w:szCs w:val="24"/>
          <w:highlight w:val="none"/>
          <w:u w:val="single"/>
        </w:rPr>
        <w:t xml:space="preserve">                        </w:t>
      </w:r>
    </w:p>
    <w:p>
      <w:pPr>
        <w:spacing w:line="360" w:lineRule="auto"/>
        <w:ind w:firstLine="496" w:firstLineChars="200"/>
        <w:rPr>
          <w:rFonts w:cs="黑体" w:asciiTheme="minorEastAsia" w:hAnsiTheme="minorEastAsia" w:eastAsiaTheme="minorEastAsia"/>
          <w:color w:val="auto"/>
          <w:highlight w:val="none"/>
        </w:rPr>
      </w:pPr>
      <w:r>
        <w:rPr>
          <w:rFonts w:hint="eastAsia" w:cs="宋体" w:asciiTheme="minorEastAsia" w:hAnsiTheme="minorEastAsia" w:eastAsiaTheme="minorEastAsia"/>
          <w:color w:val="auto"/>
          <w:spacing w:val="4"/>
          <w:sz w:val="24"/>
          <w:szCs w:val="24"/>
          <w:highlight w:val="none"/>
        </w:rPr>
        <w:t>邮箱：</w:t>
      </w:r>
      <w:r>
        <w:rPr>
          <w:rFonts w:asciiTheme="minorEastAsia" w:hAnsiTheme="minorEastAsia" w:eastAsiaTheme="minorEastAsia"/>
          <w:color w:val="auto"/>
          <w:spacing w:val="4"/>
          <w:sz w:val="24"/>
          <w:szCs w:val="24"/>
          <w:highlight w:val="none"/>
          <w:u w:val="single"/>
        </w:rPr>
        <w:t xml:space="preserve">                           </w:t>
      </w:r>
    </w:p>
    <w:p>
      <w:pPr>
        <w:rPr>
          <w:rFonts w:cs="黑体" w:asciiTheme="minorEastAsia" w:hAnsiTheme="minorEastAsia" w:eastAsiaTheme="minorEastAsia"/>
          <w:color w:val="auto"/>
          <w:highlight w:val="none"/>
        </w:rPr>
      </w:pPr>
      <w:r>
        <w:rPr>
          <w:rFonts w:hint="eastAsia" w:cs="黑体" w:asciiTheme="minorEastAsia" w:hAnsiTheme="minorEastAsia" w:eastAsiaTheme="minorEastAsia"/>
          <w:color w:val="auto"/>
          <w:highlight w:val="none"/>
        </w:rPr>
        <w:br w:type="page"/>
      </w:r>
    </w:p>
    <w:p>
      <w:pPr>
        <w:pStyle w:val="4"/>
        <w:adjustRightInd w:val="0"/>
        <w:snapToGrid w:val="0"/>
        <w:spacing w:beforeLines="50" w:afterLines="50" w:line="360" w:lineRule="auto"/>
        <w:jc w:val="center"/>
        <w:rPr>
          <w:color w:val="auto"/>
          <w:highlight w:val="none"/>
        </w:rPr>
      </w:pPr>
      <w:r>
        <w:rPr>
          <w:rFonts w:hint="eastAsia" w:cs="黑体" w:asciiTheme="minorEastAsia" w:hAnsiTheme="minorEastAsia" w:eastAsiaTheme="minorEastAsia"/>
          <w:color w:val="auto"/>
          <w:highlight w:val="none"/>
        </w:rPr>
        <w:t>投标人资格说明函（如适用）</w:t>
      </w:r>
    </w:p>
    <w:p>
      <w:pPr>
        <w:pStyle w:val="16"/>
        <w:ind w:firstLine="420"/>
        <w:rPr>
          <w:color w:val="auto"/>
          <w:highlight w:val="none"/>
        </w:rPr>
      </w:pPr>
    </w:p>
    <w:p>
      <w:pP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广东远东招标代理有限公司：</w:t>
      </w:r>
    </w:p>
    <w:p>
      <w:pPr>
        <w:snapToGrid w:val="0"/>
        <w:spacing w:beforeLines="50"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关于贵公司  年  月   日发布项目（采购项目编号：（采购项目完整编号））的采购公告，本公司（企业）愿意参加投标，并说明如下：</w:t>
      </w:r>
    </w:p>
    <w:p>
      <w:pPr>
        <w:pStyle w:val="16"/>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我司已对接“粤省事”“粤商通”“粤信签”等系统且能通过系统查询到相关内容，则无须提供财务状况、缴纳税收和社会保障资金证明文件。</w:t>
      </w:r>
    </w:p>
    <w:p>
      <w:pPr>
        <w:pStyle w:val="16"/>
        <w:spacing w:line="360" w:lineRule="auto"/>
        <w:ind w:firstLine="480"/>
        <w:rPr>
          <w:color w:val="auto"/>
          <w:highlight w:val="none"/>
        </w:rPr>
      </w:pPr>
      <w:r>
        <w:rPr>
          <w:rFonts w:hint="eastAsia" w:ascii="宋体" w:hAnsi="宋体"/>
          <w:color w:val="auto"/>
          <w:sz w:val="24"/>
          <w:szCs w:val="24"/>
          <w:highlight w:val="none"/>
        </w:rPr>
        <w:t>特此说明。</w:t>
      </w:r>
    </w:p>
    <w:p>
      <w:pPr>
        <w:spacing w:line="360" w:lineRule="auto"/>
        <w:ind w:firstLine="496" w:firstLineChars="200"/>
        <w:rPr>
          <w:rFonts w:asciiTheme="minorEastAsia" w:hAnsiTheme="minorEastAsia" w:eastAsiaTheme="minorEastAsia"/>
          <w:color w:val="auto"/>
          <w:spacing w:val="4"/>
          <w:sz w:val="24"/>
          <w:szCs w:val="24"/>
          <w:highlight w:val="none"/>
          <w:u w:val="single"/>
        </w:rPr>
      </w:pPr>
    </w:p>
    <w:p>
      <w:pPr>
        <w:rPr>
          <w:rFonts w:asciiTheme="minorEastAsia" w:hAnsiTheme="minorEastAsia" w:eastAsiaTheme="minorEastAsia"/>
          <w:color w:val="auto"/>
          <w:sz w:val="24"/>
          <w:szCs w:val="24"/>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16"/>
        <w:rPr>
          <w:color w:val="auto"/>
          <w:highlight w:val="none"/>
        </w:rPr>
      </w:pPr>
    </w:p>
    <w:p>
      <w:pPr>
        <w:spacing w:line="360" w:lineRule="auto"/>
        <w:ind w:firstLine="42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单位名称：</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法定代表人或投标人授权代表（签名或盖章）：</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单位地址：单位公章：</w:t>
      </w:r>
    </w:p>
    <w:p>
      <w:pPr>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邮政编码：日期：</w:t>
      </w:r>
    </w:p>
    <w:p>
      <w:pPr>
        <w:spacing w:line="360" w:lineRule="auto"/>
        <w:ind w:firstLine="480" w:firstLineChars="2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联系电话：</w:t>
      </w:r>
    </w:p>
    <w:p>
      <w:pPr>
        <w:spacing w:line="360" w:lineRule="auto"/>
        <w:ind w:firstLine="496" w:firstLineChars="200"/>
        <w:rPr>
          <w:color w:val="auto"/>
          <w:highlight w:val="none"/>
        </w:rPr>
        <w:sectPr>
          <w:pgSz w:w="11906" w:h="16838"/>
          <w:pgMar w:top="1440" w:right="1286" w:bottom="1440" w:left="1440" w:header="851" w:footer="992" w:gutter="0"/>
          <w:cols w:space="720" w:num="1"/>
          <w:docGrid w:type="lines" w:linePitch="312" w:charSpace="0"/>
        </w:sectPr>
      </w:pPr>
      <w:r>
        <w:rPr>
          <w:rFonts w:hint="eastAsia" w:cs="宋体" w:asciiTheme="minorEastAsia" w:hAnsiTheme="minorEastAsia" w:eastAsiaTheme="minorEastAsia"/>
          <w:color w:val="auto"/>
          <w:spacing w:val="4"/>
          <w:sz w:val="24"/>
          <w:szCs w:val="24"/>
          <w:highlight w:val="none"/>
        </w:rPr>
        <w:t>邮箱：</w:t>
      </w: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45" w:name="_承诺函"/>
      <w:bookmarkEnd w:id="45"/>
      <w:bookmarkStart w:id="46" w:name="_Toc50737329"/>
      <w:bookmarkStart w:id="47" w:name="_Toc435515299"/>
      <w:bookmarkStart w:id="48" w:name="_Toc435514859"/>
      <w:bookmarkStart w:id="49" w:name="_Toc50736477"/>
      <w:bookmarkStart w:id="50" w:name="_Toc50737297"/>
      <w:bookmarkStart w:id="51" w:name="_Toc275865607"/>
      <w:bookmarkStart w:id="52" w:name="_Toc52165081"/>
      <w:bookmarkStart w:id="53" w:name="_Toc50737296"/>
      <w:bookmarkStart w:id="54" w:name="_Toc52165080"/>
      <w:bookmarkStart w:id="55" w:name="_Toc50737328"/>
      <w:bookmarkStart w:id="56" w:name="_Toc50691034"/>
      <w:bookmarkStart w:id="57" w:name="_Toc50736476"/>
      <w:r>
        <w:rPr>
          <w:rFonts w:hint="eastAsia" w:cs="黑体" w:asciiTheme="minorEastAsia" w:hAnsiTheme="minorEastAsia" w:eastAsiaTheme="minorEastAsia"/>
          <w:color w:val="auto"/>
          <w:highlight w:val="none"/>
        </w:rPr>
        <w:t>法定代表人授权委托书</w:t>
      </w:r>
      <w:bookmarkEnd w:id="46"/>
      <w:bookmarkEnd w:id="47"/>
      <w:bookmarkEnd w:id="48"/>
      <w:bookmarkEnd w:id="49"/>
      <w:bookmarkEnd w:id="50"/>
      <w:bookmarkEnd w:id="51"/>
      <w:bookmarkEnd w:id="52"/>
    </w:p>
    <w:p>
      <w:pPr>
        <w:pStyle w:val="21"/>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本授权委托书声明：注册于</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（投标人地址）</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的</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（投标人名称）</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在下面签名的</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（法定代表人姓名、职务）</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在此授权</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（被授权人姓名、职务、联系电话）</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作为我公司的合法代理人，就</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（采购项目名称、采购项目编号）</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的招投标活动，采购合同的签订、执行、完成和售后服务，作为投标人代表以我方的名义处理一切与之有关的事务。</w:t>
      </w:r>
    </w:p>
    <w:p>
      <w:pPr>
        <w:pStyle w:val="21"/>
        <w:spacing w:line="360" w:lineRule="auto"/>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被授权人</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（投标人授权代表）</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无转委托权限。</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本授权书自法定代表人签字之日起生效，特此声明。</w:t>
      </w:r>
    </w:p>
    <w:p>
      <w:pPr>
        <w:spacing w:line="360" w:lineRule="auto"/>
        <w:ind w:firstLine="480" w:firstLineChars="200"/>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随附《法定代表人证明》</w: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投标人名称（单位盖</w:t>
      </w:r>
      <w:r>
        <w:rPr>
          <w:rFonts w:hint="eastAsia" w:cs="宋体" w:asciiTheme="minorEastAsia" w:hAnsiTheme="minorEastAsia" w:eastAsiaTheme="minorEastAsia"/>
          <w:color w:val="auto"/>
          <w:spacing w:val="4"/>
          <w:sz w:val="24"/>
          <w:szCs w:val="24"/>
          <w:highlight w:val="none"/>
        </w:rPr>
        <w:t>公章</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pacing w:val="4"/>
          <w:sz w:val="24"/>
          <w:szCs w:val="24"/>
          <w:highlight w:val="none"/>
          <w:u w:val="single"/>
        </w:rPr>
        <w:t xml:space="preserve">                        </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asciiTheme="minorEastAsia" w:hAnsiTheme="minorEastAsia" w:eastAsiaTheme="minorEastAsia"/>
          <w:color w:val="auto"/>
          <w:spacing w:val="4"/>
          <w:sz w:val="24"/>
          <w:szCs w:val="24"/>
          <w:highlight w:val="none"/>
          <w:u w:val="single"/>
        </w:rPr>
        <w:t xml:space="preserve">                        </w:t>
      </w:r>
    </w:p>
    <w:p>
      <w:pPr>
        <w:tabs>
          <w:tab w:val="left" w:pos="3780"/>
        </w:tabs>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法定代表人（签字或盖章）：</w:t>
      </w:r>
      <w:r>
        <w:rPr>
          <w:rFonts w:asciiTheme="minorEastAsia" w:hAnsiTheme="minorEastAsia" w:eastAsiaTheme="minorEastAsia"/>
          <w:color w:val="auto"/>
          <w:spacing w:val="4"/>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签字日期：</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spacing w:line="360" w:lineRule="auto"/>
        <w:ind w:left="1159" w:leftChars="552" w:firstLine="2261"/>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162560</wp:posOffset>
                </wp:positionV>
                <wp:extent cx="2639060" cy="1809750"/>
                <wp:effectExtent l="4445" t="4445" r="23495" b="14605"/>
                <wp:wrapNone/>
                <wp:docPr id="1" name="文本框 9"/>
                <wp:cNvGraphicFramePr/>
                <a:graphic xmlns:a="http://schemas.openxmlformats.org/drawingml/2006/main">
                  <a:graphicData uri="http://schemas.microsoft.com/office/word/2010/wordprocessingShape">
                    <wps:wsp>
                      <wps:cNvSpPr txBox="1"/>
                      <wps:spPr>
                        <a:xfrm>
                          <a:off x="0" y="0"/>
                          <a:ext cx="2639060" cy="1809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wps:txbx>
                      <wps:bodyPr vert="horz" anchor="t" upright="1"/>
                    </wps:wsp>
                  </a:graphicData>
                </a:graphic>
              </wp:anchor>
            </w:drawing>
          </mc:Choice>
          <mc:Fallback>
            <w:pict>
              <v:shape id="文本框 9" o:spid="_x0000_s1026" o:spt="202" type="#_x0000_t202" style="position:absolute;left:0pt;margin-left:3.15pt;margin-top:12.8pt;height:142.5pt;width:207.8pt;z-index:251661312;mso-width-relative:page;mso-height-relative:page;" fillcolor="#FFFFFF" filled="t" stroked="t" coordsize="21600,21600" o:gfxdata="UEsDBAoAAAAAAIdO4kAAAAAAAAAAAAAAAAAEAAAAZHJzL1BLAwQUAAAACACHTuJAQY8bKdgAAAAI&#10;AQAADwAAAGRycy9kb3ducmV2LnhtbE2PMU/DMBSEdyT+g/WQWBC1k5TQhrx0QALBVkpVVjd2kwj7&#10;OdhuWv49ZoLxdKe77+rV2Ro2aR8GRwjZTADT1Do1UIewfX+6XQALUZKSxpFG+NYBVs3lRS0r5U70&#10;pqdN7FgqoVBJhD7GseI8tL22MszcqCl5B+etjEn6jisvT6ncGp4LUXIrB0oLvRz1Y6/bz83RIizm&#10;L9NHeC3Wu7Y8mGW8uZ+evzzi9VUmHoBFfY5/YfjFT+jQJKa9O5IKzCCURQoi5HclsGTP82wJbI9Q&#10;ZKIE3tT8/4HmB1BLAwQUAAAACACHTuJATEmFcSICAABcBAAADgAAAGRycy9lMm9Eb2MueG1srVRN&#10;rtMwEN4jcQfLe17SopbXqOmToJQNAqQHB3AdJ7HkP9lum3IAuAErNuw5V8/BZ7eUvgeLLsgi+ewZ&#10;fzPzzTjzu0ErshU+SGtqOropKRGG20aarqafPq6e3VISIjMNU9aImu5FoHeLp0/mO1eJse2taoQn&#10;IDGh2rma9jG6qigC74Vm4cY6YWBsrdcsYum7ovFsB3atinFZToud9Y3zlosQsLs8GumJ0V9DaNtW&#10;crG0fKOFiUdWLxSLKCn00gW6yNm2reDxfdsGEYmqKSqN+Y0gwOv0LhZzVnWeuV7yUwrsmhQe1aSZ&#10;NAh6plqyyMjGy7+otOTeBtvGG251cSwkK4IqRuUjbe575kSuBVIHdxY9/D9a/m77wRPZYBIoMUyj&#10;4YdvXw/ffx5+fCGzJM/OhQpe9w5+cXhph+R62g/YTFUPrdfpi3oI7BB3fxZXDJFwbI6nz2flFCYO&#10;2+i2nL2YZPmLP8edD/GNsJokUFOP7mVR2fZtiAgJ198uKVqwSjYrqVRe+G79SnmyZej0Kj8pSxx5&#10;4KYM2dV0NhlPkAjD+LYYG0DtIEEwXY734ES4JC7z8y/ilNiShf6YQGZIbqzSMgqfUS9Y89o0JO4d&#10;ZDa4XTQlo0VDiRK4jAllz8ikusYT1SmTgog86ieVUseOnUkoDusBpAmubbNHF3H5oW5v/WdKmOEA&#10;NYUGG+dl18OS21ukAxi6LOHpgqSpvlwDX/4U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Y8b&#10;KdgAAAAIAQAADwAAAAAAAAABACAAAAAiAAAAZHJzL2Rvd25yZXYueG1sUEsBAhQAFAAAAAgAh07i&#10;QExJhXEiAgAAXAQAAA4AAAAAAAAAAQAgAAAAJwEAAGRycy9lMm9Eb2MueG1sUEsFBgAAAAAGAAYA&#10;WQEAALsFA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v:textbox>
              </v:shape>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3002280</wp:posOffset>
                </wp:positionH>
                <wp:positionV relativeFrom="paragraph">
                  <wp:posOffset>160020</wp:posOffset>
                </wp:positionV>
                <wp:extent cx="2552065" cy="1818640"/>
                <wp:effectExtent l="5080" t="4445" r="14605" b="5715"/>
                <wp:wrapNone/>
                <wp:docPr id="2" name="文本框 10"/>
                <wp:cNvGraphicFramePr/>
                <a:graphic xmlns:a="http://schemas.openxmlformats.org/drawingml/2006/main">
                  <a:graphicData uri="http://schemas.microsoft.com/office/word/2010/wordprocessingShape">
                    <wps:wsp>
                      <wps:cNvSpPr txBox="1"/>
                      <wps:spPr>
                        <a:xfrm>
                          <a:off x="0" y="0"/>
                          <a:ext cx="2552065" cy="181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rPr>
                                <w:rFonts w:cs="宋体"/>
                              </w:rPr>
                            </w:pPr>
                            <w:r>
                              <w:rPr>
                                <w:rFonts w:hint="eastAsia" w:cs="宋体"/>
                              </w:rPr>
                              <w:t>被授权人（授权代表）居民身份证复印件反面</w:t>
                            </w:r>
                          </w:p>
                          <w:p/>
                        </w:txbxContent>
                      </wps:txbx>
                      <wps:bodyPr vert="horz" anchor="t" upright="1"/>
                    </wps:wsp>
                  </a:graphicData>
                </a:graphic>
              </wp:anchor>
            </w:drawing>
          </mc:Choice>
          <mc:Fallback>
            <w:pict>
              <v:shape id="文本框 10" o:spid="_x0000_s1026" o:spt="202" type="#_x0000_t202" style="position:absolute;left:0pt;margin-left:236.4pt;margin-top:12.6pt;height:143.2pt;width:200.95pt;z-index:251662336;mso-width-relative:page;mso-height-relative:page;" fillcolor="#FFFFFF" filled="t" stroked="t" coordsize="21600,21600" o:gfxdata="UEsDBAoAAAAAAIdO4kAAAAAAAAAAAAAAAAAEAAAAZHJzL1BLAwQUAAAACACHTuJADYphSdoAAAAK&#10;AQAADwAAAGRycy9kb3ducmV2LnhtbE2PMU/DMBSEdyT+g/WQWBB1koYkhLx0QALBVkpVVjd2kwj7&#10;OdhuWv49ZoLxdKe775rV2Wg2K+dHSwjpIgGmqLNypB5h+/50WwHzQZAU2pJC+FYeVu3lRSNqaU/0&#10;puZN6FksIV8LhCGEqebcd4Mywi/spCh6B+uMCFG6nksnTrHcaJ4lScGNGCkuDGJSj4PqPjdHg1Dl&#10;L/OHf12ud11x0Pfhppyfvxzi9VWaPAAL6hz+wvCLH9GhjUx7eyTpmUbIyyyiB4TsLgMWA1WZl8D2&#10;CMs0LYC3Df9/of0BUEsDBBQAAAAIAIdO4kCzU/6YIgIAAF0EAAAOAAAAZHJzL2Uyb0RvYy54bWyt&#10;VM2O0zAQviPxDpbvNGlEq1I1XQlKuSBAWngA13YSS/6Tx21SHgDegBMX7jxXn2PHbul2lz30sDkk&#10;Y8/4m/m+GWdxMxhNdjKAcram41FJibTcCWXbmn77un41owQis4JpZ2VN9xLozfLli0Xv57JyndNC&#10;BoIgFua9r2kXo58XBfBOGgYj56VFZ+OCYRGXoS1EYD2iG11UZTkteheED45LANxdHZ30hBiuAXRN&#10;o7hcOb410sYjapCaRaQEnfJAl7nappE8fm4akJHomiLTmN+YBO1NehfLBZu3gflO8VMJ7JoSHnEy&#10;TFlMeoZascjINqj/oIziwYFr4og7UxyJZEWQxbh8pM1tx7zMXFBq8GfR4flg+afdl0CUqGlFiWUG&#10;G3749fPw++/hzw8yzvr0HuYYdusxMA5v3YBTk3RL+4CbifbQBJO+SIigH9Xdn9WVQyQcN6vJpCqn&#10;E0o4+saz8Wz6OuMX98d9gPhBOkOSUdOA7cuqst1HiJgSQ/+FpGzgtBJrpXVehHbzTgeyY9jqdX5S&#10;lXjkQZi2pK/pm0mVCmE4vw3ODZrGowZg25zvwQm4BC7z8xRwKmzFoDsWkBGO02VUlCHPWSeZeG8F&#10;iXuPOlu8XjQVY6SgREu8jcnKkZEpfU0kstM2sZd51k8q3XcmWXHYDAiazI0Te+wi3n5Ut3PhOyXM&#10;cjRqihpsfVBth57c3iIdwKnLEp5uSBrryzXal3+F5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imFJ2gAAAAoBAAAPAAAAAAAAAAEAIAAAACIAAABkcnMvZG93bnJldi54bWxQSwECFAAUAAAACACH&#10;TuJAs1P+mCICAABdBAAADgAAAAAAAAABACAAAAApAQAAZHJzL2Uyb0RvYy54bWxQSwUGAAAAAAYA&#10;BgBZAQAAvQU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rPr>
                          <w:rFonts w:cs="宋体"/>
                        </w:rPr>
                      </w:pPr>
                      <w:r>
                        <w:rPr>
                          <w:rFonts w:hint="eastAsia" w:cs="宋体"/>
                        </w:rPr>
                        <w:t>被授权人（授权代表）居民身份证复印件反面</w:t>
                      </w:r>
                    </w:p>
                    <w:p/>
                  </w:txbxContent>
                </v:textbox>
              </v:shape>
            </w:pict>
          </mc:Fallback>
        </mc:AlternateConten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440" w:lineRule="exact"/>
        <w:rPr>
          <w:rFonts w:asciiTheme="minorEastAsia" w:hAnsiTheme="minorEastAsia" w:eastAsiaTheme="minorEastAsia"/>
          <w:color w:val="auto"/>
          <w:sz w:val="24"/>
          <w:szCs w:val="24"/>
          <w:highlight w:val="none"/>
        </w:rPr>
        <w:sectPr>
          <w:pgSz w:w="11906" w:h="16838"/>
          <w:pgMar w:top="1440" w:right="1286" w:bottom="1440" w:left="1440" w:header="851" w:footer="992" w:gutter="0"/>
          <w:cols w:space="720" w:num="1"/>
          <w:docGrid w:type="lines" w:linePitch="312" w:charSpace="0"/>
        </w:sectPr>
      </w:pPr>
      <w:bookmarkStart w:id="58" w:name="_Toc226217114"/>
    </w:p>
    <w:bookmarkEnd w:id="58"/>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59" w:name="_Toc275865608"/>
      <w:bookmarkStart w:id="60" w:name="_Toc435515300"/>
      <w:bookmarkStart w:id="61" w:name="_Toc435514860"/>
      <w:r>
        <w:rPr>
          <w:rFonts w:hint="eastAsia" w:cs="黑体" w:asciiTheme="minorEastAsia" w:hAnsiTheme="minorEastAsia" w:eastAsiaTheme="minorEastAsia"/>
          <w:color w:val="auto"/>
          <w:highlight w:val="none"/>
        </w:rPr>
        <w:t>法定代表人证明书</w:t>
      </w:r>
      <w:bookmarkEnd w:id="53"/>
      <w:bookmarkEnd w:id="54"/>
      <w:bookmarkEnd w:id="55"/>
      <w:bookmarkEnd w:id="56"/>
      <w:bookmarkEnd w:id="57"/>
      <w:bookmarkEnd w:id="59"/>
      <w:bookmarkEnd w:id="60"/>
      <w:bookmarkEnd w:id="61"/>
    </w:p>
    <w:p>
      <w:pPr>
        <w:tabs>
          <w:tab w:val="left" w:pos="900"/>
        </w:tabs>
        <w:spacing w:line="480" w:lineRule="auto"/>
        <w:ind w:firstLine="1080" w:firstLineChars="45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同志，现任我单位职务，为法定代表人，特此证明。</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本证明书自签发之日起生效，有效期与本公司投标文件中标注的投标有效期相同。</w:t>
      </w:r>
    </w:p>
    <w:p>
      <w:pPr>
        <w:spacing w:line="48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营业执照（注册号）：</w:t>
      </w:r>
      <w:r>
        <w:rPr>
          <w:rFonts w:asciiTheme="minorEastAsia" w:hAnsiTheme="minorEastAsia" w:eastAsiaTheme="minorEastAsia"/>
          <w:color w:val="auto"/>
          <w:spacing w:val="4"/>
          <w:sz w:val="24"/>
          <w:szCs w:val="24"/>
          <w:highlight w:val="none"/>
          <w:u w:val="single"/>
        </w:rPr>
        <w:t xml:space="preserve">                        </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经济性质：</w:t>
      </w:r>
      <w:r>
        <w:rPr>
          <w:rFonts w:asciiTheme="minorEastAsia" w:hAnsiTheme="minorEastAsia" w:eastAsiaTheme="minorEastAsia"/>
          <w:color w:val="auto"/>
          <w:spacing w:val="4"/>
          <w:sz w:val="24"/>
          <w:szCs w:val="24"/>
          <w:highlight w:val="none"/>
          <w:u w:val="single"/>
        </w:rPr>
        <w:t xml:space="preserve">                        </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主营（产）：</w:t>
      </w:r>
      <w:r>
        <w:rPr>
          <w:rFonts w:asciiTheme="minorEastAsia" w:hAnsiTheme="minorEastAsia" w:eastAsiaTheme="minorEastAsia"/>
          <w:color w:val="auto"/>
          <w:spacing w:val="4"/>
          <w:sz w:val="24"/>
          <w:szCs w:val="24"/>
          <w:highlight w:val="none"/>
          <w:u w:val="single"/>
        </w:rPr>
        <w:t xml:space="preserve">                        </w:t>
      </w:r>
    </w:p>
    <w:p>
      <w:pPr>
        <w:spacing w:line="48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兼营（产）：</w:t>
      </w:r>
      <w:r>
        <w:rPr>
          <w:rFonts w:asciiTheme="minorEastAsia" w:hAnsiTheme="minorEastAsia" w:eastAsiaTheme="minorEastAsia"/>
          <w:color w:val="auto"/>
          <w:spacing w:val="4"/>
          <w:sz w:val="24"/>
          <w:szCs w:val="24"/>
          <w:highlight w:val="none"/>
          <w:u w:val="single"/>
        </w:rPr>
        <w:t xml:space="preserve">                        </w:t>
      </w: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-83820</wp:posOffset>
                </wp:positionH>
                <wp:positionV relativeFrom="paragraph">
                  <wp:posOffset>-287020</wp:posOffset>
                </wp:positionV>
                <wp:extent cx="2630170" cy="1798955"/>
                <wp:effectExtent l="4445" t="4445" r="13335" b="6350"/>
                <wp:wrapNone/>
                <wp:docPr id="3" name="文本框 11"/>
                <wp:cNvGraphicFramePr/>
                <a:graphic xmlns:a="http://schemas.openxmlformats.org/drawingml/2006/main">
                  <a:graphicData uri="http://schemas.microsoft.com/office/word/2010/wordprocessingShape">
                    <wps:wsp>
                      <wps:cNvSpPr txBox="1"/>
                      <wps:spPr>
                        <a:xfrm>
                          <a:off x="0" y="0"/>
                          <a:ext cx="2630170" cy="1798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wps:txbx>
                      <wps:bodyPr upright="1"/>
                    </wps:wsp>
                  </a:graphicData>
                </a:graphic>
              </wp:anchor>
            </w:drawing>
          </mc:Choice>
          <mc:Fallback>
            <w:pict>
              <v:shape id="文本框 11" o:spid="_x0000_s1026" o:spt="202" type="#_x0000_t202" style="position:absolute;left:0pt;margin-left:-6.6pt;margin-top:-22.6pt;height:141.65pt;width:207.1pt;z-index:251663360;mso-width-relative:page;mso-height-relative:page;" fillcolor="#FFFFFF" filled="t" stroked="t" coordsize="21600,21600" o:gfxdata="UEsDBAoAAAAAAIdO4kAAAAAAAAAAAAAAAAAEAAAAZHJzL1BLAwQUAAAACACHTuJAS3g9xdkAAAAL&#10;AQAADwAAAGRycy9kb3ducmV2LnhtbE2PwU7DMBBE70j8g7VIXFBrOwklhDg9IIHgVgqCqxu7SUS8&#10;Drablr9nOcFtRvs0O1OvT25ksw1x8KhALgUwi603A3YK3l4fFiWwmDQaPXq0Cr5thHVzflbryvgj&#10;vth5mzpGIRgrraBPaao4j21vnY5LP1mk294HpxPZ0HET9JHC3cgzIVbc6QHpQ68ne9/b9nN7cArK&#10;4mn+iM/55r1d7cfbdHUzP34FpS4vpLgDluwp/cHwW5+qQ0Oddv6AJrJRwULmGaEkimsSRBRC0rqd&#10;giwvJfCm5v83ND9QSwMEFAAAAAgAh07iQDOYEaYTAgAARgQAAA4AAABkcnMvZTJvRG9jLnhtbK1T&#10;S47bMAzdF+gdBO0b2xlkZmLEGaBN003RFpj2AIos2wL0g6jEzgXaG3TVTfc9V85RSs6kmc8ii3oh&#10;UyT1SD6Si7tBK7ITHqQ1FS0mOSXCcFtL01b029f1m1tKIDBTM2WNqOheAL1bvn616F0pprazqhae&#10;IIiBsncV7UJwZZYB74RmMLFOGDQ21msW8OrbrPasR3StsmmeX2e99bXzlgsA1K5GIz0i+ksAbdNI&#10;LlaWb7UwYUT1QrGAJUEnHdBlyrZpBA+fmwZEIKqiWGlIJwZBeRPPbLlgZeuZ6yQ/psAuSeFJTZpJ&#10;g0FPUCsWGNl6+QxKS+4t2CZMuNXZWEhiBKso8ifc3HfMiVQLUg3uRDr8P1j+affFE1lX9IoSwzQ2&#10;/PDzx+HXn8Pv76QoIj+9gxLd7h06huGtHXBqHvSAylj20Hgd/1gQQTuyuz+xK4ZAOCqn11d5cYMm&#10;jrbiZn47n80iTvbvufMQPgirSRQq6rF9iVW2+whhdH1widHAKlmvpVLp4tvNO+XJjmGr1+k7oj9y&#10;U4b0FZ3PpjNMhOH8Njg3KGqHHIBpU7xHL+AcOE/fS8AxsRWDbkwgIUQ3VmoZhE9SJ1j93tQk7B3y&#10;bHC9aExGi5oSJXAbo5Q8A5PqEk/kTpkYRKRZP7IUOzZ2Jkph2AwIGsWNrffYxa3zsu2Q4NTHLFpw&#10;vFInjqsQ5/f8jvL5+i//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4PcXZAAAACwEAAA8AAAAA&#10;AAAAAQAgAAAAIgAAAGRycy9kb3ducmV2LnhtbFBLAQIUABQAAAAIAIdO4kAzmBGmEwIAAEYEAAAO&#10;AAAAAAAAAAEAIAAAACgBAABkcnMvZTJvRG9jLnhtbFBLBQYAAAAABgAGAFkBAACtBQ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法定代表人居民身份证复印件正面</w:t>
                      </w:r>
                    </w:p>
                  </w:txbxContent>
                </v:textbox>
              </v:shape>
            </w:pict>
          </mc:Fallback>
        </mc:AlternateContent>
      </w:r>
    </w:p>
    <w:p>
      <w:pPr>
        <w:spacing w:line="360" w:lineRule="auto"/>
        <w:rPr>
          <w:rFonts w:asciiTheme="minorEastAsia" w:hAnsiTheme="minorEastAsia" w:eastAsiaTheme="minorEastAsia"/>
          <w:color w:val="auto"/>
          <w:sz w:val="24"/>
          <w:szCs w:val="24"/>
          <w:highlight w:val="none"/>
        </w:rPr>
      </w:pP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2630805</wp:posOffset>
                </wp:positionH>
                <wp:positionV relativeFrom="paragraph">
                  <wp:posOffset>-574675</wp:posOffset>
                </wp:positionV>
                <wp:extent cx="2800350" cy="1781175"/>
                <wp:effectExtent l="4445" t="4445" r="14605" b="5080"/>
                <wp:wrapNone/>
                <wp:docPr id="4" name="文本框 12"/>
                <wp:cNvGraphicFramePr/>
                <a:graphic xmlns:a="http://schemas.openxmlformats.org/drawingml/2006/main">
                  <a:graphicData uri="http://schemas.microsoft.com/office/word/2010/wordprocessingShape">
                    <wps:wsp>
                      <wps:cNvSpPr txBox="1"/>
                      <wps:spPr>
                        <a:xfrm>
                          <a:off x="0" y="0"/>
                          <a:ext cx="2800350" cy="1781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法定代表人居民身份证复印件反面</w:t>
                            </w:r>
                          </w:p>
                        </w:txbxContent>
                      </wps:txbx>
                      <wps:bodyPr upright="1"/>
                    </wps:wsp>
                  </a:graphicData>
                </a:graphic>
              </wp:anchor>
            </w:drawing>
          </mc:Choice>
          <mc:Fallback>
            <w:pict>
              <v:shape id="文本框 12" o:spid="_x0000_s1026" o:spt="202" type="#_x0000_t202" style="position:absolute;left:0pt;margin-left:207.15pt;margin-top:-45.25pt;height:140.25pt;width:220.5pt;z-index:251664384;mso-width-relative:page;mso-height-relative:page;" fillcolor="#FFFFFF" filled="t" stroked="t" coordsize="21600,21600" o:gfxdata="UEsDBAoAAAAAAIdO4kAAAAAAAAAAAAAAAAAEAAAAZHJzL1BLAwQUAAAACACHTuJA0Epj+9kAAAAL&#10;AQAADwAAAGRycy9kb3ducmV2LnhtbE2PwU7DMAyG70i8Q2QkLmhLytrRlqY7IIHgBgPBNWuytiJx&#10;SpJ14+0xJzja/vT7+5vNyVk2mxBHjxKypQBmsPN6xF7C2+v9ogQWk0KtrEcj4dtE2LTnZ42qtT/i&#10;i5m3qWcUgrFWEoaUpprz2A3Gqbj0k0G67X1wKtEYeq6DOlK4s/xaiDV3akT6MKjJ3A2m+9wenIQy&#10;f5w/4tPq+b1b722Vrm7mh68g5eVFJm6BJXNKfzD86pM6tOS08wfUkVkJeZavCJWwqEQBjIiyKGiz&#10;I7QSAnjb8P8d2h9QSwMEFAAAAAgAh07iQCyYcXESAgAARgQAAA4AAABkcnMvZTJvRG9jLnhtbK1T&#10;Ta7TMBDeI3EHy3uapFBeiZo+CUrZIEB6cADXcRJL/pPHbdILwA1YsWHPuXoOxk5e6Xuw6IIsnPHM&#10;+JuZb2ZWt4NW5CA8SGsqWsxySoThtpamreiXz9tnS0ogMFMzZY2o6FEAvV0/fbLqXSnmtrOqFp4g&#10;iIGydxXtQnBllgHvhGYws04YNDbWaxbw6tus9qxHdK2yeZ6/zHrra+ctFwCo3YxGOiH6awBt00gu&#10;NpbvtTBhRPVCsYAlQScd0HXKtmkEDx+bBkQgqqJYaUgnBkF5F89svWJl65nrJJ9SYNek8KgmzaTB&#10;oGeoDQuM7L38C0pL7i3YJsy41dlYSGIEqyjyR9zcdcyJVAtSDe5MOvw/WP7h8MkTWVf0BSWGaWz4&#10;6fu3049fp59fSTGP/PQOSnS7c+gYhtd2wKm51wMqY9lD43X8Y0EE7cju8cyuGALhqJwv8/z5Ak0c&#10;bcXNsihuFhEn+/PceQjvhNUkChX12L7EKju8hzC63rvEaGCVrLdSqXTx7e6N8uTAsNXb9E3oD9yU&#10;IX1FXy3mC0yE4fw2ODcoaoccgGlTvAcv4BI4T9+/gGNiGwbdmEBCiG6s1DIIn6ROsPqtqUk4OuTZ&#10;4HrRmIwWNSVK4DZGKXkGJtU1nsidMjGISLM+sRQ7NnYmSmHYDQgaxZ2tj9jFvfOy7ZDg1McsWnC8&#10;UiemVYjze3lH+XL9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Epj+9kAAAALAQAADwAAAAAA&#10;AAABACAAAAAiAAAAZHJzL2Rvd25yZXYueG1sUEsBAhQAFAAAAAgAh07iQCyYcXESAgAARgQAAA4A&#10;AAAAAAAAAQAgAAAAKAEAAGRycy9lMm9Eb2MueG1sUEsFBgAAAAAGAAYAWQEAAKwFAAAAAA==&#10;">
                <v:fill on="t" focussize="0,0"/>
                <v:stroke color="#000000" joinstyle="miter"/>
                <v:imagedata o:title=""/>
                <o:lock v:ext="edit" aspectratio="f"/>
                <v:textbox>
                  <w:txbxContent>
                    <w:p>
                      <w:pPr>
                        <w:jc w:val="center"/>
                        <w:rPr>
                          <w:rFonts w:cs="宋体"/>
                        </w:rPr>
                      </w:pPr>
                    </w:p>
                    <w:p>
                      <w:pPr>
                        <w:jc w:val="center"/>
                        <w:rPr>
                          <w:rFonts w:cs="宋体"/>
                        </w:rPr>
                      </w:pPr>
                    </w:p>
                    <w:p>
                      <w:pPr>
                        <w:jc w:val="center"/>
                        <w:rPr>
                          <w:rFonts w:cs="宋体"/>
                        </w:rPr>
                      </w:pPr>
                    </w:p>
                    <w:p>
                      <w:pPr>
                        <w:jc w:val="center"/>
                      </w:pPr>
                      <w:r>
                        <w:rPr>
                          <w:rFonts w:hint="eastAsia" w:cs="宋体"/>
                        </w:rPr>
                        <w:t>法定代表人居民身份证复印件反面</w:t>
                      </w:r>
                    </w:p>
                  </w:txbxContent>
                </v:textbox>
              </v:shape>
            </w:pict>
          </mc:Fallback>
        </mc:AlternateContent>
      </w:r>
    </w:p>
    <w:p>
      <w:pPr>
        <w:spacing w:line="360" w:lineRule="auto"/>
        <w:rPr>
          <w:rFonts w:asciiTheme="minorEastAsia" w:hAnsiTheme="minorEastAsia" w:eastAsiaTheme="minorEastAsia"/>
          <w:color w:val="auto"/>
          <w:sz w:val="24"/>
          <w:szCs w:val="24"/>
          <w:highlight w:val="none"/>
        </w:rPr>
      </w:pPr>
    </w:p>
    <w:p>
      <w:pPr>
        <w:spacing w:line="500" w:lineRule="exact"/>
        <w:rPr>
          <w:rFonts w:asciiTheme="minorEastAsia" w:hAnsiTheme="minorEastAsia" w:eastAsiaTheme="minorEastAsia"/>
          <w:b/>
          <w:bCs/>
          <w:color w:val="auto"/>
          <w:sz w:val="24"/>
          <w:szCs w:val="24"/>
          <w:highlight w:val="none"/>
        </w:rPr>
      </w:pPr>
    </w:p>
    <w:p>
      <w:pPr>
        <w:spacing w:line="500" w:lineRule="exact"/>
        <w:rPr>
          <w:rFonts w:asciiTheme="minorEastAsia" w:hAnsiTheme="minorEastAsia" w:eastAsiaTheme="minorEastAsia"/>
          <w:b/>
          <w:bCs/>
          <w:color w:val="auto"/>
          <w:sz w:val="24"/>
          <w:szCs w:val="24"/>
          <w:highlight w:val="none"/>
        </w:rPr>
      </w:pPr>
    </w:p>
    <w:p>
      <w:pPr>
        <w:spacing w:line="500" w:lineRule="exact"/>
        <w:rPr>
          <w:rFonts w:asciiTheme="minorEastAsia" w:hAnsiTheme="minorEastAsia" w:eastAsiaTheme="minorEastAsia"/>
          <w:b/>
          <w:bCs/>
          <w:color w:val="auto"/>
          <w:sz w:val="24"/>
          <w:szCs w:val="24"/>
          <w:highlight w:val="none"/>
        </w:rPr>
      </w:pPr>
    </w:p>
    <w:p>
      <w:pPr>
        <w:spacing w:line="5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pacing w:val="4"/>
          <w:sz w:val="24"/>
          <w:szCs w:val="24"/>
          <w:highlight w:val="none"/>
          <w:u w:val="single"/>
        </w:rPr>
        <w:t xml:space="preserve">                        </w:t>
      </w:r>
    </w:p>
    <w:p>
      <w:pPr>
        <w:spacing w:line="5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asciiTheme="minorEastAsia" w:hAnsiTheme="minorEastAsia" w:eastAsiaTheme="minorEastAsia"/>
          <w:color w:val="auto"/>
          <w:spacing w:val="4"/>
          <w:sz w:val="24"/>
          <w:szCs w:val="24"/>
          <w:highlight w:val="none"/>
          <w:u w:val="single"/>
        </w:rPr>
        <w:t xml:space="preserve">                        </w:t>
      </w:r>
    </w:p>
    <w:p>
      <w:pPr>
        <w:spacing w:line="50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签发日期：</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62" w:name="_Toc87417460"/>
      <w:bookmarkStart w:id="63" w:name="_Toc50737298"/>
      <w:bookmarkStart w:id="64" w:name="_Toc239051894"/>
      <w:bookmarkStart w:id="65" w:name="_Toc275865609"/>
      <w:bookmarkStart w:id="66" w:name="_Toc50737330"/>
      <w:bookmarkStart w:id="67" w:name="_Toc170699948"/>
      <w:bookmarkStart w:id="68" w:name="_Toc50691038"/>
      <w:bookmarkStart w:id="69" w:name="_Toc52165082"/>
      <w:bookmarkStart w:id="70" w:name="_Toc50736478"/>
      <w:r>
        <w:rPr>
          <w:rFonts w:cs="Times New Roman" w:asciiTheme="minorEastAsia" w:hAnsiTheme="minorEastAsia" w:eastAsiaTheme="minorEastAsia"/>
          <w:b w:val="0"/>
          <w:bCs w:val="0"/>
          <w:color w:val="auto"/>
          <w:sz w:val="24"/>
          <w:szCs w:val="24"/>
          <w:highlight w:val="none"/>
        </w:rPr>
        <w:br w:type="page"/>
      </w:r>
      <w:bookmarkStart w:id="71" w:name="_Toc435515298"/>
      <w:bookmarkStart w:id="72" w:name="_Toc435514858"/>
      <w:r>
        <w:rPr>
          <w:rFonts w:hint="eastAsia" w:cs="黑体" w:asciiTheme="minorEastAsia" w:hAnsiTheme="minorEastAsia" w:eastAsiaTheme="minorEastAsia"/>
          <w:color w:val="auto"/>
          <w:highlight w:val="none"/>
        </w:rPr>
        <w:t>公平竞争承诺书</w:t>
      </w:r>
      <w:bookmarkEnd w:id="71"/>
      <w:bookmarkEnd w:id="72"/>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本公司郑重承诺：本公司保证所提交的相关资质文件和证明材料的真实性，有良好的历史诚信记录，并将依法参与</w:t>
      </w:r>
      <w:r>
        <w:rPr>
          <w:rFonts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kern w:val="28"/>
          <w:sz w:val="24"/>
          <w:szCs w:val="24"/>
          <w:highlight w:val="none"/>
          <w:u w:val="single"/>
        </w:rPr>
        <w:t>（采购项目名称）</w:t>
      </w:r>
      <w:r>
        <w:rPr>
          <w:rFonts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项目的公平竞争，不以任何不正当行为谋取不当利益，否则承担相应的法律责任。</w:t>
      </w:r>
    </w:p>
    <w:p>
      <w:pPr>
        <w:spacing w:line="360" w:lineRule="auto"/>
        <w:ind w:right="-60" w:firstLine="4464" w:firstLineChars="18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投标人名称（加盖公章）：</w:t>
      </w:r>
      <w:r>
        <w:rPr>
          <w:rFonts w:asciiTheme="minorEastAsia" w:hAnsiTheme="minorEastAsia" w:eastAsiaTheme="minorEastAsia"/>
          <w:color w:val="auto"/>
          <w:spacing w:val="4"/>
          <w:sz w:val="24"/>
          <w:szCs w:val="24"/>
          <w:highlight w:val="none"/>
          <w:u w:val="single"/>
        </w:rPr>
        <w:t xml:space="preserve">               </w:t>
      </w:r>
    </w:p>
    <w:p>
      <w:pPr>
        <w:spacing w:line="360" w:lineRule="auto"/>
        <w:ind w:right="-60" w:firstLine="4464" w:firstLineChars="1800"/>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bookmarkEnd w:id="62"/>
      <w:bookmarkEnd w:id="63"/>
      <w:bookmarkEnd w:id="64"/>
      <w:bookmarkEnd w:id="65"/>
      <w:bookmarkEnd w:id="66"/>
      <w:bookmarkEnd w:id="67"/>
      <w:bookmarkEnd w:id="68"/>
      <w:bookmarkEnd w:id="69"/>
      <w:bookmarkEnd w:id="70"/>
      <w:bookmarkStart w:id="73" w:name="_Toc435514867"/>
      <w:bookmarkStart w:id="74" w:name="_Toc50736485"/>
      <w:bookmarkStart w:id="75" w:name="_Toc52165089"/>
      <w:bookmarkStart w:id="76" w:name="_Toc50737305"/>
      <w:bookmarkStart w:id="77" w:name="_Toc275865613"/>
      <w:bookmarkStart w:id="78" w:name="_Toc435515307"/>
      <w:bookmarkStart w:id="79" w:name="_Toc50737337"/>
      <w:bookmarkStart w:id="80" w:name="_Toc50691051"/>
      <w:r>
        <w:rPr>
          <w:rFonts w:hint="eastAsia" w:cs="黑体" w:asciiTheme="minorEastAsia" w:hAnsiTheme="minorEastAsia" w:eastAsiaTheme="minorEastAsia"/>
          <w:color w:val="auto"/>
          <w:highlight w:val="none"/>
        </w:rPr>
        <w:t>用户需求书响应一览表</w:t>
      </w:r>
      <w:bookmarkEnd w:id="73"/>
      <w:bookmarkEnd w:id="74"/>
      <w:bookmarkEnd w:id="75"/>
      <w:bookmarkEnd w:id="76"/>
      <w:bookmarkEnd w:id="77"/>
      <w:bookmarkEnd w:id="78"/>
      <w:bookmarkEnd w:id="79"/>
      <w:bookmarkEnd w:id="80"/>
    </w:p>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说明：投标人必须对应招标文件条款逐条应答并按要求填写下表。</w:t>
      </w:r>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u w:val="single"/>
        </w:rPr>
        <w:t xml:space="preserve">                               </w:t>
      </w:r>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采购项目编号：（采购项目完整编号）</w:t>
      </w:r>
    </w:p>
    <w:tbl>
      <w:tblPr>
        <w:tblStyle w:val="38"/>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03"/>
        <w:gridCol w:w="2123"/>
        <w:gridCol w:w="2325"/>
        <w:gridCol w:w="1545"/>
        <w:gridCol w:w="2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2226" w:type="dxa"/>
            <w:gridSpan w:val="2"/>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招标文件条款描述</w:t>
            </w:r>
          </w:p>
        </w:tc>
        <w:tc>
          <w:tcPr>
            <w:tcW w:w="232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投标人响应描述</w:t>
            </w:r>
          </w:p>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投标人应按响应货物</w:t>
            </w:r>
            <w:r>
              <w:rPr>
                <w:rFonts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服务实际数据填写，不能照抄要求</w:t>
            </w:r>
            <w:r>
              <w:rPr>
                <w:rFonts w:cs="宋体" w:asciiTheme="minorEastAsia" w:hAnsiTheme="minorEastAsia" w:eastAsiaTheme="minorEastAsia"/>
                <w:b/>
                <w:bCs/>
                <w:color w:val="auto"/>
                <w:sz w:val="24"/>
                <w:szCs w:val="24"/>
                <w:highlight w:val="none"/>
              </w:rPr>
              <w:t>)</w:t>
            </w:r>
          </w:p>
        </w:tc>
        <w:tc>
          <w:tcPr>
            <w:tcW w:w="154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偏离情况说明</w:t>
            </w:r>
          </w:p>
          <w:p>
            <w:pPr>
              <w:adjustRightInd w:val="0"/>
              <w:snapToGrid w:val="0"/>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（正偏离</w:t>
            </w:r>
            <w:r>
              <w:rPr>
                <w:rFonts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完全响应</w:t>
            </w:r>
            <w:r>
              <w:rPr>
                <w:rFonts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负偏离）</w:t>
            </w:r>
          </w:p>
        </w:tc>
        <w:tc>
          <w:tcPr>
            <w:tcW w:w="239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查阅</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6"/>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带★的不可负偏离的条款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638" w:type="dxa"/>
            <w:gridSpan w:val="2"/>
            <w:vAlign w:val="center"/>
          </w:tcPr>
          <w:p>
            <w:pPr>
              <w:numPr>
                <w:ilvl w:val="0"/>
                <w:numId w:val="16"/>
              </w:numPr>
              <w:jc w:val="center"/>
              <w:rPr>
                <w:rFonts w:asciiTheme="minorEastAsia" w:hAnsiTheme="minorEastAsia" w:eastAsiaTheme="minorEastAsia"/>
                <w:color w:val="auto"/>
                <w:sz w:val="24"/>
                <w:szCs w:val="24"/>
                <w:highlight w:val="none"/>
              </w:rPr>
            </w:pPr>
          </w:p>
        </w:tc>
        <w:tc>
          <w:tcPr>
            <w:tcW w:w="2123" w:type="dxa"/>
            <w:vAlign w:val="center"/>
          </w:tcPr>
          <w:p>
            <w:pPr>
              <w:spacing w:line="400" w:lineRule="exact"/>
              <w:jc w:val="center"/>
              <w:rPr>
                <w:rFonts w:asciiTheme="minorEastAsia" w:hAnsiTheme="minorEastAsia" w:eastAsiaTheme="minorEastAsia"/>
                <w:b/>
                <w:bCs/>
                <w:color w:val="auto"/>
                <w:sz w:val="24"/>
                <w:szCs w:val="24"/>
                <w:highlight w:val="none"/>
              </w:rPr>
            </w:pPr>
          </w:p>
        </w:tc>
        <w:tc>
          <w:tcPr>
            <w:tcW w:w="2325" w:type="dxa"/>
            <w:vAlign w:val="center"/>
          </w:tcPr>
          <w:p>
            <w:pPr>
              <w:spacing w:line="400" w:lineRule="exact"/>
              <w:jc w:val="center"/>
              <w:rPr>
                <w:rFonts w:asciiTheme="minorEastAsia" w:hAnsiTheme="minorEastAsia" w:eastAsiaTheme="minorEastAsia"/>
                <w:b/>
                <w:bCs/>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b/>
                <w:bCs/>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638" w:type="dxa"/>
            <w:gridSpan w:val="2"/>
            <w:vAlign w:val="center"/>
          </w:tcPr>
          <w:p>
            <w:pPr>
              <w:numPr>
                <w:ilvl w:val="0"/>
                <w:numId w:val="16"/>
              </w:numPr>
              <w:jc w:val="center"/>
              <w:rPr>
                <w:rFonts w:asciiTheme="minorEastAsia" w:hAnsiTheme="minorEastAsia" w:eastAsiaTheme="minorEastAsia"/>
                <w:color w:val="auto"/>
                <w:sz w:val="24"/>
                <w:szCs w:val="24"/>
                <w:highlight w:val="none"/>
              </w:rPr>
            </w:pPr>
          </w:p>
        </w:tc>
        <w:tc>
          <w:tcPr>
            <w:tcW w:w="2123" w:type="dxa"/>
            <w:vAlign w:val="center"/>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w:t>
            </w:r>
          </w:p>
        </w:tc>
        <w:tc>
          <w:tcPr>
            <w:tcW w:w="2325" w:type="dxa"/>
            <w:vAlign w:val="center"/>
          </w:tcPr>
          <w:p>
            <w:pPr>
              <w:spacing w:line="400" w:lineRule="exact"/>
              <w:jc w:val="center"/>
              <w:rPr>
                <w:rFonts w:asciiTheme="minorEastAsia" w:hAnsiTheme="minorEastAsia" w:eastAsiaTheme="minorEastAsia"/>
                <w:b/>
                <w:bCs/>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b/>
                <w:bCs/>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6"/>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7"/>
              </w:numPr>
              <w:jc w:val="center"/>
              <w:rPr>
                <w:rFonts w:asciiTheme="minorEastAsia" w:hAnsiTheme="minorEastAsia" w:eastAsiaTheme="minorEastAsia"/>
                <w:color w:val="auto"/>
                <w:sz w:val="24"/>
                <w:szCs w:val="24"/>
                <w:highlight w:val="none"/>
              </w:rPr>
            </w:pPr>
          </w:p>
        </w:tc>
        <w:tc>
          <w:tcPr>
            <w:tcW w:w="2226" w:type="dxa"/>
            <w:gridSpan w:val="2"/>
            <w:vAlign w:val="center"/>
          </w:tcPr>
          <w:p>
            <w:pPr>
              <w:spacing w:line="400" w:lineRule="exact"/>
              <w:jc w:val="left"/>
              <w:rPr>
                <w:rFonts w:asciiTheme="minorEastAsia" w:hAnsiTheme="minorEastAsia" w:eastAsiaTheme="minorEastAsia"/>
                <w:color w:val="auto"/>
                <w:sz w:val="24"/>
                <w:szCs w:val="24"/>
                <w:highlight w:val="none"/>
              </w:rPr>
            </w:pP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7"/>
              </w:numPr>
              <w:jc w:val="center"/>
              <w:rPr>
                <w:rFonts w:asciiTheme="minorEastAsia" w:hAnsiTheme="minorEastAsia" w:eastAsiaTheme="minorEastAsia"/>
                <w:color w:val="auto"/>
                <w:sz w:val="24"/>
                <w:szCs w:val="24"/>
                <w:highlight w:val="none"/>
              </w:rPr>
            </w:pPr>
          </w:p>
        </w:tc>
        <w:tc>
          <w:tcPr>
            <w:tcW w:w="2226" w:type="dxa"/>
            <w:gridSpan w:val="2"/>
            <w:vAlign w:val="center"/>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w:t>
            </w: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6"/>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一般技术条款（除带“▲”之外的技术条款）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8"/>
              </w:numPr>
              <w:jc w:val="center"/>
              <w:rPr>
                <w:rFonts w:asciiTheme="minorEastAsia" w:hAnsiTheme="minorEastAsia" w:eastAsiaTheme="minorEastAsia"/>
                <w:color w:val="auto"/>
                <w:sz w:val="24"/>
                <w:szCs w:val="24"/>
                <w:highlight w:val="none"/>
              </w:rPr>
            </w:pPr>
          </w:p>
        </w:tc>
        <w:tc>
          <w:tcPr>
            <w:tcW w:w="2226" w:type="dxa"/>
            <w:gridSpan w:val="2"/>
            <w:vAlign w:val="center"/>
          </w:tcPr>
          <w:p>
            <w:pPr>
              <w:spacing w:line="400" w:lineRule="exact"/>
              <w:jc w:val="center"/>
              <w:rPr>
                <w:rFonts w:asciiTheme="minorEastAsia" w:hAnsiTheme="minorEastAsia" w:eastAsiaTheme="minorEastAsia"/>
                <w:color w:val="auto"/>
                <w:sz w:val="24"/>
                <w:szCs w:val="24"/>
                <w:highlight w:val="none"/>
              </w:rPr>
            </w:pP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8"/>
              </w:numPr>
              <w:jc w:val="center"/>
              <w:rPr>
                <w:rFonts w:asciiTheme="minorEastAsia" w:hAnsiTheme="minorEastAsia" w:eastAsiaTheme="minorEastAsia"/>
                <w:color w:val="auto"/>
                <w:sz w:val="24"/>
                <w:szCs w:val="24"/>
                <w:highlight w:val="none"/>
              </w:rPr>
            </w:pPr>
          </w:p>
        </w:tc>
        <w:tc>
          <w:tcPr>
            <w:tcW w:w="2226" w:type="dxa"/>
            <w:gridSpan w:val="2"/>
            <w:vAlign w:val="center"/>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w:t>
            </w: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026" w:type="dxa"/>
            <w:gridSpan w:val="6"/>
            <w:vAlign w:val="center"/>
          </w:tcPr>
          <w:p>
            <w:pPr>
              <w:spacing w:line="400" w:lineRule="exact"/>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一般商务条款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9"/>
              </w:numPr>
              <w:jc w:val="center"/>
              <w:rPr>
                <w:rFonts w:asciiTheme="minorEastAsia" w:hAnsiTheme="minorEastAsia" w:eastAsiaTheme="minorEastAsia"/>
                <w:color w:val="auto"/>
                <w:sz w:val="24"/>
                <w:szCs w:val="24"/>
                <w:highlight w:val="none"/>
              </w:rPr>
            </w:pPr>
          </w:p>
        </w:tc>
        <w:tc>
          <w:tcPr>
            <w:tcW w:w="2226" w:type="dxa"/>
            <w:gridSpan w:val="2"/>
            <w:vAlign w:val="center"/>
          </w:tcPr>
          <w:p>
            <w:pPr>
              <w:spacing w:line="400" w:lineRule="exact"/>
              <w:jc w:val="center"/>
              <w:rPr>
                <w:rFonts w:asciiTheme="minorEastAsia" w:hAnsiTheme="minorEastAsia" w:eastAsiaTheme="minorEastAsia"/>
                <w:color w:val="auto"/>
                <w:sz w:val="24"/>
                <w:szCs w:val="24"/>
                <w:highlight w:val="none"/>
              </w:rPr>
            </w:pP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19"/>
              </w:numPr>
              <w:jc w:val="center"/>
              <w:rPr>
                <w:rFonts w:asciiTheme="minorEastAsia" w:hAnsiTheme="minorEastAsia" w:eastAsiaTheme="minorEastAsia"/>
                <w:color w:val="auto"/>
                <w:sz w:val="24"/>
                <w:szCs w:val="24"/>
                <w:highlight w:val="none"/>
              </w:rPr>
            </w:pPr>
          </w:p>
        </w:tc>
        <w:tc>
          <w:tcPr>
            <w:tcW w:w="2226" w:type="dxa"/>
            <w:gridSpan w:val="2"/>
            <w:vAlign w:val="center"/>
          </w:tcPr>
          <w:p>
            <w:pPr>
              <w:spacing w:line="4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w:t>
            </w:r>
          </w:p>
        </w:tc>
        <w:tc>
          <w:tcPr>
            <w:tcW w:w="2325" w:type="dxa"/>
            <w:vAlign w:val="center"/>
          </w:tcPr>
          <w:p>
            <w:pPr>
              <w:spacing w:line="400" w:lineRule="exact"/>
              <w:jc w:val="center"/>
              <w:rPr>
                <w:rFonts w:asciiTheme="minorEastAsia" w:hAnsiTheme="minorEastAsia" w:eastAsiaTheme="minorEastAsia"/>
                <w:color w:val="auto"/>
                <w:sz w:val="24"/>
                <w:szCs w:val="24"/>
                <w:highlight w:val="none"/>
              </w:rPr>
            </w:pPr>
          </w:p>
        </w:tc>
        <w:tc>
          <w:tcPr>
            <w:tcW w:w="1545" w:type="dxa"/>
            <w:vAlign w:val="center"/>
          </w:tcPr>
          <w:p>
            <w:pPr>
              <w:spacing w:line="400" w:lineRule="exact"/>
              <w:jc w:val="center"/>
              <w:rPr>
                <w:rFonts w:asciiTheme="minorEastAsia" w:hAnsiTheme="minorEastAsia" w:eastAsiaTheme="minorEastAsia"/>
                <w:color w:val="auto"/>
                <w:sz w:val="24"/>
                <w:szCs w:val="24"/>
                <w:highlight w:val="none"/>
              </w:rPr>
            </w:pPr>
          </w:p>
        </w:tc>
        <w:tc>
          <w:tcPr>
            <w:tcW w:w="239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见《投标文件》第页</w:t>
            </w:r>
          </w:p>
        </w:tc>
      </w:tr>
    </w:tbl>
    <w:p>
      <w:pPr>
        <w:spacing w:line="360" w:lineRule="auto"/>
        <w:ind w:right="84" w:rightChars="4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备注：</w:t>
      </w:r>
    </w:p>
    <w:p>
      <w:pPr>
        <w:numPr>
          <w:ilvl w:val="0"/>
          <w:numId w:val="20"/>
        </w:numPr>
        <w:adjustRightInd w:val="0"/>
        <w:snapToGrid w:val="0"/>
        <w:spacing w:line="460" w:lineRule="exact"/>
        <w:ind w:right="84" w:rightChars="4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本表的货物名称及规格型号须与《投标分项报价表》一致，“招标文件条款描述”的条款与用户需求中的条款描述不一致的，以用户需求中规定的为准。</w:t>
      </w: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pStyle w:val="4"/>
        <w:adjustRightInd w:val="0"/>
        <w:snapToGrid w:val="0"/>
        <w:spacing w:before="0" w:after="0" w:line="760" w:lineRule="exact"/>
        <w:jc w:val="center"/>
        <w:rPr>
          <w:rFonts w:cs="Times New Roman" w:asciiTheme="minorEastAsia" w:hAnsiTheme="minorEastAsia" w:eastAsiaTheme="minorEastAsia"/>
          <w:b w:val="0"/>
          <w:bCs w:val="0"/>
          <w:color w:val="auto"/>
          <w:sz w:val="24"/>
          <w:szCs w:val="24"/>
          <w:highlight w:val="none"/>
        </w:rPr>
      </w:pPr>
      <w:bookmarkStart w:id="81" w:name="_Toc435515308"/>
      <w:bookmarkStart w:id="82" w:name="_Toc435514868"/>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技术服务方案</w:t>
      </w:r>
      <w:bookmarkEnd w:id="81"/>
      <w:bookmarkEnd w:id="82"/>
    </w:p>
    <w:p>
      <w:pPr>
        <w:adjustRightInd w:val="0"/>
        <w:snapToGrid w:val="0"/>
        <w:spacing w:line="76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主要内容应包括但不限于以下内容（格式自定）：</w:t>
      </w:r>
    </w:p>
    <w:p>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ascii="宋体" w:hAnsi="宋体" w:cs="宋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售后服务方案</w:t>
      </w:r>
      <w:r>
        <w:rPr>
          <w:rFonts w:hint="eastAsia" w:cs="宋体" w:asciiTheme="minorEastAsia" w:hAnsiTheme="minorEastAsia" w:eastAsiaTheme="minorEastAsia"/>
          <w:color w:val="auto"/>
          <w:sz w:val="24"/>
          <w:szCs w:val="24"/>
          <w:highlight w:val="none"/>
        </w:rPr>
        <w:t>；</w:t>
      </w:r>
    </w:p>
    <w:p>
      <w:pPr>
        <w:spacing w:line="360" w:lineRule="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2.</w:t>
      </w:r>
      <w:r>
        <w:rPr>
          <w:rFonts w:hint="eastAsia" w:ascii="宋体" w:hAnsi="宋体" w:cs="宋体"/>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培训计划</w:t>
      </w:r>
      <w:r>
        <w:rPr>
          <w:rFonts w:hint="eastAsia" w:cs="宋体" w:asciiTheme="minorEastAsia" w:hAnsiTheme="minorEastAsia" w:eastAsiaTheme="minorEastAsia"/>
          <w:color w:val="auto"/>
          <w:sz w:val="24"/>
          <w:szCs w:val="24"/>
          <w:highlight w:val="none"/>
          <w:lang w:eastAsia="zh-CN"/>
        </w:rPr>
        <w:t>。</w:t>
      </w:r>
    </w:p>
    <w:p>
      <w:pPr>
        <w:spacing w:line="760" w:lineRule="exact"/>
        <w:rPr>
          <w:rFonts w:cs="宋体" w:asciiTheme="minorEastAsia" w:hAnsiTheme="minorEastAsia" w:eastAsiaTheme="minorEastAsia"/>
          <w:color w:val="auto"/>
          <w:sz w:val="24"/>
          <w:szCs w:val="24"/>
          <w:highlight w:val="none"/>
        </w:rPr>
      </w:pPr>
    </w:p>
    <w:p>
      <w:pPr>
        <w:spacing w:line="760" w:lineRule="exact"/>
        <w:rPr>
          <w:rFonts w:asciiTheme="minorEastAsia" w:hAnsiTheme="minorEastAsia" w:eastAsiaTheme="minorEastAsia"/>
          <w:color w:val="auto"/>
          <w:sz w:val="24"/>
          <w:szCs w:val="24"/>
          <w:highlight w:val="none"/>
        </w:rPr>
      </w:pPr>
    </w:p>
    <w:p>
      <w:pPr>
        <w:spacing w:line="760" w:lineRule="exact"/>
        <w:rPr>
          <w:rFonts w:asciiTheme="minorEastAsia" w:hAnsiTheme="minorEastAsia" w:eastAsiaTheme="minorEastAsia"/>
          <w:color w:val="auto"/>
          <w:sz w:val="24"/>
          <w:szCs w:val="24"/>
          <w:highlight w:val="none"/>
          <w:u w:val="single"/>
        </w:rPr>
      </w:pPr>
      <w:bookmarkStart w:id="83" w:name="_Toc50691037"/>
      <w:bookmarkStart w:id="84" w:name="_Toc50703730"/>
      <w:bookmarkStart w:id="85" w:name="_Toc43264518"/>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76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76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520" w:lineRule="exact"/>
        <w:rPr>
          <w:rFonts w:asciiTheme="minorEastAsia" w:hAnsiTheme="minorEastAsia" w:eastAsiaTheme="minorEastAsia"/>
          <w:color w:val="auto"/>
          <w:spacing w:val="4"/>
          <w:sz w:val="24"/>
          <w:szCs w:val="24"/>
          <w:highlight w:val="none"/>
          <w:u w:val="single"/>
        </w:rPr>
      </w:pPr>
    </w:p>
    <w:p>
      <w:pPr>
        <w:spacing w:line="520" w:lineRule="exact"/>
        <w:ind w:firstLine="496" w:firstLineChars="200"/>
        <w:rPr>
          <w:rFonts w:asciiTheme="minorEastAsia" w:hAnsiTheme="minorEastAsia" w:eastAsiaTheme="minorEastAsia"/>
          <w:color w:val="auto"/>
          <w:spacing w:val="4"/>
          <w:sz w:val="24"/>
          <w:szCs w:val="24"/>
          <w:highlight w:val="none"/>
        </w:rPr>
        <w:sectPr>
          <w:pgSz w:w="11906" w:h="16838"/>
          <w:pgMar w:top="1440" w:right="1286" w:bottom="1440" w:left="1440" w:header="851" w:footer="992" w:gutter="0"/>
          <w:cols w:space="720" w:num="1"/>
          <w:docGrid w:type="lines" w:linePitch="312" w:charSpace="0"/>
        </w:sectPr>
      </w:pP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86" w:name="_Toc435515309"/>
      <w:bookmarkStart w:id="87" w:name="_Toc275865616"/>
      <w:bookmarkStart w:id="88" w:name="_Toc435514869"/>
      <w:bookmarkStart w:id="89" w:name="_Toc173553182"/>
      <w:r>
        <w:rPr>
          <w:rFonts w:hint="eastAsia" w:cs="黑体" w:asciiTheme="minorEastAsia" w:hAnsiTheme="minorEastAsia" w:eastAsiaTheme="minorEastAsia"/>
          <w:color w:val="auto"/>
          <w:highlight w:val="none"/>
        </w:rPr>
        <w:t>投标人基本情况表</w:t>
      </w:r>
      <w:bookmarkEnd w:id="86"/>
      <w:bookmarkEnd w:id="87"/>
      <w:bookmarkEnd w:id="88"/>
      <w:bookmarkEnd w:id="89"/>
    </w:p>
    <w:p>
      <w:pPr>
        <w:numPr>
          <w:ilvl w:val="0"/>
          <w:numId w:val="21"/>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公司基本情况</w:t>
      </w:r>
    </w:p>
    <w:p>
      <w:pPr>
        <w:numPr>
          <w:ilvl w:val="1"/>
          <w:numId w:val="21"/>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电话号码：</w:t>
      </w:r>
      <w:r>
        <w:rPr>
          <w:rFonts w:cs="宋体" w:asciiTheme="minorEastAsia" w:hAnsiTheme="minorEastAsia" w:eastAsiaTheme="minorEastAsia"/>
          <w:color w:val="auto"/>
          <w:sz w:val="24"/>
          <w:szCs w:val="24"/>
          <w:highlight w:val="none"/>
          <w:u w:val="single"/>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传</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真：</w:t>
      </w:r>
      <w:r>
        <w:rPr>
          <w:rFonts w:cs="宋体" w:asciiTheme="minorEastAsia" w:hAnsiTheme="minorEastAsia" w:eastAsiaTheme="minorEastAsia"/>
          <w:color w:val="auto"/>
          <w:sz w:val="24"/>
          <w:szCs w:val="24"/>
          <w:highlight w:val="none"/>
          <w:u w:val="single"/>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注册资金：</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经济性质：</w:t>
      </w:r>
      <w:r>
        <w:rPr>
          <w:rFonts w:cs="宋体" w:asciiTheme="minorEastAsia" w:hAnsiTheme="minorEastAsia" w:eastAsiaTheme="minorEastAsia"/>
          <w:color w:val="auto"/>
          <w:sz w:val="24"/>
          <w:szCs w:val="24"/>
          <w:highlight w:val="none"/>
          <w:u w:val="single"/>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公司开户银行名称及账号：</w:t>
      </w:r>
      <w:r>
        <w:rPr>
          <w:rFonts w:cs="宋体" w:asciiTheme="minorEastAsia" w:hAnsiTheme="minorEastAsia" w:eastAsiaTheme="minorEastAsia"/>
          <w:color w:val="auto"/>
          <w:sz w:val="24"/>
          <w:szCs w:val="24"/>
          <w:highlight w:val="none"/>
          <w:u w:val="single"/>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营业注册执照号：</w:t>
      </w:r>
      <w:r>
        <w:rPr>
          <w:rFonts w:cs="宋体" w:asciiTheme="minorEastAsia" w:hAnsiTheme="minorEastAsia" w:eastAsiaTheme="minorEastAsia"/>
          <w:color w:val="auto"/>
          <w:sz w:val="24"/>
          <w:szCs w:val="24"/>
          <w:highlight w:val="none"/>
          <w:u w:val="single"/>
        </w:rPr>
        <w:t xml:space="preserve">              </w:t>
      </w:r>
    </w:p>
    <w:p>
      <w:pPr>
        <w:numPr>
          <w:ilvl w:val="1"/>
          <w:numId w:val="21"/>
        </w:numPr>
        <w:tabs>
          <w:tab w:val="left" w:pos="420"/>
          <w:tab w:val="clear" w:pos="840"/>
        </w:tabs>
        <w:spacing w:line="360" w:lineRule="auto"/>
        <w:ind w:left="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公司简介</w:t>
      </w:r>
    </w:p>
    <w:p>
      <w:pPr>
        <w:spacing w:line="360" w:lineRule="auto"/>
        <w:ind w:left="36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文字描述：</w:t>
      </w:r>
      <w:r>
        <w:rPr>
          <w:rFonts w:hint="eastAsia" w:cs="宋体" w:asciiTheme="minorEastAsia" w:hAnsiTheme="minorEastAsia" w:eastAsiaTheme="minorEastAsia"/>
          <w:color w:val="auto"/>
          <w:sz w:val="24"/>
          <w:szCs w:val="24"/>
          <w:highlight w:val="none"/>
          <w:lang w:val="en-GB"/>
        </w:rPr>
        <w:t>发展历程、经营规模及服务理念</w:t>
      </w:r>
      <w:r>
        <w:rPr>
          <w:rFonts w:hint="eastAsia" w:cs="宋体" w:asciiTheme="minorEastAsia" w:hAnsiTheme="minorEastAsia" w:eastAsiaTheme="minorEastAsia"/>
          <w:color w:val="auto"/>
          <w:sz w:val="24"/>
          <w:szCs w:val="24"/>
          <w:highlight w:val="none"/>
        </w:rPr>
        <w:t>、技术力量、财务状况、管理水平等方面进行阐述图片描述：</w:t>
      </w:r>
      <w:r>
        <w:rPr>
          <w:rFonts w:hint="eastAsia" w:cs="宋体" w:asciiTheme="minorEastAsia" w:hAnsiTheme="minorEastAsia" w:eastAsiaTheme="minorEastAsia"/>
          <w:color w:val="auto"/>
          <w:sz w:val="24"/>
          <w:szCs w:val="24"/>
          <w:highlight w:val="none"/>
          <w:lang w:val="en-GB"/>
        </w:rPr>
        <w:t>经营场所、主要或关键产品介绍、生产场所及工艺流程等。</w:t>
      </w:r>
    </w:p>
    <w:p>
      <w:pPr>
        <w:numPr>
          <w:ilvl w:val="0"/>
          <w:numId w:val="21"/>
        </w:num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投标人获得国家有关部门颁发的资质：</w:t>
      </w:r>
    </w:p>
    <w:tbl>
      <w:tblPr>
        <w:tblStyle w:val="38"/>
        <w:tblW w:w="939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证书名称</w:t>
            </w:r>
          </w:p>
        </w:tc>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发证单位</w:t>
            </w:r>
          </w:p>
        </w:tc>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证书等级</w:t>
            </w:r>
          </w:p>
        </w:tc>
        <w:tc>
          <w:tcPr>
            <w:tcW w:w="2349" w:type="dxa"/>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c>
          <w:tcPr>
            <w:tcW w:w="2349" w:type="dxa"/>
            <w:vAlign w:val="center"/>
          </w:tcPr>
          <w:p>
            <w:pPr>
              <w:jc w:val="center"/>
              <w:rPr>
                <w:rFonts w:asciiTheme="minorEastAsia" w:hAnsiTheme="minorEastAsia" w:eastAsiaTheme="minorEastAsia"/>
                <w:color w:val="auto"/>
                <w:sz w:val="24"/>
                <w:szCs w:val="24"/>
                <w:highlight w:val="none"/>
              </w:rPr>
            </w:pPr>
          </w:p>
        </w:tc>
      </w:tr>
    </w:tbl>
    <w:p>
      <w:pPr>
        <w:spacing w:line="360" w:lineRule="auto"/>
        <w:ind w:firstLine="360" w:firstLineChars="150"/>
        <w:rPr>
          <w:rFonts w:asciiTheme="minorEastAsia" w:hAnsiTheme="minorEastAsia" w:eastAsiaTheme="minorEastAsia"/>
          <w:color w:val="auto"/>
          <w:sz w:val="24"/>
          <w:szCs w:val="24"/>
          <w:highlight w:val="none"/>
        </w:rPr>
      </w:pPr>
      <w:bookmarkStart w:id="90" w:name="_Toc43264525"/>
      <w:r>
        <w:rPr>
          <w:rFonts w:hint="eastAsia" w:cs="宋体" w:asciiTheme="minorEastAsia" w:hAnsiTheme="minorEastAsia" w:eastAsiaTheme="minorEastAsia"/>
          <w:color w:val="auto"/>
          <w:sz w:val="24"/>
          <w:szCs w:val="24"/>
          <w:highlight w:val="none"/>
        </w:rPr>
        <w:t>我</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我们声明以上所述是正确无误的，您有权进行您认为必要的所有调查，</w:t>
      </w:r>
      <w:r>
        <w:rPr>
          <w:rFonts w:hint="eastAsia" w:cs="宋体" w:asciiTheme="minorEastAsia" w:hAnsiTheme="minorEastAsia" w:eastAsiaTheme="minorEastAsia"/>
          <w:color w:val="auto"/>
          <w:sz w:val="24"/>
          <w:szCs w:val="24"/>
          <w:highlight w:val="none"/>
          <w:lang w:val="en-GB"/>
        </w:rPr>
        <w:t>如以上数据有虚假，一经查实，自行承担相关责任。</w:t>
      </w:r>
    </w:p>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440" w:lineRule="exact"/>
        <w:rPr>
          <w:rFonts w:asciiTheme="minorEastAsia" w:hAnsiTheme="minorEastAsia" w:eastAsiaTheme="minorEastAsia"/>
          <w:b/>
          <w:bCs/>
          <w:color w:val="auto"/>
          <w:sz w:val="24"/>
          <w:szCs w:val="24"/>
          <w:highlight w:val="none"/>
        </w:rPr>
      </w:pP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bookmarkEnd w:id="90"/>
      <w:bookmarkStart w:id="91" w:name="_Toc275865617"/>
      <w:bookmarkStart w:id="92" w:name="_Toc50737333"/>
      <w:bookmarkStart w:id="93" w:name="_Toc50737301"/>
      <w:bookmarkStart w:id="94" w:name="_Toc435514870"/>
      <w:bookmarkStart w:id="95" w:name="_Toc50736481"/>
      <w:bookmarkStart w:id="96" w:name="_Toc435515310"/>
      <w:bookmarkStart w:id="97" w:name="_Toc52165085"/>
      <w:bookmarkStart w:id="98" w:name="_Toc50691044"/>
      <w:r>
        <w:rPr>
          <w:rFonts w:hint="eastAsia" w:cs="黑体" w:asciiTheme="minorEastAsia" w:hAnsiTheme="minorEastAsia" w:eastAsiaTheme="minorEastAsia"/>
          <w:color w:val="auto"/>
          <w:highlight w:val="none"/>
        </w:rPr>
        <w:t>同类项目业绩一览表</w:t>
      </w:r>
      <w:bookmarkEnd w:id="91"/>
      <w:bookmarkEnd w:id="92"/>
      <w:bookmarkEnd w:id="93"/>
      <w:bookmarkEnd w:id="94"/>
      <w:bookmarkEnd w:id="95"/>
      <w:bookmarkEnd w:id="96"/>
      <w:bookmarkEnd w:id="97"/>
      <w:bookmarkEnd w:id="98"/>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采购项目编号：（采购项目完整编号）</w:t>
      </w:r>
    </w:p>
    <w:tbl>
      <w:tblPr>
        <w:tblStyle w:val="38"/>
        <w:tblW w:w="9872"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60"/>
        <w:gridCol w:w="1658"/>
        <w:gridCol w:w="1442"/>
        <w:gridCol w:w="2176"/>
        <w:gridCol w:w="2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0"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1460"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业主名称</w:t>
            </w:r>
          </w:p>
        </w:tc>
        <w:tc>
          <w:tcPr>
            <w:tcW w:w="1658"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项目名称</w:t>
            </w:r>
          </w:p>
        </w:tc>
        <w:tc>
          <w:tcPr>
            <w:tcW w:w="144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合同总价</w:t>
            </w:r>
          </w:p>
        </w:tc>
        <w:tc>
          <w:tcPr>
            <w:tcW w:w="2176"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签约及完成时间</w:t>
            </w:r>
          </w:p>
        </w:tc>
        <w:tc>
          <w:tcPr>
            <w:tcW w:w="2456"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460"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658"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44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2176"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2456"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 w:type="dxa"/>
            <w:vAlign w:val="center"/>
          </w:tcPr>
          <w:p>
            <w:pPr>
              <w:spacing w:line="400" w:lineRule="exact"/>
              <w:jc w:val="center"/>
              <w:rPr>
                <w:rFonts w:asciiTheme="minorEastAsia" w:hAnsiTheme="minorEastAsia" w:eastAsiaTheme="minorEastAsia"/>
                <w:color w:val="auto"/>
                <w:sz w:val="24"/>
                <w:szCs w:val="24"/>
                <w:highlight w:val="none"/>
              </w:rPr>
            </w:pPr>
          </w:p>
        </w:tc>
        <w:tc>
          <w:tcPr>
            <w:tcW w:w="1460" w:type="dxa"/>
            <w:vAlign w:val="center"/>
          </w:tcPr>
          <w:p>
            <w:pPr>
              <w:spacing w:line="400" w:lineRule="exact"/>
              <w:jc w:val="center"/>
              <w:rPr>
                <w:rFonts w:asciiTheme="minorEastAsia" w:hAnsiTheme="minorEastAsia" w:eastAsiaTheme="minorEastAsia"/>
                <w:color w:val="auto"/>
                <w:sz w:val="24"/>
                <w:szCs w:val="24"/>
                <w:highlight w:val="none"/>
              </w:rPr>
            </w:pPr>
          </w:p>
        </w:tc>
        <w:tc>
          <w:tcPr>
            <w:tcW w:w="1658" w:type="dxa"/>
            <w:vAlign w:val="center"/>
          </w:tcPr>
          <w:p>
            <w:pPr>
              <w:spacing w:line="400" w:lineRule="exact"/>
              <w:jc w:val="center"/>
              <w:rPr>
                <w:rFonts w:asciiTheme="minorEastAsia" w:hAnsiTheme="minorEastAsia" w:eastAsiaTheme="minorEastAsia"/>
                <w:color w:val="auto"/>
                <w:sz w:val="24"/>
                <w:szCs w:val="24"/>
                <w:highlight w:val="none"/>
              </w:rPr>
            </w:pPr>
          </w:p>
        </w:tc>
        <w:tc>
          <w:tcPr>
            <w:tcW w:w="1442" w:type="dxa"/>
            <w:vAlign w:val="center"/>
          </w:tcPr>
          <w:p>
            <w:pPr>
              <w:spacing w:line="400" w:lineRule="exact"/>
              <w:jc w:val="center"/>
              <w:rPr>
                <w:rFonts w:asciiTheme="minorEastAsia" w:hAnsiTheme="minorEastAsia" w:eastAsiaTheme="minorEastAsia"/>
                <w:color w:val="auto"/>
                <w:sz w:val="24"/>
                <w:szCs w:val="24"/>
                <w:highlight w:val="none"/>
              </w:rPr>
            </w:pPr>
          </w:p>
        </w:tc>
        <w:tc>
          <w:tcPr>
            <w:tcW w:w="2176" w:type="dxa"/>
            <w:vAlign w:val="center"/>
          </w:tcPr>
          <w:p>
            <w:pPr>
              <w:spacing w:line="400" w:lineRule="exact"/>
              <w:jc w:val="center"/>
              <w:rPr>
                <w:rFonts w:asciiTheme="minorEastAsia" w:hAnsiTheme="minorEastAsia" w:eastAsiaTheme="minorEastAsia"/>
                <w:color w:val="auto"/>
                <w:sz w:val="24"/>
                <w:szCs w:val="24"/>
                <w:highlight w:val="none"/>
              </w:rPr>
            </w:pPr>
          </w:p>
        </w:tc>
        <w:tc>
          <w:tcPr>
            <w:tcW w:w="2456"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80" w:type="dxa"/>
            <w:vAlign w:val="center"/>
          </w:tcPr>
          <w:p>
            <w:pPr>
              <w:spacing w:line="400" w:lineRule="exact"/>
              <w:jc w:val="center"/>
              <w:rPr>
                <w:rFonts w:asciiTheme="minorEastAsia" w:hAnsiTheme="minorEastAsia" w:eastAsiaTheme="minorEastAsia"/>
                <w:color w:val="auto"/>
                <w:sz w:val="24"/>
                <w:szCs w:val="24"/>
                <w:highlight w:val="none"/>
              </w:rPr>
            </w:pPr>
          </w:p>
        </w:tc>
        <w:tc>
          <w:tcPr>
            <w:tcW w:w="1460" w:type="dxa"/>
            <w:vAlign w:val="center"/>
          </w:tcPr>
          <w:p>
            <w:pPr>
              <w:spacing w:line="400" w:lineRule="exact"/>
              <w:jc w:val="center"/>
              <w:rPr>
                <w:rFonts w:asciiTheme="minorEastAsia" w:hAnsiTheme="minorEastAsia" w:eastAsiaTheme="minorEastAsia"/>
                <w:color w:val="auto"/>
                <w:sz w:val="24"/>
                <w:szCs w:val="24"/>
                <w:highlight w:val="none"/>
              </w:rPr>
            </w:pPr>
          </w:p>
        </w:tc>
        <w:tc>
          <w:tcPr>
            <w:tcW w:w="1658" w:type="dxa"/>
            <w:vAlign w:val="center"/>
          </w:tcPr>
          <w:p>
            <w:pPr>
              <w:spacing w:line="400" w:lineRule="exact"/>
              <w:jc w:val="center"/>
              <w:rPr>
                <w:rFonts w:asciiTheme="minorEastAsia" w:hAnsiTheme="minorEastAsia" w:eastAsiaTheme="minorEastAsia"/>
                <w:color w:val="auto"/>
                <w:sz w:val="24"/>
                <w:szCs w:val="24"/>
                <w:highlight w:val="none"/>
              </w:rPr>
            </w:pPr>
          </w:p>
        </w:tc>
        <w:tc>
          <w:tcPr>
            <w:tcW w:w="1442" w:type="dxa"/>
            <w:vAlign w:val="center"/>
          </w:tcPr>
          <w:p>
            <w:pPr>
              <w:spacing w:line="400" w:lineRule="exact"/>
              <w:jc w:val="center"/>
              <w:rPr>
                <w:rFonts w:asciiTheme="minorEastAsia" w:hAnsiTheme="minorEastAsia" w:eastAsiaTheme="minorEastAsia"/>
                <w:color w:val="auto"/>
                <w:sz w:val="24"/>
                <w:szCs w:val="24"/>
                <w:highlight w:val="none"/>
              </w:rPr>
            </w:pPr>
          </w:p>
        </w:tc>
        <w:tc>
          <w:tcPr>
            <w:tcW w:w="2176" w:type="dxa"/>
            <w:vAlign w:val="center"/>
          </w:tcPr>
          <w:p>
            <w:pPr>
              <w:spacing w:line="400" w:lineRule="exact"/>
              <w:jc w:val="center"/>
              <w:rPr>
                <w:rFonts w:asciiTheme="minorEastAsia" w:hAnsiTheme="minorEastAsia" w:eastAsiaTheme="minorEastAsia"/>
                <w:color w:val="auto"/>
                <w:sz w:val="24"/>
                <w:szCs w:val="24"/>
                <w:highlight w:val="none"/>
              </w:rPr>
            </w:pPr>
          </w:p>
        </w:tc>
        <w:tc>
          <w:tcPr>
            <w:tcW w:w="2456"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 w:type="dxa"/>
            <w:vAlign w:val="center"/>
          </w:tcPr>
          <w:p>
            <w:pPr>
              <w:spacing w:line="400" w:lineRule="exact"/>
              <w:jc w:val="center"/>
              <w:rPr>
                <w:rFonts w:asciiTheme="minorEastAsia" w:hAnsiTheme="minorEastAsia" w:eastAsiaTheme="minorEastAsia"/>
                <w:color w:val="auto"/>
                <w:sz w:val="24"/>
                <w:szCs w:val="24"/>
                <w:highlight w:val="none"/>
              </w:rPr>
            </w:pPr>
          </w:p>
        </w:tc>
        <w:tc>
          <w:tcPr>
            <w:tcW w:w="1460" w:type="dxa"/>
            <w:vAlign w:val="center"/>
          </w:tcPr>
          <w:p>
            <w:pPr>
              <w:spacing w:line="400" w:lineRule="exact"/>
              <w:jc w:val="center"/>
              <w:rPr>
                <w:rFonts w:asciiTheme="minorEastAsia" w:hAnsiTheme="minorEastAsia" w:eastAsiaTheme="minorEastAsia"/>
                <w:color w:val="auto"/>
                <w:sz w:val="24"/>
                <w:szCs w:val="24"/>
                <w:highlight w:val="none"/>
              </w:rPr>
            </w:pPr>
          </w:p>
        </w:tc>
        <w:tc>
          <w:tcPr>
            <w:tcW w:w="1658" w:type="dxa"/>
            <w:vAlign w:val="center"/>
          </w:tcPr>
          <w:p>
            <w:pPr>
              <w:spacing w:line="400" w:lineRule="exact"/>
              <w:jc w:val="center"/>
              <w:rPr>
                <w:rFonts w:asciiTheme="minorEastAsia" w:hAnsiTheme="minorEastAsia" w:eastAsiaTheme="minorEastAsia"/>
                <w:color w:val="auto"/>
                <w:sz w:val="24"/>
                <w:szCs w:val="24"/>
                <w:highlight w:val="none"/>
              </w:rPr>
            </w:pPr>
          </w:p>
        </w:tc>
        <w:tc>
          <w:tcPr>
            <w:tcW w:w="1442" w:type="dxa"/>
            <w:vAlign w:val="center"/>
          </w:tcPr>
          <w:p>
            <w:pPr>
              <w:spacing w:line="400" w:lineRule="exact"/>
              <w:jc w:val="center"/>
              <w:rPr>
                <w:rFonts w:asciiTheme="minorEastAsia" w:hAnsiTheme="minorEastAsia" w:eastAsiaTheme="minorEastAsia"/>
                <w:color w:val="auto"/>
                <w:sz w:val="24"/>
                <w:szCs w:val="24"/>
                <w:highlight w:val="none"/>
              </w:rPr>
            </w:pPr>
          </w:p>
        </w:tc>
        <w:tc>
          <w:tcPr>
            <w:tcW w:w="2176" w:type="dxa"/>
            <w:vAlign w:val="center"/>
          </w:tcPr>
          <w:p>
            <w:pPr>
              <w:spacing w:line="400" w:lineRule="exact"/>
              <w:jc w:val="center"/>
              <w:rPr>
                <w:rFonts w:asciiTheme="minorEastAsia" w:hAnsiTheme="minorEastAsia" w:eastAsiaTheme="minorEastAsia"/>
                <w:color w:val="auto"/>
                <w:sz w:val="24"/>
                <w:szCs w:val="24"/>
                <w:highlight w:val="none"/>
              </w:rPr>
            </w:pPr>
          </w:p>
        </w:tc>
        <w:tc>
          <w:tcPr>
            <w:tcW w:w="2456"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460"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658"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44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2176"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2456"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r>
    </w:tbl>
    <w:p>
      <w:pPr>
        <w:spacing w:line="44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备注：根据评分表的要求提交相应资料。</w:t>
      </w:r>
    </w:p>
    <w:p>
      <w:pPr>
        <w:adjustRightInd w:val="0"/>
        <w:snapToGrid w:val="0"/>
        <w:spacing w:line="360" w:lineRule="auto"/>
        <w:ind w:left="732" w:hanging="732" w:hangingChars="305"/>
        <w:rPr>
          <w:rFonts w:asciiTheme="minorEastAsia" w:hAnsiTheme="minorEastAsia" w:eastAsiaTheme="minorEastAsia"/>
          <w:color w:val="auto"/>
          <w:sz w:val="24"/>
          <w:szCs w:val="24"/>
          <w:highlight w:val="none"/>
        </w:rPr>
      </w:pPr>
    </w:p>
    <w:p>
      <w:pPr>
        <w:adjustRightInd w:val="0"/>
        <w:snapToGrid w:val="0"/>
        <w:spacing w:line="360" w:lineRule="auto"/>
        <w:ind w:left="732" w:hanging="732" w:hangingChars="305"/>
        <w:rPr>
          <w:rFonts w:asciiTheme="minorEastAsia" w:hAnsiTheme="minorEastAsia" w:eastAsiaTheme="minorEastAsia"/>
          <w:color w:val="auto"/>
          <w:sz w:val="24"/>
          <w:szCs w:val="24"/>
          <w:highlight w:val="none"/>
        </w:rPr>
      </w:pPr>
    </w:p>
    <w:p>
      <w:pPr>
        <w:adjustRightInd w:val="0"/>
        <w:snapToGrid w:val="0"/>
        <w:spacing w:line="360" w:lineRule="auto"/>
        <w:ind w:left="732" w:hanging="732" w:hangingChars="305"/>
        <w:rPr>
          <w:rFonts w:asciiTheme="minorEastAsia" w:hAnsiTheme="minorEastAsia" w:eastAsiaTheme="minorEastAsia"/>
          <w:color w:val="auto"/>
          <w:sz w:val="24"/>
          <w:szCs w:val="24"/>
          <w:highlight w:val="none"/>
        </w:rPr>
      </w:pPr>
    </w:p>
    <w:bookmarkEnd w:id="83"/>
    <w:bookmarkEnd w:id="84"/>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440" w:lineRule="exact"/>
        <w:rPr>
          <w:rFonts w:asciiTheme="minorEastAsia" w:hAnsiTheme="minorEastAsia" w:eastAsiaTheme="minorEastAsia"/>
          <w:color w:val="auto"/>
          <w:sz w:val="24"/>
          <w:szCs w:val="24"/>
          <w:highlight w:val="none"/>
        </w:rPr>
      </w:pP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bookmarkStart w:id="99" w:name="_Toc50737300"/>
      <w:bookmarkStart w:id="100" w:name="_Toc435514871"/>
      <w:bookmarkStart w:id="101" w:name="_Toc50736480"/>
      <w:bookmarkStart w:id="102" w:name="_Toc52165084"/>
      <w:bookmarkStart w:id="103" w:name="_Toc275865618"/>
      <w:bookmarkStart w:id="104" w:name="_Toc435515311"/>
      <w:bookmarkStart w:id="105" w:name="_Toc50691042"/>
      <w:bookmarkStart w:id="106" w:name="_Toc50737332"/>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拟投入本项目的团队人员情况一览表</w:t>
      </w:r>
      <w:bookmarkEnd w:id="99"/>
      <w:bookmarkEnd w:id="100"/>
      <w:bookmarkEnd w:id="101"/>
      <w:bookmarkEnd w:id="102"/>
      <w:bookmarkEnd w:id="103"/>
      <w:bookmarkEnd w:id="104"/>
      <w:bookmarkEnd w:id="105"/>
      <w:bookmarkEnd w:id="106"/>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采购项目编号：（采购项目完整编号）</w:t>
      </w:r>
    </w:p>
    <w:tbl>
      <w:tblPr>
        <w:tblStyle w:val="38"/>
        <w:tblW w:w="92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823"/>
        <w:gridCol w:w="822"/>
        <w:gridCol w:w="822"/>
        <w:gridCol w:w="1051"/>
        <w:gridCol w:w="1217"/>
        <w:gridCol w:w="1242"/>
        <w:gridCol w:w="1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pPr>
              <w:adjustRightInd w:val="0"/>
              <w:snapToGrid w:val="0"/>
              <w:ind w:left="-92" w:leftChars="-44" w:right="-80" w:rightChars="-38"/>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1034" w:type="dxa"/>
            <w:tcBorders>
              <w:top w:val="single" w:color="auto" w:sz="12" w:space="0"/>
              <w:bottom w:val="double" w:color="auto" w:sz="4" w:space="0"/>
            </w:tcBorders>
            <w:shd w:val="clear" w:color="auto" w:fill="EEECE1"/>
            <w:vAlign w:val="center"/>
          </w:tcPr>
          <w:p>
            <w:pPr>
              <w:pStyle w:val="110"/>
              <w:keepNext w:val="0"/>
              <w:snapToGrid w:val="0"/>
              <w:spacing w:before="0" w:after="0" w:line="240" w:lineRule="auto"/>
              <w:textAlignment w:val="auto"/>
              <w:rPr>
                <w:rFonts w:asciiTheme="minorEastAsia" w:hAnsiTheme="minorEastAsia" w:eastAsiaTheme="minorEastAsia"/>
                <w:color w:val="auto"/>
                <w:spacing w:val="0"/>
                <w:kern w:val="2"/>
                <w:highlight w:val="none"/>
              </w:rPr>
            </w:pPr>
            <w:r>
              <w:rPr>
                <w:rFonts w:hint="eastAsia" w:cs="宋体" w:asciiTheme="minorEastAsia" w:hAnsiTheme="minorEastAsia" w:eastAsiaTheme="minorEastAsia"/>
                <w:color w:val="auto"/>
                <w:spacing w:val="0"/>
                <w:kern w:val="2"/>
                <w:highlight w:val="none"/>
              </w:rPr>
              <w:t>姓名</w:t>
            </w:r>
          </w:p>
        </w:tc>
        <w:tc>
          <w:tcPr>
            <w:tcW w:w="823"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性别</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年龄</w:t>
            </w:r>
          </w:p>
        </w:tc>
        <w:tc>
          <w:tcPr>
            <w:tcW w:w="82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学历</w:t>
            </w:r>
          </w:p>
        </w:tc>
        <w:tc>
          <w:tcPr>
            <w:tcW w:w="1051"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职称</w:t>
            </w:r>
          </w:p>
        </w:tc>
        <w:tc>
          <w:tcPr>
            <w:tcW w:w="1217"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专业</w:t>
            </w:r>
          </w:p>
        </w:tc>
        <w:tc>
          <w:tcPr>
            <w:tcW w:w="1242"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经验年限</w:t>
            </w:r>
          </w:p>
        </w:tc>
        <w:tc>
          <w:tcPr>
            <w:tcW w:w="1681" w:type="dxa"/>
            <w:tcBorders>
              <w:top w:val="single" w:color="auto" w:sz="12" w:space="0"/>
              <w:bottom w:val="double" w:color="auto" w:sz="4" w:space="0"/>
            </w:tcBorders>
            <w:shd w:val="clear" w:color="auto" w:fill="EEECE1"/>
            <w:vAlign w:val="center"/>
          </w:tcPr>
          <w:p>
            <w:pPr>
              <w:adjustRightInd w:val="0"/>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tcBorders>
              <w:top w:val="double" w:color="auto" w:sz="4" w:space="0"/>
            </w:tcBorders>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34"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3"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82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051"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17"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24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1681"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r>
    </w:tbl>
    <w:p>
      <w:pPr>
        <w:spacing w:line="500" w:lineRule="exac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备注：根据评分表的要求提交相应资料。</w:t>
      </w:r>
    </w:p>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pacing w:val="4"/>
          <w:sz w:val="24"/>
          <w:szCs w:val="24"/>
          <w:highlight w:val="none"/>
        </w:rPr>
      </w:pPr>
    </w:p>
    <w:bookmarkEnd w:id="85"/>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color w:val="auto"/>
          <w:spacing w:val="4"/>
          <w:sz w:val="24"/>
          <w:szCs w:val="24"/>
          <w:highlight w:val="none"/>
        </w:rPr>
        <w:br w:type="page"/>
      </w:r>
      <w:bookmarkStart w:id="107" w:name="_Toc435515313"/>
      <w:bookmarkStart w:id="108" w:name="_Toc435514873"/>
      <w:r>
        <w:rPr>
          <w:rFonts w:hint="eastAsia" w:cs="黑体" w:asciiTheme="minorEastAsia" w:hAnsiTheme="minorEastAsia" w:eastAsiaTheme="minorEastAsia"/>
          <w:color w:val="auto"/>
          <w:highlight w:val="none"/>
        </w:rPr>
        <w:t>合同条款响应一览表</w:t>
      </w:r>
      <w:bookmarkEnd w:id="107"/>
      <w:bookmarkEnd w:id="108"/>
    </w:p>
    <w:p>
      <w:pPr>
        <w:spacing w:line="400" w:lineRule="exact"/>
        <w:ind w:left="1080" w:hanging="1080" w:hangingChars="4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说明：投标人必须对应招标文件的合同条款逐条应答并按要求填写下表。</w:t>
      </w:r>
    </w:p>
    <w:p>
      <w:pPr>
        <w:widowControl/>
        <w:wordWrap w:val="0"/>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采购项目编号：（采购项目完整编号）</w:t>
      </w:r>
    </w:p>
    <w:tbl>
      <w:tblPr>
        <w:tblStyle w:val="38"/>
        <w:tblW w:w="9828"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3"/>
        <w:gridCol w:w="3422"/>
        <w:gridCol w:w="3191"/>
        <w:gridCol w:w="2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583" w:type="dxa"/>
            <w:tcBorders>
              <w:top w:val="single" w:color="auto" w:sz="12" w:space="0"/>
            </w:tcBorders>
            <w:shd w:val="clear" w:color="auto" w:fill="EEECE1"/>
            <w:vAlign w:val="center"/>
          </w:tcPr>
          <w:p>
            <w:pPr>
              <w:spacing w:line="400" w:lineRule="exact"/>
              <w:ind w:left="-57" w:leftChars="-27" w:right="-67" w:rightChars="-32"/>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3422" w:type="dxa"/>
            <w:tcBorders>
              <w:top w:val="single" w:color="auto" w:sz="12" w:space="0"/>
            </w:tcBorders>
            <w:shd w:val="clear" w:color="auto" w:fill="EEECE1"/>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招标文件中合同条款描述</w:t>
            </w:r>
          </w:p>
        </w:tc>
        <w:tc>
          <w:tcPr>
            <w:tcW w:w="3191" w:type="dxa"/>
            <w:tcBorders>
              <w:top w:val="single" w:color="auto" w:sz="12" w:space="0"/>
            </w:tcBorders>
            <w:shd w:val="clear" w:color="auto" w:fill="EEECE1"/>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投标人响应描述</w:t>
            </w:r>
          </w:p>
        </w:tc>
        <w:tc>
          <w:tcPr>
            <w:tcW w:w="2632" w:type="dxa"/>
            <w:tcBorders>
              <w:top w:val="single" w:color="auto" w:sz="12" w:space="0"/>
            </w:tcBorders>
            <w:shd w:val="clear" w:color="auto" w:fill="EEECE1"/>
            <w:vAlign w:val="center"/>
          </w:tcPr>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偏离情况说明</w:t>
            </w:r>
          </w:p>
          <w:p>
            <w:pPr>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（正偏离</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完全响应</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83" w:type="dxa"/>
            <w:vAlign w:val="center"/>
          </w:tcPr>
          <w:p>
            <w:pPr>
              <w:numPr>
                <w:ilvl w:val="0"/>
                <w:numId w:val="22"/>
              </w:numPr>
              <w:spacing w:line="400" w:lineRule="exact"/>
              <w:jc w:val="center"/>
              <w:rPr>
                <w:rFonts w:asciiTheme="minorEastAsia" w:hAnsiTheme="minorEastAsia" w:eastAsiaTheme="minorEastAsia"/>
                <w:color w:val="auto"/>
                <w:sz w:val="24"/>
                <w:szCs w:val="24"/>
                <w:highlight w:val="none"/>
              </w:rPr>
            </w:pPr>
          </w:p>
        </w:tc>
        <w:tc>
          <w:tcPr>
            <w:tcW w:w="3422" w:type="dxa"/>
            <w:vAlign w:val="center"/>
          </w:tcPr>
          <w:p>
            <w:pPr>
              <w:pStyle w:val="21"/>
              <w:tabs>
                <w:tab w:val="left" w:pos="2340"/>
              </w:tabs>
              <w:rPr>
                <w:rFonts w:cs="Times New Roman"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合同货物</w:t>
            </w:r>
          </w:p>
        </w:tc>
        <w:tc>
          <w:tcPr>
            <w:tcW w:w="3191" w:type="dxa"/>
            <w:vAlign w:val="center"/>
          </w:tcPr>
          <w:p>
            <w:pPr>
              <w:spacing w:line="400" w:lineRule="exact"/>
              <w:jc w:val="center"/>
              <w:rPr>
                <w:rFonts w:asciiTheme="minorEastAsia" w:hAnsiTheme="minorEastAsia" w:eastAsiaTheme="minorEastAsia"/>
                <w:color w:val="auto"/>
                <w:sz w:val="24"/>
                <w:szCs w:val="24"/>
                <w:highlight w:val="none"/>
              </w:rPr>
            </w:pPr>
          </w:p>
        </w:tc>
        <w:tc>
          <w:tcPr>
            <w:tcW w:w="2632"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83" w:type="dxa"/>
            <w:vAlign w:val="center"/>
          </w:tcPr>
          <w:p>
            <w:pPr>
              <w:numPr>
                <w:ilvl w:val="0"/>
                <w:numId w:val="22"/>
              </w:numPr>
              <w:spacing w:line="400" w:lineRule="exact"/>
              <w:jc w:val="center"/>
              <w:rPr>
                <w:rFonts w:asciiTheme="minorEastAsia" w:hAnsiTheme="minorEastAsia" w:eastAsiaTheme="minorEastAsia"/>
                <w:color w:val="auto"/>
                <w:sz w:val="24"/>
                <w:szCs w:val="24"/>
                <w:highlight w:val="none"/>
              </w:rPr>
            </w:pPr>
          </w:p>
        </w:tc>
        <w:tc>
          <w:tcPr>
            <w:tcW w:w="3422" w:type="dxa"/>
            <w:vAlign w:val="center"/>
          </w:tcPr>
          <w:p>
            <w:pPr>
              <w:rPr>
                <w:rFonts w:asciiTheme="minorEastAsia" w:hAnsiTheme="minorEastAsia" w:eastAsiaTheme="minorEastAsia"/>
                <w:snapToGrid w:val="0"/>
                <w:color w:val="auto"/>
                <w:kern w:val="0"/>
                <w:sz w:val="24"/>
                <w:szCs w:val="24"/>
                <w:highlight w:val="none"/>
              </w:rPr>
            </w:pPr>
            <w:r>
              <w:rPr>
                <w:rFonts w:hint="eastAsia" w:cs="宋体" w:asciiTheme="minorEastAsia" w:hAnsiTheme="minorEastAsia" w:eastAsiaTheme="minorEastAsia"/>
                <w:color w:val="auto"/>
                <w:sz w:val="24"/>
                <w:szCs w:val="24"/>
                <w:highlight w:val="none"/>
              </w:rPr>
              <w:t>合同总价</w:t>
            </w:r>
          </w:p>
        </w:tc>
        <w:tc>
          <w:tcPr>
            <w:tcW w:w="3191" w:type="dxa"/>
            <w:vAlign w:val="center"/>
          </w:tcPr>
          <w:p>
            <w:pPr>
              <w:spacing w:line="400" w:lineRule="exact"/>
              <w:jc w:val="center"/>
              <w:rPr>
                <w:rFonts w:asciiTheme="minorEastAsia" w:hAnsiTheme="minorEastAsia" w:eastAsiaTheme="minorEastAsia"/>
                <w:color w:val="auto"/>
                <w:sz w:val="24"/>
                <w:szCs w:val="24"/>
                <w:highlight w:val="none"/>
              </w:rPr>
            </w:pPr>
          </w:p>
        </w:tc>
        <w:tc>
          <w:tcPr>
            <w:tcW w:w="2632" w:type="dxa"/>
            <w:vAlign w:val="center"/>
          </w:tcPr>
          <w:p>
            <w:pPr>
              <w:spacing w:line="400" w:lineRule="exact"/>
              <w:jc w:val="center"/>
              <w:rPr>
                <w:rFonts w:asciiTheme="minorEastAsia" w:hAnsiTheme="minorEastAsia" w:eastAsiaTheme="minorEastAsia"/>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583" w:type="dxa"/>
            <w:tcBorders>
              <w:bottom w:val="single" w:color="auto" w:sz="12" w:space="0"/>
            </w:tcBorders>
            <w:vAlign w:val="center"/>
          </w:tcPr>
          <w:p>
            <w:pPr>
              <w:tabs>
                <w:tab w:val="left" w:pos="142"/>
              </w:tabs>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tc>
        <w:tc>
          <w:tcPr>
            <w:tcW w:w="3422" w:type="dxa"/>
            <w:tcBorders>
              <w:bottom w:val="single" w:color="auto" w:sz="12" w:space="0"/>
            </w:tcBorders>
            <w:vAlign w:val="center"/>
          </w:tcPr>
          <w:p>
            <w:pPr>
              <w:rPr>
                <w:rFonts w:asciiTheme="minorEastAsia" w:hAnsiTheme="minorEastAsia" w:eastAsiaTheme="minorEastAsia"/>
                <w:b/>
                <w:bCs/>
                <w:snapToGrid w:val="0"/>
                <w:color w:val="auto"/>
                <w:kern w:val="0"/>
                <w:sz w:val="24"/>
                <w:szCs w:val="24"/>
                <w:highlight w:val="none"/>
              </w:rPr>
            </w:pPr>
            <w:r>
              <w:rPr>
                <w:rFonts w:hint="eastAsia" w:cs="宋体" w:asciiTheme="minorEastAsia" w:hAnsiTheme="minorEastAsia" w:eastAsiaTheme="minorEastAsia"/>
                <w:color w:val="auto"/>
                <w:sz w:val="24"/>
                <w:szCs w:val="24"/>
                <w:highlight w:val="none"/>
              </w:rPr>
              <w:t>……</w:t>
            </w:r>
          </w:p>
        </w:tc>
        <w:tc>
          <w:tcPr>
            <w:tcW w:w="3191"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c>
          <w:tcPr>
            <w:tcW w:w="2632" w:type="dxa"/>
            <w:tcBorders>
              <w:bottom w:val="single" w:color="auto" w:sz="12" w:space="0"/>
            </w:tcBorders>
            <w:vAlign w:val="center"/>
          </w:tcPr>
          <w:p>
            <w:pPr>
              <w:spacing w:line="400" w:lineRule="exact"/>
              <w:jc w:val="center"/>
              <w:rPr>
                <w:rFonts w:asciiTheme="minorEastAsia" w:hAnsiTheme="minorEastAsia" w:eastAsiaTheme="minorEastAsia"/>
                <w:color w:val="auto"/>
                <w:sz w:val="24"/>
                <w:szCs w:val="24"/>
                <w:highlight w:val="none"/>
              </w:rPr>
            </w:pPr>
          </w:p>
        </w:tc>
      </w:tr>
    </w:tbl>
    <w:p>
      <w:pPr>
        <w:spacing w:line="500" w:lineRule="exact"/>
        <w:rPr>
          <w:rFonts w:asciiTheme="minorEastAsia" w:hAnsiTheme="minorEastAsia" w:eastAsiaTheme="minorEastAsia"/>
          <w:color w:val="auto"/>
          <w:spacing w:val="4"/>
          <w:sz w:val="24"/>
          <w:szCs w:val="24"/>
          <w:highlight w:val="none"/>
        </w:rPr>
      </w:pPr>
    </w:p>
    <w:p>
      <w:pPr>
        <w:spacing w:line="520" w:lineRule="exact"/>
        <w:rPr>
          <w:rFonts w:asciiTheme="minorEastAsia" w:hAnsiTheme="minorEastAsia" w:eastAsiaTheme="minorEastAsia"/>
          <w:color w:val="auto"/>
          <w:spacing w:val="4"/>
          <w:sz w:val="24"/>
          <w:szCs w:val="24"/>
          <w:highlight w:val="none"/>
        </w:rPr>
      </w:pPr>
    </w:p>
    <w:p>
      <w:pPr>
        <w:spacing w:line="500" w:lineRule="exac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pacing w:val="4"/>
          <w:sz w:val="24"/>
          <w:szCs w:val="24"/>
          <w:highlight w:val="none"/>
        </w:rPr>
        <w:t>投标人名称（</w:t>
      </w:r>
      <w:r>
        <w:rPr>
          <w:rFonts w:hint="eastAsia" w:cs="宋体" w:asciiTheme="minorEastAsia" w:hAnsiTheme="minorEastAsia" w:eastAsiaTheme="minorEastAsia"/>
          <w:color w:val="auto"/>
          <w:sz w:val="24"/>
          <w:szCs w:val="24"/>
          <w:highlight w:val="none"/>
        </w:rPr>
        <w:t>单位盖</w:t>
      </w:r>
      <w:r>
        <w:rPr>
          <w:rFonts w:hint="eastAsia" w:cs="宋体" w:asciiTheme="minorEastAsia" w:hAnsiTheme="minorEastAsia" w:eastAsiaTheme="minorEastAsia"/>
          <w:color w:val="auto"/>
          <w:spacing w:val="4"/>
          <w:sz w:val="24"/>
          <w:szCs w:val="24"/>
          <w:highlight w:val="none"/>
        </w:rPr>
        <w:t>公章）：</w:t>
      </w:r>
      <w:r>
        <w:rPr>
          <w:rFonts w:asciiTheme="minorEastAsia" w:hAnsiTheme="minorEastAsia" w:eastAsiaTheme="minorEastAsia"/>
          <w:color w:val="auto"/>
          <w:spacing w:val="4"/>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520" w:lineRule="exact"/>
        <w:rPr>
          <w:rFonts w:asciiTheme="minorEastAsia" w:hAnsiTheme="minorEastAsia" w:eastAsiaTheme="minorEastAsia"/>
          <w:color w:val="auto"/>
          <w:spacing w:val="4"/>
          <w:sz w:val="24"/>
          <w:szCs w:val="24"/>
          <w:highlight w:val="none"/>
          <w:u w:val="single"/>
        </w:rPr>
      </w:pPr>
      <w:r>
        <w:rPr>
          <w:rFonts w:hint="eastAsia" w:cs="宋体" w:asciiTheme="minorEastAsia" w:hAnsiTheme="minorEastAsia" w:eastAsiaTheme="minorEastAsia"/>
          <w:color w:val="auto"/>
          <w:spacing w:val="4"/>
          <w:sz w:val="24"/>
          <w:szCs w:val="24"/>
          <w:highlight w:val="none"/>
        </w:rPr>
        <w:t>日期：</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520" w:lineRule="exact"/>
        <w:rPr>
          <w:rFonts w:asciiTheme="minorEastAsia" w:hAnsiTheme="minorEastAsia" w:eastAsiaTheme="minorEastAsia"/>
          <w:color w:val="auto"/>
          <w:spacing w:val="4"/>
          <w:sz w:val="24"/>
          <w:szCs w:val="24"/>
          <w:highlight w:val="none"/>
        </w:rPr>
      </w:pPr>
    </w:p>
    <w:p>
      <w:pPr>
        <w:pStyle w:val="4"/>
        <w:adjustRightInd w:val="0"/>
        <w:snapToGrid w:val="0"/>
        <w:spacing w:beforeLines="50" w:afterLines="50" w:line="360" w:lineRule="auto"/>
        <w:jc w:val="center"/>
        <w:rPr>
          <w:rFonts w:cs="Times New Roman" w:asciiTheme="minorEastAsia" w:hAnsiTheme="minorEastAsia" w:eastAsiaTheme="minorEastAsia"/>
          <w:b w:val="0"/>
          <w:bCs w:val="0"/>
          <w:color w:val="auto"/>
          <w:sz w:val="24"/>
          <w:szCs w:val="24"/>
          <w:highlight w:val="none"/>
        </w:rPr>
      </w:pPr>
      <w:r>
        <w:rPr>
          <w:rFonts w:cs="Times New Roman" w:asciiTheme="minorEastAsia" w:hAnsiTheme="minorEastAsia" w:eastAsiaTheme="minorEastAsia"/>
          <w:b w:val="0"/>
          <w:bCs w:val="0"/>
          <w:color w:val="auto"/>
          <w:sz w:val="24"/>
          <w:szCs w:val="24"/>
          <w:highlight w:val="none"/>
        </w:rPr>
        <w:br w:type="page"/>
      </w:r>
      <w:r>
        <w:rPr>
          <w:rFonts w:hint="eastAsia" w:cs="黑体" w:asciiTheme="minorEastAsia" w:hAnsiTheme="minorEastAsia" w:eastAsiaTheme="minorEastAsia"/>
          <w:color w:val="auto"/>
          <w:highlight w:val="none"/>
        </w:rPr>
        <w:t>招标代理服务费承诺书</w:t>
      </w:r>
    </w:p>
    <w:p>
      <w:p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广东远东招标代理有限公司</w:t>
      </w:r>
      <w:r>
        <w:rPr>
          <w:rFonts w:cs="宋体" w:asciiTheme="minorEastAsia" w:hAnsiTheme="minorEastAsia" w:eastAsiaTheme="minorEastAsia"/>
          <w:b/>
          <w:bCs/>
          <w:color w:val="auto"/>
          <w:sz w:val="24"/>
          <w:szCs w:val="24"/>
          <w:highlight w:val="none"/>
        </w:rPr>
        <w:t>:</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本公司</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投标人名称</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在参加</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项目名称</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采购项目编号：</w:t>
      </w:r>
      <w:r>
        <w:rPr>
          <w:rFonts w:hint="eastAsia" w:cs="宋体" w:asciiTheme="minorEastAsia" w:hAnsiTheme="minorEastAsia" w:eastAsiaTheme="minorEastAsia"/>
          <w:color w:val="auto"/>
          <w:sz w:val="24"/>
          <w:szCs w:val="24"/>
          <w:highlight w:val="none"/>
          <w:u w:val="single"/>
        </w:rPr>
        <w:t>（采购项目完整编号）</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如我公司违反上款承诺</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愿承担由此引起的一切法律责任。</w:t>
      </w:r>
    </w:p>
    <w:p>
      <w:pPr>
        <w:tabs>
          <w:tab w:val="center" w:pos="5010"/>
        </w:tabs>
        <w:spacing w:line="360" w:lineRule="auto"/>
        <w:ind w:firstLine="960" w:firstLineChars="4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特此承诺</w:t>
      </w:r>
      <w:r>
        <w:rPr>
          <w:rFonts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ab/>
      </w:r>
    </w:p>
    <w:p>
      <w:pPr>
        <w:spacing w:line="360" w:lineRule="auto"/>
        <w:ind w:firstLine="960" w:firstLineChars="400"/>
        <w:rPr>
          <w:rFonts w:asciiTheme="minorEastAsia" w:hAnsiTheme="minorEastAsia" w:eastAsiaTheme="minorEastAsia"/>
          <w:color w:val="auto"/>
          <w:sz w:val="24"/>
          <w:szCs w:val="24"/>
          <w:highlight w:val="none"/>
        </w:rPr>
      </w:pPr>
    </w:p>
    <w:p>
      <w:pPr>
        <w:spacing w:line="360" w:lineRule="auto"/>
        <w:ind w:left="315"/>
        <w:jc w:val="left"/>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投标人名称</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盖公章</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投标人地址</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电话</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传真</w:t>
      </w:r>
      <w:r>
        <w:rPr>
          <w:rFonts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法定代表人或投标人授权代表（签名或盖章）：</w:t>
      </w:r>
      <w:r>
        <w:rPr>
          <w:rFonts w:cs="宋体" w:asciiTheme="minorEastAsia" w:hAnsiTheme="minorEastAsia" w:eastAsiaTheme="minorEastAsia"/>
          <w:color w:val="auto"/>
          <w:sz w:val="24"/>
          <w:szCs w:val="24"/>
          <w:highlight w:val="none"/>
          <w:u w:val="single"/>
        </w:rPr>
        <w:t xml:space="preserve">                    </w:t>
      </w:r>
    </w:p>
    <w:p>
      <w:pPr>
        <w:spacing w:line="360" w:lineRule="auto"/>
        <w:ind w:left="315"/>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签署日期</w:t>
      </w:r>
      <w:r>
        <w:rPr>
          <w:rFonts w:cs="宋体" w:asciiTheme="minorEastAsia" w:hAnsiTheme="minorEastAsia" w:eastAsiaTheme="minorEastAsia"/>
          <w:color w:val="auto"/>
          <w:sz w:val="24"/>
          <w:szCs w:val="24"/>
          <w:highlight w:val="none"/>
        </w:rPr>
        <w:t>:</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年</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月</w:t>
      </w:r>
      <w:r>
        <w:rPr>
          <w:rFonts w:asciiTheme="minorEastAsia" w:hAnsiTheme="minorEastAsia" w:eastAsiaTheme="minorEastAsia"/>
          <w:color w:val="auto"/>
          <w:spacing w:val="4"/>
          <w:sz w:val="24"/>
          <w:szCs w:val="24"/>
          <w:highlight w:val="none"/>
          <w:u w:val="single"/>
        </w:rPr>
        <w:t xml:space="preserve">   </w:t>
      </w:r>
      <w:r>
        <w:rPr>
          <w:rFonts w:hint="eastAsia" w:cs="宋体" w:asciiTheme="minorEastAsia" w:hAnsiTheme="minorEastAsia" w:eastAsiaTheme="minorEastAsia"/>
          <w:color w:val="auto"/>
          <w:spacing w:val="4"/>
          <w:sz w:val="24"/>
          <w:szCs w:val="24"/>
          <w:highlight w:val="none"/>
        </w:rPr>
        <w:t>日</w:t>
      </w:r>
    </w:p>
    <w:p>
      <w:pPr>
        <w:spacing w:line="440" w:lineRule="exact"/>
        <w:rPr>
          <w:rFonts w:asciiTheme="minorEastAsia" w:hAnsiTheme="minorEastAsia" w:eastAsiaTheme="minorEastAsia"/>
          <w:color w:val="auto"/>
          <w:sz w:val="24"/>
          <w:szCs w:val="24"/>
          <w:highlight w:val="none"/>
        </w:rPr>
      </w:pPr>
    </w:p>
    <w:p>
      <w:pPr>
        <w:spacing w:line="276" w:lineRule="auto"/>
        <w:ind w:firstLine="7108" w:firstLineChars="2950"/>
        <w:rPr>
          <w:rFonts w:asciiTheme="minorEastAsia" w:hAnsiTheme="minorEastAsia" w:eastAsiaTheme="minorEastAsia"/>
          <w:dstrike/>
          <w:color w:val="auto"/>
          <w:sz w:val="24"/>
          <w:szCs w:val="24"/>
          <w:highlight w:val="none"/>
        </w:rPr>
      </w:pPr>
      <w:bookmarkStart w:id="109" w:name="_Toc435515318"/>
      <w:bookmarkStart w:id="110" w:name="_Toc435514878"/>
      <w:bookmarkStart w:id="111" w:name="_Toc275865626"/>
      <w:bookmarkStart w:id="112" w:name="_Toc173553195"/>
      <w:r>
        <w:rPr>
          <w:rFonts w:asciiTheme="minorEastAsia" w:hAnsiTheme="minorEastAsia" w:eastAsiaTheme="minorEastAsia"/>
          <w:b/>
          <w:bCs/>
          <w:color w:val="auto"/>
          <w:sz w:val="24"/>
          <w:szCs w:val="24"/>
          <w:highlight w:val="none"/>
        </w:rPr>
        <w:br w:type="page"/>
      </w:r>
      <w:bookmarkEnd w:id="109"/>
      <w:bookmarkEnd w:id="110"/>
      <w:bookmarkEnd w:id="111"/>
      <w:bookmarkEnd w:id="112"/>
    </w:p>
    <w:p>
      <w:pPr>
        <w:pStyle w:val="4"/>
        <w:jc w:val="center"/>
        <w:rPr>
          <w:rFonts w:cs="Times New Roman" w:asciiTheme="minorEastAsia" w:hAnsiTheme="minorEastAsia" w:eastAsiaTheme="minorEastAsia"/>
          <w:b w:val="0"/>
          <w:bCs w:val="0"/>
          <w:color w:val="auto"/>
          <w:sz w:val="24"/>
          <w:szCs w:val="24"/>
          <w:highlight w:val="none"/>
        </w:rPr>
      </w:pPr>
      <w:bookmarkStart w:id="113" w:name="_Toc435514880"/>
      <w:bookmarkStart w:id="114" w:name="_Toc435515320"/>
      <w:r>
        <w:rPr>
          <w:rFonts w:hint="eastAsia" w:cs="黑体" w:asciiTheme="minorEastAsia" w:hAnsiTheme="minorEastAsia" w:eastAsiaTheme="minorEastAsia"/>
          <w:color w:val="auto"/>
          <w:highlight w:val="none"/>
        </w:rPr>
        <w:t>政府采购履约担保函</w:t>
      </w:r>
      <w:bookmarkEnd w:id="113"/>
      <w:bookmarkEnd w:id="114"/>
    </w:p>
    <w:p>
      <w:pPr>
        <w:spacing w:line="360" w:lineRule="auto"/>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（备注：本格式适用于中标后采取履约担保函的形式缴纳履约保证金）</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鉴于你方与（以下简称‘供应商’）于</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日签定采购项目编号为（采购项目完整编号）的《</w:t>
      </w:r>
      <w:r>
        <w:rPr>
          <w:rFonts w:hint="eastAsia" w:cs="宋体" w:asciiTheme="minorEastAsia" w:hAnsiTheme="minorEastAsia" w:eastAsiaTheme="minorEastAsia"/>
          <w:color w:val="auto"/>
          <w:sz w:val="24"/>
          <w:szCs w:val="24"/>
          <w:highlight w:val="none"/>
          <w:u w:val="single"/>
        </w:rPr>
        <w:t>（采购项目完整项目名称）</w:t>
      </w:r>
      <w:r>
        <w:rPr>
          <w:rFonts w:hint="eastAsia" w:cs="宋体" w:asciiTheme="minorEastAsia" w:hAnsiTheme="minorEastAsia" w:eastAsiaTheme="minorEastAsia"/>
          <w:color w:val="auto"/>
          <w:sz w:val="24"/>
          <w:szCs w:val="24"/>
          <w:highlight w:val="none"/>
        </w:rPr>
        <w:t>政府采购合同》</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（以下简称‘主合同’），且依据该合同的约定，供应商应在</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日前向你方缴纳履约保证金，且可以履约担保函的形式缴纳履约保证金。应供应商的申请，我方以保证的方式向你方提供如下履约保证金担保：</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一、保证责任的情形及保证金额</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（一）在供应商出现下列情形之一时，我方承担保证责任：</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．将中标项目转让给他人，或者在投标文件中未说明，且未经采购招标机构人同意，将中标项目分包给他人的；</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．主合同约定的应当缴纳履约保证金的情形：</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）未按主合同约定的质量、数量和期限供应货物</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提供服务</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完成工程的；</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（二）我方的保证范围是主合同约定的合同价款总额的</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数额为元（大写），币种为。（即主合同履约保证金金额）</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二、保证的方式及保证期间</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我方保证的方式为：连带责任保证。</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我方保证的期间为：自本合同生效之日起至供应商按照主合同约定的供货</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完工期限届满后日内。</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如果供应商未按主合同约定向贵方供应货物</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提供服务</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完成工程的，由我方在保证金额内向你方支付上述款项。</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三、承担保证责任的程序</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．你方要求我方承担保证责任的，应在本保函保证期间内向我方发出书面索赔通知。索赔通知应写明要求索赔的金额，支付款项应到达的账号。并附有证明供应商违约事实的证明材料。</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我方收到你方的书面索赔通知及相应证明材料，在工作日内进行核定后按照本保函的承诺承担保证责任。</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四、保证责任的终止</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．保证期间届满你方未向我方书面主张保证责任的，自保证期间届满次日起，我方保证责任自动终止。保证期间届满前，主合同约定的货物</w:t>
      </w:r>
      <w:r>
        <w:rPr>
          <w:rFonts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工程</w:t>
      </w:r>
      <w:r>
        <w:rPr>
          <w:rFonts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服务全部验收合格的，自验收合格日起，我方保证责任自动终止。</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．我方按照本保函向你方履行了保证责任后，自我方向你方支付款项（支付款项从我方账户划出）之日起，保证责任即终止。</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．按照法律法规的规定或出现应终止我方保证责任的其它情形的，我方在本保函项下的保证责任亦终止。</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五、免责条款</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．因你方违反主合同约定致使供应商不能履行义务的，我方不承担保证责任。</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．依照法律法规的规定或你方与供应商的另行约定，全部或者部分免除供应商应缴纳的保证金义务的，我方亦免除相应的保证责任。</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．因不可抗力造成供应商不能履行供货义务的，我方不承担保证责任。</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六、争议的解决</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因本保函发生的纠纷，由你我双方协商解决，协商不成的，通过诉讼程序解决，诉讼管辖地法院为法院。</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七、保函的生效</w:t>
      </w:r>
    </w:p>
    <w:p>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本保函自我方加盖公章之日起生效。</w:t>
      </w:r>
    </w:p>
    <w:p>
      <w:pPr>
        <w:spacing w:line="360" w:lineRule="auto"/>
        <w:rPr>
          <w:rFonts w:asciiTheme="minorEastAsia" w:hAnsiTheme="minorEastAsia" w:eastAsiaTheme="minorEastAsia"/>
          <w:color w:val="auto"/>
          <w:sz w:val="24"/>
          <w:szCs w:val="24"/>
          <w:highlight w:val="none"/>
        </w:rPr>
      </w:pPr>
    </w:p>
    <w:p>
      <w:pPr>
        <w:spacing w:line="360" w:lineRule="auto"/>
        <w:ind w:firstLine="6960" w:firstLineChars="29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保证人：（公章）</w:t>
      </w:r>
    </w:p>
    <w:p>
      <w:pPr>
        <w:spacing w:line="360" w:lineRule="auto"/>
        <w:ind w:firstLine="7440" w:firstLineChars="31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日</w:t>
      </w:r>
    </w:p>
    <w:p>
      <w:pPr>
        <w:adjustRightInd w:val="0"/>
        <w:snapToGrid w:val="0"/>
        <w:spacing w:line="360" w:lineRule="auto"/>
        <w:jc w:val="center"/>
        <w:outlineLvl w:val="0"/>
        <w:rPr>
          <w:rFonts w:asciiTheme="minorEastAsia" w:hAnsiTheme="minorEastAsia" w:eastAsiaTheme="minorEastAsia"/>
          <w:b/>
          <w:bCs/>
          <w:color w:val="auto"/>
          <w:sz w:val="32"/>
          <w:szCs w:val="32"/>
          <w:highlight w:val="none"/>
        </w:rPr>
      </w:pPr>
      <w:r>
        <w:rPr>
          <w:rFonts w:asciiTheme="minorEastAsia" w:hAnsiTheme="minorEastAsia" w:eastAsiaTheme="minorEastAsia"/>
          <w:color w:val="auto"/>
          <w:sz w:val="24"/>
          <w:szCs w:val="24"/>
          <w:highlight w:val="none"/>
        </w:rPr>
        <w:br w:type="page"/>
      </w:r>
      <w:bookmarkStart w:id="115" w:name="_Toc435516649"/>
      <w:bookmarkStart w:id="116" w:name="_Toc438223135"/>
      <w:bookmarkStart w:id="117" w:name="_Toc435174932"/>
      <w:bookmarkStart w:id="118" w:name="_Toc29532"/>
      <w:r>
        <w:rPr>
          <w:rFonts w:hint="eastAsia" w:cs="宋体" w:asciiTheme="minorEastAsia" w:hAnsiTheme="minorEastAsia" w:eastAsiaTheme="minorEastAsia"/>
          <w:b/>
          <w:bCs/>
          <w:color w:val="auto"/>
          <w:sz w:val="32"/>
          <w:szCs w:val="32"/>
          <w:highlight w:val="none"/>
        </w:rPr>
        <w:t>第七章投标人须知</w:t>
      </w:r>
      <w:bookmarkEnd w:id="115"/>
      <w:bookmarkEnd w:id="116"/>
      <w:bookmarkEnd w:id="117"/>
      <w:bookmarkEnd w:id="118"/>
    </w:p>
    <w:p>
      <w:pPr>
        <w:numPr>
          <w:ilvl w:val="0"/>
          <w:numId w:val="23"/>
        </w:numPr>
        <w:autoSpaceDE w:val="0"/>
        <w:autoSpaceDN w:val="0"/>
        <w:adjustRightInd w:val="0"/>
        <w:snapToGrid w:val="0"/>
        <w:spacing w:line="360" w:lineRule="auto"/>
        <w:ind w:left="867" w:hanging="867" w:hangingChars="360"/>
        <w:jc w:val="center"/>
        <w:outlineLvl w:val="1"/>
        <w:rPr>
          <w:rFonts w:asciiTheme="minorEastAsia" w:hAnsiTheme="minorEastAsia" w:eastAsiaTheme="minorEastAsia"/>
          <w:b/>
          <w:bCs/>
          <w:color w:val="auto"/>
          <w:sz w:val="24"/>
          <w:szCs w:val="24"/>
          <w:highlight w:val="none"/>
        </w:rPr>
      </w:pPr>
      <w:bookmarkStart w:id="119" w:name="_Toc438223136"/>
      <w:bookmarkStart w:id="120" w:name="_Toc435174933"/>
      <w:bookmarkStart w:id="121" w:name="_Toc435516650"/>
      <w:r>
        <w:rPr>
          <w:rFonts w:hint="eastAsia" w:cs="宋体" w:asciiTheme="minorEastAsia" w:hAnsiTheme="minorEastAsia" w:eastAsiaTheme="minorEastAsia"/>
          <w:b/>
          <w:bCs/>
          <w:color w:val="auto"/>
          <w:sz w:val="24"/>
          <w:szCs w:val="24"/>
          <w:highlight w:val="none"/>
          <w:lang w:eastAsia="zh-TW"/>
        </w:rPr>
        <w:t>说</w:t>
      </w:r>
      <w:r>
        <w:rPr>
          <w:rFonts w:cs="宋体" w:asciiTheme="minorEastAsia" w:hAnsiTheme="minorEastAsia" w:eastAsiaTheme="minorEastAsia"/>
          <w:b/>
          <w:bCs/>
          <w:color w:val="auto"/>
          <w:sz w:val="24"/>
          <w:szCs w:val="24"/>
          <w:highlight w:val="none"/>
          <w:lang w:eastAsia="zh-TW"/>
        </w:rPr>
        <w:t xml:space="preserve"> </w:t>
      </w:r>
      <w:r>
        <w:rPr>
          <w:rFonts w:hint="eastAsia" w:cs="宋体" w:asciiTheme="minorEastAsia" w:hAnsiTheme="minorEastAsia" w:eastAsiaTheme="minorEastAsia"/>
          <w:b/>
          <w:bCs/>
          <w:color w:val="auto"/>
          <w:sz w:val="24"/>
          <w:szCs w:val="24"/>
          <w:highlight w:val="none"/>
          <w:lang w:eastAsia="zh-TW"/>
        </w:rPr>
        <w:t>明</w:t>
      </w:r>
      <w:bookmarkEnd w:id="119"/>
      <w:bookmarkEnd w:id="120"/>
      <w:bookmarkEnd w:id="121"/>
      <w:bookmarkStart w:id="122" w:name="_Toc292267791"/>
    </w:p>
    <w:bookmarkEnd w:id="122"/>
    <w:p>
      <w:pPr>
        <w:numPr>
          <w:ilvl w:val="0"/>
          <w:numId w:val="24"/>
        </w:numPr>
        <w:autoSpaceDE w:val="0"/>
        <w:autoSpaceDN w:val="0"/>
        <w:adjustRightInd w:val="0"/>
        <w:snapToGrid w:val="0"/>
        <w:spacing w:line="360" w:lineRule="auto"/>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适用范围</w:t>
      </w:r>
    </w:p>
    <w:p>
      <w:pPr>
        <w:numPr>
          <w:ilvl w:val="1"/>
          <w:numId w:val="24"/>
        </w:numPr>
        <w:autoSpaceDE w:val="0"/>
        <w:autoSpaceDN w:val="0"/>
        <w:adjustRightInd w:val="0"/>
        <w:snapToGrid w:val="0"/>
        <w:spacing w:line="360" w:lineRule="auto"/>
        <w:jc w:val="lef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本招标文件适用于本投标邀请中所述项目的政府采购。</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strike/>
          <w:color w:val="auto"/>
          <w:sz w:val="24"/>
          <w:szCs w:val="24"/>
          <w:highlight w:val="none"/>
        </w:rPr>
      </w:pPr>
      <w:r>
        <w:rPr>
          <w:rFonts w:hint="eastAsia" w:cs="宋体" w:asciiTheme="minorEastAsia" w:hAnsiTheme="minorEastAsia" w:eastAsiaTheme="minorEastAsia"/>
          <w:b/>
          <w:bCs/>
          <w:color w:val="auto"/>
          <w:sz w:val="24"/>
          <w:szCs w:val="24"/>
          <w:highlight w:val="none"/>
        </w:rPr>
        <w:t>定义</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政府采购监督管理部门指</w:t>
      </w:r>
      <w:r>
        <w:rPr>
          <w:rFonts w:hint="eastAsia" w:cs="宋体" w:asciiTheme="minorEastAsia" w:hAnsiTheme="minorEastAsia" w:eastAsiaTheme="minorEastAsia"/>
          <w:color w:val="auto"/>
          <w:sz w:val="24"/>
          <w:szCs w:val="24"/>
          <w:highlight w:val="none"/>
          <w:lang w:eastAsia="zh-TW"/>
        </w:rPr>
        <w:t>人民政府财政部门</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采购人指各级国家机关、事业单位和团体组织。</w:t>
      </w:r>
      <w:r>
        <w:rPr>
          <w:rFonts w:hint="eastAsia" w:cs="宋体" w:asciiTheme="minorEastAsia" w:hAnsiTheme="minorEastAsia" w:eastAsiaTheme="minorEastAsia"/>
          <w:color w:val="auto"/>
          <w:sz w:val="24"/>
          <w:szCs w:val="24"/>
          <w:highlight w:val="none"/>
          <w:lang w:eastAsia="zh-TW"/>
        </w:rPr>
        <w:t>本招标文件第</w:t>
      </w:r>
      <w:r>
        <w:rPr>
          <w:rFonts w:hint="eastAsia" w:cs="宋体" w:asciiTheme="minorEastAsia" w:hAnsiTheme="minorEastAsia" w:eastAsiaTheme="minorEastAsia"/>
          <w:color w:val="auto"/>
          <w:sz w:val="24"/>
          <w:szCs w:val="24"/>
          <w:highlight w:val="none"/>
        </w:rPr>
        <w:t>二</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中所述的采购人已拥有一笔</w:t>
      </w:r>
      <w:r>
        <w:rPr>
          <w:rFonts w:hint="eastAsia" w:cs="宋体" w:asciiTheme="minorEastAsia" w:hAnsiTheme="minorEastAsia" w:eastAsiaTheme="minorEastAsia"/>
          <w:color w:val="auto"/>
          <w:sz w:val="24"/>
          <w:szCs w:val="24"/>
          <w:highlight w:val="none"/>
        </w:rPr>
        <w:t>财政性</w:t>
      </w:r>
      <w:r>
        <w:rPr>
          <w:rFonts w:hint="eastAsia" w:cs="宋体" w:asciiTheme="minorEastAsia" w:hAnsiTheme="minorEastAsia" w:eastAsiaTheme="minorEastAsia"/>
          <w:color w:val="auto"/>
          <w:sz w:val="24"/>
          <w:szCs w:val="24"/>
          <w:highlight w:val="none"/>
          <w:lang w:eastAsia="zh-TW"/>
        </w:rPr>
        <w:t>资金</w:t>
      </w:r>
      <w:r>
        <w:rPr>
          <w:rFonts w:hint="eastAsia" w:cs="宋体" w:asciiTheme="minorEastAsia" w:hAnsiTheme="minorEastAsia" w:eastAsiaTheme="minorEastAsia"/>
          <w:color w:val="auto"/>
          <w:sz w:val="24"/>
          <w:szCs w:val="24"/>
          <w:highlight w:val="none"/>
        </w:rPr>
        <w:t>或资金来源已落实</w:t>
      </w:r>
      <w:r>
        <w:rPr>
          <w:rFonts w:hint="eastAsia" w:cs="宋体" w:asciiTheme="minorEastAsia" w:hAnsiTheme="minorEastAsia" w:eastAsiaTheme="minorEastAsia"/>
          <w:color w:val="auto"/>
          <w:sz w:val="24"/>
          <w:szCs w:val="24"/>
          <w:highlight w:val="none"/>
          <w:lang w:eastAsia="zh-TW"/>
        </w:rPr>
        <w:t>。采购人计划将一部分</w:t>
      </w:r>
      <w:r>
        <w:rPr>
          <w:rFonts w:hint="eastAsia" w:cs="宋体" w:asciiTheme="minorEastAsia" w:hAnsiTheme="minorEastAsia" w:eastAsiaTheme="minorEastAsia"/>
          <w:color w:val="auto"/>
          <w:sz w:val="24"/>
          <w:szCs w:val="24"/>
          <w:highlight w:val="none"/>
        </w:rPr>
        <w:t>或全部</w:t>
      </w:r>
      <w:r>
        <w:rPr>
          <w:rFonts w:hint="eastAsia" w:cs="宋体" w:asciiTheme="minorEastAsia" w:hAnsiTheme="minorEastAsia" w:eastAsiaTheme="minorEastAsia"/>
          <w:color w:val="auto"/>
          <w:sz w:val="24"/>
          <w:szCs w:val="24"/>
          <w:highlight w:val="none"/>
          <w:lang w:eastAsia="zh-TW"/>
        </w:rPr>
        <w:t>资金用于支付本次</w:t>
      </w:r>
      <w:r>
        <w:rPr>
          <w:rFonts w:hint="eastAsia" w:cs="宋体" w:asciiTheme="minorEastAsia" w:hAnsiTheme="minorEastAsia" w:eastAsiaTheme="minorEastAsia"/>
          <w:color w:val="auto"/>
          <w:sz w:val="24"/>
          <w:szCs w:val="24"/>
          <w:highlight w:val="none"/>
        </w:rPr>
        <w:t>采购</w:t>
      </w:r>
      <w:r>
        <w:rPr>
          <w:rFonts w:hint="eastAsia" w:cs="宋体" w:asciiTheme="minorEastAsia" w:hAnsiTheme="minorEastAsia" w:eastAsiaTheme="minorEastAsia"/>
          <w:color w:val="auto"/>
          <w:sz w:val="24"/>
          <w:szCs w:val="24"/>
          <w:highlight w:val="none"/>
          <w:lang w:eastAsia="zh-TW"/>
        </w:rPr>
        <w:t>后所签订合同项下的款项</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strike/>
          <w:color w:val="auto"/>
          <w:sz w:val="24"/>
          <w:szCs w:val="24"/>
          <w:highlight w:val="none"/>
        </w:rPr>
      </w:pPr>
      <w:r>
        <w:rPr>
          <w:rFonts w:hint="eastAsia" w:cs="宋体" w:asciiTheme="minorEastAsia" w:hAnsiTheme="minorEastAsia" w:eastAsiaTheme="minorEastAsia"/>
          <w:color w:val="auto"/>
          <w:sz w:val="24"/>
          <w:szCs w:val="24"/>
          <w:highlight w:val="none"/>
        </w:rPr>
        <w:t>采购代理机构指按照规定办理注册登记并通过审核的代理机构。</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供应商是指向采购人提供货物、工程或者服务的法人、其他组织或者自然人。</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投标人是指响应招标、参加投标竞争的法人、其他组织或者自然人。</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中标人是指经法定程序确定并授予合同的投标人。</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免费，招标文件中免费是指该部分货物或服务的报价不需要单独报价且应包含在投标总价内；投标文件中免费将被认定为该部分货物或服务的报价已包含在投标总价内。</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合格的货物和服务</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“服务”是指除货物和工程以外的其他政府采购对象，其中包括：投标人须承担的运输、安装、技术支持、培训以及招标文件规定的其它服务。</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投标费用</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投标人应承担所有与准备和参加投标有关的费用。不论投标的结果如何</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采购人或者采购代理机构均无义务和责任承担这些费用</w:t>
      </w:r>
      <w:r>
        <w:rPr>
          <w:rFonts w:hint="eastAsia" w:cs="宋体" w:asciiTheme="minorEastAsia" w:hAnsiTheme="minorEastAsia" w:eastAsiaTheme="minorEastAsia"/>
          <w:color w:val="auto"/>
          <w:sz w:val="24"/>
          <w:szCs w:val="24"/>
          <w:highlight w:val="none"/>
        </w:rPr>
        <w:t>。</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bookmarkStart w:id="123" w:name="_Toc381027666"/>
      <w:r>
        <w:rPr>
          <w:rFonts w:hint="eastAsia" w:cs="宋体" w:asciiTheme="minorEastAsia" w:hAnsiTheme="minorEastAsia" w:eastAsiaTheme="minorEastAsia"/>
          <w:b/>
          <w:bCs/>
          <w:color w:val="auto"/>
          <w:sz w:val="24"/>
          <w:szCs w:val="24"/>
          <w:highlight w:val="none"/>
        </w:rPr>
        <w:t>政府采购信用担保</w:t>
      </w:r>
      <w:bookmarkEnd w:id="123"/>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bookmarkStart w:id="124" w:name="_Toc315793298"/>
      <w:r>
        <w:rPr>
          <w:rFonts w:hint="eastAsia" w:cs="宋体" w:asciiTheme="minorEastAsia" w:hAnsiTheme="minorEastAsia" w:eastAsiaTheme="minorEastAsia"/>
          <w:color w:val="auto"/>
          <w:sz w:val="24"/>
          <w:szCs w:val="24"/>
          <w:highlight w:val="none"/>
        </w:rPr>
        <w:t>根据《财政部关于开展政府采购信用担保试点工作的通知》（财库〔</w:t>
      </w:r>
      <w:r>
        <w:rPr>
          <w:rFonts w:asciiTheme="minorEastAsia" w:hAnsiTheme="minorEastAsia" w:eastAsiaTheme="minorEastAsia"/>
          <w:color w:val="auto"/>
          <w:sz w:val="24"/>
          <w:szCs w:val="24"/>
          <w:highlight w:val="none"/>
        </w:rPr>
        <w:t>2011</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124</w:t>
      </w:r>
      <w:r>
        <w:rPr>
          <w:rFonts w:hint="eastAsia" w:cs="宋体" w:asciiTheme="minorEastAsia" w:hAnsiTheme="minorEastAsia" w:eastAsiaTheme="minorEastAsia"/>
          <w:color w:val="auto"/>
          <w:sz w:val="24"/>
          <w:szCs w:val="24"/>
          <w:highlight w:val="none"/>
        </w:rPr>
        <w:t>号）和广东省政府采购信用担保试点实施方案粤财采购〔</w:t>
      </w:r>
      <w:r>
        <w:rPr>
          <w:rFonts w:asciiTheme="minorEastAsia" w:hAnsiTheme="minorEastAsia" w:eastAsiaTheme="minorEastAsia"/>
          <w:color w:val="auto"/>
          <w:sz w:val="24"/>
          <w:szCs w:val="24"/>
          <w:highlight w:val="none"/>
        </w:rPr>
        <w:t>2011</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15</w:t>
      </w:r>
      <w:r>
        <w:rPr>
          <w:rFonts w:hint="eastAsia" w:cs="宋体" w:asciiTheme="minorEastAsia" w:hAnsiTheme="minorEastAsia" w:eastAsiaTheme="minorEastAsia"/>
          <w:color w:val="auto"/>
          <w:sz w:val="24"/>
          <w:szCs w:val="24"/>
          <w:highlight w:val="none"/>
        </w:rPr>
        <w:t>号的有关精神和要求，除非</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中另有规定，本项目实施政府采购信用担保，投标人按</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选定专业担保机构。</w:t>
      </w:r>
    </w:p>
    <w:bookmarkEnd w:id="124"/>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其他</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所有时间均为</w:t>
      </w:r>
      <w:r>
        <w:rPr>
          <w:rFonts w:cs="宋体" w:asciiTheme="minorEastAsia" w:hAnsiTheme="minorEastAsia" w:eastAsiaTheme="minorEastAsia"/>
          <w:color w:val="auto"/>
          <w:sz w:val="24"/>
          <w:szCs w:val="24"/>
          <w:highlight w:val="none"/>
          <w:lang w:eastAsia="zh-TW"/>
        </w:rPr>
        <w:t>24</w:t>
      </w:r>
      <w:r>
        <w:rPr>
          <w:rFonts w:hint="eastAsia" w:cs="宋体" w:asciiTheme="minorEastAsia" w:hAnsiTheme="minorEastAsia" w:eastAsiaTheme="minorEastAsia"/>
          <w:color w:val="auto"/>
          <w:sz w:val="24"/>
          <w:szCs w:val="24"/>
          <w:highlight w:val="none"/>
          <w:lang w:eastAsia="zh-TW"/>
        </w:rPr>
        <w:t>小时制北京时间，所有货币单位均为人民币元，所使用的计量单位均以《中华人民共和国法定计量单位》为准（特别注明除外）</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供应商（投标人）向我司咨询的有关项目事项，一切以法律法规的规定和本公司书面答复为准，其他一切形式均为个人意见，不代表本公司的意见。</w:t>
      </w:r>
    </w:p>
    <w:p>
      <w:pPr>
        <w:numPr>
          <w:ilvl w:val="0"/>
          <w:numId w:val="23"/>
        </w:numPr>
        <w:autoSpaceDE w:val="0"/>
        <w:autoSpaceDN w:val="0"/>
        <w:adjustRightInd w:val="0"/>
        <w:snapToGrid w:val="0"/>
        <w:spacing w:beforeLines="100"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25" w:name="_Toc435174934"/>
      <w:bookmarkStart w:id="126" w:name="_Toc435516651"/>
      <w:bookmarkStart w:id="127" w:name="_Toc438223137"/>
      <w:r>
        <w:rPr>
          <w:rFonts w:hint="eastAsia" w:cs="宋体" w:asciiTheme="minorEastAsia" w:hAnsiTheme="minorEastAsia" w:eastAsiaTheme="minorEastAsia"/>
          <w:b/>
          <w:bCs/>
          <w:color w:val="auto"/>
          <w:sz w:val="24"/>
          <w:szCs w:val="24"/>
          <w:highlight w:val="none"/>
          <w:lang w:eastAsia="zh-TW"/>
        </w:rPr>
        <w:t>招标文件</w:t>
      </w:r>
      <w:bookmarkEnd w:id="125"/>
      <w:bookmarkEnd w:id="126"/>
      <w:bookmarkEnd w:id="127"/>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招标文件的编制依据与构成</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本招标文件的编制依据是《中华人民共和国政府采购法》及其实施条例、《政府采购货物和服务招标投标管理办法》及其配套的法规、规章、政策等。</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招标文件以中文文字编写。招标文件共</w:t>
      </w:r>
      <w:r>
        <w:rPr>
          <w:rFonts w:hint="eastAsia" w:cs="宋体" w:asciiTheme="minorEastAsia" w:hAnsiTheme="minorEastAsia" w:eastAsiaTheme="minorEastAsia"/>
          <w:color w:val="auto"/>
          <w:sz w:val="24"/>
          <w:szCs w:val="24"/>
          <w:highlight w:val="none"/>
        </w:rPr>
        <w:t>七</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由下列文件以及在招标过程中发出的澄清、修改和补充文件组成，</w:t>
      </w:r>
      <w:r>
        <w:rPr>
          <w:rFonts w:hint="eastAsia" w:cs="宋体" w:asciiTheme="minorEastAsia" w:hAnsiTheme="minorEastAsia" w:eastAsiaTheme="minorEastAsia"/>
          <w:color w:val="auto"/>
          <w:sz w:val="24"/>
          <w:szCs w:val="24"/>
          <w:highlight w:val="none"/>
          <w:lang w:eastAsia="zh-TW"/>
        </w:rPr>
        <w:t>内容如下</w:t>
      </w:r>
      <w:r>
        <w:rPr>
          <w:rFonts w:hint="eastAsia" w:cs="宋体" w:asciiTheme="minorEastAsia" w:hAnsiTheme="minorEastAsia" w:eastAsiaTheme="minorEastAsia"/>
          <w:color w:val="auto"/>
          <w:sz w:val="24"/>
          <w:szCs w:val="24"/>
          <w:highlight w:val="none"/>
        </w:rPr>
        <w:t>：</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第一章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投标邀请</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第二章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投标资料表</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三</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开标、评标、定标</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四</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用户需求书</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五</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w:t>
      </w:r>
      <w:r>
        <w:rPr>
          <w:rFonts w:hint="eastAsia" w:cs="宋体" w:asciiTheme="minorEastAsia" w:hAnsiTheme="minorEastAsia" w:eastAsiaTheme="minorEastAsia"/>
          <w:color w:val="auto"/>
          <w:sz w:val="24"/>
          <w:szCs w:val="24"/>
          <w:highlight w:val="none"/>
          <w:lang w:eastAsia="zh-TW"/>
        </w:rPr>
        <w:t>合同</w:t>
      </w:r>
      <w:r>
        <w:rPr>
          <w:rFonts w:hint="eastAsia" w:cs="宋体" w:asciiTheme="minorEastAsia" w:hAnsiTheme="minorEastAsia" w:eastAsiaTheme="minorEastAsia"/>
          <w:color w:val="auto"/>
          <w:sz w:val="24"/>
          <w:szCs w:val="24"/>
          <w:highlight w:val="none"/>
        </w:rPr>
        <w:t>文本</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第</w:t>
      </w:r>
      <w:r>
        <w:rPr>
          <w:rFonts w:hint="eastAsia" w:cs="宋体" w:asciiTheme="minorEastAsia" w:hAnsiTheme="minorEastAsia" w:eastAsiaTheme="minorEastAsia"/>
          <w:color w:val="auto"/>
          <w:sz w:val="24"/>
          <w:szCs w:val="24"/>
          <w:highlight w:val="none"/>
        </w:rPr>
        <w:t>六</w:t>
      </w:r>
      <w:r>
        <w:rPr>
          <w:rFonts w:hint="eastAsia" w:cs="宋体" w:asciiTheme="minorEastAsia" w:hAnsiTheme="minorEastAsia" w:eastAsiaTheme="minorEastAsia"/>
          <w:color w:val="auto"/>
          <w:sz w:val="24"/>
          <w:szCs w:val="24"/>
          <w:highlight w:val="none"/>
          <w:lang w:eastAsia="zh-TW"/>
        </w:rPr>
        <w:t>章</w:t>
      </w:r>
      <w:r>
        <w:rPr>
          <w:rFonts w:hint="eastAsia" w:cs="宋体" w:asciiTheme="minorEastAsia" w:hAnsiTheme="minorEastAsia" w:eastAsiaTheme="minorEastAsia"/>
          <w:color w:val="auto"/>
          <w:sz w:val="24"/>
          <w:szCs w:val="24"/>
          <w:highlight w:val="none"/>
        </w:rPr>
        <w:t>　投标文件格式</w:t>
      </w:r>
    </w:p>
    <w:p>
      <w:pPr>
        <w:snapToGrid w:val="0"/>
        <w:spacing w:line="360" w:lineRule="auto"/>
        <w:ind w:left="445" w:leftChars="212" w:firstLine="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第七章　</w:t>
      </w:r>
      <w:r>
        <w:rPr>
          <w:rFonts w:hint="eastAsia" w:cs="宋体" w:asciiTheme="minorEastAsia" w:hAnsiTheme="minorEastAsia" w:eastAsiaTheme="minorEastAsia"/>
          <w:color w:val="auto"/>
          <w:sz w:val="24"/>
          <w:szCs w:val="24"/>
          <w:highlight w:val="none"/>
          <w:lang w:eastAsia="zh-TW"/>
        </w:rPr>
        <w:t>投标人须知</w:t>
      </w:r>
    </w:p>
    <w:p>
      <w:pPr>
        <w:numPr>
          <w:ilvl w:val="1"/>
          <w:numId w:val="24"/>
        </w:numPr>
        <w:autoSpaceDE w:val="0"/>
        <w:autoSpaceDN w:val="0"/>
        <w:adjustRightInd w:val="0"/>
        <w:snapToGrid w:val="0"/>
        <w:spacing w:line="360" w:lineRule="auto"/>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本</w:t>
      </w:r>
      <w:r>
        <w:rPr>
          <w:rFonts w:hint="eastAsia" w:cs="宋体" w:asciiTheme="minorEastAsia" w:hAnsiTheme="minorEastAsia" w:eastAsiaTheme="minorEastAsia"/>
          <w:color w:val="auto"/>
          <w:sz w:val="24"/>
          <w:szCs w:val="24"/>
          <w:highlight w:val="none"/>
          <w:lang w:eastAsia="zh-TW"/>
        </w:rPr>
        <w:t>招标文件的解释权归“</w:t>
      </w:r>
      <w:r>
        <w:rPr>
          <w:rFonts w:hint="eastAsia" w:cs="宋体" w:asciiTheme="minorEastAsia" w:hAnsiTheme="minorEastAsia" w:eastAsiaTheme="minorEastAsia"/>
          <w:color w:val="auto"/>
          <w:sz w:val="24"/>
          <w:szCs w:val="24"/>
          <w:highlight w:val="none"/>
        </w:rPr>
        <w:t>广东远东招标代理有限公司</w:t>
      </w:r>
      <w:r>
        <w:rPr>
          <w:rFonts w:hint="eastAsia" w:cs="宋体" w:asciiTheme="minorEastAsia" w:hAnsiTheme="minorEastAsia" w:eastAsiaTheme="minorEastAsia"/>
          <w:color w:val="auto"/>
          <w:sz w:val="24"/>
          <w:szCs w:val="24"/>
          <w:highlight w:val="none"/>
          <w:lang w:eastAsia="zh-TW"/>
        </w:rPr>
        <w:t>”所有。</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招标文件的澄清或修改</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采购人或者采购代理机构可以对已发出的招标文件进行必要的澄清或者修改。澄清或者修改应当在原公告发布媒体上发布澄清</w:t>
      </w:r>
      <w:r>
        <w:rPr>
          <w:rFonts w:hint="eastAsia" w:cs="宋体" w:asciiTheme="minorEastAsia" w:hAnsiTheme="minorEastAsia" w:eastAsiaTheme="minorEastAsia"/>
          <w:color w:val="auto"/>
          <w:sz w:val="24"/>
          <w:szCs w:val="24"/>
          <w:highlight w:val="none"/>
        </w:rPr>
        <w:t>（更正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w:t>
      </w:r>
      <w:r>
        <w:rPr>
          <w:rFonts w:hint="eastAsia" w:cs="宋体" w:asciiTheme="minorEastAsia" w:hAnsiTheme="minorEastAsia" w:eastAsiaTheme="minorEastAsia"/>
          <w:color w:val="auto"/>
          <w:sz w:val="24"/>
          <w:szCs w:val="24"/>
          <w:highlight w:val="none"/>
          <w:lang w:eastAsia="zh-TW"/>
        </w:rPr>
        <w:t>公告。</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澄清或者修改的内容可能影响投标文件编制的，采购人或者采购代理机构应当在投标截止时间至少</w:t>
      </w:r>
      <w:r>
        <w:rPr>
          <w:rFonts w:cs="宋体" w:asciiTheme="minorEastAsia" w:hAnsiTheme="minorEastAsia" w:eastAsiaTheme="minorEastAsia"/>
          <w:color w:val="auto"/>
          <w:sz w:val="24"/>
          <w:szCs w:val="24"/>
          <w:highlight w:val="none"/>
          <w:lang w:eastAsia="zh-TW"/>
        </w:rPr>
        <w:t>15</w:t>
      </w:r>
      <w:r>
        <w:rPr>
          <w:rFonts w:hint="eastAsia" w:cs="宋体" w:asciiTheme="minorEastAsia" w:hAnsiTheme="minorEastAsia" w:eastAsiaTheme="minorEastAsia"/>
          <w:color w:val="auto"/>
          <w:sz w:val="24"/>
          <w:szCs w:val="24"/>
          <w:highlight w:val="none"/>
          <w:lang w:eastAsia="zh-TW"/>
        </w:rPr>
        <w:t>日前，以书面形式通知所有获取招标文件的潜在投标人；不足</w:t>
      </w:r>
      <w:r>
        <w:rPr>
          <w:rFonts w:cs="宋体" w:asciiTheme="minorEastAsia" w:hAnsiTheme="minorEastAsia" w:eastAsiaTheme="minorEastAsia"/>
          <w:color w:val="auto"/>
          <w:sz w:val="24"/>
          <w:szCs w:val="24"/>
          <w:highlight w:val="none"/>
          <w:lang w:eastAsia="zh-TW"/>
        </w:rPr>
        <w:t>15</w:t>
      </w:r>
      <w:r>
        <w:rPr>
          <w:rFonts w:hint="eastAsia" w:cs="宋体" w:asciiTheme="minorEastAsia" w:hAnsiTheme="minorEastAsia" w:eastAsiaTheme="minorEastAsia"/>
          <w:color w:val="auto"/>
          <w:sz w:val="24"/>
          <w:szCs w:val="24"/>
          <w:highlight w:val="none"/>
          <w:lang w:eastAsia="zh-TW"/>
        </w:rPr>
        <w:t>日的，采购人或者采购代理机构应当顺延提交投标文件的截止时间。</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将</w:t>
      </w:r>
      <w:r>
        <w:rPr>
          <w:rFonts w:hint="eastAsia" w:cs="宋体" w:asciiTheme="minorEastAsia" w:hAnsiTheme="minorEastAsia" w:eastAsiaTheme="minorEastAsia"/>
          <w:color w:val="auto"/>
          <w:sz w:val="24"/>
          <w:szCs w:val="24"/>
          <w:highlight w:val="none"/>
          <w:lang w:eastAsia="zh-TW"/>
        </w:rPr>
        <w:t>澄清</w:t>
      </w:r>
      <w:r>
        <w:rPr>
          <w:rFonts w:hint="eastAsia" w:cs="宋体" w:asciiTheme="minorEastAsia" w:hAnsiTheme="minorEastAsia" w:eastAsiaTheme="minorEastAsia"/>
          <w:color w:val="auto"/>
          <w:sz w:val="24"/>
          <w:szCs w:val="24"/>
          <w:highlight w:val="none"/>
        </w:rPr>
        <w:t>（更正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w:t>
      </w:r>
      <w:r>
        <w:rPr>
          <w:rFonts w:hint="eastAsia" w:cs="宋体" w:asciiTheme="minorEastAsia" w:hAnsiTheme="minorEastAsia" w:eastAsiaTheme="minorEastAsia"/>
          <w:color w:val="auto"/>
          <w:sz w:val="24"/>
          <w:szCs w:val="24"/>
          <w:highlight w:val="none"/>
          <w:lang w:eastAsia="zh-TW"/>
        </w:rPr>
        <w:t>公告</w:t>
      </w:r>
      <w:r>
        <w:rPr>
          <w:rFonts w:hint="eastAsia" w:cs="宋体" w:asciiTheme="minorEastAsia" w:hAnsiTheme="minorEastAsia" w:eastAsiaTheme="minorEastAsia"/>
          <w:color w:val="auto"/>
          <w:sz w:val="24"/>
          <w:szCs w:val="24"/>
          <w:highlight w:val="none"/>
        </w:rPr>
        <w:t>通知已成功获取招标文件的供应商，其供应商在收到澄清或修改（更正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变更）通知后应按要求以书面形式（传真或电子邮件）予以确认。</w:t>
      </w:r>
      <w:r>
        <w:rPr>
          <w:rFonts w:hint="eastAsia" w:cs="宋体" w:asciiTheme="minorEastAsia" w:hAnsiTheme="minorEastAsia" w:eastAsiaTheme="minorEastAsia"/>
          <w:color w:val="auto"/>
          <w:sz w:val="24"/>
          <w:szCs w:val="24"/>
          <w:highlight w:val="none"/>
          <w:lang w:eastAsia="zh-TW"/>
        </w:rPr>
        <w:t>如在</w:t>
      </w:r>
      <w:r>
        <w:rPr>
          <w:rFonts w:cs="宋体" w:asciiTheme="minorEastAsia" w:hAnsiTheme="minorEastAsia" w:eastAsiaTheme="minorEastAsia"/>
          <w:color w:val="auto"/>
          <w:sz w:val="24"/>
          <w:szCs w:val="24"/>
          <w:highlight w:val="none"/>
          <w:lang w:eastAsia="zh-TW"/>
        </w:rPr>
        <w:t>24</w:t>
      </w:r>
      <w:r>
        <w:rPr>
          <w:rFonts w:hint="eastAsia" w:cs="宋体" w:asciiTheme="minorEastAsia" w:hAnsiTheme="minorEastAsia" w:eastAsiaTheme="minorEastAsia"/>
          <w:color w:val="auto"/>
          <w:sz w:val="24"/>
          <w:szCs w:val="24"/>
          <w:highlight w:val="none"/>
          <w:lang w:eastAsia="zh-TW"/>
        </w:rPr>
        <w:t>小时之内无书面</w:t>
      </w:r>
      <w:r>
        <w:rPr>
          <w:rFonts w:hint="eastAsia" w:cs="宋体" w:asciiTheme="minorEastAsia" w:hAnsiTheme="minorEastAsia" w:eastAsiaTheme="minorEastAsia"/>
          <w:color w:val="auto"/>
          <w:sz w:val="24"/>
          <w:szCs w:val="24"/>
          <w:highlight w:val="none"/>
        </w:rPr>
        <w:t>确认</w:t>
      </w:r>
      <w:r>
        <w:rPr>
          <w:rFonts w:hint="eastAsia" w:cs="宋体" w:asciiTheme="minorEastAsia" w:hAnsiTheme="minorEastAsia" w:eastAsiaTheme="minorEastAsia"/>
          <w:color w:val="auto"/>
          <w:sz w:val="24"/>
          <w:szCs w:val="24"/>
          <w:highlight w:val="none"/>
          <w:lang w:eastAsia="zh-TW"/>
        </w:rPr>
        <w:t>则视为同意修改内容，并有责任履行相应的义务。</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发出的澄清或修改（更正</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变更）的内容为招标文件的组成部分，</w:t>
      </w:r>
      <w:r>
        <w:rPr>
          <w:rFonts w:hint="eastAsia" w:cs="宋体" w:asciiTheme="minorEastAsia" w:hAnsiTheme="minorEastAsia" w:eastAsiaTheme="minorEastAsia"/>
          <w:color w:val="auto"/>
          <w:sz w:val="24"/>
          <w:szCs w:val="24"/>
          <w:highlight w:val="none"/>
          <w:lang w:eastAsia="zh-TW"/>
        </w:rPr>
        <w:t>并对供应商具有约束力</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对招标文件中描述有歧意或前后不一致的地方，评标委员会有权进行评判</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但对同一条款的评判应适用于每个投标人。</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现场考察或者召开开标前答疑会</w:t>
      </w:r>
    </w:p>
    <w:p>
      <w:pPr>
        <w:numPr>
          <w:ilvl w:val="1"/>
          <w:numId w:val="24"/>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除非</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中另有规定，不举行项目现场考察或者召开开标前答疑会，如举行现场考察或者召开开标前答疑会的，则按以下规定：</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在投标资料表</w:t>
      </w:r>
      <w:r>
        <w:rPr>
          <w:rFonts w:hint="eastAsia" w:cs="宋体" w:asciiTheme="minorEastAsia" w:hAnsiTheme="minorEastAsia" w:eastAsiaTheme="minorEastAsia"/>
          <w:color w:val="auto"/>
          <w:sz w:val="24"/>
          <w:szCs w:val="24"/>
          <w:highlight w:val="none"/>
        </w:rPr>
        <w:t>中规定的日期、时间和地点组织现场考察或者召开开标前答疑会；</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供应商</w:t>
      </w:r>
      <w:r>
        <w:rPr>
          <w:rFonts w:hint="eastAsia" w:cs="宋体" w:asciiTheme="minorEastAsia" w:hAnsiTheme="minorEastAsia" w:eastAsiaTheme="minorEastAsia"/>
          <w:color w:val="auto"/>
          <w:sz w:val="24"/>
          <w:szCs w:val="24"/>
          <w:highlight w:val="none"/>
          <w:lang w:eastAsia="zh-TW"/>
        </w:rPr>
        <w:t>对本项目提出的疑问，需在</w:t>
      </w:r>
      <w:r>
        <w:rPr>
          <w:rFonts w:hint="eastAsia" w:cs="宋体" w:asciiTheme="minorEastAsia" w:hAnsiTheme="minorEastAsia" w:eastAsiaTheme="minorEastAsia"/>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lang w:eastAsia="zh-TW"/>
        </w:rPr>
        <w:t>召开日前至少一个工作日将问题清单以书面形式（加盖公章）提交至采购代理机构，</w:t>
      </w:r>
      <w:r>
        <w:rPr>
          <w:rFonts w:hint="eastAsia" w:cs="宋体" w:asciiTheme="minorEastAsia" w:hAnsiTheme="minorEastAsia" w:eastAsiaTheme="minorEastAsia"/>
          <w:color w:val="auto"/>
          <w:sz w:val="24"/>
          <w:szCs w:val="24"/>
          <w:highlight w:val="none"/>
        </w:rPr>
        <w:t>供应商</w:t>
      </w:r>
      <w:r>
        <w:rPr>
          <w:rFonts w:hint="eastAsia" w:cs="宋体" w:asciiTheme="minorEastAsia" w:hAnsiTheme="minorEastAsia" w:eastAsiaTheme="minorEastAsia"/>
          <w:color w:val="auto"/>
          <w:sz w:val="24"/>
          <w:szCs w:val="24"/>
          <w:highlight w:val="none"/>
          <w:lang w:eastAsia="zh-TW"/>
        </w:rPr>
        <w:t>代表于上述的时间和地点出席</w:t>
      </w:r>
      <w:r>
        <w:rPr>
          <w:rFonts w:hint="eastAsia" w:cs="宋体" w:asciiTheme="minorEastAsia" w:hAnsiTheme="minorEastAsia" w:eastAsiaTheme="minorEastAsia"/>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lang w:eastAsia="zh-TW"/>
        </w:rPr>
        <w:t>。</w:t>
      </w:r>
    </w:p>
    <w:p>
      <w:pPr>
        <w:numPr>
          <w:ilvl w:val="1"/>
          <w:numId w:val="24"/>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已成功</w:t>
      </w:r>
      <w:r>
        <w:rPr>
          <w:rFonts w:hint="eastAsia" w:cs="宋体" w:asciiTheme="minorEastAsia" w:hAnsiTheme="minorEastAsia" w:eastAsiaTheme="minorEastAsia"/>
          <w:color w:val="auto"/>
          <w:sz w:val="24"/>
          <w:szCs w:val="24"/>
          <w:highlight w:val="none"/>
        </w:rPr>
        <w:t>获取</w:t>
      </w:r>
      <w:r>
        <w:rPr>
          <w:rFonts w:hint="eastAsia" w:cs="宋体" w:asciiTheme="minorEastAsia" w:hAnsiTheme="minorEastAsia" w:eastAsiaTheme="minorEastAsia"/>
          <w:color w:val="auto"/>
          <w:sz w:val="24"/>
          <w:szCs w:val="24"/>
          <w:highlight w:val="none"/>
          <w:lang w:eastAsia="zh-TW"/>
        </w:rPr>
        <w:t>招标文件的供应商如不出席</w:t>
      </w:r>
      <w:r>
        <w:rPr>
          <w:rFonts w:hint="eastAsia" w:cs="宋体" w:asciiTheme="minorEastAsia" w:hAnsiTheme="minorEastAsia" w:eastAsiaTheme="minorEastAsia"/>
          <w:color w:val="auto"/>
          <w:sz w:val="24"/>
          <w:szCs w:val="24"/>
          <w:highlight w:val="none"/>
        </w:rPr>
        <w:t>现场考察或者召开开标前答疑会</w:t>
      </w:r>
      <w:r>
        <w:rPr>
          <w:rFonts w:hint="eastAsia" w:cs="宋体" w:asciiTheme="minorEastAsia" w:hAnsiTheme="minorEastAsia" w:eastAsiaTheme="minorEastAsia"/>
          <w:color w:val="auto"/>
          <w:sz w:val="24"/>
          <w:szCs w:val="24"/>
          <w:highlight w:val="none"/>
          <w:lang w:eastAsia="zh-TW"/>
        </w:rPr>
        <w:t>视为对招标文件所有内容无任何异议。</w:t>
      </w:r>
    </w:p>
    <w:p>
      <w:pPr>
        <w:numPr>
          <w:ilvl w:val="0"/>
          <w:numId w:val="23"/>
        </w:numPr>
        <w:autoSpaceDE w:val="0"/>
        <w:autoSpaceDN w:val="0"/>
        <w:adjustRightInd w:val="0"/>
        <w:snapToGrid w:val="0"/>
        <w:spacing w:beforeLines="100"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28" w:name="_Toc435174935"/>
      <w:bookmarkStart w:id="129" w:name="_Toc438223138"/>
      <w:bookmarkStart w:id="130" w:name="_Toc435516652"/>
      <w:r>
        <w:rPr>
          <w:rFonts w:hint="eastAsia" w:cs="宋体" w:asciiTheme="minorEastAsia" w:hAnsiTheme="minorEastAsia" w:eastAsiaTheme="minorEastAsia"/>
          <w:b/>
          <w:bCs/>
          <w:color w:val="auto"/>
          <w:sz w:val="24"/>
          <w:szCs w:val="24"/>
          <w:highlight w:val="none"/>
          <w:lang w:eastAsia="zh-TW"/>
        </w:rPr>
        <w:t>投标文件的编制</w:t>
      </w:r>
      <w:bookmarkEnd w:id="128"/>
      <w:bookmarkEnd w:id="129"/>
      <w:bookmarkEnd w:id="130"/>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投标的语言</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投标人提交的投标文件以及投标人与采购人或者采购代理机构就有关投标的所有来往函电均应使用中文书写</w:t>
      </w:r>
      <w:r>
        <w:rPr>
          <w:rFonts w:hint="eastAsia" w:cs="宋体" w:asciiTheme="minorEastAsia" w:hAnsiTheme="minorEastAsia" w:eastAsiaTheme="minorEastAsia"/>
          <w:color w:val="auto"/>
          <w:sz w:val="24"/>
          <w:szCs w:val="24"/>
          <w:highlight w:val="none"/>
        </w:rPr>
        <w:t>。投</w:t>
      </w:r>
      <w:r>
        <w:rPr>
          <w:rFonts w:hint="eastAsia" w:cs="宋体" w:asciiTheme="minorEastAsia" w:hAnsiTheme="minorEastAsia" w:eastAsiaTheme="minorEastAsia"/>
          <w:color w:val="auto"/>
          <w:sz w:val="24"/>
          <w:szCs w:val="24"/>
          <w:highlight w:val="none"/>
          <w:lang w:eastAsia="zh-TW"/>
        </w:rPr>
        <w:t>标人提交的支持文件或印刷的资料可以用另一种语言</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但相应内容应附有中文翻译本</w:t>
      </w:r>
      <w:r>
        <w:rPr>
          <w:rFonts w:hint="eastAsia" w:cs="宋体" w:asciiTheme="minorEastAsia" w:hAnsiTheme="minorEastAsia" w:eastAsiaTheme="minorEastAsia"/>
          <w:color w:val="auto"/>
          <w:sz w:val="24"/>
          <w:szCs w:val="24"/>
          <w:highlight w:val="none"/>
        </w:rPr>
        <w:t>，两种语言不一致时以中文翻译本为准。</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投标文件的构成</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投标人编写的投标文件应包括</w:t>
      </w:r>
      <w:r>
        <w:rPr>
          <w:rFonts w:hint="eastAsia" w:cs="宋体" w:asciiTheme="minorEastAsia" w:hAnsiTheme="minorEastAsia" w:eastAsiaTheme="minorEastAsia"/>
          <w:color w:val="auto"/>
          <w:sz w:val="24"/>
          <w:szCs w:val="24"/>
          <w:highlight w:val="none"/>
        </w:rPr>
        <w:t>资格性文件、符合性文件、技术文件、商务文件等</w:t>
      </w:r>
      <w:r>
        <w:rPr>
          <w:rFonts w:hint="eastAsia" w:cs="宋体" w:asciiTheme="minorEastAsia" w:hAnsiTheme="minorEastAsia" w:eastAsiaTheme="minorEastAsia"/>
          <w:color w:val="auto"/>
          <w:sz w:val="24"/>
          <w:szCs w:val="24"/>
          <w:highlight w:val="none"/>
          <w:lang w:eastAsia="zh-TW"/>
        </w:rPr>
        <w:t>，编排顺序参见投标文件格式</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投标文件的构成应符合法律法规及招标文件的要求。</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投标文件的编写</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投标人对招标文件中多个包组进行投标的</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其投标文件的编制</w:t>
      </w:r>
      <w:r>
        <w:rPr>
          <w:rFonts w:hint="eastAsia" w:cs="宋体" w:asciiTheme="minorEastAsia" w:hAnsiTheme="minorEastAsia" w:eastAsiaTheme="minorEastAsia"/>
          <w:color w:val="auto"/>
          <w:sz w:val="24"/>
          <w:szCs w:val="24"/>
          <w:highlight w:val="none"/>
        </w:rPr>
        <w:t>可按</w:t>
      </w:r>
      <w:r>
        <w:rPr>
          <w:rFonts w:hint="eastAsia" w:cs="宋体" w:asciiTheme="minorEastAsia" w:hAnsiTheme="minorEastAsia" w:eastAsiaTheme="minorEastAsia"/>
          <w:color w:val="auto"/>
          <w:sz w:val="24"/>
          <w:szCs w:val="24"/>
          <w:highlight w:val="none"/>
          <w:lang w:eastAsia="zh-TW"/>
        </w:rPr>
        <w:t>每个包组的要求分别装订和</w:t>
      </w:r>
      <w:r>
        <w:rPr>
          <w:rFonts w:hint="eastAsia" w:cs="宋体" w:asciiTheme="minorEastAsia" w:hAnsiTheme="minorEastAsia" w:eastAsiaTheme="minorEastAsia"/>
          <w:color w:val="auto"/>
          <w:sz w:val="24"/>
          <w:szCs w:val="24"/>
          <w:highlight w:val="none"/>
        </w:rPr>
        <w:t>密封</w:t>
      </w:r>
      <w:r>
        <w:rPr>
          <w:rFonts w:hint="eastAsia" w:cs="宋体" w:asciiTheme="minorEastAsia" w:hAnsiTheme="minorEastAsia" w:eastAsiaTheme="minorEastAsia"/>
          <w:color w:val="auto"/>
          <w:sz w:val="24"/>
          <w:szCs w:val="24"/>
          <w:highlight w:val="none"/>
          <w:lang w:eastAsia="zh-TW"/>
        </w:rPr>
        <w:t>。投标人应当对投标文件进行装订，对未经装订的投标文件可能发生的文件散落或缺损，由此造成的后果</w:t>
      </w:r>
      <w:r>
        <w:rPr>
          <w:rFonts w:hint="eastAsia" w:cs="宋体" w:asciiTheme="minorEastAsia" w:hAnsiTheme="minorEastAsia" w:eastAsiaTheme="minorEastAsia"/>
          <w:color w:val="auto"/>
          <w:sz w:val="24"/>
          <w:szCs w:val="24"/>
          <w:highlight w:val="none"/>
        </w:rPr>
        <w:t>和</w:t>
      </w:r>
      <w:r>
        <w:rPr>
          <w:rFonts w:hint="eastAsia" w:cs="宋体" w:asciiTheme="minorEastAsia" w:hAnsiTheme="minorEastAsia" w:eastAsiaTheme="minorEastAsia"/>
          <w:color w:val="auto"/>
          <w:sz w:val="24"/>
          <w:szCs w:val="24"/>
          <w:highlight w:val="none"/>
          <w:lang w:eastAsia="zh-TW"/>
        </w:rPr>
        <w:t>责任由投标人承担</w:t>
      </w:r>
      <w:r>
        <w:rPr>
          <w:rFonts w:hint="eastAsia" w:cs="宋体" w:asciiTheme="minorEastAsia" w:hAnsiTheme="minorEastAsia" w:eastAsiaTheme="minorEastAsia"/>
          <w:color w:val="auto"/>
          <w:sz w:val="24"/>
          <w:szCs w:val="24"/>
          <w:highlight w:val="none"/>
        </w:rPr>
        <w:t>。</w:t>
      </w:r>
    </w:p>
    <w:p>
      <w:pPr>
        <w:numPr>
          <w:ilvl w:val="1"/>
          <w:numId w:val="24"/>
        </w:numPr>
        <w:tabs>
          <w:tab w:val="left" w:pos="709"/>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投标人必须对投标文件所提供的全部资料的真实性承担法律责任，并无条件接受采购人或者采购代理机构或者</w:t>
      </w:r>
      <w:r>
        <w:rPr>
          <w:rFonts w:hint="eastAsia" w:cs="宋体" w:asciiTheme="minorEastAsia" w:hAnsiTheme="minorEastAsia" w:eastAsiaTheme="minorEastAsia"/>
          <w:color w:val="auto"/>
          <w:sz w:val="24"/>
          <w:szCs w:val="24"/>
          <w:highlight w:val="none"/>
        </w:rPr>
        <w:t>政府采购监督管理部门</w:t>
      </w:r>
      <w:r>
        <w:rPr>
          <w:rFonts w:hint="eastAsia" w:cs="宋体" w:asciiTheme="minorEastAsia" w:hAnsiTheme="minorEastAsia" w:eastAsiaTheme="minorEastAsia"/>
          <w:color w:val="auto"/>
          <w:sz w:val="24"/>
          <w:szCs w:val="24"/>
          <w:highlight w:val="none"/>
          <w:lang w:eastAsia="zh-TW"/>
        </w:rPr>
        <w:t>对其中任何资料进行核实的要求。</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如果因为投标人</w:t>
      </w:r>
      <w:r>
        <w:rPr>
          <w:rFonts w:hint="eastAsia" w:cs="宋体" w:asciiTheme="minorEastAsia" w:hAnsiTheme="minorEastAsia" w:eastAsiaTheme="minorEastAsia"/>
          <w:color w:val="auto"/>
          <w:sz w:val="24"/>
          <w:szCs w:val="24"/>
          <w:highlight w:val="none"/>
        </w:rPr>
        <w:t>的</w:t>
      </w:r>
      <w:r>
        <w:rPr>
          <w:rFonts w:hint="eastAsia" w:cs="宋体" w:asciiTheme="minorEastAsia" w:hAnsiTheme="minorEastAsia" w:eastAsiaTheme="minorEastAsia"/>
          <w:color w:val="auto"/>
          <w:sz w:val="24"/>
          <w:szCs w:val="24"/>
          <w:highlight w:val="none"/>
          <w:lang w:eastAsia="zh-TW"/>
        </w:rPr>
        <w:t>投标文件只填写和提供了本</w:t>
      </w:r>
      <w:r>
        <w:rPr>
          <w:rFonts w:hint="eastAsia" w:cs="宋体" w:asciiTheme="minorEastAsia" w:hAnsiTheme="minorEastAsia" w:eastAsiaTheme="minorEastAsia"/>
          <w:color w:val="auto"/>
          <w:sz w:val="24"/>
          <w:szCs w:val="24"/>
          <w:highlight w:val="none"/>
        </w:rPr>
        <w:t>招标</w:t>
      </w:r>
      <w:r>
        <w:rPr>
          <w:rFonts w:hint="eastAsia" w:cs="宋体" w:asciiTheme="minorEastAsia" w:hAnsiTheme="minorEastAsia" w:eastAsiaTheme="minorEastAsia"/>
          <w:color w:val="auto"/>
          <w:sz w:val="24"/>
          <w:szCs w:val="24"/>
          <w:highlight w:val="none"/>
          <w:lang w:eastAsia="zh-TW"/>
        </w:rPr>
        <w:t>文件要求的部分内容和附件，或没有提供招标文件中所要求的资料及数据，由此造成的后果</w:t>
      </w:r>
      <w:r>
        <w:rPr>
          <w:rFonts w:hint="eastAsia" w:cs="宋体" w:asciiTheme="minorEastAsia" w:hAnsiTheme="minorEastAsia" w:eastAsiaTheme="minorEastAsia"/>
          <w:color w:val="auto"/>
          <w:sz w:val="24"/>
          <w:szCs w:val="24"/>
          <w:highlight w:val="none"/>
        </w:rPr>
        <w:t>和</w:t>
      </w:r>
      <w:r>
        <w:rPr>
          <w:rFonts w:hint="eastAsia" w:cs="宋体" w:asciiTheme="minorEastAsia" w:hAnsiTheme="minorEastAsia" w:eastAsiaTheme="minorEastAsia"/>
          <w:color w:val="auto"/>
          <w:sz w:val="24"/>
          <w:szCs w:val="24"/>
          <w:highlight w:val="none"/>
          <w:lang w:eastAsia="zh-TW"/>
        </w:rPr>
        <w:t>责任由投标人承担</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投标人应认真阅读、并充分理解招标文件的全部内容（包括所有的补充、修改内容重要事项、格式、条款和技术规范、参数及要求等）。投标人没有按照招标文件要求提交资料，或者投标</w:t>
      </w:r>
      <w:r>
        <w:rPr>
          <w:rFonts w:hint="eastAsia" w:cs="宋体" w:asciiTheme="minorEastAsia" w:hAnsiTheme="minorEastAsia" w:eastAsiaTheme="minorEastAsia"/>
          <w:color w:val="auto"/>
          <w:sz w:val="24"/>
          <w:szCs w:val="24"/>
          <w:highlight w:val="none"/>
        </w:rPr>
        <w:t>文件</w:t>
      </w:r>
      <w:r>
        <w:rPr>
          <w:rFonts w:hint="eastAsia" w:cs="宋体" w:asciiTheme="minorEastAsia" w:hAnsiTheme="minorEastAsia" w:eastAsiaTheme="minorEastAsia"/>
          <w:color w:val="auto"/>
          <w:sz w:val="24"/>
          <w:szCs w:val="24"/>
          <w:highlight w:val="none"/>
          <w:lang w:eastAsia="zh-TW"/>
        </w:rPr>
        <w:t>没有对招标文件在各方面都</w:t>
      </w:r>
      <w:r>
        <w:rPr>
          <w:rFonts w:hint="eastAsia" w:cs="宋体" w:asciiTheme="minorEastAsia" w:hAnsiTheme="minorEastAsia" w:eastAsiaTheme="minorEastAsia"/>
          <w:color w:val="auto"/>
          <w:sz w:val="24"/>
          <w:szCs w:val="24"/>
          <w:highlight w:val="none"/>
        </w:rPr>
        <w:t>作</w:t>
      </w:r>
      <w:r>
        <w:rPr>
          <w:rFonts w:hint="eastAsia" w:cs="宋体" w:asciiTheme="minorEastAsia" w:hAnsiTheme="minorEastAsia" w:eastAsiaTheme="minorEastAsia"/>
          <w:color w:val="auto"/>
          <w:sz w:val="24"/>
          <w:szCs w:val="24"/>
          <w:highlight w:val="none"/>
          <w:lang w:eastAsia="zh-TW"/>
        </w:rPr>
        <w:t>出实质性响应是投标人的风险，有可能导致其投标被认定为无效投标或被确定为投标无效。</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投标报价</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投标人应按照“用户需求书”</w:t>
      </w:r>
      <w:r>
        <w:rPr>
          <w:rFonts w:hint="eastAsia" w:cs="宋体" w:asciiTheme="minorEastAsia" w:hAnsiTheme="minorEastAsia" w:eastAsiaTheme="minorEastAsia"/>
          <w:color w:val="auto"/>
          <w:sz w:val="24"/>
          <w:szCs w:val="24"/>
          <w:highlight w:val="none"/>
        </w:rPr>
        <w:t>中</w:t>
      </w:r>
      <w:r>
        <w:rPr>
          <w:rFonts w:hint="eastAsia" w:cs="宋体" w:asciiTheme="minorEastAsia" w:hAnsiTheme="minorEastAsia" w:eastAsiaTheme="minorEastAsia"/>
          <w:color w:val="auto"/>
          <w:sz w:val="24"/>
          <w:szCs w:val="24"/>
          <w:highlight w:val="none"/>
          <w:lang w:eastAsia="zh-TW"/>
        </w:rPr>
        <w:t>采购项目技术规格、参数及要求规定的内容、责任范围进行报价。并按《</w:t>
      </w:r>
      <w:r>
        <w:rPr>
          <w:rFonts w:hint="eastAsia" w:cs="宋体" w:asciiTheme="minorEastAsia" w:hAnsiTheme="minorEastAsia" w:eastAsiaTheme="minorEastAsia"/>
          <w:color w:val="auto"/>
          <w:sz w:val="24"/>
          <w:szCs w:val="24"/>
          <w:highlight w:val="none"/>
        </w:rPr>
        <w:t>开标一览表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报价表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w:t>
      </w:r>
      <w:r>
        <w:rPr>
          <w:rFonts w:hint="eastAsia" w:cs="宋体" w:asciiTheme="minorEastAsia" w:hAnsiTheme="minorEastAsia" w:eastAsiaTheme="minorEastAsia"/>
          <w:color w:val="auto"/>
          <w:sz w:val="24"/>
          <w:szCs w:val="24"/>
          <w:highlight w:val="none"/>
        </w:rPr>
        <w:t>及</w:t>
      </w:r>
      <w:r>
        <w:rPr>
          <w:rFonts w:hint="eastAsia" w:cs="宋体" w:asciiTheme="minorEastAsia" w:hAnsiTheme="minorEastAsia" w:eastAsiaTheme="minorEastAsia"/>
          <w:color w:val="auto"/>
          <w:sz w:val="24"/>
          <w:szCs w:val="24"/>
          <w:highlight w:val="none"/>
          <w:lang w:eastAsia="zh-TW"/>
        </w:rPr>
        <w:t>《投标分项报价表》（如适用）的</w:t>
      </w:r>
      <w:r>
        <w:rPr>
          <w:rFonts w:hint="eastAsia" w:cs="宋体" w:asciiTheme="minorEastAsia" w:hAnsiTheme="minorEastAsia" w:eastAsiaTheme="minorEastAsia"/>
          <w:color w:val="auto"/>
          <w:sz w:val="24"/>
          <w:szCs w:val="24"/>
          <w:highlight w:val="none"/>
        </w:rPr>
        <w:t>要求</w:t>
      </w:r>
      <w:r>
        <w:rPr>
          <w:rFonts w:hint="eastAsia" w:cs="宋体" w:asciiTheme="minorEastAsia" w:hAnsiTheme="minorEastAsia" w:eastAsiaTheme="minorEastAsia"/>
          <w:color w:val="auto"/>
          <w:sz w:val="24"/>
          <w:szCs w:val="24"/>
          <w:highlight w:val="none"/>
          <w:lang w:eastAsia="zh-TW"/>
        </w:rPr>
        <w:t>报出总价和分项价格。投标总价中不得包含招标文件要求以外的内容，否则，在评标时不予核减。若投标报价有缺漏项的，缺漏项部分的价格视为已包含在投标报价中，中标后不作任何调整。</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投标分项报价</w:t>
      </w:r>
      <w:r>
        <w:rPr>
          <w:rFonts w:hint="eastAsia" w:cs="宋体" w:asciiTheme="minorEastAsia" w:hAnsiTheme="minorEastAsia" w:eastAsiaTheme="minorEastAsia"/>
          <w:color w:val="auto"/>
          <w:sz w:val="24"/>
          <w:szCs w:val="24"/>
          <w:highlight w:val="none"/>
        </w:rPr>
        <w:t>应包含：</w:t>
      </w:r>
    </w:p>
    <w:p>
      <w:pPr>
        <w:numPr>
          <w:ilvl w:val="2"/>
          <w:numId w:val="24"/>
        </w:numPr>
        <w:tabs>
          <w:tab w:val="left" w:pos="851"/>
          <w:tab w:val="clear" w:pos="567"/>
        </w:tabs>
        <w:autoSpaceDE w:val="0"/>
        <w:autoSpaceDN w:val="0"/>
        <w:adjustRightInd w:val="0"/>
        <w:snapToGrid w:val="0"/>
        <w:spacing w:line="360" w:lineRule="auto"/>
        <w:ind w:left="851" w:hanging="851"/>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按招标文件的要求全部货物及服务内容所需的所有费用，包括但不限于项目的全部</w:t>
      </w:r>
      <w:r>
        <w:rPr>
          <w:rFonts w:hint="eastAsia" w:cs="宋体" w:asciiTheme="minorEastAsia" w:hAnsiTheme="minorEastAsia" w:eastAsiaTheme="minorEastAsia"/>
          <w:color w:val="auto"/>
          <w:sz w:val="24"/>
          <w:szCs w:val="24"/>
          <w:highlight w:val="none"/>
          <w:lang w:eastAsia="zh-TW"/>
        </w:rPr>
        <w:t>产品</w:t>
      </w:r>
      <w:r>
        <w:rPr>
          <w:rFonts w:hint="eastAsia" w:cs="宋体" w:asciiTheme="minorEastAsia" w:hAnsiTheme="minorEastAsia" w:eastAsiaTheme="minorEastAsia"/>
          <w:color w:val="auto"/>
          <w:sz w:val="24"/>
          <w:szCs w:val="24"/>
          <w:highlight w:val="none"/>
        </w:rPr>
        <w:t>价格、服务价格、</w:t>
      </w:r>
      <w:r>
        <w:rPr>
          <w:rFonts w:hint="eastAsia" w:cs="宋体" w:asciiTheme="minorEastAsia" w:hAnsiTheme="minorEastAsia" w:eastAsiaTheme="minorEastAsia"/>
          <w:color w:val="auto"/>
          <w:sz w:val="24"/>
          <w:szCs w:val="24"/>
          <w:highlight w:val="none"/>
          <w:lang w:eastAsia="zh-TW"/>
        </w:rPr>
        <w:t>应向中华人民共和国政府缴纳的增值税和其它税等全部税费、</w:t>
      </w:r>
      <w:r>
        <w:rPr>
          <w:rFonts w:hint="eastAsia" w:cs="宋体" w:asciiTheme="minorEastAsia" w:hAnsiTheme="minorEastAsia" w:eastAsiaTheme="minorEastAsia"/>
          <w:color w:val="auto"/>
          <w:sz w:val="24"/>
          <w:szCs w:val="24"/>
          <w:highlight w:val="none"/>
        </w:rPr>
        <w:t>运输、保险、安装、伴随服务、</w:t>
      </w:r>
      <w:r>
        <w:rPr>
          <w:rFonts w:hint="eastAsia" w:cs="宋体" w:asciiTheme="minorEastAsia" w:hAnsiTheme="minorEastAsia" w:eastAsiaTheme="minorEastAsia"/>
          <w:color w:val="auto"/>
          <w:sz w:val="24"/>
          <w:szCs w:val="24"/>
          <w:highlight w:val="none"/>
          <w:lang w:eastAsia="zh-TW"/>
        </w:rPr>
        <w:t>标准附件价、备品备件及专用工具价</w:t>
      </w:r>
      <w:r>
        <w:rPr>
          <w:rFonts w:cs="宋体" w:asciiTheme="minorEastAsia" w:hAnsiTheme="minorEastAsia" w:eastAsiaTheme="minorEastAsia"/>
          <w:color w:val="auto"/>
          <w:sz w:val="24"/>
          <w:szCs w:val="24"/>
          <w:highlight w:val="none"/>
          <w:lang w:eastAsia="zh-TW"/>
        </w:rPr>
        <w:t>(</w:t>
      </w:r>
      <w:r>
        <w:rPr>
          <w:rFonts w:hint="eastAsia" w:cs="宋体" w:asciiTheme="minorEastAsia" w:hAnsiTheme="minorEastAsia" w:eastAsiaTheme="minorEastAsia"/>
          <w:color w:val="auto"/>
          <w:sz w:val="24"/>
          <w:szCs w:val="24"/>
          <w:highlight w:val="none"/>
          <w:lang w:eastAsia="zh-TW"/>
        </w:rPr>
        <w:t>如有</w:t>
      </w:r>
      <w:r>
        <w:rPr>
          <w:rFonts w:cs="宋体" w:asciiTheme="minorEastAsia" w:hAnsiTheme="minorEastAsia" w:eastAsiaTheme="minorEastAsia"/>
          <w:color w:val="auto"/>
          <w:sz w:val="24"/>
          <w:szCs w:val="24"/>
          <w:highlight w:val="none"/>
          <w:lang w:eastAsia="zh-TW"/>
        </w:rPr>
        <w:t>)</w:t>
      </w:r>
      <w:r>
        <w:rPr>
          <w:rFonts w:hint="eastAsia" w:cs="宋体" w:asciiTheme="minorEastAsia" w:hAnsiTheme="minorEastAsia" w:eastAsiaTheme="minorEastAsia"/>
          <w:color w:val="auto"/>
          <w:sz w:val="24"/>
          <w:szCs w:val="24"/>
          <w:highlight w:val="none"/>
          <w:lang w:eastAsia="zh-TW"/>
        </w:rPr>
        <w:t>、</w:t>
      </w:r>
      <w:r>
        <w:rPr>
          <w:rFonts w:hint="eastAsia" w:cs="宋体" w:asciiTheme="minorEastAsia" w:hAnsiTheme="minorEastAsia" w:eastAsiaTheme="minorEastAsia"/>
          <w:color w:val="auto"/>
          <w:sz w:val="24"/>
          <w:szCs w:val="24"/>
          <w:highlight w:val="none"/>
        </w:rPr>
        <w:t>以及履行合同所需的费用、所有风险、责任等其他一切隐含及不可预见的费用。如是</w:t>
      </w:r>
      <w:r>
        <w:rPr>
          <w:rFonts w:hint="eastAsia" w:cs="宋体" w:asciiTheme="minorEastAsia" w:hAnsiTheme="minorEastAsia" w:eastAsiaTheme="minorEastAsia"/>
          <w:color w:val="auto"/>
          <w:sz w:val="24"/>
          <w:szCs w:val="24"/>
          <w:highlight w:val="none"/>
          <w:lang w:eastAsia="zh-TW"/>
        </w:rPr>
        <w:t>提供境外的货物</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还应包括货物从境外进口己缴纳或应缴纳的全部关税、增值税和其它税</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报货物境外离岸价格、国外运输费、国外运输保险费等费用。</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中对进口环节关税和增值税另有规定的，从其规定。</w:t>
      </w:r>
    </w:p>
    <w:p>
      <w:pPr>
        <w:numPr>
          <w:ilvl w:val="2"/>
          <w:numId w:val="24"/>
        </w:numPr>
        <w:tabs>
          <w:tab w:val="left" w:pos="851"/>
        </w:tabs>
        <w:autoSpaceDE w:val="0"/>
        <w:autoSpaceDN w:val="0"/>
        <w:adjustRightInd w:val="0"/>
        <w:snapToGrid w:val="0"/>
        <w:spacing w:line="360" w:lineRule="auto"/>
        <w:jc w:val="left"/>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对于报价免费的</w:t>
      </w:r>
      <w:r>
        <w:rPr>
          <w:rFonts w:hint="eastAsia" w:cs="宋体" w:asciiTheme="minorEastAsia" w:hAnsiTheme="minorEastAsia" w:eastAsiaTheme="minorEastAsia"/>
          <w:color w:val="auto"/>
          <w:sz w:val="24"/>
          <w:szCs w:val="24"/>
          <w:highlight w:val="none"/>
        </w:rPr>
        <w:t>内容</w:t>
      </w:r>
      <w:r>
        <w:rPr>
          <w:rFonts w:hint="eastAsia" w:cs="宋体" w:asciiTheme="minorEastAsia" w:hAnsiTheme="minorEastAsia" w:eastAsiaTheme="minorEastAsia"/>
          <w:color w:val="auto"/>
          <w:sz w:val="24"/>
          <w:szCs w:val="24"/>
          <w:highlight w:val="none"/>
          <w:lang w:eastAsia="zh-TW"/>
        </w:rPr>
        <w:t>须标明“已含在……中”</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除</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中另有规定，</w:t>
      </w:r>
      <w:r>
        <w:rPr>
          <w:rFonts w:hint="eastAsia" w:cs="宋体" w:asciiTheme="minorEastAsia" w:hAnsiTheme="minorEastAsia" w:eastAsiaTheme="minorEastAsia"/>
          <w:color w:val="auto"/>
          <w:sz w:val="24"/>
          <w:szCs w:val="24"/>
          <w:highlight w:val="none"/>
          <w:lang w:eastAsia="zh-TW"/>
        </w:rPr>
        <w:t>投标人所报的投标价在合同执行过程中是固定不变的</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不得以任何理由予以变更。任何包含价格调整要求的投标被认为是非实质性响应投标而予以拒绝。</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除</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中允许有备选方案外，本次招标不接受选择性报价，否则将被视为无效投标。</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rPr>
        <w:t>除</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另有规定外，本次招标不接受具有附加条件的报价，否则将被视为无效投标。</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投标货币</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投标人所提供的货物和服务均应以人民币报价。</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联合体投标</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除非</w:t>
      </w:r>
      <w:r>
        <w:rPr>
          <w:rFonts w:hint="eastAsia" w:cs="宋体" w:asciiTheme="minorEastAsia" w:hAnsiTheme="minorEastAsia" w:eastAsiaTheme="minorEastAsia"/>
          <w:b/>
          <w:bCs/>
          <w:color w:val="auto"/>
          <w:sz w:val="24"/>
          <w:szCs w:val="24"/>
          <w:highlight w:val="none"/>
        </w:rPr>
        <w:t>投标邀请</w:t>
      </w:r>
      <w:r>
        <w:rPr>
          <w:rFonts w:hint="eastAsia" w:cs="宋体" w:asciiTheme="minorEastAsia" w:hAnsiTheme="minorEastAsia" w:eastAsiaTheme="minorEastAsia"/>
          <w:color w:val="auto"/>
          <w:sz w:val="24"/>
          <w:szCs w:val="24"/>
          <w:highlight w:val="none"/>
        </w:rPr>
        <w:t>中另有规定，不接受联合体投标。如果投标邀请中规定允许联合体投标的，则必须满足：</w:t>
      </w:r>
    </w:p>
    <w:p>
      <w:pPr>
        <w:numPr>
          <w:ilvl w:val="2"/>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以联合体形式参加投标的，联合体各方均必须符合《政府采购法》第二十二条第（一）至（六）项规定，对“投标人的资格要求”的特殊条款要求至少有一方符合。</w:t>
      </w:r>
    </w:p>
    <w:p>
      <w:pPr>
        <w:numPr>
          <w:ilvl w:val="2"/>
          <w:numId w:val="24"/>
        </w:numPr>
        <w:autoSpaceDE w:val="0"/>
        <w:autoSpaceDN w:val="0"/>
        <w:adjustRightInd w:val="0"/>
        <w:snapToGrid w:val="0"/>
        <w:spacing w:line="360" w:lineRule="auto"/>
        <w:ind w:left="868" w:hanging="86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pPr>
        <w:numPr>
          <w:ilvl w:val="2"/>
          <w:numId w:val="24"/>
        </w:numPr>
        <w:autoSpaceDE w:val="0"/>
        <w:autoSpaceDN w:val="0"/>
        <w:adjustRightInd w:val="0"/>
        <w:snapToGrid w:val="0"/>
        <w:spacing w:line="360" w:lineRule="auto"/>
        <w:ind w:left="868" w:hanging="86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联合体中有同类资质的供应商按照联合体分工承担相同工作的，应当按照资质等级较低的供应商确定资质等级。</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联合体中标的，联合体各方应当共同与采购人签订合同。</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证明投标人合格和资格的文件</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投标人应提交证明其有资格参加投标和中标后有能力履行合同的文件</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并作为其投标文件的一部分。如果投标人为联合体</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应提交联合体各方的资格证明文件、</w:t>
      </w:r>
      <w:r>
        <w:rPr>
          <w:rFonts w:hint="eastAsia" w:cs="宋体" w:asciiTheme="minorEastAsia" w:hAnsiTheme="minorEastAsia" w:eastAsiaTheme="minorEastAsia"/>
          <w:color w:val="auto"/>
          <w:sz w:val="24"/>
          <w:szCs w:val="24"/>
          <w:highlight w:val="none"/>
        </w:rPr>
        <w:t>联合投标协议</w:t>
      </w:r>
      <w:r>
        <w:rPr>
          <w:rFonts w:hint="eastAsia" w:cs="宋体" w:asciiTheme="minorEastAsia" w:hAnsiTheme="minorEastAsia" w:eastAsiaTheme="minorEastAsia"/>
          <w:color w:val="auto"/>
          <w:sz w:val="24"/>
          <w:szCs w:val="24"/>
          <w:highlight w:val="none"/>
          <w:lang w:eastAsia="zh-TW"/>
        </w:rPr>
        <w:t>并注明</w:t>
      </w:r>
      <w:r>
        <w:rPr>
          <w:rFonts w:hint="eastAsia" w:cs="宋体" w:asciiTheme="minorEastAsia" w:hAnsiTheme="minorEastAsia" w:eastAsiaTheme="minorEastAsia"/>
          <w:color w:val="auto"/>
          <w:sz w:val="24"/>
          <w:szCs w:val="24"/>
          <w:highlight w:val="none"/>
        </w:rPr>
        <w:t>主体方及各方拟承担的工作和责任。</w:t>
      </w:r>
      <w:r>
        <w:rPr>
          <w:rFonts w:hint="eastAsia" w:cs="宋体" w:asciiTheme="minorEastAsia" w:hAnsiTheme="minorEastAsia" w:eastAsiaTheme="minorEastAsia"/>
          <w:color w:val="auto"/>
          <w:sz w:val="24"/>
          <w:szCs w:val="24"/>
          <w:highlight w:val="none"/>
          <w:lang w:eastAsia="zh-TW"/>
        </w:rPr>
        <w:t>否则</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将导致其投标</w:t>
      </w:r>
      <w:r>
        <w:rPr>
          <w:rFonts w:hint="eastAsia" w:cs="宋体" w:asciiTheme="minorEastAsia" w:hAnsiTheme="minorEastAsia" w:eastAsiaTheme="minorEastAsia"/>
          <w:color w:val="auto"/>
          <w:sz w:val="24"/>
          <w:szCs w:val="24"/>
          <w:highlight w:val="none"/>
        </w:rPr>
        <w:t>无效。</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投标人提交的资格证明文件应证明其</w:t>
      </w:r>
      <w:r>
        <w:rPr>
          <w:rFonts w:hint="eastAsia" w:cs="宋体" w:asciiTheme="minorEastAsia" w:hAnsiTheme="minorEastAsia" w:eastAsiaTheme="minorEastAsia"/>
          <w:color w:val="auto"/>
          <w:sz w:val="24"/>
          <w:szCs w:val="24"/>
          <w:highlight w:val="none"/>
        </w:rPr>
        <w:t>满足</w:t>
      </w:r>
      <w:r>
        <w:rPr>
          <w:rFonts w:hint="eastAsia" w:cs="宋体" w:asciiTheme="minorEastAsia" w:hAnsiTheme="minorEastAsia" w:eastAsiaTheme="minorEastAsia"/>
          <w:color w:val="auto"/>
          <w:sz w:val="24"/>
          <w:szCs w:val="24"/>
          <w:highlight w:val="none"/>
          <w:lang w:eastAsia="zh-TW"/>
        </w:rPr>
        <w:t>本须知定义的合格投标人。</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证明投标标的的合格性和符合招标文件规定的文件</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投标人应提交证明文件</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证明其拟</w:t>
      </w:r>
      <w:r>
        <w:rPr>
          <w:rFonts w:hint="eastAsia" w:cs="宋体" w:asciiTheme="minorEastAsia" w:hAnsiTheme="minorEastAsia" w:eastAsiaTheme="minorEastAsia"/>
          <w:color w:val="auto"/>
          <w:sz w:val="24"/>
          <w:szCs w:val="24"/>
          <w:highlight w:val="none"/>
        </w:rPr>
        <w:t>投标</w:t>
      </w:r>
      <w:r>
        <w:rPr>
          <w:rFonts w:hint="eastAsia" w:cs="宋体" w:asciiTheme="minorEastAsia" w:hAnsiTheme="minorEastAsia" w:eastAsiaTheme="minorEastAsia"/>
          <w:color w:val="auto"/>
          <w:sz w:val="24"/>
          <w:szCs w:val="24"/>
          <w:highlight w:val="none"/>
          <w:lang w:eastAsia="zh-TW"/>
        </w:rPr>
        <w:t>的货物和服务的合格性符合招标文件规定。该证明文件作为投标文件的一部分。</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货物和服务合格性的证明文件应包括投标分项报价表中对货物和服务原产地的说明。</w:t>
      </w:r>
    </w:p>
    <w:p>
      <w:pPr>
        <w:numPr>
          <w:ilvl w:val="1"/>
          <w:numId w:val="24"/>
        </w:numPr>
        <w:autoSpaceDE w:val="0"/>
        <w:autoSpaceDN w:val="0"/>
        <w:adjustRightInd w:val="0"/>
        <w:snapToGrid w:val="0"/>
        <w:spacing w:line="360" w:lineRule="auto"/>
        <w:rPr>
          <w:rFonts w:asciiTheme="minorEastAsia" w:hAnsiTheme="minorEastAsia" w:eastAsiaTheme="minorEastAsia"/>
          <w:strike/>
          <w:color w:val="auto"/>
          <w:sz w:val="24"/>
          <w:szCs w:val="24"/>
          <w:highlight w:val="none"/>
        </w:rPr>
      </w:pPr>
      <w:r>
        <w:rPr>
          <w:rFonts w:hint="eastAsia" w:cs="宋体" w:asciiTheme="minorEastAsia" w:hAnsiTheme="minorEastAsia" w:eastAsiaTheme="minorEastAsia"/>
          <w:color w:val="auto"/>
          <w:sz w:val="24"/>
          <w:szCs w:val="24"/>
          <w:highlight w:val="none"/>
          <w:lang w:eastAsia="zh-TW"/>
        </w:rPr>
        <w:t>证明货物和服务与招标文件的要求相一致的文件，可以是文字资料、图纸和数据</w:t>
      </w:r>
      <w:r>
        <w:rPr>
          <w:rFonts w:hint="eastAsia" w:cs="宋体" w:asciiTheme="minorEastAsia" w:hAnsiTheme="minorEastAsia" w:eastAsiaTheme="minorEastAsia"/>
          <w:color w:val="auto"/>
          <w:sz w:val="24"/>
          <w:szCs w:val="24"/>
          <w:highlight w:val="none"/>
        </w:rPr>
        <w:t>。</w:t>
      </w:r>
    </w:p>
    <w:p>
      <w:pPr>
        <w:numPr>
          <w:ilvl w:val="0"/>
          <w:numId w:val="24"/>
        </w:numPr>
        <w:autoSpaceDE w:val="0"/>
        <w:autoSpaceDN w:val="0"/>
        <w:adjustRightInd w:val="0"/>
        <w:snapToGrid w:val="0"/>
        <w:spacing w:line="360" w:lineRule="auto"/>
        <w:ind w:left="511" w:hanging="511" w:hangingChars="213"/>
        <w:outlineLvl w:val="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分包</w:t>
      </w:r>
    </w:p>
    <w:p>
      <w:pPr>
        <w:pStyle w:val="21"/>
        <w:numPr>
          <w:ilvl w:val="1"/>
          <w:numId w:val="24"/>
        </w:numPr>
        <w:adjustRightInd w:val="0"/>
        <w:snapToGrid w:val="0"/>
        <w:spacing w:line="360" w:lineRule="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如果</w:t>
      </w:r>
      <w:r>
        <w:rPr>
          <w:rFonts w:hint="eastAsia" w:asciiTheme="minorEastAsia" w:hAnsiTheme="minorEastAsia" w:eastAsiaTheme="minorEastAsia"/>
          <w:b/>
          <w:bCs/>
          <w:color w:val="auto"/>
          <w:sz w:val="24"/>
          <w:szCs w:val="24"/>
          <w:highlight w:val="none"/>
          <w:lang w:eastAsia="zh-TW"/>
        </w:rPr>
        <w:t>投标资料表</w:t>
      </w:r>
      <w:r>
        <w:rPr>
          <w:rFonts w:hint="eastAsia" w:asciiTheme="minorEastAsia" w:hAnsiTheme="minorEastAsia" w:eastAsiaTheme="minorEastAsia"/>
          <w:color w:val="auto"/>
          <w:sz w:val="24"/>
          <w:szCs w:val="24"/>
          <w:highlight w:val="none"/>
        </w:rPr>
        <w:t>已明确允许分包且投标人拟在中标后将中标项目的非主体、非关键性工作分包的，投标人应当在投标文件中载明分包承担主体，分包承担主体应当具备相应资质条件且不得再次分包。</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投标有效期</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投标应自</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中规定的投标有效期从提交投标文件的截止之日起算，并</w:t>
      </w:r>
      <w:r>
        <w:rPr>
          <w:rFonts w:hint="eastAsia" w:cs="宋体" w:asciiTheme="minorEastAsia" w:hAnsiTheme="minorEastAsia" w:eastAsiaTheme="minorEastAsia"/>
          <w:color w:val="auto"/>
          <w:sz w:val="24"/>
          <w:szCs w:val="24"/>
          <w:highlight w:val="none"/>
        </w:rPr>
        <w:t>与</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中所述期限内保持有效。投标有效期不足的投标将被视为非实质性响应</w:t>
      </w:r>
      <w:r>
        <w:rPr>
          <w:rFonts w:hint="eastAsia" w:cs="宋体" w:asciiTheme="minorEastAsia" w:hAnsiTheme="minorEastAsia" w:eastAsiaTheme="minorEastAsia"/>
          <w:color w:val="auto"/>
          <w:sz w:val="24"/>
          <w:szCs w:val="24"/>
          <w:highlight w:val="none"/>
        </w:rPr>
        <w:t>，视为无效投标</w:t>
      </w:r>
      <w:r>
        <w:rPr>
          <w:rFonts w:hint="eastAsia" w:cs="宋体" w:asciiTheme="minorEastAsia" w:hAnsiTheme="minorEastAsia" w:eastAsiaTheme="minorEastAsia"/>
          <w:color w:val="auto"/>
          <w:sz w:val="24"/>
          <w:szCs w:val="24"/>
          <w:highlight w:val="none"/>
          <w:lang w:eastAsia="zh-TW"/>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特殊情况下</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在原投标有效期截止之前</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采购代理机构可要求投标人延长投标有效期。这种要求与答复均应以书面形式提交。投标人可拒绝采购代理机构的这种要求</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但其投标在原投标有效期期满后将不再有效。同意延长投标有效期的投标人将不会被要求和允许修正其投标</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而只会被要求相应地延长其投标保证金的有效期。在这种情况下</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本须知有关投标保证金的退还和没收的规定将在延长了的有效期内继续有效。</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投标文件的式样和签署、密封</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投标文件的式样：投标人应准备一份投标文件正本</w:t>
      </w:r>
      <w:r>
        <w:rPr>
          <w:rFonts w:hint="eastAsia" w:cs="宋体" w:asciiTheme="minorEastAsia" w:hAnsiTheme="minorEastAsia" w:eastAsiaTheme="minorEastAsia"/>
          <w:color w:val="auto"/>
          <w:sz w:val="24"/>
          <w:szCs w:val="24"/>
          <w:highlight w:val="none"/>
        </w:rPr>
        <w:t>、电子文件</w:t>
      </w:r>
      <w:r>
        <w:rPr>
          <w:rFonts w:hint="eastAsia" w:cs="宋体" w:asciiTheme="minorEastAsia" w:hAnsiTheme="minorEastAsia" w:eastAsiaTheme="minorEastAsia"/>
          <w:color w:val="auto"/>
          <w:sz w:val="24"/>
          <w:szCs w:val="24"/>
          <w:highlight w:val="none"/>
          <w:lang w:eastAsia="zh-TW"/>
        </w:rPr>
        <w:t>和</w:t>
      </w:r>
      <w:r>
        <w:rPr>
          <w:rFonts w:hint="eastAsia" w:cs="宋体" w:asciiTheme="minorEastAsia" w:hAnsiTheme="minorEastAsia" w:eastAsiaTheme="minorEastAsia"/>
          <w:b/>
          <w:bCs/>
          <w:color w:val="auto"/>
          <w:sz w:val="24"/>
          <w:szCs w:val="24"/>
          <w:highlight w:val="none"/>
          <w:lang w:eastAsia="zh-TW"/>
        </w:rPr>
        <w:t>投标资料表</w:t>
      </w:r>
      <w:r>
        <w:rPr>
          <w:rFonts w:hint="eastAsia" w:cs="宋体" w:asciiTheme="minorEastAsia" w:hAnsiTheme="minorEastAsia" w:eastAsiaTheme="minorEastAsia"/>
          <w:color w:val="auto"/>
          <w:sz w:val="24"/>
          <w:szCs w:val="24"/>
          <w:highlight w:val="none"/>
          <w:lang w:eastAsia="zh-TW"/>
        </w:rPr>
        <w:t>中规定数目的副本</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投标文件的副本可采用正本的复印件。每套投标文件须清楚地标明“正本”或</w:t>
      </w:r>
      <w:r>
        <w:rPr>
          <w:rFonts w:hint="eastAsia" w:cs="宋体" w:asciiTheme="minorEastAsia" w:hAnsiTheme="minorEastAsia" w:eastAsiaTheme="minorEastAsia"/>
          <w:color w:val="auto"/>
          <w:sz w:val="24"/>
          <w:szCs w:val="24"/>
          <w:highlight w:val="none"/>
        </w:rPr>
        <w:t>“副</w:t>
      </w:r>
      <w:r>
        <w:rPr>
          <w:rFonts w:hint="eastAsia" w:cs="宋体" w:asciiTheme="minorEastAsia" w:hAnsiTheme="minorEastAsia" w:eastAsiaTheme="minorEastAsia"/>
          <w:color w:val="auto"/>
          <w:sz w:val="24"/>
          <w:szCs w:val="24"/>
          <w:highlight w:val="none"/>
          <w:lang w:eastAsia="zh-TW"/>
        </w:rPr>
        <w:t>本</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。若副本与正本不符</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以正本为准。</w:t>
      </w:r>
      <w:r>
        <w:rPr>
          <w:rFonts w:hint="eastAsia" w:cs="宋体" w:asciiTheme="minorEastAsia" w:hAnsiTheme="minorEastAsia" w:eastAsiaTheme="minorEastAsia"/>
          <w:b/>
          <w:bCs/>
          <w:color w:val="auto"/>
          <w:sz w:val="24"/>
          <w:szCs w:val="24"/>
          <w:highlight w:val="none"/>
          <w:lang w:eastAsia="zh-TW"/>
        </w:rPr>
        <w:t>为方便开标时唱标，投标人应将《唱标信封》一份单独密封提交，并在信封上清晰标明“唱标信封”字样。</w:t>
      </w:r>
      <w:r>
        <w:rPr>
          <w:rFonts w:hint="eastAsia" w:cs="宋体" w:asciiTheme="minorEastAsia" w:hAnsiTheme="minorEastAsia" w:eastAsiaTheme="minorEastAsia"/>
          <w:color w:val="auto"/>
          <w:sz w:val="24"/>
          <w:szCs w:val="24"/>
          <w:highlight w:val="none"/>
          <w:lang w:eastAsia="zh-TW"/>
        </w:rPr>
        <w:t>信封里开标一览表（或报价表）要求以投标文件正本中的开标一览表（或报价表）复印并盖章而成。</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投标文件的签署：</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投标文件的正本需打印或用不褪色墨水书写</w:t>
      </w:r>
      <w:r>
        <w:rPr>
          <w:rFonts w:hint="eastAsia" w:cs="宋体" w:asciiTheme="minorEastAsia" w:hAnsiTheme="minorEastAsia" w:eastAsiaTheme="minorEastAsia"/>
          <w:color w:val="auto"/>
          <w:sz w:val="24"/>
          <w:szCs w:val="24"/>
          <w:highlight w:val="none"/>
        </w:rPr>
        <w:t>，且招标文件要求签名的</w:t>
      </w:r>
      <w:r>
        <w:rPr>
          <w:rFonts w:hint="eastAsia" w:cs="宋体" w:asciiTheme="minorEastAsia" w:hAnsiTheme="minorEastAsia" w:eastAsiaTheme="minorEastAsia"/>
          <w:color w:val="auto"/>
          <w:sz w:val="24"/>
          <w:szCs w:val="24"/>
          <w:highlight w:val="none"/>
          <w:lang w:eastAsia="zh-TW"/>
        </w:rPr>
        <w:t>由</w:t>
      </w:r>
      <w:r>
        <w:rPr>
          <w:rFonts w:hint="eastAsia" w:cs="宋体" w:asciiTheme="minorEastAsia" w:hAnsiTheme="minorEastAsia" w:eastAsiaTheme="minorEastAsia"/>
          <w:color w:val="auto"/>
          <w:sz w:val="24"/>
          <w:szCs w:val="24"/>
          <w:highlight w:val="none"/>
        </w:rPr>
        <w:t>法定</w:t>
      </w:r>
      <w:r>
        <w:rPr>
          <w:rFonts w:hint="eastAsia" w:cs="宋体" w:asciiTheme="minorEastAsia" w:hAnsiTheme="minorEastAsia" w:eastAsiaTheme="minorEastAsia"/>
          <w:color w:val="auto"/>
          <w:sz w:val="24"/>
          <w:szCs w:val="24"/>
          <w:highlight w:val="none"/>
          <w:lang w:eastAsia="zh-TW"/>
        </w:rPr>
        <w:t>代表人或经其正式授权的代表签字</w:t>
      </w:r>
      <w:r>
        <w:rPr>
          <w:rFonts w:hint="eastAsia" w:cs="宋体" w:asciiTheme="minorEastAsia" w:hAnsiTheme="minorEastAsia" w:eastAsiaTheme="minorEastAsia"/>
          <w:color w:val="auto"/>
          <w:sz w:val="24"/>
          <w:szCs w:val="24"/>
          <w:highlight w:val="none"/>
        </w:rPr>
        <w:t>，以及招标文件中明示盖章处应加盖投标人公章，副本可以用正本复印，与正本具有同等法律效力</w:t>
      </w:r>
      <w:r>
        <w:rPr>
          <w:rFonts w:hint="eastAsia" w:cs="宋体" w:asciiTheme="minorEastAsia" w:hAnsiTheme="minorEastAsia" w:eastAsiaTheme="minorEastAsia"/>
          <w:color w:val="auto"/>
          <w:sz w:val="24"/>
          <w:szCs w:val="24"/>
          <w:highlight w:val="none"/>
          <w:lang w:eastAsia="zh-TW"/>
        </w:rPr>
        <w:t>。授权代表须将以书面形式出具的《法定代表人授权</w:t>
      </w:r>
      <w:r>
        <w:rPr>
          <w:rFonts w:hint="eastAsia" w:cs="宋体" w:asciiTheme="minorEastAsia" w:hAnsiTheme="minorEastAsia" w:eastAsiaTheme="minorEastAsia"/>
          <w:color w:val="auto"/>
          <w:sz w:val="24"/>
          <w:szCs w:val="24"/>
          <w:highlight w:val="none"/>
        </w:rPr>
        <w:t>委托</w:t>
      </w:r>
      <w:r>
        <w:rPr>
          <w:rFonts w:hint="eastAsia" w:cs="宋体" w:asciiTheme="minorEastAsia" w:hAnsiTheme="minorEastAsia" w:eastAsiaTheme="minorEastAsia"/>
          <w:color w:val="auto"/>
          <w:sz w:val="24"/>
          <w:szCs w:val="24"/>
          <w:highlight w:val="none"/>
          <w:lang w:eastAsia="zh-TW"/>
        </w:rPr>
        <w:t>书》附在</w:t>
      </w:r>
      <w:r>
        <w:rPr>
          <w:rFonts w:hint="eastAsia" w:cs="宋体" w:asciiTheme="minorEastAsia" w:hAnsiTheme="minorEastAsia" w:eastAsiaTheme="minorEastAsia"/>
          <w:color w:val="auto"/>
          <w:sz w:val="24"/>
          <w:szCs w:val="24"/>
          <w:highlight w:val="none"/>
        </w:rPr>
        <w:t>投</w:t>
      </w:r>
      <w:r>
        <w:rPr>
          <w:rFonts w:hint="eastAsia" w:cs="宋体" w:asciiTheme="minorEastAsia" w:hAnsiTheme="minorEastAsia" w:eastAsiaTheme="minorEastAsia"/>
          <w:color w:val="auto"/>
          <w:sz w:val="24"/>
          <w:szCs w:val="24"/>
          <w:highlight w:val="none"/>
          <w:lang w:eastAsia="zh-TW"/>
        </w:rPr>
        <w:t>标文件中。</w:t>
      </w:r>
    </w:p>
    <w:p>
      <w:pPr>
        <w:numPr>
          <w:ilvl w:val="2"/>
          <w:numId w:val="24"/>
        </w:numPr>
        <w:tabs>
          <w:tab w:val="left" w:pos="851"/>
        </w:tabs>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投标文件中的任何重要的插字、涂改和增删，必须由法定代表人或经其正式授权的代表在旁边签章或签字</w:t>
      </w:r>
      <w:r>
        <w:rPr>
          <w:rFonts w:hint="eastAsia" w:cs="宋体" w:asciiTheme="minorEastAsia" w:hAnsiTheme="minorEastAsia" w:eastAsiaTheme="minorEastAsia"/>
          <w:color w:val="auto"/>
          <w:sz w:val="24"/>
          <w:szCs w:val="24"/>
          <w:highlight w:val="none"/>
        </w:rPr>
        <w:t>或盖投标人公章</w:t>
      </w:r>
      <w:r>
        <w:rPr>
          <w:rFonts w:hint="eastAsia" w:cs="宋体" w:asciiTheme="minorEastAsia" w:hAnsiTheme="minorEastAsia" w:eastAsiaTheme="minorEastAsia"/>
          <w:color w:val="auto"/>
          <w:sz w:val="24"/>
          <w:szCs w:val="24"/>
          <w:highlight w:val="none"/>
          <w:lang w:eastAsia="zh-TW"/>
        </w:rPr>
        <w:t>才有效。</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投标文件</w:t>
      </w:r>
      <w:r>
        <w:rPr>
          <w:rFonts w:hint="eastAsia" w:cs="宋体" w:asciiTheme="minorEastAsia" w:hAnsiTheme="minorEastAsia" w:eastAsiaTheme="minorEastAsia"/>
          <w:b/>
          <w:bCs/>
          <w:color w:val="auto"/>
          <w:sz w:val="24"/>
          <w:szCs w:val="24"/>
          <w:highlight w:val="none"/>
        </w:rPr>
        <w:t>密封</w:t>
      </w:r>
      <w:r>
        <w:rPr>
          <w:rFonts w:hint="eastAsia" w:cs="宋体" w:asciiTheme="minorEastAsia" w:hAnsiTheme="minorEastAsia" w:eastAsiaTheme="minorEastAsia"/>
          <w:color w:val="auto"/>
          <w:sz w:val="24"/>
          <w:szCs w:val="24"/>
          <w:highlight w:val="none"/>
          <w:lang w:eastAsia="zh-TW"/>
        </w:rPr>
        <w:t>：</w:t>
      </w:r>
    </w:p>
    <w:p>
      <w:pPr>
        <w:numPr>
          <w:ilvl w:val="2"/>
          <w:numId w:val="24"/>
        </w:numPr>
        <w:tabs>
          <w:tab w:val="left" w:pos="851"/>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信封或外包装上应当清楚写明投标人名称、项目名称、采购项目编号、包组号（如有）</w:t>
      </w:r>
      <w:r>
        <w:rPr>
          <w:rFonts w:hint="eastAsia" w:cs="宋体" w:asciiTheme="minorEastAsia" w:hAnsiTheme="minorEastAsia" w:eastAsiaTheme="minorEastAsia"/>
          <w:color w:val="auto"/>
          <w:sz w:val="24"/>
          <w:szCs w:val="24"/>
          <w:highlight w:val="none"/>
          <w:lang w:eastAsia="zh-TW"/>
        </w:rPr>
        <w:t>和</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在</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招标文件中规定的开标日期和时间</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之前不得启封”的</w:t>
      </w:r>
      <w:r>
        <w:rPr>
          <w:rFonts w:hint="eastAsia" w:cs="宋体" w:asciiTheme="minorEastAsia" w:hAnsiTheme="minorEastAsia" w:eastAsiaTheme="minorEastAsia"/>
          <w:color w:val="auto"/>
          <w:sz w:val="24"/>
          <w:szCs w:val="24"/>
          <w:highlight w:val="none"/>
          <w:lang w:eastAsia="zh-TW"/>
        </w:rPr>
        <w:t>字样。</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lang w:eastAsia="zh-TW"/>
        </w:rPr>
      </w:pPr>
      <w:r>
        <w:rPr>
          <w:rFonts w:hint="eastAsia" w:cs="宋体" w:asciiTheme="minorEastAsia" w:hAnsiTheme="minorEastAsia" w:eastAsiaTheme="minorEastAsia"/>
          <w:color w:val="auto"/>
          <w:sz w:val="24"/>
          <w:szCs w:val="24"/>
          <w:highlight w:val="none"/>
          <w:lang w:eastAsia="zh-TW"/>
        </w:rPr>
        <w:t>如果未按本须知</w:t>
      </w:r>
      <w:r>
        <w:rPr>
          <w:rFonts w:hint="eastAsia" w:cs="宋体" w:asciiTheme="minorEastAsia" w:hAnsiTheme="minorEastAsia" w:eastAsiaTheme="minorEastAsia"/>
          <w:color w:val="auto"/>
          <w:sz w:val="24"/>
          <w:szCs w:val="24"/>
          <w:highlight w:val="none"/>
        </w:rPr>
        <w:t>上款</w:t>
      </w:r>
      <w:r>
        <w:rPr>
          <w:rFonts w:hint="eastAsia" w:cs="宋体" w:asciiTheme="minorEastAsia" w:hAnsiTheme="minorEastAsia" w:eastAsiaTheme="minorEastAsia"/>
          <w:color w:val="auto"/>
          <w:sz w:val="24"/>
          <w:szCs w:val="24"/>
          <w:highlight w:val="none"/>
          <w:lang w:eastAsia="zh-TW"/>
        </w:rPr>
        <w:t>要求加写标记和</w:t>
      </w:r>
      <w:r>
        <w:rPr>
          <w:rFonts w:hint="eastAsia" w:cs="宋体" w:asciiTheme="minorEastAsia" w:hAnsiTheme="minorEastAsia" w:eastAsiaTheme="minorEastAsia"/>
          <w:color w:val="auto"/>
          <w:sz w:val="24"/>
          <w:szCs w:val="24"/>
          <w:highlight w:val="none"/>
        </w:rPr>
        <w:t>密封，</w:t>
      </w:r>
      <w:r>
        <w:rPr>
          <w:rFonts w:hint="eastAsia" w:cs="宋体" w:asciiTheme="minorEastAsia" w:hAnsiTheme="minorEastAsia" w:eastAsiaTheme="minorEastAsia"/>
          <w:color w:val="auto"/>
          <w:sz w:val="24"/>
          <w:szCs w:val="24"/>
          <w:highlight w:val="none"/>
          <w:lang w:eastAsia="zh-TW"/>
        </w:rPr>
        <w:t>采购代理机构对误投或提前启封概不负责</w:t>
      </w:r>
      <w:r>
        <w:rPr>
          <w:rFonts w:hint="eastAsia" w:cs="宋体" w:asciiTheme="minorEastAsia" w:hAnsiTheme="minorEastAsia" w:eastAsiaTheme="minorEastAsia"/>
          <w:color w:val="auto"/>
          <w:sz w:val="24"/>
          <w:szCs w:val="24"/>
          <w:highlight w:val="none"/>
        </w:rPr>
        <w:t>。</w:t>
      </w:r>
    </w:p>
    <w:p>
      <w:pPr>
        <w:numPr>
          <w:ilvl w:val="0"/>
          <w:numId w:val="23"/>
        </w:numPr>
        <w:autoSpaceDE w:val="0"/>
        <w:autoSpaceDN w:val="0"/>
        <w:adjustRightInd w:val="0"/>
        <w:snapToGrid w:val="0"/>
        <w:spacing w:beforeLines="100"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31" w:name="_Toc435174936"/>
      <w:bookmarkStart w:id="132" w:name="_Toc438223139"/>
      <w:bookmarkStart w:id="133" w:name="_Toc435516653"/>
      <w:r>
        <w:rPr>
          <w:rFonts w:hint="eastAsia" w:cs="宋体" w:asciiTheme="minorEastAsia" w:hAnsiTheme="minorEastAsia" w:eastAsiaTheme="minorEastAsia"/>
          <w:b/>
          <w:bCs/>
          <w:color w:val="auto"/>
          <w:sz w:val="24"/>
          <w:szCs w:val="24"/>
          <w:highlight w:val="none"/>
          <w:lang w:eastAsia="zh-TW"/>
        </w:rPr>
        <w:t>投标文件的递交</w:t>
      </w:r>
      <w:bookmarkEnd w:id="131"/>
      <w:bookmarkEnd w:id="132"/>
      <w:bookmarkEnd w:id="133"/>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投标文件递交</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投标人应</w:t>
      </w:r>
      <w:r>
        <w:rPr>
          <w:rFonts w:hint="eastAsia" w:cs="宋体" w:asciiTheme="minorEastAsia" w:hAnsiTheme="minorEastAsia" w:eastAsiaTheme="minorEastAsia"/>
          <w:color w:val="auto"/>
          <w:sz w:val="24"/>
          <w:szCs w:val="24"/>
          <w:highlight w:val="none"/>
        </w:rPr>
        <w:t>在本项目投标截止时间前送达开标地点。</w:t>
      </w:r>
    </w:p>
    <w:p>
      <w:pPr>
        <w:numPr>
          <w:ilvl w:val="1"/>
          <w:numId w:val="24"/>
        </w:numPr>
        <w:autoSpaceDE w:val="0"/>
        <w:autoSpaceDN w:val="0"/>
        <w:adjustRightInd w:val="0"/>
        <w:snapToGrid w:val="0"/>
        <w:spacing w:line="360" w:lineRule="auto"/>
        <w:rPr>
          <w:rFonts w:asciiTheme="minorEastAsia" w:hAnsiTheme="minorEastAsia" w:eastAsiaTheme="minorEastAsia"/>
          <w:b/>
          <w:bCs/>
          <w:strike/>
          <w:color w:val="auto"/>
          <w:sz w:val="24"/>
          <w:szCs w:val="24"/>
          <w:highlight w:val="none"/>
        </w:rPr>
      </w:pPr>
      <w:r>
        <w:rPr>
          <w:rFonts w:hint="eastAsia" w:cs="宋体" w:asciiTheme="minorEastAsia" w:hAnsiTheme="minorEastAsia" w:eastAsiaTheme="minorEastAsia"/>
          <w:color w:val="auto"/>
          <w:sz w:val="24"/>
          <w:szCs w:val="24"/>
          <w:highlight w:val="none"/>
          <w:lang w:eastAsia="zh-TW"/>
        </w:rPr>
        <w:t>逾期送达或者未按照招标文件要求密封的投标文件，采购人、采购代理机构应当拒收。</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投标文件的修改和撤回、撤销</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24"/>
        </w:numPr>
        <w:autoSpaceDE w:val="0"/>
        <w:autoSpaceDN w:val="0"/>
        <w:adjustRightInd w:val="0"/>
        <w:snapToGrid w:val="0"/>
        <w:spacing w:line="360" w:lineRule="auto"/>
        <w:rPr>
          <w:rFonts w:asciiTheme="minorEastAsia" w:hAnsiTheme="minorEastAsia" w:eastAsiaTheme="minorEastAsia"/>
          <w:b/>
          <w:bCs/>
          <w:strike/>
          <w:color w:val="auto"/>
          <w:sz w:val="24"/>
          <w:szCs w:val="24"/>
          <w:highlight w:val="none"/>
        </w:rPr>
      </w:pPr>
      <w:r>
        <w:rPr>
          <w:rFonts w:hint="eastAsia" w:cs="宋体" w:asciiTheme="minorEastAsia" w:hAnsiTheme="minorEastAsia" w:eastAsiaTheme="minorEastAsia"/>
          <w:color w:val="auto"/>
          <w:sz w:val="24"/>
          <w:szCs w:val="24"/>
          <w:highlight w:val="none"/>
        </w:rPr>
        <w:t>投标人所提交的投标文件在评标结束后，无论中标与否都不退还。</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询问、质疑、投诉</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询问</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供应商对政府采购活动事项有疑问的，可以向</w:t>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提出询问，询问可以口头方式提出，也可以书面方式提出。</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在三个工作日内对供应商依法提出的询问作出答复。</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w:t>
      </w:r>
    </w:p>
    <w:p>
      <w:p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Style w:val="46"/>
          <w:rFonts w:asciiTheme="minorEastAsia" w:hAnsiTheme="minorEastAsia" w:eastAsiaTheme="minorEastAsia"/>
          <w:color w:val="auto"/>
          <w:sz w:val="24"/>
          <w:szCs w:val="24"/>
          <w:highlight w:val="none"/>
        </w:rPr>
        <w:t xml:space="preserve">     </w:t>
      </w:r>
      <w:r>
        <w:rPr>
          <w:rStyle w:val="46"/>
          <w:rFonts w:hint="eastAsia" w:cs="宋体" w:asciiTheme="minorEastAsia" w:hAnsiTheme="minorEastAsia" w:eastAsiaTheme="minorEastAsia"/>
          <w:color w:val="auto"/>
          <w:sz w:val="24"/>
          <w:szCs w:val="24"/>
          <w:highlight w:val="none"/>
        </w:rPr>
        <w:t>提出质疑的供应商应当是参与所质疑项目采购活动的供应商。潜在供应商已依法获取其可质疑的招标文件的，可以对该文件提出质疑。供应商须在法定质疑期内一次性提出针对同一采购程序环节的质疑。</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质疑期限：</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供应商认为</w:t>
      </w:r>
      <w:r>
        <w:rPr>
          <w:rFonts w:hint="eastAsia" w:cs="宋体" w:asciiTheme="minorEastAsia" w:hAnsiTheme="minorEastAsia" w:eastAsiaTheme="minorEastAsia"/>
          <w:color w:val="auto"/>
          <w:sz w:val="24"/>
          <w:szCs w:val="24"/>
          <w:highlight w:val="none"/>
          <w:u w:val="double"/>
        </w:rPr>
        <w:t>招标文件的内容</w:t>
      </w:r>
      <w:r>
        <w:rPr>
          <w:rFonts w:hint="eastAsia" w:cs="宋体" w:asciiTheme="minorEastAsia" w:hAnsiTheme="minorEastAsia" w:eastAsiaTheme="minorEastAsia"/>
          <w:color w:val="auto"/>
          <w:sz w:val="24"/>
          <w:szCs w:val="24"/>
          <w:highlight w:val="none"/>
        </w:rPr>
        <w:t>损害其权益的，应在收到招标文件之日或者招标文件公告期届满之日起七个工作日内。（注：供应商获取招标文件之日早于招标文件公告期限届满之日的，则以供应商获取招标文件之日为质疑时效期间的起算日期；否则，以招标文件公告期限届满之日为质疑时效期间的起算日期）</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供应商认为</w:t>
      </w:r>
      <w:r>
        <w:rPr>
          <w:rFonts w:hint="eastAsia" w:cs="宋体" w:asciiTheme="minorEastAsia" w:hAnsiTheme="minorEastAsia" w:eastAsiaTheme="minorEastAsia"/>
          <w:color w:val="auto"/>
          <w:sz w:val="24"/>
          <w:szCs w:val="24"/>
          <w:highlight w:val="none"/>
          <w:u w:val="double"/>
        </w:rPr>
        <w:t>采购过程</w:t>
      </w:r>
      <w:r>
        <w:rPr>
          <w:rFonts w:hint="eastAsia" w:cs="宋体" w:asciiTheme="minorEastAsia" w:hAnsiTheme="minorEastAsia" w:eastAsiaTheme="minorEastAsia"/>
          <w:color w:val="auto"/>
          <w:sz w:val="24"/>
          <w:szCs w:val="24"/>
          <w:highlight w:val="none"/>
        </w:rPr>
        <w:t>损害其权益的，应在各采购程序环节结束之日起七个工作日内。</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供应商认为</w:t>
      </w:r>
      <w:r>
        <w:rPr>
          <w:rFonts w:hint="eastAsia" w:cs="宋体" w:asciiTheme="minorEastAsia" w:hAnsiTheme="minorEastAsia" w:eastAsiaTheme="minorEastAsia"/>
          <w:color w:val="auto"/>
          <w:sz w:val="24"/>
          <w:szCs w:val="24"/>
          <w:highlight w:val="none"/>
          <w:u w:val="double"/>
        </w:rPr>
        <w:t>中标或者成交结果</w:t>
      </w:r>
      <w:r>
        <w:rPr>
          <w:rFonts w:hint="eastAsia" w:cs="宋体" w:asciiTheme="minorEastAsia" w:hAnsiTheme="minorEastAsia" w:eastAsiaTheme="minorEastAsia"/>
          <w:color w:val="auto"/>
          <w:sz w:val="24"/>
          <w:szCs w:val="24"/>
          <w:highlight w:val="none"/>
        </w:rPr>
        <w:t>损害其权益的，应在中标或者成交结果公告期限届满之日起七个工作日内。</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提交要求：</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以书面形式（指加盖投标人公章的原件）向</w:t>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提出质疑。</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书内容：应包括具体的质疑事项、事实依据及相关确凿的证明材料、明确的请求、投标人名称及地址、授权代表姓名及其联系电话、质疑时间。质疑书应当署名并由法定代表人或授权代表签字并加盖公章。投标人递交质疑书时需提供质疑书原件、法定代表人授权委托书（应载明委托代理的具体权限及事项）及授权代表身份证复印件。</w:t>
      </w:r>
    </w:p>
    <w:p>
      <w:pPr>
        <w:numPr>
          <w:ilvl w:val="3"/>
          <w:numId w:val="24"/>
        </w:numPr>
        <w:autoSpaceDE w:val="0"/>
        <w:autoSpaceDN w:val="0"/>
        <w:adjustRightInd w:val="0"/>
        <w:snapToGrid w:val="0"/>
        <w:spacing w:line="360" w:lineRule="auto"/>
        <w:ind w:left="1078" w:hanging="1078"/>
        <w:rPr>
          <w:rFonts w:asciiTheme="minorEastAsia" w:hAnsiTheme="minorEastAsia" w:eastAsiaTheme="minorEastAsia"/>
          <w:snapToGrid w:val="0"/>
          <w:color w:val="auto"/>
          <w:sz w:val="24"/>
          <w:szCs w:val="24"/>
          <w:highlight w:val="none"/>
        </w:rPr>
      </w:pPr>
      <w:r>
        <w:rPr>
          <w:rFonts w:hint="eastAsia" w:cs="宋体" w:asciiTheme="minorEastAsia" w:hAnsiTheme="minorEastAsia" w:eastAsiaTheme="minorEastAsia"/>
          <w:color w:val="auto"/>
          <w:sz w:val="24"/>
          <w:szCs w:val="24"/>
          <w:highlight w:val="none"/>
        </w:rPr>
        <w:t>供应商质疑应当有明确的请求和必要的证明材料，捏造事实、提供虚假材料或者以非法手段取得证明材料不能作为质疑的证明材料</w:t>
      </w:r>
      <w:r>
        <w:rPr>
          <w:rFonts w:hint="eastAsia" w:cs="宋体" w:asciiTheme="minorEastAsia" w:hAnsiTheme="minorEastAsia" w:eastAsiaTheme="minorEastAsia"/>
          <w:snapToGrid w:val="0"/>
          <w:color w:val="auto"/>
          <w:sz w:val="24"/>
          <w:szCs w:val="24"/>
          <w:highlight w:val="none"/>
        </w:rPr>
        <w:t>。</w:t>
      </w:r>
    </w:p>
    <w:p>
      <w:pPr>
        <w:numPr>
          <w:ilvl w:val="3"/>
          <w:numId w:val="24"/>
        </w:numPr>
        <w:tabs>
          <w:tab w:val="left" w:pos="1134"/>
        </w:tabs>
        <w:autoSpaceDE w:val="0"/>
        <w:autoSpaceDN w:val="0"/>
        <w:adjustRightInd w:val="0"/>
        <w:snapToGrid w:val="0"/>
        <w:spacing w:line="360" w:lineRule="auto"/>
        <w:ind w:left="1078" w:hanging="1078"/>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在收到投标人的书面质疑后</w:t>
      </w:r>
      <w:r>
        <w:rPr>
          <w:rFonts w:cs="宋体" w:asciiTheme="minorEastAsia" w:hAnsiTheme="minorEastAsia" w:eastAsiaTheme="minorEastAsia"/>
          <w:color w:val="auto"/>
          <w:sz w:val="24"/>
          <w:szCs w:val="24"/>
          <w:highlight w:val="none"/>
        </w:rPr>
        <w:t>7</w:t>
      </w:r>
      <w:r>
        <w:rPr>
          <w:rFonts w:hint="eastAsia" w:cs="宋体" w:asciiTheme="minorEastAsia" w:hAnsiTheme="minorEastAsia" w:eastAsiaTheme="minorEastAsia"/>
          <w:color w:val="auto"/>
          <w:sz w:val="24"/>
          <w:szCs w:val="24"/>
          <w:highlight w:val="none"/>
        </w:rPr>
        <w:t>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对于捏造事实、滥用维权扰乱采购秩序的恶意质疑者或举证不全查无实据被驳回次数在一年内达三次以上，将纳入不良行为记录名单并承担相应的法律责任。</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投诉</w:t>
      </w:r>
    </w:p>
    <w:p>
      <w:pPr>
        <w:numPr>
          <w:ilvl w:val="2"/>
          <w:numId w:val="24"/>
        </w:numPr>
        <w:autoSpaceDE w:val="0"/>
        <w:autoSpaceDN w:val="0"/>
        <w:adjustRightInd w:val="0"/>
        <w:snapToGrid w:val="0"/>
        <w:spacing w:line="360" w:lineRule="auto"/>
        <w:ind w:left="851" w:hanging="851"/>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质疑供应商对</w:t>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的质疑答复不满意，或</w:t>
      </w: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未在规定期限内作出答复的，可以在答复期满后十五个工作日内向政府采购监督管理部门提出投诉。</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中标通知书</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中标人确定后</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TW"/>
        </w:rPr>
        <w:t>采购代理机构将在</w:t>
      </w:r>
      <w:r>
        <w:rPr>
          <w:rFonts w:hint="eastAsia" w:cs="宋体" w:asciiTheme="minorEastAsia" w:hAnsiTheme="minorEastAsia" w:eastAsiaTheme="minorEastAsia"/>
          <w:color w:val="auto"/>
          <w:sz w:val="24"/>
          <w:szCs w:val="24"/>
          <w:highlight w:val="none"/>
        </w:rPr>
        <w:t>发布采购信息公告的媒体</w:t>
      </w:r>
      <w:r>
        <w:rPr>
          <w:rFonts w:hint="eastAsia" w:cs="宋体" w:asciiTheme="minorEastAsia" w:hAnsiTheme="minorEastAsia" w:eastAsiaTheme="minorEastAsia"/>
          <w:color w:val="auto"/>
          <w:sz w:val="24"/>
          <w:szCs w:val="24"/>
          <w:highlight w:val="none"/>
          <w:lang w:eastAsia="zh-TW"/>
        </w:rPr>
        <w:t>上发布中标公告，并向中标人发出《中标通知书》，向采购人及未中标人发出《招标结果通知书》，《中标通知书》对中标人和采购人具有同等法律效力。</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《中标通知书》将作为授予合同资格的合法依据，是合同的一个组成部分。</w:t>
      </w:r>
    </w:p>
    <w:p>
      <w:pPr>
        <w:numPr>
          <w:ilvl w:val="0"/>
          <w:numId w:val="23"/>
        </w:numPr>
        <w:autoSpaceDE w:val="0"/>
        <w:autoSpaceDN w:val="0"/>
        <w:adjustRightInd w:val="0"/>
        <w:snapToGrid w:val="0"/>
        <w:spacing w:beforeLines="100" w:afterLines="100" w:line="360" w:lineRule="auto"/>
        <w:ind w:left="867" w:hanging="867" w:hangingChars="360"/>
        <w:jc w:val="center"/>
        <w:outlineLvl w:val="1"/>
        <w:rPr>
          <w:rFonts w:asciiTheme="minorEastAsia" w:hAnsiTheme="minorEastAsia" w:eastAsiaTheme="minorEastAsia"/>
          <w:b/>
          <w:bCs/>
          <w:color w:val="auto"/>
          <w:sz w:val="24"/>
          <w:szCs w:val="24"/>
          <w:highlight w:val="none"/>
          <w:lang w:eastAsia="zh-TW"/>
        </w:rPr>
      </w:pPr>
      <w:bookmarkStart w:id="134" w:name="_Toc435174938"/>
      <w:bookmarkStart w:id="135" w:name="_Toc438223141"/>
      <w:bookmarkStart w:id="136" w:name="_Toc435516655"/>
      <w:r>
        <w:rPr>
          <w:rFonts w:hint="eastAsia" w:cs="宋体" w:asciiTheme="minorEastAsia" w:hAnsiTheme="minorEastAsia" w:eastAsiaTheme="minorEastAsia"/>
          <w:b/>
          <w:bCs/>
          <w:color w:val="auto"/>
          <w:sz w:val="24"/>
          <w:szCs w:val="24"/>
          <w:highlight w:val="none"/>
          <w:lang w:eastAsia="zh-TW"/>
        </w:rPr>
        <w:t>授予合同</w:t>
      </w:r>
      <w:bookmarkEnd w:id="134"/>
      <w:bookmarkEnd w:id="135"/>
      <w:bookmarkEnd w:id="136"/>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合同的订立</w:t>
      </w:r>
    </w:p>
    <w:p>
      <w:pPr>
        <w:numPr>
          <w:ilvl w:val="1"/>
          <w:numId w:val="24"/>
        </w:numPr>
        <w:autoSpaceDE w:val="0"/>
        <w:autoSpaceDN w:val="0"/>
        <w:adjustRightInd w:val="0"/>
        <w:snapToGrid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采购人应当自中标通知书发出之日起三十日内，按照招标文件和中标人投标文件的约定，与中标人签订书面合同。所签订的合同不得对招标文件和中标人投标文件作实质性修改</w:t>
      </w:r>
      <w:r>
        <w:rPr>
          <w:rFonts w:hint="eastAsia" w:cs="宋体" w:asciiTheme="minorEastAsia" w:hAnsiTheme="minorEastAsia" w:eastAsiaTheme="minorEastAsia"/>
          <w:color w:val="auto"/>
          <w:sz w:val="24"/>
          <w:szCs w:val="24"/>
          <w:highlight w:val="none"/>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采购人或者采购代理机构</w:t>
      </w:r>
      <w:r>
        <w:rPr>
          <w:rFonts w:hint="eastAsia" w:cs="宋体" w:asciiTheme="minorEastAsia" w:hAnsiTheme="minorEastAsia" w:eastAsiaTheme="minorEastAsia"/>
          <w:color w:val="auto"/>
          <w:sz w:val="24"/>
          <w:szCs w:val="24"/>
          <w:highlight w:val="none"/>
        </w:rPr>
        <w:t>不得向中标人提出任何不合理的要求，作为签订合同的条件，不得与中标人私下订立背离合同实质性内容的协议。</w:t>
      </w:r>
      <w:r>
        <w:rPr>
          <w:rFonts w:cs="宋体" w:asciiTheme="minorEastAsia" w:hAnsiTheme="minorEastAsia" w:eastAsiaTheme="minorEastAsia"/>
          <w:color w:val="auto"/>
          <w:sz w:val="24"/>
          <w:szCs w:val="24"/>
          <w:highlight w:val="none"/>
        </w:rPr>
        <w:t xml:space="preserve"> </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自</w:t>
      </w:r>
      <w:r>
        <w:rPr>
          <w:rFonts w:hint="eastAsia" w:cs="宋体" w:asciiTheme="minorEastAsia" w:hAnsiTheme="minorEastAsia" w:eastAsiaTheme="minorEastAsia"/>
          <w:color w:val="auto"/>
          <w:sz w:val="24"/>
          <w:szCs w:val="24"/>
          <w:highlight w:val="none"/>
          <w:lang w:eastAsia="zh-TW"/>
        </w:rPr>
        <w:t>政府采购</w:t>
      </w:r>
      <w:r>
        <w:rPr>
          <w:rFonts w:hint="eastAsia" w:cs="宋体" w:asciiTheme="minorEastAsia" w:hAnsiTheme="minorEastAsia" w:eastAsiaTheme="minorEastAsia"/>
          <w:color w:val="auto"/>
          <w:sz w:val="24"/>
          <w:szCs w:val="24"/>
          <w:highlight w:val="none"/>
        </w:rPr>
        <w:t>合同签订之日起</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lang w:eastAsia="zh-TW"/>
        </w:rPr>
        <w:t>个工作日内，采购人应将政府采购合同</w:t>
      </w:r>
      <w:r>
        <w:rPr>
          <w:rFonts w:hint="eastAsia" w:cs="宋体" w:asciiTheme="minorEastAsia" w:hAnsiTheme="minorEastAsia" w:eastAsiaTheme="minorEastAsia"/>
          <w:color w:val="auto"/>
          <w:sz w:val="24"/>
          <w:szCs w:val="24"/>
          <w:highlight w:val="none"/>
        </w:rPr>
        <w:t>在省级以上人民政府财政部门指定的媒体上公告，但政府采购合同中涉及国家秘密、商业秘密的内容除外</w:t>
      </w:r>
      <w:r>
        <w:rPr>
          <w:rFonts w:hint="eastAsia" w:cs="宋体" w:asciiTheme="minorEastAsia" w:hAnsiTheme="minorEastAsia" w:eastAsiaTheme="minorEastAsia"/>
          <w:color w:val="auto"/>
          <w:sz w:val="24"/>
          <w:szCs w:val="24"/>
          <w:highlight w:val="none"/>
          <w:lang w:eastAsia="zh-TW"/>
        </w:rPr>
        <w:t>。</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TW"/>
        </w:rPr>
        <w:t>政府采购</w:t>
      </w:r>
      <w:r>
        <w:rPr>
          <w:rFonts w:hint="eastAsia" w:cs="宋体" w:asciiTheme="minorEastAsia" w:hAnsiTheme="minorEastAsia" w:eastAsiaTheme="minorEastAsia"/>
          <w:color w:val="auto"/>
          <w:sz w:val="24"/>
          <w:szCs w:val="24"/>
          <w:highlight w:val="none"/>
        </w:rPr>
        <w:t>合同签订之日起七</w:t>
      </w:r>
      <w:r>
        <w:rPr>
          <w:rFonts w:hint="eastAsia" w:cs="宋体" w:asciiTheme="minorEastAsia" w:hAnsiTheme="minorEastAsia" w:eastAsiaTheme="minorEastAsia"/>
          <w:color w:val="auto"/>
          <w:sz w:val="24"/>
          <w:szCs w:val="24"/>
          <w:highlight w:val="none"/>
          <w:lang w:eastAsia="zh-TW"/>
        </w:rPr>
        <w:t>个工作日内，采购人应将政府采购合同副本报政府采购监督管理部门备案</w:t>
      </w:r>
      <w:r>
        <w:rPr>
          <w:rFonts w:hint="eastAsia" w:cs="宋体" w:asciiTheme="minorEastAsia" w:hAnsiTheme="minorEastAsia" w:eastAsiaTheme="minorEastAsia"/>
          <w:color w:val="auto"/>
          <w:sz w:val="24"/>
          <w:szCs w:val="24"/>
          <w:highlight w:val="none"/>
        </w:rPr>
        <w:t>和有关部门备案</w:t>
      </w:r>
      <w:r>
        <w:rPr>
          <w:rFonts w:hint="eastAsia" w:cs="宋体" w:asciiTheme="minorEastAsia" w:hAnsiTheme="minorEastAsia" w:eastAsiaTheme="minorEastAsia"/>
          <w:color w:val="auto"/>
          <w:sz w:val="24"/>
          <w:szCs w:val="24"/>
          <w:highlight w:val="none"/>
          <w:lang w:eastAsia="zh-TW"/>
        </w:rPr>
        <w:t>。</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合同的履行</w:t>
      </w:r>
    </w:p>
    <w:p>
      <w:pPr>
        <w:numPr>
          <w:ilvl w:val="1"/>
          <w:numId w:val="24"/>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numPr>
          <w:ilvl w:val="1"/>
          <w:numId w:val="24"/>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政府采购合同履行中，采购人需追加与合同标的相同的货物、工程或者服务的，在不改变合同其他条款的前提下，可以与供应商签订补充合同，但所补充合同的采购金额不得超过原</w:t>
      </w:r>
      <w:r>
        <w:rPr>
          <w:rFonts w:hint="eastAsia" w:cs="宋体" w:asciiTheme="minorEastAsia" w:hAnsiTheme="minorEastAsia" w:eastAsiaTheme="minorEastAsia"/>
          <w:color w:val="auto"/>
          <w:sz w:val="24"/>
          <w:szCs w:val="24"/>
          <w:highlight w:val="none"/>
        </w:rPr>
        <w:t>合同</w:t>
      </w:r>
      <w:r>
        <w:rPr>
          <w:rFonts w:hint="eastAsia" w:cs="宋体" w:asciiTheme="minorEastAsia" w:hAnsiTheme="minorEastAsia" w:eastAsiaTheme="minorEastAsia"/>
          <w:color w:val="auto"/>
          <w:sz w:val="24"/>
          <w:szCs w:val="24"/>
          <w:highlight w:val="none"/>
          <w:lang w:eastAsia="zh-TW"/>
        </w:rPr>
        <w:t>采购金额的百分之十。签订补充合同的必须按规定备案。</w:t>
      </w:r>
    </w:p>
    <w:p>
      <w:pPr>
        <w:numPr>
          <w:ilvl w:val="0"/>
          <w:numId w:val="24"/>
        </w:numPr>
        <w:autoSpaceDE w:val="0"/>
        <w:autoSpaceDN w:val="0"/>
        <w:adjustRightInd w:val="0"/>
        <w:snapToGrid w:val="0"/>
        <w:spacing w:line="420" w:lineRule="exact"/>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履约保证金</w:t>
      </w:r>
    </w:p>
    <w:p>
      <w:pPr>
        <w:numPr>
          <w:ilvl w:val="1"/>
          <w:numId w:val="24"/>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lang w:eastAsia="zh-TW"/>
        </w:rPr>
        <w:t>中标人应按照</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lang w:eastAsia="zh-TW"/>
        </w:rPr>
        <w:t>规定的</w:t>
      </w:r>
      <w:r>
        <w:rPr>
          <w:rFonts w:hint="eastAsia" w:cs="宋体" w:asciiTheme="minorEastAsia" w:hAnsiTheme="minorEastAsia" w:eastAsiaTheme="minorEastAsia"/>
          <w:color w:val="auto"/>
          <w:sz w:val="24"/>
          <w:szCs w:val="24"/>
          <w:highlight w:val="none"/>
        </w:rPr>
        <w:t>金额，</w:t>
      </w:r>
      <w:r>
        <w:rPr>
          <w:rFonts w:hint="eastAsia" w:cs="宋体" w:asciiTheme="minorEastAsia" w:hAnsiTheme="minorEastAsia" w:eastAsiaTheme="minorEastAsia"/>
          <w:color w:val="auto"/>
          <w:sz w:val="24"/>
          <w:szCs w:val="24"/>
          <w:highlight w:val="none"/>
          <w:lang w:eastAsia="zh-TW"/>
        </w:rPr>
        <w:t>采用招标文件中提供的履约保证金保函格式或采购人可以接受的其他形式向采购人提交履约保证金。</w:t>
      </w:r>
    </w:p>
    <w:p>
      <w:pPr>
        <w:numPr>
          <w:ilvl w:val="0"/>
          <w:numId w:val="24"/>
        </w:numPr>
        <w:autoSpaceDE w:val="0"/>
        <w:autoSpaceDN w:val="0"/>
        <w:adjustRightInd w:val="0"/>
        <w:snapToGrid w:val="0"/>
        <w:spacing w:line="420" w:lineRule="exact"/>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招标代理服务费</w:t>
      </w:r>
    </w:p>
    <w:p>
      <w:pPr>
        <w:numPr>
          <w:ilvl w:val="1"/>
          <w:numId w:val="24"/>
        </w:numPr>
        <w:autoSpaceDE w:val="0"/>
        <w:autoSpaceDN w:val="0"/>
        <w:adjustRightInd w:val="0"/>
        <w:snapToGrid w:val="0"/>
        <w:spacing w:line="420" w:lineRule="exact"/>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中标人应按照招标文件</w:t>
      </w:r>
      <w:r>
        <w:rPr>
          <w:rFonts w:hint="eastAsia" w:cs="宋体" w:asciiTheme="minorEastAsia" w:hAnsiTheme="minorEastAsia" w:eastAsiaTheme="minorEastAsia"/>
          <w:b/>
          <w:bCs/>
          <w:color w:val="auto"/>
          <w:sz w:val="24"/>
          <w:szCs w:val="24"/>
          <w:highlight w:val="none"/>
        </w:rPr>
        <w:t>投标资料表</w:t>
      </w:r>
      <w:r>
        <w:rPr>
          <w:rFonts w:hint="eastAsia" w:cs="宋体" w:asciiTheme="minorEastAsia" w:hAnsiTheme="minorEastAsia" w:eastAsiaTheme="minorEastAsia"/>
          <w:color w:val="auto"/>
          <w:sz w:val="24"/>
          <w:szCs w:val="24"/>
          <w:highlight w:val="none"/>
        </w:rPr>
        <w:t>中的规定缴纳招标代理服务费。</w:t>
      </w:r>
    </w:p>
    <w:p>
      <w:pPr>
        <w:spacing w:line="420" w:lineRule="exact"/>
        <w:ind w:left="420" w:left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服务费按差额定率累进法计算。参照中华人民共和国国家发展计划委员会颁发的计价格</w:t>
      </w:r>
      <w:r>
        <w:rPr>
          <w:rFonts w:cs="宋体" w:asciiTheme="minorEastAsia" w:hAnsiTheme="minorEastAsia" w:eastAsiaTheme="minorEastAsia"/>
          <w:color w:val="auto"/>
          <w:sz w:val="24"/>
          <w:szCs w:val="24"/>
          <w:highlight w:val="none"/>
        </w:rPr>
        <w:t>[2002]1980</w:t>
      </w:r>
      <w:r>
        <w:rPr>
          <w:rFonts w:hint="eastAsia" w:cs="宋体" w:asciiTheme="minorEastAsia" w:hAnsiTheme="minorEastAsia" w:eastAsiaTheme="minorEastAsia"/>
          <w:color w:val="auto"/>
          <w:sz w:val="24"/>
          <w:szCs w:val="24"/>
          <w:highlight w:val="none"/>
        </w:rPr>
        <w:t>号、国家发改委</w:t>
      </w:r>
      <w:r>
        <w:rPr>
          <w:rFonts w:cs="宋体" w:asciiTheme="minorEastAsia" w:hAnsiTheme="minorEastAsia" w:eastAsiaTheme="minorEastAsia"/>
          <w:color w:val="auto"/>
          <w:sz w:val="24"/>
          <w:szCs w:val="24"/>
          <w:highlight w:val="none"/>
        </w:rPr>
        <w:t>[2003]857</w:t>
      </w:r>
      <w:r>
        <w:rPr>
          <w:rFonts w:hint="eastAsia" w:cs="宋体" w:asciiTheme="minorEastAsia" w:hAnsiTheme="minorEastAsia" w:eastAsiaTheme="minorEastAsia"/>
          <w:color w:val="auto"/>
          <w:sz w:val="24"/>
          <w:szCs w:val="24"/>
          <w:highlight w:val="none"/>
        </w:rPr>
        <w:t>号及发改价格</w:t>
      </w:r>
      <w:r>
        <w:rPr>
          <w:rFonts w:hint="eastAsia" w:asciiTheme="minorEastAsia" w:hAnsiTheme="minorEastAsia" w:eastAsiaTheme="minorEastAsia"/>
          <w:color w:val="auto"/>
          <w:sz w:val="24"/>
          <w:szCs w:val="24"/>
          <w:highlight w:val="none"/>
        </w:rPr>
        <w:sym w:font="Symbol" w:char="F05B"/>
      </w:r>
      <w:r>
        <w:rPr>
          <w:rFonts w:cs="宋体" w:asciiTheme="minorEastAsia" w:hAnsiTheme="minorEastAsia" w:eastAsiaTheme="minorEastAsia"/>
          <w:color w:val="auto"/>
          <w:sz w:val="24"/>
          <w:szCs w:val="24"/>
          <w:highlight w:val="none"/>
        </w:rPr>
        <w:t>2011</w:t>
      </w:r>
      <w:r>
        <w:rPr>
          <w:rFonts w:hint="eastAsia" w:asciiTheme="minorEastAsia" w:hAnsiTheme="minorEastAsia" w:eastAsiaTheme="minorEastAsia"/>
          <w:color w:val="auto"/>
          <w:sz w:val="24"/>
          <w:szCs w:val="24"/>
          <w:highlight w:val="none"/>
        </w:rPr>
        <w:sym w:font="Symbol" w:char="F05D"/>
      </w:r>
      <w:r>
        <w:rPr>
          <w:rFonts w:cs="宋体" w:asciiTheme="minorEastAsia" w:hAnsiTheme="minorEastAsia" w:eastAsiaTheme="minorEastAsia"/>
          <w:color w:val="auto"/>
          <w:sz w:val="24"/>
          <w:szCs w:val="24"/>
          <w:highlight w:val="none"/>
        </w:rPr>
        <w:t>534</w:t>
      </w:r>
      <w:r>
        <w:rPr>
          <w:rFonts w:hint="eastAsia" w:cs="宋体" w:asciiTheme="minorEastAsia" w:hAnsiTheme="minorEastAsia" w:eastAsiaTheme="minorEastAsia"/>
          <w:color w:val="auto"/>
          <w:sz w:val="24"/>
          <w:szCs w:val="24"/>
          <w:highlight w:val="none"/>
        </w:rPr>
        <w:t>号文规定的“</w:t>
      </w:r>
      <w:r>
        <w:rPr>
          <w:rFonts w:hint="eastAsia" w:cs="宋体" w:asciiTheme="minorEastAsia" w:hAnsiTheme="minorEastAsia" w:eastAsiaTheme="minorEastAsia"/>
          <w:b/>
          <w:bCs/>
          <w:color w:val="auto"/>
          <w:sz w:val="24"/>
          <w:szCs w:val="24"/>
          <w:highlight w:val="none"/>
        </w:rPr>
        <w:t>货物类</w:t>
      </w:r>
      <w:r>
        <w:rPr>
          <w:rFonts w:hint="eastAsia" w:cs="宋体" w:asciiTheme="minorEastAsia" w:hAnsiTheme="minorEastAsia" w:eastAsiaTheme="minorEastAsia"/>
          <w:color w:val="auto"/>
          <w:sz w:val="24"/>
          <w:szCs w:val="24"/>
          <w:highlight w:val="none"/>
        </w:rPr>
        <w:t>”下浮12</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计算。</w:t>
      </w:r>
    </w:p>
    <w:p>
      <w:pPr>
        <w:numPr>
          <w:ilvl w:val="1"/>
          <w:numId w:val="24"/>
        </w:numPr>
        <w:autoSpaceDE w:val="0"/>
        <w:autoSpaceDN w:val="0"/>
        <w:adjustRightInd w:val="0"/>
        <w:snapToGrid w:val="0"/>
        <w:spacing w:line="360" w:lineRule="auto"/>
        <w:rPr>
          <w:rFonts w:asciiTheme="minorEastAsia" w:hAnsiTheme="minorEastAsia" w:eastAsiaTheme="minorEastAsia"/>
          <w:color w:val="auto"/>
          <w:sz w:val="24"/>
          <w:szCs w:val="24"/>
          <w:highlight w:val="none"/>
        </w:rPr>
      </w:pPr>
    </w:p>
    <w:tbl>
      <w:tblPr>
        <w:tblStyle w:val="3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02"/>
        <w:gridCol w:w="3260"/>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802" w:type="dxa"/>
            <w:tcBorders>
              <w:top w:val="single" w:color="auto" w:sz="12" w:space="0"/>
            </w:tcBorders>
          </w:tcPr>
          <w:p>
            <w:pPr>
              <w:snapToGrid w:val="0"/>
              <w:ind w:firstLine="1320" w:firstLineChars="5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32385</wp:posOffset>
                      </wp:positionV>
                      <wp:extent cx="1654810" cy="321310"/>
                      <wp:effectExtent l="635" t="4445" r="1905" b="17145"/>
                      <wp:wrapNone/>
                      <wp:docPr id="7" name="直接连接符 2"/>
                      <wp:cNvGraphicFramePr/>
                      <a:graphic xmlns:a="http://schemas.openxmlformats.org/drawingml/2006/main">
                        <a:graphicData uri="http://schemas.microsoft.com/office/word/2010/wordprocessingShape">
                          <wps:wsp>
                            <wps:cNvCnPr/>
                            <wps:spPr>
                              <a:xfrm>
                                <a:off x="0" y="0"/>
                                <a:ext cx="1654810" cy="3213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65pt;margin-top:2.55pt;height:25.3pt;width:130.3pt;z-index:251659264;mso-width-relative:page;mso-height-relative:page;" filled="f" stroked="t" coordsize="21600,21600" o:gfxdata="UEsDBAoAAAAAAIdO4kAAAAAAAAAAAAAAAAAEAAAAZHJzL1BLAwQUAAAACACHTuJA6Ai1ctQAAAAH&#10;AQAADwAAAGRycy9kb3ducmV2LnhtbE2OPU/DQBBEeyT+w2mRaKLkbEcmyPicAnBHQwCl3fgW28K3&#10;5/guH/Dr2VRQPs1o5pXrsxvUkabQezaQLhJQxI23PbcG3t/q+T2oEJEtDp7JwDcFWFfXVyUW1p/4&#10;lY6b2CoZ4VCggS7GsdA6NB05DAs/Ekv26SeHUXBqtZ3wJONu0FmS3GmHPctDhyM9dtR8bQ7OQKg/&#10;aF//zJpZsl22nrL908szGnN7kyYPoCKd418ZLvqiDpU47fyBbVCDgXm+lKaBPAUlcZZfeCecr0BX&#10;pf7vX/0CUEsDBBQAAAAIAIdO4kABtDAW9AEAAOsDAAAOAAAAZHJzL2Uyb0RvYy54bWytU0uOEzEQ&#10;3SNxB8t70kmGDEMrnVlMGDYIRgIOULHdaUv+yeVJJ5fgAkjsYMWSPbdhOAZldxOGYZMFvXBX2c/P&#10;9Z7Ly8u9NWynImrvGj6bTDlTTnip3bbh799dP7ngDBM4CcY71fCDQn65evxo2YdazX3njVSREYnD&#10;ug8N71IKdVWh6JQFnPigHC22PlpIlMZtJSP0xG5NNZ9Oz6veRxmiFwqRZtfDIh8Z4ymEvm21UGsv&#10;bq1yaWCNykAiSdjpgHxVqm1bJdKbtkWVmGk4KU1lpEMo3uSxWi2h3kYInRZjCXBKCQ80WdCODj1S&#10;rSEBu436HyqrRfTo2zQR3laDkOIIqZhNH3jztoOgihayGsPRdPx/tOL17iYyLRv+jDMHli787uO3&#10;Hx8+//z+ica7r1/YPJvUB6wJe+Vu4phhuIlZ8b6NNv9JC9sXYw9HY9U+MUGTs/PF04sZeS5o7Ww+&#10;O6OYaKo/u0PE9FJ5y3LQcKNdFg417F5hGqC/IXnaONY3/PliviBOoC5s6fYptIGUoNuWveiNltfa&#10;mLwD43ZzZSLbQe6E8o0l/AXLh6wBuwFXljIM6k6BfOEkS4dAHjl6GjyXYJXkzCh6STkqyATanIIk&#10;9cZlalX6dNSZjR6szdHGy0NxvMoZ9UAxbezX3GT3c4rvv9H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gItXLUAAAABwEAAA8AAAAAAAAAAQAgAAAAIgAAAGRycy9kb3ducmV2LnhtbFBLAQIUABQA&#10;AAAIAIdO4kABtDAW9AEAAOsDAAAOAAAAAAAAAAEAIAAAACMBAABkcnMvZTJvRG9jLnhtbFBLBQYA&#10;AAAABgAGAFkBAACJBQAAAAA=&#10;">
                      <v:fill on="f" focussize="0,0"/>
                      <v:stroke color="#000000" joinstyle="round"/>
                      <v:imagedata o:title=""/>
                      <o:lock v:ext="edit" aspectratio="f"/>
                    </v:line>
                  </w:pict>
                </mc:Fallback>
              </mc:AlternateContent>
            </w:r>
            <w:r>
              <w:rPr>
                <w:rFonts w:hint="eastAsia" w:cs="宋体" w:asciiTheme="minorEastAsia" w:hAnsiTheme="minorEastAsia" w:eastAsiaTheme="minorEastAsia"/>
                <w:color w:val="auto"/>
                <w:sz w:val="24"/>
                <w:szCs w:val="24"/>
                <w:highlight w:val="none"/>
              </w:rPr>
              <w:t>费率</w:t>
            </w:r>
          </w:p>
          <w:p>
            <w:pPr>
              <w:snapToGrid w:val="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中标金额</w:t>
            </w:r>
          </w:p>
        </w:tc>
        <w:tc>
          <w:tcPr>
            <w:tcW w:w="3260" w:type="dxa"/>
            <w:tcBorders>
              <w:top w:val="single" w:color="auto" w:sz="12" w:space="0"/>
            </w:tcBorders>
            <w:vAlign w:val="center"/>
          </w:tcPr>
          <w:p>
            <w:pPr>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货物招标</w:t>
            </w:r>
          </w:p>
        </w:tc>
        <w:tc>
          <w:tcPr>
            <w:tcW w:w="3260" w:type="dxa"/>
            <w:tcBorders>
              <w:top w:val="single" w:color="auto" w:sz="12" w:space="0"/>
            </w:tcBorders>
            <w:vAlign w:val="center"/>
          </w:tcPr>
          <w:p>
            <w:pPr>
              <w:snapToGrid w:val="0"/>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万元以下</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1.5%</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500</w:t>
            </w:r>
            <w:r>
              <w:rPr>
                <w:rFonts w:hint="eastAsia" w:cs="宋体" w:asciiTheme="minorEastAsia" w:hAnsiTheme="minorEastAsia" w:eastAsiaTheme="minorEastAsia"/>
                <w:color w:val="auto"/>
                <w:sz w:val="24"/>
                <w:szCs w:val="24"/>
                <w:highlight w:val="none"/>
              </w:rPr>
              <w:t>万元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1.1%</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500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1000</w:t>
            </w:r>
            <w:r>
              <w:rPr>
                <w:rFonts w:hint="eastAsia" w:cs="宋体" w:asciiTheme="minorEastAsia" w:hAnsiTheme="minorEastAsia" w:eastAsiaTheme="minorEastAsia"/>
                <w:color w:val="auto"/>
                <w:sz w:val="24"/>
                <w:szCs w:val="24"/>
                <w:highlight w:val="none"/>
              </w:rPr>
              <w:t>万元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0.8%</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5000</w:t>
            </w:r>
            <w:r>
              <w:rPr>
                <w:rFonts w:hint="eastAsia" w:cs="宋体" w:asciiTheme="minorEastAsia" w:hAnsiTheme="minorEastAsia" w:eastAsiaTheme="minorEastAsia"/>
                <w:color w:val="auto"/>
                <w:sz w:val="24"/>
                <w:szCs w:val="24"/>
                <w:highlight w:val="none"/>
              </w:rPr>
              <w:t>万元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0.5%</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5000</w:t>
            </w:r>
            <w:r>
              <w:rPr>
                <w:rFonts w:hint="eastAsia" w:cs="宋体" w:asciiTheme="minorEastAsia" w:hAnsiTheme="minorEastAsia" w:eastAsiaTheme="minorEastAsia"/>
                <w:color w:val="auto"/>
                <w:sz w:val="24"/>
                <w:szCs w:val="24"/>
                <w:highlight w:val="none"/>
              </w:rPr>
              <w:t>万元～</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0.25%</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0.05%</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10</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0.035%</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50</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0.008%</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802"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50</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亿元</w:t>
            </w:r>
          </w:p>
        </w:tc>
        <w:tc>
          <w:tcPr>
            <w:tcW w:w="3260" w:type="dxa"/>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0.006%</w:t>
            </w:r>
          </w:p>
        </w:tc>
        <w:tc>
          <w:tcPr>
            <w:tcW w:w="3260" w:type="dxa"/>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802" w:type="dxa"/>
            <w:tcBorders>
              <w:bottom w:val="single" w:color="auto" w:sz="12" w:space="0"/>
            </w:tcBorders>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亿以上</w:t>
            </w:r>
          </w:p>
        </w:tc>
        <w:tc>
          <w:tcPr>
            <w:tcW w:w="3260" w:type="dxa"/>
            <w:tcBorders>
              <w:bottom w:val="single" w:color="auto" w:sz="12" w:space="0"/>
            </w:tcBorders>
            <w:vAlign w:val="center"/>
          </w:tcPr>
          <w:p>
            <w:pPr>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0.004%</w:t>
            </w:r>
          </w:p>
        </w:tc>
        <w:tc>
          <w:tcPr>
            <w:tcW w:w="3260" w:type="dxa"/>
            <w:tcBorders>
              <w:bottom w:val="single" w:color="auto" w:sz="12" w:space="0"/>
            </w:tcBorders>
            <w:vAlign w:val="center"/>
          </w:tcPr>
          <w:p>
            <w:pPr>
              <w:ind w:firstLine="240" w:firstLineChars="100"/>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0.004%</w:t>
            </w:r>
          </w:p>
        </w:tc>
      </w:tr>
    </w:tbl>
    <w:p>
      <w:pPr>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例如：某货物招标中标金额为280万元，计算招标代理服务收费额如下：</w:t>
      </w:r>
    </w:p>
    <w:p>
      <w:pPr>
        <w:snapToGrid w:val="0"/>
        <w:spacing w:line="360" w:lineRule="auto"/>
        <w:ind w:left="332" w:leftChars="158" w:firstLine="1680" w:firstLineChars="7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100</w:t>
      </w:r>
      <w:r>
        <w:rPr>
          <w:rFonts w:hint="eastAsia" w:cs="宋体" w:asciiTheme="minorEastAsia" w:hAnsiTheme="minorEastAsia" w:eastAsiaTheme="minorEastAsia"/>
          <w:color w:val="auto"/>
          <w:sz w:val="24"/>
          <w:szCs w:val="24"/>
          <w:highlight w:val="none"/>
        </w:rPr>
        <w:t>万元×</w:t>
      </w:r>
      <w:r>
        <w:rPr>
          <w:rFonts w:cs="宋体" w:asciiTheme="minorEastAsia" w:hAnsiTheme="minorEastAsia" w:eastAsiaTheme="minorEastAsia"/>
          <w:color w:val="auto"/>
          <w:sz w:val="24"/>
          <w:szCs w:val="24"/>
          <w:highlight w:val="none"/>
        </w:rPr>
        <w:t>1.5%=1.5</w:t>
      </w:r>
      <w:r>
        <w:rPr>
          <w:rFonts w:hint="eastAsia" w:cs="宋体" w:asciiTheme="minorEastAsia" w:hAnsiTheme="minorEastAsia" w:eastAsiaTheme="minorEastAsia"/>
          <w:color w:val="auto"/>
          <w:sz w:val="24"/>
          <w:szCs w:val="24"/>
          <w:highlight w:val="none"/>
        </w:rPr>
        <w:t>万元</w:t>
      </w:r>
    </w:p>
    <w:p>
      <w:pPr>
        <w:snapToGrid w:val="0"/>
        <w:spacing w:line="360" w:lineRule="auto"/>
        <w:ind w:left="332" w:leftChars="158"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（280</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100）万元×</w:t>
      </w:r>
      <w:r>
        <w:rPr>
          <w:rFonts w:cs="宋体" w:asciiTheme="minorEastAsia" w:hAnsiTheme="minorEastAsia" w:eastAsiaTheme="minorEastAsia"/>
          <w:color w:val="auto"/>
          <w:sz w:val="24"/>
          <w:szCs w:val="24"/>
          <w:highlight w:val="none"/>
        </w:rPr>
        <w:t>1.1%=</w:t>
      </w:r>
      <w:r>
        <w:rPr>
          <w:rFonts w:hint="eastAsia" w:cs="宋体" w:asciiTheme="minorEastAsia" w:hAnsiTheme="minorEastAsia" w:eastAsiaTheme="minorEastAsia"/>
          <w:color w:val="auto"/>
          <w:sz w:val="24"/>
          <w:szCs w:val="24"/>
          <w:highlight w:val="none"/>
        </w:rPr>
        <w:t>1</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98万元</w:t>
      </w:r>
    </w:p>
    <w:p>
      <w:pPr>
        <w:snapToGrid w:val="0"/>
        <w:spacing w:line="360" w:lineRule="auto"/>
        <w:ind w:left="332" w:leftChars="158" w:firstLine="1320" w:firstLineChars="5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合计收费</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1.5+</w:t>
      </w:r>
      <w:r>
        <w:rPr>
          <w:rFonts w:hint="eastAsia" w:cs="宋体" w:asciiTheme="minorEastAsia" w:hAnsiTheme="minorEastAsia" w:eastAsiaTheme="minorEastAsia"/>
          <w:color w:val="auto"/>
          <w:sz w:val="24"/>
          <w:szCs w:val="24"/>
          <w:highlight w:val="none"/>
        </w:rPr>
        <w:t>1.98) ×88%</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3.0624（万元）</w:t>
      </w:r>
    </w:p>
    <w:p>
      <w:pPr>
        <w:numPr>
          <w:ilvl w:val="1"/>
          <w:numId w:val="24"/>
        </w:numPr>
        <w:tabs>
          <w:tab w:val="left" w:pos="709"/>
        </w:tabs>
        <w:autoSpaceDE w:val="0"/>
        <w:autoSpaceDN w:val="0"/>
        <w:adjustRightInd w:val="0"/>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经依法取消中标资格的，招标代理服务费不予退还。</w:t>
      </w:r>
    </w:p>
    <w:p>
      <w:pPr>
        <w:numPr>
          <w:ilvl w:val="0"/>
          <w:numId w:val="24"/>
        </w:numPr>
        <w:autoSpaceDE w:val="0"/>
        <w:autoSpaceDN w:val="0"/>
        <w:adjustRightInd w:val="0"/>
        <w:snapToGrid w:val="0"/>
        <w:spacing w:line="360" w:lineRule="auto"/>
        <w:ind w:left="513" w:hanging="513" w:hangingChars="213"/>
        <w:outlineLvl w:val="2"/>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询问函、质疑函格式</w:t>
      </w:r>
    </w:p>
    <w:p>
      <w:pPr>
        <w:snapToGrid w:val="0"/>
        <w:spacing w:line="360" w:lineRule="auto"/>
        <w:ind w:firstLine="436" w:firstLineChars="201"/>
        <w:rPr>
          <w:rFonts w:asciiTheme="minorEastAsia" w:hAnsiTheme="minorEastAsia" w:eastAsiaTheme="minorEastAsia"/>
          <w:b/>
          <w:bCs/>
          <w:color w:val="auto"/>
          <w:spacing w:val="-12"/>
          <w:sz w:val="24"/>
          <w:szCs w:val="24"/>
          <w:highlight w:val="none"/>
        </w:rPr>
      </w:pPr>
      <w:r>
        <w:rPr>
          <w:rFonts w:hint="eastAsia" w:cs="宋体" w:asciiTheme="minorEastAsia" w:hAnsiTheme="minorEastAsia" w:eastAsiaTheme="minorEastAsia"/>
          <w:b/>
          <w:bCs/>
          <w:color w:val="auto"/>
          <w:spacing w:val="-12"/>
          <w:sz w:val="24"/>
          <w:szCs w:val="24"/>
          <w:highlight w:val="none"/>
        </w:rPr>
        <w:t>说明：本部分格式为投标人提交询问函、质疑函时使用，不属于投标文件格式的组成部分。</w:t>
      </w:r>
    </w:p>
    <w:p>
      <w:pPr>
        <w:pStyle w:val="36"/>
        <w:adjustRightInd w:val="0"/>
        <w:snapToGrid w:val="0"/>
        <w:spacing w:before="0" w:beforeAutospacing="0" w:after="0" w:afterAutospacing="0" w:line="360" w:lineRule="auto"/>
        <w:jc w:val="both"/>
        <w:outlineLvl w:val="3"/>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br w:type="page"/>
      </w: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：询问函格式</w:t>
      </w:r>
    </w:p>
    <w:p>
      <w:pPr>
        <w:pStyle w:val="36"/>
        <w:spacing w:before="0" w:beforeAutospacing="0" w:after="0" w:afterAutospacing="0" w:line="360" w:lineRule="auto"/>
        <w:jc w:val="center"/>
        <w:rPr>
          <w:rStyle w:val="41"/>
          <w:rFonts w:asciiTheme="minorEastAsia" w:hAnsiTheme="minorEastAsia" w:eastAsiaTheme="minorEastAsia"/>
          <w:color w:val="auto"/>
          <w:highlight w:val="none"/>
        </w:rPr>
      </w:pPr>
      <w:r>
        <w:rPr>
          <w:rStyle w:val="41"/>
          <w:rFonts w:hint="eastAsia" w:asciiTheme="minorEastAsia" w:hAnsiTheme="minorEastAsia" w:eastAsiaTheme="minorEastAsia"/>
          <w:color w:val="auto"/>
          <w:highlight w:val="none"/>
        </w:rPr>
        <w:t>询问函</w:t>
      </w:r>
    </w:p>
    <w:p>
      <w:pPr>
        <w:widowControl/>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广东远东招标代理有限公司：</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我单位已按规定获取招标文件并准备参与</w:t>
      </w:r>
      <w:r>
        <w:rPr>
          <w:rFonts w:hint="eastAsia" w:cs="宋体" w:asciiTheme="minorEastAsia" w:hAnsiTheme="minorEastAsia" w:eastAsiaTheme="minorEastAsia"/>
          <w:color w:val="auto"/>
          <w:sz w:val="24"/>
          <w:szCs w:val="24"/>
          <w:highlight w:val="none"/>
          <w:u w:val="single"/>
        </w:rPr>
        <w:t>（采购项目完整项目名称）</w:t>
      </w:r>
      <w:r>
        <w:rPr>
          <w:rFonts w:hint="eastAsia" w:cs="宋体" w:asciiTheme="minorEastAsia" w:hAnsiTheme="minorEastAsia" w:eastAsiaTheme="minorEastAsia"/>
          <w:color w:val="auto"/>
          <w:sz w:val="24"/>
          <w:szCs w:val="24"/>
          <w:highlight w:val="none"/>
        </w:rPr>
        <w:t>项目（项目采购编号：</w:t>
      </w:r>
      <w:r>
        <w:rPr>
          <w:rFonts w:hint="eastAsia" w:cs="宋体" w:asciiTheme="minorEastAsia" w:hAnsiTheme="minorEastAsia" w:eastAsiaTheme="minorEastAsia"/>
          <w:color w:val="auto"/>
          <w:sz w:val="24"/>
          <w:szCs w:val="24"/>
          <w:highlight w:val="none"/>
          <w:u w:val="single"/>
        </w:rPr>
        <w:t>（采购项目完整编号）</w:t>
      </w:r>
      <w:r>
        <w:rPr>
          <w:rFonts w:hint="eastAsia" w:cs="宋体" w:asciiTheme="minorEastAsia" w:hAnsiTheme="minorEastAsia" w:eastAsiaTheme="minorEastAsia"/>
          <w:color w:val="auto"/>
          <w:sz w:val="24"/>
          <w:szCs w:val="24"/>
          <w:highlight w:val="none"/>
        </w:rPr>
        <w:t>）的投标（或报价）活动，现有以下几个内容（或条款）存在疑问（或无法理解），特提出询问。</w:t>
      </w:r>
    </w:p>
    <w:p>
      <w:pPr>
        <w:widowControl/>
        <w:tabs>
          <w:tab w:val="center" w:pos="5019"/>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w:t>
      </w:r>
      <w:r>
        <w:rPr>
          <w:rFonts w:cs="宋体" w:asciiTheme="minorEastAsia" w:hAnsiTheme="minorEastAsia" w:eastAsiaTheme="minorEastAsia"/>
          <w:color w:val="auto"/>
          <w:sz w:val="24"/>
          <w:szCs w:val="24"/>
          <w:highlight w:val="none"/>
        </w:rPr>
        <w:t>_____________________</w:t>
      </w:r>
      <w:r>
        <w:rPr>
          <w:rFonts w:hint="eastAsia" w:cs="宋体" w:asciiTheme="minorEastAsia" w:hAnsiTheme="minorEastAsia" w:eastAsiaTheme="minorEastAsia"/>
          <w:color w:val="auto"/>
          <w:sz w:val="24"/>
          <w:szCs w:val="24"/>
          <w:highlight w:val="none"/>
        </w:rPr>
        <w:t>（事项一）</w:t>
      </w:r>
      <w:r>
        <w:rPr>
          <w:rFonts w:asciiTheme="minorEastAsia" w:hAnsiTheme="minorEastAsia" w:eastAsiaTheme="minorEastAsia"/>
          <w:color w:val="auto"/>
          <w:sz w:val="24"/>
          <w:szCs w:val="24"/>
          <w:highlight w:val="none"/>
        </w:rPr>
        <w:tab/>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____________________</w:t>
      </w:r>
      <w:r>
        <w:rPr>
          <w:rFonts w:hint="eastAsia" w:cs="宋体" w:asciiTheme="minorEastAsia" w:hAnsiTheme="minorEastAsia" w:eastAsiaTheme="minorEastAsia"/>
          <w:color w:val="auto"/>
          <w:sz w:val="24"/>
          <w:szCs w:val="24"/>
          <w:highlight w:val="none"/>
        </w:rPr>
        <w:t>（问题或条款内容）</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____________________</w:t>
      </w:r>
      <w:r>
        <w:rPr>
          <w:rFonts w:hint="eastAsia" w:cs="宋体" w:asciiTheme="minorEastAsia" w:hAnsiTheme="minorEastAsia" w:eastAsiaTheme="minorEastAsia"/>
          <w:color w:val="auto"/>
          <w:sz w:val="24"/>
          <w:szCs w:val="24"/>
          <w:highlight w:val="none"/>
        </w:rPr>
        <w:t>（说明疑问或无法理解原因）</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____________________</w:t>
      </w:r>
      <w:r>
        <w:rPr>
          <w:rFonts w:hint="eastAsia" w:cs="宋体" w:asciiTheme="minorEastAsia" w:hAnsiTheme="minorEastAsia" w:eastAsiaTheme="minorEastAsia"/>
          <w:color w:val="auto"/>
          <w:sz w:val="24"/>
          <w:szCs w:val="24"/>
          <w:highlight w:val="none"/>
        </w:rPr>
        <w:t>（建议）</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w:t>
      </w:r>
      <w:r>
        <w:rPr>
          <w:rFonts w:cs="宋体" w:asciiTheme="minorEastAsia" w:hAnsiTheme="minorEastAsia" w:eastAsiaTheme="minorEastAsia"/>
          <w:color w:val="auto"/>
          <w:sz w:val="24"/>
          <w:szCs w:val="24"/>
          <w:highlight w:val="none"/>
        </w:rPr>
        <w:t>_____________________</w:t>
      </w:r>
      <w:r>
        <w:rPr>
          <w:rFonts w:hint="eastAsia" w:cs="宋体" w:asciiTheme="minorEastAsia" w:hAnsiTheme="minorEastAsia" w:eastAsiaTheme="minorEastAsia"/>
          <w:color w:val="auto"/>
          <w:sz w:val="24"/>
          <w:szCs w:val="24"/>
          <w:highlight w:val="none"/>
        </w:rPr>
        <w:t>（事项二）</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p>
      <w:pPr>
        <w:widowControl/>
        <w:tabs>
          <w:tab w:val="left" w:pos="6300"/>
        </w:tabs>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随附相关证明材料如下：（目录）。</w:t>
      </w:r>
    </w:p>
    <w:p>
      <w:pPr>
        <w:widowControl/>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询问人：（公章）</w:t>
      </w:r>
    </w:p>
    <w:p>
      <w:pPr>
        <w:widowControl/>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法定代表人（授权代表）：</w:t>
      </w:r>
    </w:p>
    <w:p>
      <w:pPr>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邮编：</w:t>
      </w:r>
    </w:p>
    <w:p>
      <w:pPr>
        <w:tabs>
          <w:tab w:val="left" w:pos="6300"/>
        </w:tabs>
        <w:snapToGrid w:val="0"/>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电话</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传真：</w:t>
      </w:r>
    </w:p>
    <w:p>
      <w:pPr>
        <w:spacing w:line="360" w:lineRule="auto"/>
        <w:ind w:firstLine="1440" w:firstLineChars="6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 月 日</w:t>
      </w:r>
    </w:p>
    <w:p>
      <w:pPr>
        <w:snapToGrid w:val="0"/>
        <w:spacing w:line="360" w:lineRule="auto"/>
        <w:ind w:firstLine="482" w:firstLineChars="201"/>
        <w:rPr>
          <w:rFonts w:asciiTheme="minorEastAsia" w:hAnsiTheme="minorEastAsia" w:eastAsiaTheme="minorEastAsia"/>
          <w:color w:val="auto"/>
          <w:sz w:val="24"/>
          <w:szCs w:val="24"/>
          <w:highlight w:val="none"/>
        </w:rPr>
      </w:pPr>
    </w:p>
    <w:p>
      <w:pPr>
        <w:pStyle w:val="36"/>
        <w:adjustRightInd w:val="0"/>
        <w:snapToGrid w:val="0"/>
        <w:spacing w:before="0" w:beforeAutospacing="0" w:after="0" w:afterAutospacing="0" w:line="360" w:lineRule="auto"/>
        <w:jc w:val="both"/>
        <w:outlineLvl w:val="3"/>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br w:type="page"/>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：质疑函格式</w:t>
      </w:r>
    </w:p>
    <w:p>
      <w:pPr>
        <w:pStyle w:val="36"/>
        <w:spacing w:before="0" w:beforeAutospacing="0" w:after="0" w:afterAutospacing="0" w:line="360" w:lineRule="auto"/>
        <w:jc w:val="center"/>
        <w:rPr>
          <w:rStyle w:val="41"/>
          <w:rFonts w:asciiTheme="minorEastAsia" w:hAnsiTheme="minorEastAsia" w:eastAsiaTheme="minorEastAsia"/>
          <w:color w:val="auto"/>
          <w:highlight w:val="none"/>
        </w:rPr>
      </w:pPr>
      <w:r>
        <w:rPr>
          <w:rStyle w:val="41"/>
          <w:rFonts w:hint="eastAsia" w:asciiTheme="minorEastAsia" w:hAnsiTheme="minorEastAsia" w:eastAsiaTheme="minorEastAsia"/>
          <w:color w:val="auto"/>
          <w:highlight w:val="none"/>
        </w:rPr>
        <w:t>质疑函</w:t>
      </w:r>
    </w:p>
    <w:p>
      <w:pPr>
        <w:widowControl/>
        <w:spacing w:line="360" w:lineRule="auto"/>
        <w:jc w:val="center"/>
        <w:rPr>
          <w:rFonts w:asciiTheme="minorEastAsia" w:hAnsiTheme="minorEastAsia" w:eastAsiaTheme="minorEastAsia"/>
          <w:b/>
          <w:bCs/>
          <w:color w:val="auto"/>
          <w:spacing w:val="10"/>
          <w:sz w:val="24"/>
          <w:szCs w:val="24"/>
          <w:highlight w:val="none"/>
        </w:rPr>
      </w:pPr>
      <w:r>
        <w:rPr>
          <w:rFonts w:cs="宋体" w:asciiTheme="minorEastAsia" w:hAnsiTheme="minorEastAsia" w:eastAsiaTheme="minorEastAsia"/>
          <w:color w:val="auto"/>
          <w:spacing w:val="10"/>
          <w:sz w:val="24"/>
          <w:szCs w:val="24"/>
          <w:highlight w:val="none"/>
        </w:rPr>
        <w:t>(</w:t>
      </w:r>
      <w:r>
        <w:rPr>
          <w:rFonts w:hint="eastAsia" w:cs="宋体" w:asciiTheme="minorEastAsia" w:hAnsiTheme="minorEastAsia" w:eastAsiaTheme="minorEastAsia"/>
          <w:color w:val="auto"/>
          <w:spacing w:val="10"/>
          <w:sz w:val="24"/>
          <w:szCs w:val="24"/>
          <w:highlight w:val="none"/>
        </w:rPr>
        <w:t>可根据质疑内容增加或删减</w:t>
      </w:r>
      <w:r>
        <w:rPr>
          <w:rFonts w:cs="宋体" w:asciiTheme="minorEastAsia" w:hAnsiTheme="minorEastAsia" w:eastAsiaTheme="minorEastAsia"/>
          <w:color w:val="auto"/>
          <w:spacing w:val="10"/>
          <w:sz w:val="24"/>
          <w:szCs w:val="24"/>
          <w:highlight w:val="none"/>
        </w:rPr>
        <w:t>)</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37" w:name="_Toc74243170"/>
      <w:bookmarkStart w:id="138" w:name="_Toc22294"/>
      <w:r>
        <w:rPr>
          <w:rFonts w:hint="eastAsia" w:cs="宋体" w:asciiTheme="minorEastAsia" w:hAnsiTheme="minorEastAsia" w:eastAsiaTheme="minorEastAsia"/>
          <w:b/>
          <w:bCs/>
          <w:color w:val="auto"/>
          <w:sz w:val="24"/>
          <w:szCs w:val="24"/>
          <w:highlight w:val="none"/>
        </w:rPr>
        <w:t>一、质疑供应商基本信息</w:t>
      </w:r>
      <w:bookmarkEnd w:id="137"/>
      <w:bookmarkEnd w:id="138"/>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质疑供应商：</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邮编：</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联系人：</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联系电话：</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授权代表：</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联系电话：</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电子邮箱：</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39" w:name="_Toc15793"/>
      <w:bookmarkStart w:id="140" w:name="_Toc74243171"/>
      <w:r>
        <w:rPr>
          <w:rFonts w:hint="eastAsia" w:cs="宋体" w:asciiTheme="minorEastAsia" w:hAnsiTheme="minorEastAsia" w:eastAsiaTheme="minorEastAsia"/>
          <w:b/>
          <w:bCs/>
          <w:color w:val="auto"/>
          <w:sz w:val="24"/>
          <w:szCs w:val="24"/>
          <w:highlight w:val="none"/>
        </w:rPr>
        <w:t>二、质疑项目基本情况</w:t>
      </w:r>
      <w:bookmarkEnd w:id="139"/>
      <w:bookmarkEnd w:id="140"/>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质疑项目的名称：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质疑项目的编号：</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包组号：</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采购人名称：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招标文件获取日期：</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质疑环节：</w:t>
      </w:r>
      <w:r>
        <w:rPr>
          <w:rFonts w:hint="eastAsia" w:cs="宋体" w:asciiTheme="minorEastAsia" w:hAnsiTheme="minorEastAsia" w:eastAsiaTheme="minorEastAsia"/>
          <w:i/>
          <w:iCs/>
          <w:color w:val="auto"/>
          <w:sz w:val="24"/>
          <w:szCs w:val="24"/>
          <w:highlight w:val="none"/>
        </w:rPr>
        <w:t>采购文件</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rPr>
        <w:t>开标过程</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rPr>
        <w:t>评审过程、中标或者成交结果</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rPr>
        <w:t>其他：</w:t>
      </w:r>
      <w:r>
        <w:rPr>
          <w:rFonts w:hint="eastAsia" w:cs="宋体" w:asciiTheme="minorEastAsia" w:hAnsiTheme="minorEastAsia" w:eastAsiaTheme="minorEastAsia"/>
          <w:i/>
          <w:iCs/>
          <w:color w:val="auto"/>
          <w:sz w:val="24"/>
          <w:szCs w:val="24"/>
          <w:highlight w:val="none"/>
          <w:u w:val="single"/>
        </w:rPr>
        <w:t>（请填写具体环节）</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41" w:name="_Toc8439"/>
      <w:bookmarkStart w:id="142" w:name="_Toc74243172"/>
      <w:r>
        <w:rPr>
          <w:rFonts w:hint="eastAsia" w:cs="宋体" w:asciiTheme="minorEastAsia" w:hAnsiTheme="minorEastAsia" w:eastAsiaTheme="minorEastAsia"/>
          <w:b/>
          <w:bCs/>
          <w:color w:val="auto"/>
          <w:sz w:val="24"/>
          <w:szCs w:val="24"/>
          <w:highlight w:val="none"/>
        </w:rPr>
        <w:t>三、质疑事项具体内容</w:t>
      </w:r>
      <w:bookmarkEnd w:id="141"/>
      <w:bookmarkEnd w:id="142"/>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质疑事项</w:t>
      </w: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u w:val="single"/>
        </w:rPr>
        <w:t>（质疑事项</w:t>
      </w:r>
      <w:r>
        <w:rPr>
          <w:rFonts w:cs="宋体" w:asciiTheme="minorEastAsia" w:hAnsiTheme="minorEastAsia" w:eastAsiaTheme="minorEastAsia"/>
          <w:i/>
          <w:iCs/>
          <w:color w:val="auto"/>
          <w:sz w:val="24"/>
          <w:szCs w:val="24"/>
          <w:highlight w:val="none"/>
          <w:u w:val="single"/>
        </w:rPr>
        <w:t>1</w:t>
      </w:r>
      <w:r>
        <w:rPr>
          <w:rFonts w:hint="eastAsia" w:cs="宋体" w:asciiTheme="minorEastAsia" w:hAnsiTheme="minorEastAsia" w:eastAsiaTheme="minorEastAsia"/>
          <w:i/>
          <w:iCs/>
          <w:color w:val="auto"/>
          <w:sz w:val="24"/>
          <w:szCs w:val="24"/>
          <w:highlight w:val="none"/>
          <w:u w:val="single"/>
        </w:rPr>
        <w:t>标题或简要描述）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事实依据：</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法律依据：</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u w:val="single"/>
        </w:rPr>
      </w:pP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质疑事项</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i/>
          <w:iCs/>
          <w:color w:val="auto"/>
          <w:sz w:val="24"/>
          <w:szCs w:val="24"/>
          <w:highlight w:val="none"/>
          <w:u w:val="single"/>
        </w:rPr>
        <w:t>（质疑事项</w:t>
      </w:r>
      <w:r>
        <w:rPr>
          <w:rFonts w:cs="宋体" w:asciiTheme="minorEastAsia" w:hAnsiTheme="minorEastAsia" w:eastAsiaTheme="minorEastAsia"/>
          <w:i/>
          <w:iCs/>
          <w:color w:val="auto"/>
          <w:sz w:val="24"/>
          <w:szCs w:val="24"/>
          <w:highlight w:val="none"/>
          <w:u w:val="single"/>
        </w:rPr>
        <w:t>1</w:t>
      </w:r>
      <w:r>
        <w:rPr>
          <w:rFonts w:hint="eastAsia" w:cs="宋体" w:asciiTheme="minorEastAsia" w:hAnsiTheme="minorEastAsia" w:eastAsiaTheme="minorEastAsia"/>
          <w:i/>
          <w:iCs/>
          <w:color w:val="auto"/>
          <w:sz w:val="24"/>
          <w:szCs w:val="24"/>
          <w:highlight w:val="none"/>
          <w:u w:val="single"/>
        </w:rPr>
        <w:t>标题或简要描述）</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p>
      <w:pPr>
        <w:autoSpaceDE w:val="0"/>
        <w:autoSpaceDN w:val="0"/>
        <w:spacing w:line="360" w:lineRule="auto"/>
        <w:outlineLvl w:val="0"/>
        <w:rPr>
          <w:rFonts w:asciiTheme="minorEastAsia" w:hAnsiTheme="minorEastAsia" w:eastAsiaTheme="minorEastAsia"/>
          <w:b/>
          <w:bCs/>
          <w:color w:val="auto"/>
          <w:sz w:val="24"/>
          <w:szCs w:val="24"/>
          <w:highlight w:val="none"/>
        </w:rPr>
      </w:pPr>
      <w:bookmarkStart w:id="143" w:name="_Toc74243173"/>
      <w:bookmarkStart w:id="144" w:name="_Toc3218"/>
      <w:r>
        <w:rPr>
          <w:rFonts w:hint="eastAsia" w:cs="宋体" w:asciiTheme="minorEastAsia" w:hAnsiTheme="minorEastAsia" w:eastAsiaTheme="minorEastAsia"/>
          <w:b/>
          <w:bCs/>
          <w:color w:val="auto"/>
          <w:sz w:val="24"/>
          <w:szCs w:val="24"/>
          <w:highlight w:val="none"/>
        </w:rPr>
        <w:t>四、与质疑事项相关的质疑请求</w:t>
      </w:r>
      <w:bookmarkEnd w:id="143"/>
      <w:bookmarkEnd w:id="144"/>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请求：</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代表（签字或盖章）：</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（机构供应商）公章：</w:t>
      </w:r>
      <w:r>
        <w:rPr>
          <w:rFonts w:cs="宋体" w:asciiTheme="minorEastAsia" w:hAnsiTheme="minorEastAsia" w:eastAsiaTheme="minorEastAsia"/>
          <w:color w:val="auto"/>
          <w:sz w:val="24"/>
          <w:szCs w:val="24"/>
          <w:highlight w:val="none"/>
          <w:u w:val="single"/>
        </w:rPr>
        <w:t xml:space="preserve">               </w:t>
      </w:r>
    </w:p>
    <w:p>
      <w:pPr>
        <w:autoSpaceDE w:val="0"/>
        <w:autoSpaceDN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质疑日期：</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autoSpaceDE w:val="0"/>
        <w:autoSpaceDN w:val="0"/>
        <w:spacing w:line="360" w:lineRule="auto"/>
        <w:rPr>
          <w:rFonts w:asciiTheme="minorEastAsia" w:hAnsiTheme="minorEastAsia" w:eastAsiaTheme="minorEastAsia"/>
          <w:color w:val="auto"/>
          <w:sz w:val="24"/>
          <w:szCs w:val="24"/>
          <w:highlight w:val="none"/>
        </w:rPr>
      </w:pPr>
    </w:p>
    <w:p>
      <w:pPr>
        <w:autoSpaceDE w:val="0"/>
        <w:autoSpaceDN w:val="0"/>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质疑函制作说明：</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供应商提出质疑时，应提交质疑函和必要的证明材料。</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质疑供应商若对项目的某一包组进行质疑，质疑函中应列明具体包组号。</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质疑函的质疑事项应具体、明确，并有必要的事实依据和法律依据。</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质疑函的质疑请求应与质疑事项相关。</w:t>
      </w:r>
    </w:p>
    <w:p>
      <w:pPr>
        <w:autoSpaceDE w:val="0"/>
        <w:autoSpaceDN w:val="0"/>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rPr>
        <w:t>质疑供应商为自然人的，质疑函应由本人签字；质疑供应商为法人或者其他组织的，质疑函应由法定代表人、主要负责人，或者其授权代表签字或者盖章，并加盖公章。</w:t>
      </w: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asciiTheme="minorEastAsia" w:hAnsiTheme="minorEastAsia" w:eastAsiaTheme="minorEastAsia"/>
          <w:color w:val="auto"/>
          <w:sz w:val="24"/>
          <w:szCs w:val="24"/>
          <w:highlight w:val="none"/>
          <w:u w:val="single"/>
        </w:rPr>
      </w:pPr>
    </w:p>
    <w:p>
      <w:pPr>
        <w:widowControl/>
        <w:snapToGrid w:val="0"/>
        <w:spacing w:line="360" w:lineRule="auto"/>
        <w:rPr>
          <w:rFonts w:cs="宋体" w:asciiTheme="minorEastAsia" w:hAnsiTheme="minorEastAsia" w:eastAsiaTheme="minorEastAsia"/>
          <w:color w:val="auto"/>
          <w:sz w:val="24"/>
          <w:szCs w:val="24"/>
          <w:highlight w:val="none"/>
        </w:rPr>
      </w:pPr>
    </w:p>
    <w:p>
      <w:pPr>
        <w:widowControl/>
        <w:snapToGrid w:val="0"/>
        <w:spacing w:line="360" w:lineRule="auto"/>
        <w:rPr>
          <w:rFonts w:asciiTheme="minorEastAsia" w:hAnsiTheme="minorEastAsia" w:eastAsiaTheme="minorEastAsia"/>
          <w:color w:val="auto"/>
          <w:sz w:val="24"/>
          <w:szCs w:val="24"/>
          <w:highlight w:val="none"/>
          <w:u w:val="singl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：投诉书格式</w:t>
      </w:r>
    </w:p>
    <w:p>
      <w:pPr>
        <w:widowControl/>
        <w:snapToGrid w:val="0"/>
        <w:spacing w:line="360" w:lineRule="auto"/>
        <w:rPr>
          <w:rFonts w:asciiTheme="minorEastAsia" w:hAnsiTheme="minorEastAsia" w:eastAsiaTheme="minorEastAsia"/>
          <w:color w:val="auto"/>
          <w:sz w:val="24"/>
          <w:szCs w:val="24"/>
          <w:highlight w:val="none"/>
          <w:u w:val="single"/>
        </w:rPr>
      </w:pPr>
    </w:p>
    <w:p>
      <w:pPr>
        <w:spacing w:line="360" w:lineRule="auto"/>
        <w:jc w:val="center"/>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投诉书</w:t>
      </w:r>
    </w:p>
    <w:p>
      <w:pPr>
        <w:widowControl/>
        <w:spacing w:line="360" w:lineRule="auto"/>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pacing w:val="10"/>
          <w:sz w:val="24"/>
          <w:szCs w:val="24"/>
          <w:highlight w:val="none"/>
        </w:rPr>
        <w:t>(</w:t>
      </w:r>
      <w:r>
        <w:rPr>
          <w:rFonts w:hint="eastAsia" w:cs="宋体" w:asciiTheme="minorEastAsia" w:hAnsiTheme="minorEastAsia" w:eastAsiaTheme="minorEastAsia"/>
          <w:color w:val="auto"/>
          <w:spacing w:val="10"/>
          <w:sz w:val="24"/>
          <w:szCs w:val="24"/>
          <w:highlight w:val="none"/>
        </w:rPr>
        <w:t>可根据质疑内容增加或删减</w:t>
      </w:r>
      <w:r>
        <w:rPr>
          <w:rFonts w:cs="宋体" w:asciiTheme="minorEastAsia" w:hAnsiTheme="minorEastAsia" w:eastAsiaTheme="minorEastAsia"/>
          <w:color w:val="auto"/>
          <w:spacing w:val="10"/>
          <w:sz w:val="24"/>
          <w:szCs w:val="24"/>
          <w:highlight w:val="none"/>
        </w:rPr>
        <w:t>)</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一、投诉相关主体基本情况</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投诉人：</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邮编：</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主要负责人：</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联系电话：</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授权代表：</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联系电话：</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邮编：</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被投诉人</w:t>
      </w:r>
      <w:r>
        <w:rPr>
          <w:rFonts w:cs="宋体" w:asciiTheme="minorEastAsia" w:hAnsiTheme="minorEastAsia" w:eastAsiaTheme="minorEastAsia"/>
          <w:color w:val="auto"/>
          <w:sz w:val="24"/>
          <w:szCs w:val="24"/>
          <w:highlight w:val="none"/>
        </w:rPr>
        <w:t xml:space="preserve"> 1</w:t>
      </w:r>
      <w:r>
        <w:rPr>
          <w:rFonts w:hint="eastAsia" w:cs="宋体" w:asciiTheme="minorEastAsia" w:hAnsiTheme="minorEastAsia" w:eastAsiaTheme="minorEastAsia"/>
          <w:color w:val="auto"/>
          <w:sz w:val="24"/>
          <w:szCs w:val="24"/>
          <w:highlight w:val="none"/>
        </w:rPr>
        <w:t>：</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邮编：</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联系人：</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联系电话：</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被投诉人</w:t>
      </w:r>
      <w:r>
        <w:rPr>
          <w:rFonts w:cs="宋体" w:asciiTheme="minorEastAsia" w:hAnsiTheme="minorEastAsia" w:eastAsiaTheme="minorEastAsia"/>
          <w:color w:val="auto"/>
          <w:sz w:val="24"/>
          <w:szCs w:val="24"/>
          <w:highlight w:val="none"/>
        </w:rPr>
        <w:t xml:space="preserve"> 2</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相关供应商：</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址：</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邮编：</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联系人：</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联系电话：</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二、投诉项目基本情况</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采购项目名称：</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采购项目编号：</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包号：</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采购人名称：</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代理机构名称：</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采购文件公告</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是</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否</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公告期限：</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采购结果公告</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是</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否</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公告期限：</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三、质疑基本情况</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投诉人于</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日</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向</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提出质疑，质疑事项为：</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代理机构于</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年</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月</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日</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就质疑事项作出了答复</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没有在法定期限内作出答复。</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四、投诉事项具体内容</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投诉事项</w:t>
      </w:r>
      <w:r>
        <w:rPr>
          <w:rFonts w:cs="宋体" w:asciiTheme="minorEastAsia" w:hAnsiTheme="minorEastAsia" w:eastAsiaTheme="minorEastAsia"/>
          <w:color w:val="auto"/>
          <w:sz w:val="24"/>
          <w:szCs w:val="24"/>
          <w:highlight w:val="none"/>
        </w:rPr>
        <w:t xml:space="preserve"> 1</w:t>
      </w:r>
      <w:r>
        <w:rPr>
          <w:rFonts w:hint="eastAsia" w:cs="宋体" w:asciiTheme="minorEastAsia" w:hAnsiTheme="minorEastAsia" w:eastAsiaTheme="minorEastAsia"/>
          <w:color w:val="auto"/>
          <w:sz w:val="24"/>
          <w:szCs w:val="24"/>
          <w:highlight w:val="none"/>
        </w:rPr>
        <w:t>：</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事实依据：</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法律依据：</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投诉事项</w:t>
      </w:r>
      <w:r>
        <w:rPr>
          <w:rFonts w:cs="宋体" w:asciiTheme="minorEastAsia" w:hAnsiTheme="minorEastAsia" w:eastAsiaTheme="minorEastAsia"/>
          <w:color w:val="auto"/>
          <w:sz w:val="24"/>
          <w:szCs w:val="24"/>
          <w:highlight w:val="none"/>
        </w:rPr>
        <w:t xml:space="preserve"> 2</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五、与投诉事项相关的投诉请求</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请求：</w:t>
      </w: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签章</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公章：</w:t>
      </w:r>
    </w:p>
    <w:p>
      <w:pPr>
        <w:widowControl/>
        <w:snapToGrid w:val="0"/>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日期：</w:t>
      </w:r>
    </w:p>
    <w:p>
      <w:pPr>
        <w:pStyle w:val="16"/>
        <w:rPr>
          <w:rFonts w:asciiTheme="minorEastAsia" w:hAnsiTheme="minorEastAsia" w:eastAsiaTheme="minorEastAsia"/>
          <w:color w:val="auto"/>
          <w:sz w:val="24"/>
          <w:szCs w:val="24"/>
          <w:highlight w:val="none"/>
        </w:rPr>
      </w:pPr>
    </w:p>
    <w:p>
      <w:pPr>
        <w:pStyle w:val="16"/>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投诉书制作说明：</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投诉人提起投诉时，应当提交投诉书和必要的证明材料，并按照被投诉人和与投诉事项有关的供应商数量提供投诉书副本。</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投诉人若对项目的某一分包进行投诉，投诉书应列明具体分包号。</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投诉书应简要列明质疑事项，质疑函、质疑答复等作为附件材料提供。</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投诉书的投诉事项应具体、明确，并有必要的事实依据和法律依据。</w:t>
      </w:r>
    </w:p>
    <w:p>
      <w:pPr>
        <w:spacing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rPr>
        <w:t>投诉书的投诉请求应与投诉事项相关。</w:t>
      </w:r>
    </w:p>
    <w:p>
      <w:pPr>
        <w:pStyle w:val="16"/>
        <w:spacing w:after="0" w:line="360" w:lineRule="auto"/>
        <w:ind w:firstLine="480" w:firstLineChars="200"/>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7.</w:t>
      </w:r>
      <w:r>
        <w:rPr>
          <w:rFonts w:hint="eastAsia" w:cs="宋体" w:asciiTheme="minorEastAsia" w:hAnsiTheme="minorEastAsia" w:eastAsiaTheme="minorEastAsia"/>
          <w:color w:val="auto"/>
          <w:sz w:val="24"/>
          <w:szCs w:val="24"/>
          <w:highlight w:val="none"/>
        </w:rPr>
        <w:t>投诉人为自然人的，投诉书应当由本人签字；投诉人为法人或者其他组织的，投诉书应当由法定代表人、主要负责人，或者其授权代表签字或者盖章，并加盖公章。</w:t>
      </w:r>
    </w:p>
    <w:p>
      <w:pPr>
        <w:spacing w:line="360" w:lineRule="auto"/>
        <w:rPr>
          <w:rFonts w:asciiTheme="minorEastAsia" w:hAnsiTheme="minorEastAsia" w:eastAsiaTheme="minorEastAsia"/>
          <w:color w:val="auto"/>
          <w:sz w:val="24"/>
          <w:szCs w:val="24"/>
          <w:highlight w:val="none"/>
        </w:rPr>
      </w:pPr>
    </w:p>
    <w:p>
      <w:pPr>
        <w:rPr>
          <w:rFonts w:asciiTheme="minorEastAsia" w:hAnsiTheme="minorEastAsia" w:eastAsiaTheme="minorEastAsia"/>
          <w:color w:val="auto"/>
          <w:sz w:val="24"/>
          <w:szCs w:val="24"/>
          <w:highlight w:val="none"/>
        </w:rPr>
      </w:pPr>
    </w:p>
    <w:sectPr>
      <w:pgSz w:w="11906" w:h="16838"/>
      <w:pgMar w:top="1418" w:right="1191" w:bottom="1134" w:left="1191"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efaul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0"/>
      </w:pBdr>
      <w:wordWrap w:val="0"/>
      <w:ind w:firstLine="180" w:firstLineChars="10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7"/>
                          </w:pPr>
                          <w:r>
                            <w:rPr>
                              <w:rFonts w:hint="eastAsia" w:cs="宋体"/>
                            </w:rPr>
                            <w:t>第</w:t>
                          </w:r>
                          <w:r>
                            <w:t xml:space="preserve"> </w:t>
                          </w:r>
                          <w:r>
                            <w:fldChar w:fldCharType="begin"/>
                          </w:r>
                          <w:r>
                            <w:instrText xml:space="preserve"> PAGE  \* MERGEFORMAT </w:instrText>
                          </w:r>
                          <w:r>
                            <w:fldChar w:fldCharType="separate"/>
                          </w:r>
                          <w:r>
                            <w:t>37</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jyxM0BAACnAwAADgAAAGRycy9lMm9Eb2MueG1srVPNjtMwEL4j8Q6W&#10;7zRpk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sjyxM0BAACnAwAADgAAAAAAAAABACAAAAAeAQAAZHJzL2Uy&#10;b0RvYy54bWxQSwUGAAAAAAYABgBZAQAAXQUAAAAA&#10;">
              <v:fill on="f" focussize="0,0"/>
              <v:stroke on="f"/>
              <v:imagedata o:title=""/>
              <o:lock v:ext="edit" aspectratio="f"/>
              <v:textbox inset="0mm,0mm,0mm,0mm" style="mso-fit-shape-to-text:t;">
                <w:txbxContent>
                  <w:p>
                    <w:pPr>
                      <w:pStyle w:val="27"/>
                    </w:pPr>
                    <w:r>
                      <w:rPr>
                        <w:rFonts w:hint="eastAsia" w:cs="宋体"/>
                      </w:rPr>
                      <w:t>第</w:t>
                    </w:r>
                    <w:r>
                      <w:t xml:space="preserve"> </w:t>
                    </w:r>
                    <w:r>
                      <w:fldChar w:fldCharType="begin"/>
                    </w:r>
                    <w:r>
                      <w:instrText xml:space="preserve"> PAGE  \* MERGEFORMAT </w:instrText>
                    </w:r>
                    <w:r>
                      <w:fldChar w:fldCharType="separate"/>
                    </w:r>
                    <w:r>
                      <w:t>37</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宋体"/>
      </w:rPr>
    </w:pPr>
    <w:r>
      <w:rPr>
        <w:rFonts w:hint="eastAsia" w:ascii="宋体"/>
      </w:rPr>
      <w:t>项目名称：广医大2022年第五临床学院一流专业建设采购项目（二）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B68C9"/>
    <w:multiLevelType w:val="singleLevel"/>
    <w:tmpl w:val="9ECB68C9"/>
    <w:lvl w:ilvl="0" w:tentative="0">
      <w:start w:val="14"/>
      <w:numFmt w:val="decimal"/>
      <w:suff w:val="space"/>
      <w:lvlText w:val="%1."/>
      <w:lvlJc w:val="left"/>
    </w:lvl>
  </w:abstractNum>
  <w:abstractNum w:abstractNumId="1">
    <w:nsid w:val="C025D8E7"/>
    <w:multiLevelType w:val="singleLevel"/>
    <w:tmpl w:val="C025D8E7"/>
    <w:lvl w:ilvl="0" w:tentative="0">
      <w:start w:val="2"/>
      <w:numFmt w:val="decimal"/>
      <w:suff w:val="nothing"/>
      <w:lvlText w:val="%1、"/>
      <w:lvlJc w:val="left"/>
    </w:lvl>
  </w:abstractNum>
  <w:abstractNum w:abstractNumId="2">
    <w:nsid w:val="03F62668"/>
    <w:multiLevelType w:val="multilevel"/>
    <w:tmpl w:val="03F62668"/>
    <w:lvl w:ilvl="0" w:tentative="0">
      <w:start w:val="1"/>
      <w:numFmt w:val="decimal"/>
      <w:lvlText w:val="%1."/>
      <w:lvlJc w:val="left"/>
      <w:pPr>
        <w:ind w:left="425" w:hanging="425"/>
      </w:pPr>
      <w:rPr>
        <w:rFonts w:hint="eastAsia" w:ascii="宋体" w:hAnsi="宋体" w:eastAsia="宋体"/>
        <w:b w:val="0"/>
        <w:bCs w:val="0"/>
      </w:rPr>
    </w:lvl>
    <w:lvl w:ilvl="1" w:tentative="0">
      <w:start w:val="1"/>
      <w:numFmt w:val="decimal"/>
      <w:lvlText w:val="%1.%2."/>
      <w:lvlJc w:val="left"/>
      <w:pPr>
        <w:ind w:left="567" w:hanging="567"/>
      </w:pPr>
      <w:rPr>
        <w:rFonts w:ascii="宋体" w:hAnsi="宋体" w:eastAsia="宋体"/>
        <w:b w:val="0"/>
        <w:bCs w:val="0"/>
        <w:sz w:val="21"/>
        <w:szCs w:val="21"/>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098B5B8C"/>
    <w:multiLevelType w:val="multilevel"/>
    <w:tmpl w:val="098B5B8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B71780"/>
    <w:multiLevelType w:val="multilevel"/>
    <w:tmpl w:val="0BB71780"/>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045FD"/>
    <w:multiLevelType w:val="multilevel"/>
    <w:tmpl w:val="190045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0F1A09"/>
    <w:multiLevelType w:val="multilevel"/>
    <w:tmpl w:val="190F1A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8D8FA7"/>
    <w:multiLevelType w:val="singleLevel"/>
    <w:tmpl w:val="1C8D8FA7"/>
    <w:lvl w:ilvl="0" w:tentative="0">
      <w:start w:val="1"/>
      <w:numFmt w:val="chineseCounting"/>
      <w:suff w:val="nothing"/>
      <w:lvlText w:val="%1、"/>
      <w:lvlJc w:val="left"/>
      <w:rPr>
        <w:rFonts w:hint="eastAsia"/>
      </w:rPr>
    </w:lvl>
  </w:abstractNum>
  <w:abstractNum w:abstractNumId="8">
    <w:nsid w:val="24212C01"/>
    <w:multiLevelType w:val="multilevel"/>
    <w:tmpl w:val="24212C01"/>
    <w:lvl w:ilvl="0" w:tentative="0">
      <w:start w:val="1"/>
      <w:numFmt w:val="chineseCountingThousand"/>
      <w:lvlText w:val="%1、"/>
      <w:lvlJc w:val="left"/>
      <w:pPr>
        <w:tabs>
          <w:tab w:val="left" w:pos="420"/>
        </w:tabs>
        <w:ind w:left="420" w:hanging="420"/>
      </w:pPr>
      <w:rPr>
        <w:rFonts w:hint="eastAsia"/>
        <w:color w:val="auto"/>
      </w:rPr>
    </w:lvl>
    <w:lvl w:ilvl="1" w:tentative="0">
      <w:start w:val="1"/>
      <w:numFmt w:val="decimal"/>
      <w:lvlText w:val="%2."/>
      <w:lvlJc w:val="left"/>
      <w:pPr>
        <w:tabs>
          <w:tab w:val="left" w:pos="840"/>
        </w:tabs>
        <w:ind w:left="840" w:hanging="420"/>
      </w:pPr>
      <w:rPr>
        <w:rFonts w:hint="eastAsia" w:ascii="宋体" w:hAnsi="宋体" w:eastAsia="宋体"/>
        <w:b w:val="0"/>
        <w:bCs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230DDC"/>
    <w:multiLevelType w:val="multilevel"/>
    <w:tmpl w:val="24230DDC"/>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bCs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bCs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2C61436A"/>
    <w:multiLevelType w:val="multilevel"/>
    <w:tmpl w:val="2C6143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23426E"/>
    <w:multiLevelType w:val="multilevel"/>
    <w:tmpl w:val="2D23426E"/>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2">
    <w:nsid w:val="36D724EB"/>
    <w:multiLevelType w:val="multilevel"/>
    <w:tmpl w:val="36D724EB"/>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3">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9EC7344"/>
    <w:multiLevelType w:val="multilevel"/>
    <w:tmpl w:val="59EC7344"/>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5">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bCs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bCs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600914E3"/>
    <w:multiLevelType w:val="multilevel"/>
    <w:tmpl w:val="600914E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6415CE"/>
    <w:multiLevelType w:val="multilevel"/>
    <w:tmpl w:val="616415CE"/>
    <w:lvl w:ilvl="0" w:tentative="0">
      <w:start w:val="1"/>
      <w:numFmt w:val="decimal"/>
      <w:lvlText w:val="%1."/>
      <w:lvlJc w:val="left"/>
      <w:pPr>
        <w:ind w:left="425" w:hanging="425"/>
      </w:pPr>
    </w:lvl>
    <w:lvl w:ilvl="1" w:tentative="0">
      <w:start w:val="1"/>
      <w:numFmt w:val="decimal"/>
      <w:lvlText w:val="%1.%2."/>
      <w:lvlJc w:val="left"/>
      <w:pPr>
        <w:ind w:left="567" w:hanging="567"/>
      </w:pPr>
      <w:rPr>
        <w:b w:val="0"/>
        <w:bCs w:val="0"/>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rPr>
        <w:strike w:val="0"/>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65966952"/>
    <w:multiLevelType w:val="multilevel"/>
    <w:tmpl w:val="65966952"/>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EAE5E76"/>
    <w:multiLevelType w:val="multilevel"/>
    <w:tmpl w:val="6EAE5E76"/>
    <w:lvl w:ilvl="0" w:tentative="0">
      <w:start w:val="1"/>
      <w:numFmt w:val="decimal"/>
      <w:lvlText w:val="%1."/>
      <w:lvlJc w:val="left"/>
      <w:pPr>
        <w:tabs>
          <w:tab w:val="left" w:pos="420"/>
        </w:tabs>
        <w:ind w:left="420" w:hanging="420"/>
      </w:pPr>
      <w:rPr>
        <w:rFonts w:hint="eastAsia" w:ascii="宋体" w:hAnsi="宋体" w:eastAsia="宋体"/>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2A91BB4"/>
    <w:multiLevelType w:val="multilevel"/>
    <w:tmpl w:val="72A91BB4"/>
    <w:lvl w:ilvl="0" w:tentative="0">
      <w:start w:val="1"/>
      <w:numFmt w:val="japaneseCount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A851134"/>
    <w:multiLevelType w:val="multilevel"/>
    <w:tmpl w:val="7A851134"/>
    <w:lvl w:ilvl="0" w:tentative="0">
      <w:start w:val="1"/>
      <w:numFmt w:val="decimal"/>
      <w:lvlText w:val="%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15"/>
  </w:num>
  <w:num w:numId="5">
    <w:abstractNumId w:val="2"/>
  </w:num>
  <w:num w:numId="6">
    <w:abstractNumId w:val="9"/>
  </w:num>
  <w:num w:numId="7">
    <w:abstractNumId w:val="1"/>
  </w:num>
  <w:num w:numId="8">
    <w:abstractNumId w:val="0"/>
  </w:num>
  <w:num w:numId="9">
    <w:abstractNumId w:val="14"/>
  </w:num>
  <w:num w:numId="10">
    <w:abstractNumId w:val="10"/>
  </w:num>
  <w:num w:numId="11">
    <w:abstractNumId w:val="12"/>
  </w:num>
  <w:num w:numId="12">
    <w:abstractNumId w:val="23"/>
  </w:num>
  <w:num w:numId="13">
    <w:abstractNumId w:val="11"/>
  </w:num>
  <w:num w:numId="14">
    <w:abstractNumId w:val="5"/>
  </w:num>
  <w:num w:numId="15">
    <w:abstractNumId w:val="22"/>
  </w:num>
  <w:num w:numId="16">
    <w:abstractNumId w:val="13"/>
  </w:num>
  <w:num w:numId="17">
    <w:abstractNumId w:val="19"/>
  </w:num>
  <w:num w:numId="18">
    <w:abstractNumId w:val="6"/>
  </w:num>
  <w:num w:numId="19">
    <w:abstractNumId w:val="4"/>
  </w:num>
  <w:num w:numId="20">
    <w:abstractNumId w:val="20"/>
  </w:num>
  <w:num w:numId="21">
    <w:abstractNumId w:val="8"/>
  </w:num>
  <w:num w:numId="22">
    <w:abstractNumId w:val="3"/>
  </w:num>
  <w:num w:numId="23">
    <w:abstractNumId w:val="17"/>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理-梁">
    <w15:presenceInfo w15:providerId="WPS Office" w15:userId="5916001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F9"/>
    <w:rsid w:val="000125A7"/>
    <w:rsid w:val="00032728"/>
    <w:rsid w:val="00046E96"/>
    <w:rsid w:val="000565C0"/>
    <w:rsid w:val="000741DA"/>
    <w:rsid w:val="000913EE"/>
    <w:rsid w:val="000A2602"/>
    <w:rsid w:val="000A44D2"/>
    <w:rsid w:val="000A534F"/>
    <w:rsid w:val="000A678E"/>
    <w:rsid w:val="000C1915"/>
    <w:rsid w:val="000C1FA5"/>
    <w:rsid w:val="000C66F2"/>
    <w:rsid w:val="000C781F"/>
    <w:rsid w:val="000D2ADE"/>
    <w:rsid w:val="000D43B6"/>
    <w:rsid w:val="000E4725"/>
    <w:rsid w:val="00106A13"/>
    <w:rsid w:val="0012665B"/>
    <w:rsid w:val="00126930"/>
    <w:rsid w:val="00132F9C"/>
    <w:rsid w:val="00136171"/>
    <w:rsid w:val="001429AA"/>
    <w:rsid w:val="001530BC"/>
    <w:rsid w:val="00170263"/>
    <w:rsid w:val="001722ED"/>
    <w:rsid w:val="00176DCC"/>
    <w:rsid w:val="0018265E"/>
    <w:rsid w:val="001924AE"/>
    <w:rsid w:val="001936B3"/>
    <w:rsid w:val="00196242"/>
    <w:rsid w:val="001C5FEE"/>
    <w:rsid w:val="001E0EAB"/>
    <w:rsid w:val="001F3254"/>
    <w:rsid w:val="001F484C"/>
    <w:rsid w:val="00222C58"/>
    <w:rsid w:val="00223309"/>
    <w:rsid w:val="00224DEC"/>
    <w:rsid w:val="002251F8"/>
    <w:rsid w:val="00225279"/>
    <w:rsid w:val="00252D65"/>
    <w:rsid w:val="00255096"/>
    <w:rsid w:val="002742A5"/>
    <w:rsid w:val="00277B92"/>
    <w:rsid w:val="002A1573"/>
    <w:rsid w:val="002B3B0A"/>
    <w:rsid w:val="002B4138"/>
    <w:rsid w:val="002C3506"/>
    <w:rsid w:val="002C42DC"/>
    <w:rsid w:val="002C6DE4"/>
    <w:rsid w:val="002F7FF8"/>
    <w:rsid w:val="00304650"/>
    <w:rsid w:val="00305E17"/>
    <w:rsid w:val="00307583"/>
    <w:rsid w:val="003106F0"/>
    <w:rsid w:val="003201B3"/>
    <w:rsid w:val="0033457C"/>
    <w:rsid w:val="00341203"/>
    <w:rsid w:val="00347BC8"/>
    <w:rsid w:val="00347E37"/>
    <w:rsid w:val="003642F3"/>
    <w:rsid w:val="00372AF8"/>
    <w:rsid w:val="00376011"/>
    <w:rsid w:val="0038057B"/>
    <w:rsid w:val="003867A1"/>
    <w:rsid w:val="0039420F"/>
    <w:rsid w:val="003A00F4"/>
    <w:rsid w:val="003B3D43"/>
    <w:rsid w:val="003B3DDD"/>
    <w:rsid w:val="003D4BE7"/>
    <w:rsid w:val="003D59A3"/>
    <w:rsid w:val="003E4038"/>
    <w:rsid w:val="00421DE4"/>
    <w:rsid w:val="0046061F"/>
    <w:rsid w:val="00462DD0"/>
    <w:rsid w:val="0046318B"/>
    <w:rsid w:val="004666E9"/>
    <w:rsid w:val="004868E8"/>
    <w:rsid w:val="004B1854"/>
    <w:rsid w:val="004E605A"/>
    <w:rsid w:val="005014D2"/>
    <w:rsid w:val="00522DD0"/>
    <w:rsid w:val="00523B67"/>
    <w:rsid w:val="0052586D"/>
    <w:rsid w:val="00535A2D"/>
    <w:rsid w:val="0055370E"/>
    <w:rsid w:val="00573EA2"/>
    <w:rsid w:val="00594278"/>
    <w:rsid w:val="005F31F3"/>
    <w:rsid w:val="005F3416"/>
    <w:rsid w:val="005F440E"/>
    <w:rsid w:val="006046E3"/>
    <w:rsid w:val="00616C43"/>
    <w:rsid w:val="006172DA"/>
    <w:rsid w:val="00633633"/>
    <w:rsid w:val="006337CD"/>
    <w:rsid w:val="0068149E"/>
    <w:rsid w:val="00684170"/>
    <w:rsid w:val="00691D2F"/>
    <w:rsid w:val="00693510"/>
    <w:rsid w:val="006A13EC"/>
    <w:rsid w:val="006F6C74"/>
    <w:rsid w:val="00703A64"/>
    <w:rsid w:val="007113A2"/>
    <w:rsid w:val="007254C9"/>
    <w:rsid w:val="0073420B"/>
    <w:rsid w:val="0074248C"/>
    <w:rsid w:val="00746656"/>
    <w:rsid w:val="00750302"/>
    <w:rsid w:val="00761056"/>
    <w:rsid w:val="00766776"/>
    <w:rsid w:val="007674E0"/>
    <w:rsid w:val="007703D0"/>
    <w:rsid w:val="007B79B6"/>
    <w:rsid w:val="007E25E4"/>
    <w:rsid w:val="007E41FB"/>
    <w:rsid w:val="007F3A57"/>
    <w:rsid w:val="00854003"/>
    <w:rsid w:val="008767F4"/>
    <w:rsid w:val="00887E2D"/>
    <w:rsid w:val="00890290"/>
    <w:rsid w:val="008B0A06"/>
    <w:rsid w:val="008B4B70"/>
    <w:rsid w:val="008C1FA4"/>
    <w:rsid w:val="008C788A"/>
    <w:rsid w:val="008E461B"/>
    <w:rsid w:val="008E4A73"/>
    <w:rsid w:val="009246FF"/>
    <w:rsid w:val="00934773"/>
    <w:rsid w:val="009403E8"/>
    <w:rsid w:val="00940603"/>
    <w:rsid w:val="00941360"/>
    <w:rsid w:val="00963C89"/>
    <w:rsid w:val="00971E75"/>
    <w:rsid w:val="009815ED"/>
    <w:rsid w:val="00987895"/>
    <w:rsid w:val="00987BEC"/>
    <w:rsid w:val="009A267F"/>
    <w:rsid w:val="009A7377"/>
    <w:rsid w:val="009A78B1"/>
    <w:rsid w:val="009B0E77"/>
    <w:rsid w:val="009C602B"/>
    <w:rsid w:val="009C713D"/>
    <w:rsid w:val="009D65A1"/>
    <w:rsid w:val="009F08EF"/>
    <w:rsid w:val="009F4760"/>
    <w:rsid w:val="00A06BED"/>
    <w:rsid w:val="00A27140"/>
    <w:rsid w:val="00A7069E"/>
    <w:rsid w:val="00A77F7F"/>
    <w:rsid w:val="00A84F8B"/>
    <w:rsid w:val="00A870CF"/>
    <w:rsid w:val="00A92111"/>
    <w:rsid w:val="00A92C87"/>
    <w:rsid w:val="00AD4942"/>
    <w:rsid w:val="00AE6B64"/>
    <w:rsid w:val="00B006B6"/>
    <w:rsid w:val="00B130F7"/>
    <w:rsid w:val="00B34DC3"/>
    <w:rsid w:val="00B4141B"/>
    <w:rsid w:val="00BA3BB6"/>
    <w:rsid w:val="00BE78BC"/>
    <w:rsid w:val="00BF09FA"/>
    <w:rsid w:val="00C01C10"/>
    <w:rsid w:val="00C03EBA"/>
    <w:rsid w:val="00C077C4"/>
    <w:rsid w:val="00C11EFF"/>
    <w:rsid w:val="00C471B1"/>
    <w:rsid w:val="00C52560"/>
    <w:rsid w:val="00C55A57"/>
    <w:rsid w:val="00C8247B"/>
    <w:rsid w:val="00C87C02"/>
    <w:rsid w:val="00CB4C54"/>
    <w:rsid w:val="00CD6BCB"/>
    <w:rsid w:val="00CE687D"/>
    <w:rsid w:val="00D13EB0"/>
    <w:rsid w:val="00D15CDD"/>
    <w:rsid w:val="00D30D76"/>
    <w:rsid w:val="00D36B10"/>
    <w:rsid w:val="00D54DB8"/>
    <w:rsid w:val="00D55185"/>
    <w:rsid w:val="00D753F9"/>
    <w:rsid w:val="00DA3AC5"/>
    <w:rsid w:val="00DC0B11"/>
    <w:rsid w:val="00DD6213"/>
    <w:rsid w:val="00DE675A"/>
    <w:rsid w:val="00E00FD8"/>
    <w:rsid w:val="00E01B89"/>
    <w:rsid w:val="00E15410"/>
    <w:rsid w:val="00E15E9F"/>
    <w:rsid w:val="00E302ED"/>
    <w:rsid w:val="00E307B7"/>
    <w:rsid w:val="00E422D8"/>
    <w:rsid w:val="00E44D10"/>
    <w:rsid w:val="00E52B9F"/>
    <w:rsid w:val="00E63465"/>
    <w:rsid w:val="00EA0B1B"/>
    <w:rsid w:val="00EA73B4"/>
    <w:rsid w:val="00EB0D59"/>
    <w:rsid w:val="00EC5C54"/>
    <w:rsid w:val="00EE07BD"/>
    <w:rsid w:val="00F1310C"/>
    <w:rsid w:val="00F1423B"/>
    <w:rsid w:val="00F2361A"/>
    <w:rsid w:val="00F445C6"/>
    <w:rsid w:val="00F51BF0"/>
    <w:rsid w:val="00F75AA1"/>
    <w:rsid w:val="00F8785A"/>
    <w:rsid w:val="00FE020E"/>
    <w:rsid w:val="00FE155D"/>
    <w:rsid w:val="00FF284C"/>
    <w:rsid w:val="01500212"/>
    <w:rsid w:val="01772BE3"/>
    <w:rsid w:val="018E569D"/>
    <w:rsid w:val="01A3120A"/>
    <w:rsid w:val="01A318F7"/>
    <w:rsid w:val="01D32DCE"/>
    <w:rsid w:val="01DA2963"/>
    <w:rsid w:val="01F018B4"/>
    <w:rsid w:val="01F73C7E"/>
    <w:rsid w:val="02152718"/>
    <w:rsid w:val="025B40B9"/>
    <w:rsid w:val="02C35CB0"/>
    <w:rsid w:val="02DA05C9"/>
    <w:rsid w:val="02EA0125"/>
    <w:rsid w:val="02F11675"/>
    <w:rsid w:val="02FF1481"/>
    <w:rsid w:val="036E77B2"/>
    <w:rsid w:val="03A75F9B"/>
    <w:rsid w:val="045827EE"/>
    <w:rsid w:val="045D1293"/>
    <w:rsid w:val="04887A85"/>
    <w:rsid w:val="04E44319"/>
    <w:rsid w:val="04F42277"/>
    <w:rsid w:val="05412A4A"/>
    <w:rsid w:val="05C83177"/>
    <w:rsid w:val="05F52790"/>
    <w:rsid w:val="06285AB5"/>
    <w:rsid w:val="065B10C3"/>
    <w:rsid w:val="0666789C"/>
    <w:rsid w:val="067626FF"/>
    <w:rsid w:val="06CC516A"/>
    <w:rsid w:val="075A3B6C"/>
    <w:rsid w:val="076E59A7"/>
    <w:rsid w:val="07A03DBE"/>
    <w:rsid w:val="07A94715"/>
    <w:rsid w:val="07FC0BA5"/>
    <w:rsid w:val="08156BE6"/>
    <w:rsid w:val="08370988"/>
    <w:rsid w:val="08576E6D"/>
    <w:rsid w:val="085B35B6"/>
    <w:rsid w:val="08BB749C"/>
    <w:rsid w:val="094549B0"/>
    <w:rsid w:val="09564D26"/>
    <w:rsid w:val="0986185F"/>
    <w:rsid w:val="098B4279"/>
    <w:rsid w:val="09E1445B"/>
    <w:rsid w:val="0A347A33"/>
    <w:rsid w:val="0A6937F7"/>
    <w:rsid w:val="0A693BDD"/>
    <w:rsid w:val="0A6C43B6"/>
    <w:rsid w:val="0A8F32D3"/>
    <w:rsid w:val="0AEE208C"/>
    <w:rsid w:val="0AF7733F"/>
    <w:rsid w:val="0B602A9A"/>
    <w:rsid w:val="0BA86DDA"/>
    <w:rsid w:val="0BD8464D"/>
    <w:rsid w:val="0BF548FC"/>
    <w:rsid w:val="0C265AA8"/>
    <w:rsid w:val="0C296FBD"/>
    <w:rsid w:val="0C746620"/>
    <w:rsid w:val="0C925759"/>
    <w:rsid w:val="0C9C7AA7"/>
    <w:rsid w:val="0D2A64C3"/>
    <w:rsid w:val="0D333E7B"/>
    <w:rsid w:val="0DA202D1"/>
    <w:rsid w:val="0DF8462D"/>
    <w:rsid w:val="0E076986"/>
    <w:rsid w:val="0E084825"/>
    <w:rsid w:val="0E0F5E69"/>
    <w:rsid w:val="0E2F28E4"/>
    <w:rsid w:val="0E421F7B"/>
    <w:rsid w:val="0E4F51B8"/>
    <w:rsid w:val="0E6314C0"/>
    <w:rsid w:val="0E8925CD"/>
    <w:rsid w:val="0E985F14"/>
    <w:rsid w:val="0EA44D9A"/>
    <w:rsid w:val="0F3A3A68"/>
    <w:rsid w:val="0F424FEC"/>
    <w:rsid w:val="0F460CF7"/>
    <w:rsid w:val="0FB3782E"/>
    <w:rsid w:val="0FE559E2"/>
    <w:rsid w:val="0FFA23C2"/>
    <w:rsid w:val="0FFD58CB"/>
    <w:rsid w:val="10A8356C"/>
    <w:rsid w:val="10BE7727"/>
    <w:rsid w:val="10D07FCA"/>
    <w:rsid w:val="10E2021E"/>
    <w:rsid w:val="111B749A"/>
    <w:rsid w:val="112D7E99"/>
    <w:rsid w:val="119A0E09"/>
    <w:rsid w:val="11CD3BF1"/>
    <w:rsid w:val="11DF7CB6"/>
    <w:rsid w:val="11F23058"/>
    <w:rsid w:val="12042129"/>
    <w:rsid w:val="12167CC3"/>
    <w:rsid w:val="125649D5"/>
    <w:rsid w:val="12BE2F2D"/>
    <w:rsid w:val="12BF4C2C"/>
    <w:rsid w:val="12C66E72"/>
    <w:rsid w:val="13200F0B"/>
    <w:rsid w:val="13260540"/>
    <w:rsid w:val="134C1179"/>
    <w:rsid w:val="136445DA"/>
    <w:rsid w:val="13847DEF"/>
    <w:rsid w:val="13DC62A3"/>
    <w:rsid w:val="147331F2"/>
    <w:rsid w:val="149176A3"/>
    <w:rsid w:val="14EE0D1C"/>
    <w:rsid w:val="161F6A26"/>
    <w:rsid w:val="1639247F"/>
    <w:rsid w:val="166D70B1"/>
    <w:rsid w:val="166F034D"/>
    <w:rsid w:val="168D2497"/>
    <w:rsid w:val="16C75683"/>
    <w:rsid w:val="16FC7E5E"/>
    <w:rsid w:val="171942AC"/>
    <w:rsid w:val="17414333"/>
    <w:rsid w:val="175048BE"/>
    <w:rsid w:val="17885550"/>
    <w:rsid w:val="17F6189B"/>
    <w:rsid w:val="1847712D"/>
    <w:rsid w:val="18512EAA"/>
    <w:rsid w:val="18750C21"/>
    <w:rsid w:val="18816F0A"/>
    <w:rsid w:val="18910984"/>
    <w:rsid w:val="18A805A6"/>
    <w:rsid w:val="18E80732"/>
    <w:rsid w:val="18EF6EC8"/>
    <w:rsid w:val="18F62544"/>
    <w:rsid w:val="190C469A"/>
    <w:rsid w:val="190F3F47"/>
    <w:rsid w:val="19317904"/>
    <w:rsid w:val="195201BA"/>
    <w:rsid w:val="19B54885"/>
    <w:rsid w:val="19ED6B21"/>
    <w:rsid w:val="19FE529A"/>
    <w:rsid w:val="1A9819D0"/>
    <w:rsid w:val="1ACE1B3C"/>
    <w:rsid w:val="1B005594"/>
    <w:rsid w:val="1B046386"/>
    <w:rsid w:val="1B37155A"/>
    <w:rsid w:val="1B3B4269"/>
    <w:rsid w:val="1B404DA2"/>
    <w:rsid w:val="1B4E4A3C"/>
    <w:rsid w:val="1B6602FC"/>
    <w:rsid w:val="1B823C82"/>
    <w:rsid w:val="1BA139EE"/>
    <w:rsid w:val="1BA1564B"/>
    <w:rsid w:val="1BA372E3"/>
    <w:rsid w:val="1C567224"/>
    <w:rsid w:val="1C9F6CD6"/>
    <w:rsid w:val="1CC840F2"/>
    <w:rsid w:val="1D211006"/>
    <w:rsid w:val="1D3B3DD2"/>
    <w:rsid w:val="1D6242D5"/>
    <w:rsid w:val="1D6A165D"/>
    <w:rsid w:val="1D6C39D7"/>
    <w:rsid w:val="1D9058A4"/>
    <w:rsid w:val="1DB351BF"/>
    <w:rsid w:val="1DED61EE"/>
    <w:rsid w:val="1DFF004F"/>
    <w:rsid w:val="1E02198F"/>
    <w:rsid w:val="1E086BAA"/>
    <w:rsid w:val="1E1D2005"/>
    <w:rsid w:val="1E2002B6"/>
    <w:rsid w:val="1E2951E3"/>
    <w:rsid w:val="1E61358F"/>
    <w:rsid w:val="1E6B699F"/>
    <w:rsid w:val="1E8155A2"/>
    <w:rsid w:val="1E9B32B0"/>
    <w:rsid w:val="1EB2448E"/>
    <w:rsid w:val="1EE742FF"/>
    <w:rsid w:val="1F515BF4"/>
    <w:rsid w:val="1F656DE4"/>
    <w:rsid w:val="1F6C401A"/>
    <w:rsid w:val="1FD56E1A"/>
    <w:rsid w:val="1FDE44EA"/>
    <w:rsid w:val="1FF84D4E"/>
    <w:rsid w:val="1FFE506C"/>
    <w:rsid w:val="205820DD"/>
    <w:rsid w:val="20700899"/>
    <w:rsid w:val="20743BD2"/>
    <w:rsid w:val="209C103F"/>
    <w:rsid w:val="20C4205D"/>
    <w:rsid w:val="21286A31"/>
    <w:rsid w:val="219E15D3"/>
    <w:rsid w:val="21C45474"/>
    <w:rsid w:val="21FA1BB8"/>
    <w:rsid w:val="22E248B7"/>
    <w:rsid w:val="23211D6B"/>
    <w:rsid w:val="235A4135"/>
    <w:rsid w:val="236245E6"/>
    <w:rsid w:val="23716F03"/>
    <w:rsid w:val="23B15A4A"/>
    <w:rsid w:val="23C55DD7"/>
    <w:rsid w:val="24422247"/>
    <w:rsid w:val="24441817"/>
    <w:rsid w:val="24687E58"/>
    <w:rsid w:val="24A16F98"/>
    <w:rsid w:val="24F47932"/>
    <w:rsid w:val="251404DC"/>
    <w:rsid w:val="25260163"/>
    <w:rsid w:val="25627EB4"/>
    <w:rsid w:val="257D719A"/>
    <w:rsid w:val="25ED0C1F"/>
    <w:rsid w:val="25FD406C"/>
    <w:rsid w:val="261D5128"/>
    <w:rsid w:val="26475BDA"/>
    <w:rsid w:val="26B36C60"/>
    <w:rsid w:val="26C25B6C"/>
    <w:rsid w:val="26E83343"/>
    <w:rsid w:val="274340CE"/>
    <w:rsid w:val="27B90D42"/>
    <w:rsid w:val="27CB4FB5"/>
    <w:rsid w:val="27E9275A"/>
    <w:rsid w:val="28375352"/>
    <w:rsid w:val="284C7159"/>
    <w:rsid w:val="2884194D"/>
    <w:rsid w:val="28AF4E33"/>
    <w:rsid w:val="28E835A4"/>
    <w:rsid w:val="2935563E"/>
    <w:rsid w:val="29612569"/>
    <w:rsid w:val="296B0CC4"/>
    <w:rsid w:val="29722737"/>
    <w:rsid w:val="297C11DF"/>
    <w:rsid w:val="298440A5"/>
    <w:rsid w:val="2984482A"/>
    <w:rsid w:val="29A80108"/>
    <w:rsid w:val="2A0F0E56"/>
    <w:rsid w:val="2A3A70B9"/>
    <w:rsid w:val="2A81526D"/>
    <w:rsid w:val="2A884F36"/>
    <w:rsid w:val="2AAB1E31"/>
    <w:rsid w:val="2AB31BAE"/>
    <w:rsid w:val="2AB85CEF"/>
    <w:rsid w:val="2AD810A2"/>
    <w:rsid w:val="2B0E7DE0"/>
    <w:rsid w:val="2B325CB7"/>
    <w:rsid w:val="2B7B7143"/>
    <w:rsid w:val="2B8D4DB8"/>
    <w:rsid w:val="2BC921E4"/>
    <w:rsid w:val="2BD07EFB"/>
    <w:rsid w:val="2C007235"/>
    <w:rsid w:val="2C8466E6"/>
    <w:rsid w:val="2C9A56E8"/>
    <w:rsid w:val="2CD74634"/>
    <w:rsid w:val="2D186D0D"/>
    <w:rsid w:val="2D957206"/>
    <w:rsid w:val="2DCC3284"/>
    <w:rsid w:val="2DD967A2"/>
    <w:rsid w:val="2E2B1E78"/>
    <w:rsid w:val="2E321A2C"/>
    <w:rsid w:val="2E5101DE"/>
    <w:rsid w:val="2E8525C6"/>
    <w:rsid w:val="2E9C0E21"/>
    <w:rsid w:val="2EF72100"/>
    <w:rsid w:val="2F870A48"/>
    <w:rsid w:val="2FBA4FC2"/>
    <w:rsid w:val="2FBC2D20"/>
    <w:rsid w:val="2FC204F4"/>
    <w:rsid w:val="2FD42C93"/>
    <w:rsid w:val="2FF34BE6"/>
    <w:rsid w:val="2FF80C1A"/>
    <w:rsid w:val="2FFF6D52"/>
    <w:rsid w:val="30404511"/>
    <w:rsid w:val="304E3225"/>
    <w:rsid w:val="30511DCF"/>
    <w:rsid w:val="30871E40"/>
    <w:rsid w:val="31507EE0"/>
    <w:rsid w:val="31F32234"/>
    <w:rsid w:val="3222072F"/>
    <w:rsid w:val="32310FF9"/>
    <w:rsid w:val="329779E0"/>
    <w:rsid w:val="32CA457B"/>
    <w:rsid w:val="32D43E3A"/>
    <w:rsid w:val="33203F75"/>
    <w:rsid w:val="33245D02"/>
    <w:rsid w:val="33A93935"/>
    <w:rsid w:val="34340904"/>
    <w:rsid w:val="343567EE"/>
    <w:rsid w:val="346C395A"/>
    <w:rsid w:val="347F5C29"/>
    <w:rsid w:val="35095F9B"/>
    <w:rsid w:val="350A04DF"/>
    <w:rsid w:val="351B762E"/>
    <w:rsid w:val="356D6C96"/>
    <w:rsid w:val="35751461"/>
    <w:rsid w:val="35EB1331"/>
    <w:rsid w:val="362A6039"/>
    <w:rsid w:val="3651537B"/>
    <w:rsid w:val="3672226A"/>
    <w:rsid w:val="369C39ED"/>
    <w:rsid w:val="36AC26E5"/>
    <w:rsid w:val="36BB148C"/>
    <w:rsid w:val="37726FFA"/>
    <w:rsid w:val="37820A94"/>
    <w:rsid w:val="37EF3F9C"/>
    <w:rsid w:val="37F60E80"/>
    <w:rsid w:val="384A13CA"/>
    <w:rsid w:val="3876120C"/>
    <w:rsid w:val="3892335B"/>
    <w:rsid w:val="38BD61CE"/>
    <w:rsid w:val="390C4FAF"/>
    <w:rsid w:val="393E650B"/>
    <w:rsid w:val="39994973"/>
    <w:rsid w:val="39D3403C"/>
    <w:rsid w:val="39D91EDE"/>
    <w:rsid w:val="3A6A25AE"/>
    <w:rsid w:val="3A861FC0"/>
    <w:rsid w:val="3AA4069D"/>
    <w:rsid w:val="3B1172B8"/>
    <w:rsid w:val="3B332D83"/>
    <w:rsid w:val="3BB45058"/>
    <w:rsid w:val="3BFD3201"/>
    <w:rsid w:val="3C34295D"/>
    <w:rsid w:val="3C494052"/>
    <w:rsid w:val="3CA10782"/>
    <w:rsid w:val="3CD44917"/>
    <w:rsid w:val="3D107948"/>
    <w:rsid w:val="3D2829D0"/>
    <w:rsid w:val="3D7A0ECE"/>
    <w:rsid w:val="3E067268"/>
    <w:rsid w:val="3ECD1201"/>
    <w:rsid w:val="3EE66BB5"/>
    <w:rsid w:val="3EED3F19"/>
    <w:rsid w:val="3F0C07DD"/>
    <w:rsid w:val="3F195F8B"/>
    <w:rsid w:val="3F3E6145"/>
    <w:rsid w:val="3F500843"/>
    <w:rsid w:val="3FAD6BA0"/>
    <w:rsid w:val="401A5055"/>
    <w:rsid w:val="404F4557"/>
    <w:rsid w:val="410E48FB"/>
    <w:rsid w:val="413D01BC"/>
    <w:rsid w:val="41456723"/>
    <w:rsid w:val="41AD1186"/>
    <w:rsid w:val="41B10A5F"/>
    <w:rsid w:val="42114241"/>
    <w:rsid w:val="42262B5B"/>
    <w:rsid w:val="423251F8"/>
    <w:rsid w:val="42800588"/>
    <w:rsid w:val="43842C31"/>
    <w:rsid w:val="43930B71"/>
    <w:rsid w:val="43D55F0E"/>
    <w:rsid w:val="43D70B78"/>
    <w:rsid w:val="443A0982"/>
    <w:rsid w:val="446B2D10"/>
    <w:rsid w:val="44BF1753"/>
    <w:rsid w:val="4504527D"/>
    <w:rsid w:val="454D75BE"/>
    <w:rsid w:val="4551347E"/>
    <w:rsid w:val="455675EA"/>
    <w:rsid w:val="458A2DAC"/>
    <w:rsid w:val="45D4504D"/>
    <w:rsid w:val="45F50E31"/>
    <w:rsid w:val="464B4647"/>
    <w:rsid w:val="469708B6"/>
    <w:rsid w:val="46A84331"/>
    <w:rsid w:val="473070C1"/>
    <w:rsid w:val="475B4998"/>
    <w:rsid w:val="476C3F0A"/>
    <w:rsid w:val="476E5366"/>
    <w:rsid w:val="47935C29"/>
    <w:rsid w:val="47BA4F0F"/>
    <w:rsid w:val="4806726D"/>
    <w:rsid w:val="48115D67"/>
    <w:rsid w:val="486A61E6"/>
    <w:rsid w:val="48F41E98"/>
    <w:rsid w:val="49016002"/>
    <w:rsid w:val="490603C7"/>
    <w:rsid w:val="49750C15"/>
    <w:rsid w:val="49C25267"/>
    <w:rsid w:val="49C90CF6"/>
    <w:rsid w:val="49D405D5"/>
    <w:rsid w:val="49D871EF"/>
    <w:rsid w:val="4A014DC8"/>
    <w:rsid w:val="4A3C4614"/>
    <w:rsid w:val="4AD663AC"/>
    <w:rsid w:val="4AFD5692"/>
    <w:rsid w:val="4B215310"/>
    <w:rsid w:val="4B3F5810"/>
    <w:rsid w:val="4B4E19D8"/>
    <w:rsid w:val="4B592C2B"/>
    <w:rsid w:val="4BAC244A"/>
    <w:rsid w:val="4C137E84"/>
    <w:rsid w:val="4C414590"/>
    <w:rsid w:val="4C4C360E"/>
    <w:rsid w:val="4C95267F"/>
    <w:rsid w:val="4CA9333B"/>
    <w:rsid w:val="4CD943A7"/>
    <w:rsid w:val="4D2F7295"/>
    <w:rsid w:val="4D715736"/>
    <w:rsid w:val="4DD95CE4"/>
    <w:rsid w:val="4E3420F5"/>
    <w:rsid w:val="4E342A7E"/>
    <w:rsid w:val="4E761637"/>
    <w:rsid w:val="4E8A0FF8"/>
    <w:rsid w:val="4EB029C5"/>
    <w:rsid w:val="4ED34A34"/>
    <w:rsid w:val="4EE62044"/>
    <w:rsid w:val="4EF136DB"/>
    <w:rsid w:val="4F392AD7"/>
    <w:rsid w:val="4F413E63"/>
    <w:rsid w:val="4F532C87"/>
    <w:rsid w:val="4F957796"/>
    <w:rsid w:val="4FDA7A27"/>
    <w:rsid w:val="4FE42FC6"/>
    <w:rsid w:val="50102DD7"/>
    <w:rsid w:val="502E3CE0"/>
    <w:rsid w:val="50755745"/>
    <w:rsid w:val="507F0475"/>
    <w:rsid w:val="5099273A"/>
    <w:rsid w:val="509D2FE3"/>
    <w:rsid w:val="50EC42AB"/>
    <w:rsid w:val="50F25C6E"/>
    <w:rsid w:val="50F77C31"/>
    <w:rsid w:val="510C6A49"/>
    <w:rsid w:val="5125080B"/>
    <w:rsid w:val="512B6F36"/>
    <w:rsid w:val="513C3A7A"/>
    <w:rsid w:val="519A70AE"/>
    <w:rsid w:val="51D105EC"/>
    <w:rsid w:val="521A7F75"/>
    <w:rsid w:val="52211163"/>
    <w:rsid w:val="52750091"/>
    <w:rsid w:val="52906D8F"/>
    <w:rsid w:val="52B57A73"/>
    <w:rsid w:val="52CA301E"/>
    <w:rsid w:val="52D32549"/>
    <w:rsid w:val="52FD3BF5"/>
    <w:rsid w:val="537C4C45"/>
    <w:rsid w:val="53B84F4D"/>
    <w:rsid w:val="541467FE"/>
    <w:rsid w:val="5445120E"/>
    <w:rsid w:val="54C80C0C"/>
    <w:rsid w:val="54D15320"/>
    <w:rsid w:val="553354CF"/>
    <w:rsid w:val="555F02A8"/>
    <w:rsid w:val="5561420C"/>
    <w:rsid w:val="55671CC6"/>
    <w:rsid w:val="55C93943"/>
    <w:rsid w:val="55ED7191"/>
    <w:rsid w:val="560875D0"/>
    <w:rsid w:val="567B25D0"/>
    <w:rsid w:val="56CB2A2F"/>
    <w:rsid w:val="57475CB4"/>
    <w:rsid w:val="57650B1E"/>
    <w:rsid w:val="5778256D"/>
    <w:rsid w:val="57A1010D"/>
    <w:rsid w:val="57D65426"/>
    <w:rsid w:val="57DA69B9"/>
    <w:rsid w:val="58101650"/>
    <w:rsid w:val="58497C84"/>
    <w:rsid w:val="58841D1F"/>
    <w:rsid w:val="58921C4C"/>
    <w:rsid w:val="58E22A09"/>
    <w:rsid w:val="58E85010"/>
    <w:rsid w:val="59BA3EB3"/>
    <w:rsid w:val="5A083512"/>
    <w:rsid w:val="5A4708BB"/>
    <w:rsid w:val="5A5D587F"/>
    <w:rsid w:val="5A776839"/>
    <w:rsid w:val="5B0D2714"/>
    <w:rsid w:val="5B852E2C"/>
    <w:rsid w:val="5C5A24FC"/>
    <w:rsid w:val="5C6B13D6"/>
    <w:rsid w:val="5CE51603"/>
    <w:rsid w:val="5CF91538"/>
    <w:rsid w:val="5D4C3CBD"/>
    <w:rsid w:val="5D5A2F67"/>
    <w:rsid w:val="5D7F67CB"/>
    <w:rsid w:val="5DC84E20"/>
    <w:rsid w:val="5DE639DC"/>
    <w:rsid w:val="5EA90620"/>
    <w:rsid w:val="5EC52180"/>
    <w:rsid w:val="5F67371E"/>
    <w:rsid w:val="603E1EF5"/>
    <w:rsid w:val="60A977C9"/>
    <w:rsid w:val="60B90407"/>
    <w:rsid w:val="60D04391"/>
    <w:rsid w:val="60D45A63"/>
    <w:rsid w:val="61025D09"/>
    <w:rsid w:val="61485150"/>
    <w:rsid w:val="614E1A62"/>
    <w:rsid w:val="615073E1"/>
    <w:rsid w:val="61551211"/>
    <w:rsid w:val="61993C7D"/>
    <w:rsid w:val="61B90F6B"/>
    <w:rsid w:val="61DB7593"/>
    <w:rsid w:val="61EF43C3"/>
    <w:rsid w:val="62112938"/>
    <w:rsid w:val="6265302D"/>
    <w:rsid w:val="62940EF1"/>
    <w:rsid w:val="62A71D3B"/>
    <w:rsid w:val="62FA22CB"/>
    <w:rsid w:val="630C374D"/>
    <w:rsid w:val="631B61A8"/>
    <w:rsid w:val="6320666B"/>
    <w:rsid w:val="63392826"/>
    <w:rsid w:val="635A7DB9"/>
    <w:rsid w:val="635F152D"/>
    <w:rsid w:val="638439A2"/>
    <w:rsid w:val="639C2767"/>
    <w:rsid w:val="64164EA5"/>
    <w:rsid w:val="643462AA"/>
    <w:rsid w:val="645A1C5E"/>
    <w:rsid w:val="64AA45F6"/>
    <w:rsid w:val="64C7762E"/>
    <w:rsid w:val="64FD1DF2"/>
    <w:rsid w:val="654A7E6F"/>
    <w:rsid w:val="65654809"/>
    <w:rsid w:val="65B65602"/>
    <w:rsid w:val="65BE284F"/>
    <w:rsid w:val="65C00CD2"/>
    <w:rsid w:val="65DB0985"/>
    <w:rsid w:val="661B575E"/>
    <w:rsid w:val="661F4BC5"/>
    <w:rsid w:val="662B3F03"/>
    <w:rsid w:val="664D6A79"/>
    <w:rsid w:val="66DF4A10"/>
    <w:rsid w:val="66E40B8E"/>
    <w:rsid w:val="672C74CA"/>
    <w:rsid w:val="677C3D40"/>
    <w:rsid w:val="67BF408E"/>
    <w:rsid w:val="67D07EF8"/>
    <w:rsid w:val="67EF1B58"/>
    <w:rsid w:val="67F35282"/>
    <w:rsid w:val="68085AE6"/>
    <w:rsid w:val="6820774F"/>
    <w:rsid w:val="68365AE0"/>
    <w:rsid w:val="68627AC5"/>
    <w:rsid w:val="68C041E8"/>
    <w:rsid w:val="68DC3CAF"/>
    <w:rsid w:val="690935EB"/>
    <w:rsid w:val="690B78E9"/>
    <w:rsid w:val="6923481A"/>
    <w:rsid w:val="69234E46"/>
    <w:rsid w:val="692E288A"/>
    <w:rsid w:val="69802214"/>
    <w:rsid w:val="69966E8C"/>
    <w:rsid w:val="69BB7951"/>
    <w:rsid w:val="69BF0831"/>
    <w:rsid w:val="69FB03A1"/>
    <w:rsid w:val="6A204D21"/>
    <w:rsid w:val="6A2B6139"/>
    <w:rsid w:val="6A2D6F63"/>
    <w:rsid w:val="6A333127"/>
    <w:rsid w:val="6AD2705B"/>
    <w:rsid w:val="6B193CE7"/>
    <w:rsid w:val="6B341E88"/>
    <w:rsid w:val="6B3D0BB6"/>
    <w:rsid w:val="6B6F0395"/>
    <w:rsid w:val="6B742CDF"/>
    <w:rsid w:val="6B8F4281"/>
    <w:rsid w:val="6C4C31AD"/>
    <w:rsid w:val="6C674647"/>
    <w:rsid w:val="6CFA3292"/>
    <w:rsid w:val="6D856299"/>
    <w:rsid w:val="6D8F7A97"/>
    <w:rsid w:val="6DA117ED"/>
    <w:rsid w:val="6DAA31A0"/>
    <w:rsid w:val="6DEA5BB5"/>
    <w:rsid w:val="6E053795"/>
    <w:rsid w:val="6E224229"/>
    <w:rsid w:val="6E5B7F51"/>
    <w:rsid w:val="6E9660AB"/>
    <w:rsid w:val="6F4035C1"/>
    <w:rsid w:val="6F482160"/>
    <w:rsid w:val="6FBE1D98"/>
    <w:rsid w:val="6FCF5353"/>
    <w:rsid w:val="70474F3A"/>
    <w:rsid w:val="705B6FF9"/>
    <w:rsid w:val="70A36467"/>
    <w:rsid w:val="70AC7D75"/>
    <w:rsid w:val="70F22F3A"/>
    <w:rsid w:val="710D60C3"/>
    <w:rsid w:val="71391CA6"/>
    <w:rsid w:val="71690030"/>
    <w:rsid w:val="726706A1"/>
    <w:rsid w:val="72701F7E"/>
    <w:rsid w:val="72973EBC"/>
    <w:rsid w:val="729E6CBD"/>
    <w:rsid w:val="732B62CC"/>
    <w:rsid w:val="735372CE"/>
    <w:rsid w:val="738535A7"/>
    <w:rsid w:val="73B01890"/>
    <w:rsid w:val="73EA5447"/>
    <w:rsid w:val="74032EDF"/>
    <w:rsid w:val="747E4D94"/>
    <w:rsid w:val="74C26A14"/>
    <w:rsid w:val="74D90990"/>
    <w:rsid w:val="74EF0A1D"/>
    <w:rsid w:val="74FA2413"/>
    <w:rsid w:val="75047DB6"/>
    <w:rsid w:val="753E12C7"/>
    <w:rsid w:val="75514232"/>
    <w:rsid w:val="759C4F7E"/>
    <w:rsid w:val="75A51DB4"/>
    <w:rsid w:val="75A831AC"/>
    <w:rsid w:val="75B71456"/>
    <w:rsid w:val="75CE3AF4"/>
    <w:rsid w:val="75CE6B77"/>
    <w:rsid w:val="75F57767"/>
    <w:rsid w:val="76305B7E"/>
    <w:rsid w:val="77050A28"/>
    <w:rsid w:val="77084C54"/>
    <w:rsid w:val="772D2A65"/>
    <w:rsid w:val="7749340D"/>
    <w:rsid w:val="775726EE"/>
    <w:rsid w:val="77694801"/>
    <w:rsid w:val="77A32286"/>
    <w:rsid w:val="77BC5AC1"/>
    <w:rsid w:val="77E4168F"/>
    <w:rsid w:val="77E50572"/>
    <w:rsid w:val="781779B1"/>
    <w:rsid w:val="782D3298"/>
    <w:rsid w:val="784B5751"/>
    <w:rsid w:val="785C10B9"/>
    <w:rsid w:val="78946593"/>
    <w:rsid w:val="78FF2074"/>
    <w:rsid w:val="7959650E"/>
    <w:rsid w:val="799F0575"/>
    <w:rsid w:val="79CE3343"/>
    <w:rsid w:val="79F34C53"/>
    <w:rsid w:val="7A245C04"/>
    <w:rsid w:val="7A4D0BB4"/>
    <w:rsid w:val="7A553DD7"/>
    <w:rsid w:val="7A883E42"/>
    <w:rsid w:val="7AAC01DE"/>
    <w:rsid w:val="7AEF76D7"/>
    <w:rsid w:val="7B171BFC"/>
    <w:rsid w:val="7B447FD4"/>
    <w:rsid w:val="7B553020"/>
    <w:rsid w:val="7B5D30FA"/>
    <w:rsid w:val="7BC34ABE"/>
    <w:rsid w:val="7C43414E"/>
    <w:rsid w:val="7C504D52"/>
    <w:rsid w:val="7C86646D"/>
    <w:rsid w:val="7CAA1900"/>
    <w:rsid w:val="7CAD02CE"/>
    <w:rsid w:val="7D1C25AC"/>
    <w:rsid w:val="7D304B9E"/>
    <w:rsid w:val="7D307618"/>
    <w:rsid w:val="7D39358D"/>
    <w:rsid w:val="7D9B4E14"/>
    <w:rsid w:val="7DDC1FE2"/>
    <w:rsid w:val="7E2A4BB3"/>
    <w:rsid w:val="7E4C0545"/>
    <w:rsid w:val="7E5B10BF"/>
    <w:rsid w:val="7E6D60AF"/>
    <w:rsid w:val="7E6F27F4"/>
    <w:rsid w:val="7E7E11F3"/>
    <w:rsid w:val="7EBE6D31"/>
    <w:rsid w:val="7F143114"/>
    <w:rsid w:val="7F18004B"/>
    <w:rsid w:val="7F193AFE"/>
    <w:rsid w:val="7F48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8"/>
    <w:qFormat/>
    <w:uiPriority w:val="99"/>
    <w:pPr>
      <w:keepNext/>
      <w:widowControl/>
      <w:jc w:val="left"/>
      <w:outlineLvl w:val="0"/>
    </w:pPr>
    <w:rPr>
      <w:b/>
      <w:bCs/>
      <w:kern w:val="0"/>
      <w:sz w:val="24"/>
      <w:szCs w:val="24"/>
    </w:rPr>
  </w:style>
  <w:style w:type="paragraph" w:styleId="4">
    <w:name w:val="heading 2"/>
    <w:basedOn w:val="1"/>
    <w:next w:val="1"/>
    <w:link w:val="49"/>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50"/>
    <w:qFormat/>
    <w:uiPriority w:val="99"/>
    <w:pPr>
      <w:keepNext/>
      <w:outlineLvl w:val="2"/>
    </w:pPr>
    <w:rPr>
      <w:rFonts w:ascii="楷体_GB2312" w:hAnsi="宋体" w:eastAsia="楷体_GB2312" w:cs="楷体_GB2312"/>
      <w:b/>
      <w:bCs/>
      <w:sz w:val="32"/>
      <w:szCs w:val="32"/>
    </w:rPr>
  </w:style>
  <w:style w:type="paragraph" w:styleId="6">
    <w:name w:val="heading 4"/>
    <w:basedOn w:val="1"/>
    <w:next w:val="1"/>
    <w:link w:val="51"/>
    <w:qFormat/>
    <w:uiPriority w:val="99"/>
    <w:pPr>
      <w:keepNext/>
      <w:keepLines/>
      <w:widowControl/>
      <w:spacing w:before="280" w:after="290" w:line="376" w:lineRule="auto"/>
      <w:jc w:val="left"/>
      <w:outlineLvl w:val="3"/>
    </w:pPr>
    <w:rPr>
      <w:rFonts w:ascii="Arial" w:hAnsi="Arial" w:eastAsia="黑体" w:cs="Arial"/>
      <w:b/>
      <w:bCs/>
      <w:kern w:val="0"/>
      <w:sz w:val="28"/>
      <w:szCs w:val="28"/>
    </w:rPr>
  </w:style>
  <w:style w:type="paragraph" w:styleId="7">
    <w:name w:val="heading 5"/>
    <w:basedOn w:val="1"/>
    <w:next w:val="1"/>
    <w:link w:val="52"/>
    <w:qFormat/>
    <w:uiPriority w:val="99"/>
    <w:pPr>
      <w:keepNext/>
      <w:keepLines/>
      <w:widowControl/>
      <w:spacing w:before="280" w:after="290" w:line="376" w:lineRule="auto"/>
      <w:jc w:val="left"/>
      <w:outlineLvl w:val="4"/>
    </w:pPr>
    <w:rPr>
      <w:b/>
      <w:bCs/>
      <w:kern w:val="0"/>
      <w:sz w:val="28"/>
      <w:szCs w:val="28"/>
    </w:rPr>
  </w:style>
  <w:style w:type="paragraph" w:styleId="8">
    <w:name w:val="heading 6"/>
    <w:basedOn w:val="1"/>
    <w:next w:val="1"/>
    <w:link w:val="53"/>
    <w:qFormat/>
    <w:uiPriority w:val="99"/>
    <w:pPr>
      <w:keepNext/>
      <w:keepLines/>
      <w:widowControl/>
      <w:spacing w:before="240" w:after="64" w:line="320" w:lineRule="auto"/>
      <w:jc w:val="left"/>
      <w:outlineLvl w:val="5"/>
    </w:pPr>
    <w:rPr>
      <w:rFonts w:ascii="Arial" w:hAnsi="Arial" w:eastAsia="黑体" w:cs="Arial"/>
      <w:b/>
      <w:bCs/>
      <w:kern w:val="0"/>
      <w:sz w:val="24"/>
      <w:szCs w:val="24"/>
    </w:rPr>
  </w:style>
  <w:style w:type="paragraph" w:styleId="9">
    <w:name w:val="heading 7"/>
    <w:basedOn w:val="1"/>
    <w:next w:val="1"/>
    <w:link w:val="54"/>
    <w:qFormat/>
    <w:uiPriority w:val="99"/>
    <w:pPr>
      <w:keepNext/>
      <w:keepLines/>
      <w:widowControl/>
      <w:spacing w:before="240" w:after="64" w:line="320" w:lineRule="auto"/>
      <w:jc w:val="left"/>
      <w:outlineLvl w:val="6"/>
    </w:pPr>
    <w:rPr>
      <w:b/>
      <w:bCs/>
      <w:kern w:val="0"/>
      <w:sz w:val="24"/>
      <w:szCs w:val="24"/>
    </w:rPr>
  </w:style>
  <w:style w:type="paragraph" w:styleId="10">
    <w:name w:val="heading 8"/>
    <w:basedOn w:val="1"/>
    <w:next w:val="1"/>
    <w:link w:val="55"/>
    <w:qFormat/>
    <w:uiPriority w:val="99"/>
    <w:pPr>
      <w:keepNext/>
      <w:keepLines/>
      <w:widowControl/>
      <w:spacing w:before="240" w:after="64" w:line="320" w:lineRule="auto"/>
      <w:jc w:val="left"/>
      <w:outlineLvl w:val="7"/>
    </w:pPr>
    <w:rPr>
      <w:rFonts w:ascii="Arial" w:hAnsi="Arial" w:eastAsia="黑体" w:cs="Arial"/>
      <w:kern w:val="0"/>
      <w:sz w:val="24"/>
      <w:szCs w:val="24"/>
    </w:rPr>
  </w:style>
  <w:style w:type="paragraph" w:styleId="11">
    <w:name w:val="heading 9"/>
    <w:basedOn w:val="1"/>
    <w:next w:val="1"/>
    <w:link w:val="56"/>
    <w:qFormat/>
    <w:uiPriority w:val="99"/>
    <w:pPr>
      <w:keepNext/>
      <w:keepLines/>
      <w:widowControl/>
      <w:spacing w:before="240" w:after="64" w:line="320" w:lineRule="auto"/>
      <w:jc w:val="left"/>
      <w:outlineLvl w:val="8"/>
    </w:pPr>
    <w:rPr>
      <w:rFonts w:ascii="Arial" w:hAnsi="Arial" w:eastAsia="黑体" w:cs="Arial"/>
      <w:kern w:val="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89"/>
    <w:qFormat/>
    <w:uiPriority w:val="99"/>
    <w:pPr>
      <w:ind w:firstLine="420" w:firstLineChars="200"/>
    </w:pPr>
    <w:rPr>
      <w:kern w:val="0"/>
    </w:rPr>
  </w:style>
  <w:style w:type="paragraph" w:styleId="12">
    <w:name w:val="toc 7"/>
    <w:basedOn w:val="1"/>
    <w:next w:val="1"/>
    <w:semiHidden/>
    <w:qFormat/>
    <w:uiPriority w:val="99"/>
    <w:pPr>
      <w:ind w:left="1260"/>
      <w:jc w:val="left"/>
    </w:pPr>
    <w:rPr>
      <w:sz w:val="18"/>
      <w:szCs w:val="18"/>
    </w:rPr>
  </w:style>
  <w:style w:type="paragraph" w:styleId="13">
    <w:name w:val="Document Map"/>
    <w:basedOn w:val="1"/>
    <w:link w:val="64"/>
    <w:semiHidden/>
    <w:qFormat/>
    <w:uiPriority w:val="99"/>
    <w:pPr>
      <w:shd w:val="clear" w:color="auto" w:fill="000080"/>
    </w:pPr>
    <w:rPr>
      <w:kern w:val="0"/>
      <w:sz w:val="20"/>
      <w:szCs w:val="20"/>
    </w:rPr>
  </w:style>
  <w:style w:type="paragraph" w:styleId="14">
    <w:name w:val="annotation text"/>
    <w:basedOn w:val="1"/>
    <w:link w:val="60"/>
    <w:semiHidden/>
    <w:qFormat/>
    <w:uiPriority w:val="99"/>
    <w:pPr>
      <w:jc w:val="left"/>
    </w:pPr>
  </w:style>
  <w:style w:type="paragraph" w:styleId="15">
    <w:name w:val="Body Text 3"/>
    <w:basedOn w:val="1"/>
    <w:link w:val="66"/>
    <w:qFormat/>
    <w:uiPriority w:val="99"/>
    <w:pPr>
      <w:spacing w:after="120"/>
    </w:pPr>
    <w:rPr>
      <w:kern w:val="0"/>
      <w:sz w:val="16"/>
      <w:szCs w:val="16"/>
    </w:rPr>
  </w:style>
  <w:style w:type="paragraph" w:styleId="16">
    <w:name w:val="Body Text"/>
    <w:basedOn w:val="1"/>
    <w:link w:val="58"/>
    <w:qFormat/>
    <w:uiPriority w:val="0"/>
    <w:pPr>
      <w:spacing w:after="120"/>
    </w:pPr>
    <w:rPr>
      <w:kern w:val="0"/>
      <w:sz w:val="20"/>
      <w:szCs w:val="20"/>
    </w:rPr>
  </w:style>
  <w:style w:type="paragraph" w:styleId="17">
    <w:name w:val="Body Text Indent"/>
    <w:basedOn w:val="1"/>
    <w:link w:val="68"/>
    <w:qFormat/>
    <w:uiPriority w:val="99"/>
    <w:pPr>
      <w:spacing w:line="560" w:lineRule="exact"/>
      <w:ind w:left="300"/>
    </w:pPr>
    <w:rPr>
      <w:kern w:val="0"/>
      <w:sz w:val="24"/>
      <w:szCs w:val="24"/>
    </w:rPr>
  </w:style>
  <w:style w:type="paragraph" w:styleId="18">
    <w:name w:val="Block Text"/>
    <w:basedOn w:val="1"/>
    <w:qFormat/>
    <w:uiPriority w:val="99"/>
    <w:pPr>
      <w:spacing w:line="360" w:lineRule="auto"/>
      <w:ind w:left="-85" w:right="-244" w:firstLine="435"/>
    </w:pPr>
  </w:style>
  <w:style w:type="paragraph" w:styleId="19">
    <w:name w:val="toc 5"/>
    <w:basedOn w:val="1"/>
    <w:next w:val="1"/>
    <w:semiHidden/>
    <w:qFormat/>
    <w:uiPriority w:val="99"/>
    <w:pPr>
      <w:ind w:left="840"/>
      <w:jc w:val="left"/>
    </w:pPr>
    <w:rPr>
      <w:sz w:val="18"/>
      <w:szCs w:val="18"/>
    </w:rPr>
  </w:style>
  <w:style w:type="paragraph" w:styleId="20">
    <w:name w:val="toc 3"/>
    <w:basedOn w:val="1"/>
    <w:next w:val="1"/>
    <w:semiHidden/>
    <w:qFormat/>
    <w:uiPriority w:val="99"/>
    <w:pPr>
      <w:ind w:left="420"/>
      <w:jc w:val="left"/>
    </w:pPr>
    <w:rPr>
      <w:i/>
      <w:iCs/>
      <w:sz w:val="20"/>
      <w:szCs w:val="20"/>
    </w:rPr>
  </w:style>
  <w:style w:type="paragraph" w:styleId="21">
    <w:name w:val="Plain Text"/>
    <w:basedOn w:val="1"/>
    <w:link w:val="70"/>
    <w:qFormat/>
    <w:uiPriority w:val="99"/>
    <w:rPr>
      <w:rFonts w:ascii="宋体" w:hAnsi="Courier New" w:cs="宋体"/>
      <w:kern w:val="0"/>
      <w:sz w:val="20"/>
      <w:szCs w:val="20"/>
    </w:rPr>
  </w:style>
  <w:style w:type="paragraph" w:styleId="22">
    <w:name w:val="toc 8"/>
    <w:basedOn w:val="1"/>
    <w:next w:val="1"/>
    <w:semiHidden/>
    <w:qFormat/>
    <w:uiPriority w:val="99"/>
    <w:pPr>
      <w:ind w:left="1470"/>
      <w:jc w:val="left"/>
    </w:pPr>
    <w:rPr>
      <w:sz w:val="18"/>
      <w:szCs w:val="18"/>
    </w:rPr>
  </w:style>
  <w:style w:type="paragraph" w:styleId="23">
    <w:name w:val="Date"/>
    <w:basedOn w:val="1"/>
    <w:next w:val="1"/>
    <w:link w:val="72"/>
    <w:qFormat/>
    <w:uiPriority w:val="99"/>
    <w:pPr>
      <w:widowControl/>
    </w:pPr>
    <w:rPr>
      <w:rFonts w:ascii="宋体" w:cs="宋体"/>
      <w:kern w:val="0"/>
      <w:sz w:val="20"/>
      <w:szCs w:val="20"/>
    </w:rPr>
  </w:style>
  <w:style w:type="paragraph" w:styleId="24">
    <w:name w:val="Body Text Indent 2"/>
    <w:basedOn w:val="1"/>
    <w:link w:val="74"/>
    <w:qFormat/>
    <w:uiPriority w:val="99"/>
    <w:pPr>
      <w:spacing w:line="540" w:lineRule="exact"/>
      <w:ind w:left="462" w:leftChars="220"/>
    </w:pPr>
    <w:rPr>
      <w:kern w:val="0"/>
      <w:sz w:val="24"/>
      <w:szCs w:val="24"/>
    </w:rPr>
  </w:style>
  <w:style w:type="paragraph" w:styleId="25">
    <w:name w:val="endnote text"/>
    <w:basedOn w:val="1"/>
    <w:unhideWhenUsed/>
    <w:qFormat/>
    <w:uiPriority w:val="99"/>
    <w:pPr>
      <w:snapToGrid w:val="0"/>
      <w:jc w:val="left"/>
    </w:pPr>
    <w:rPr>
      <w:rFonts w:ascii="宋体"/>
      <w:sz w:val="24"/>
      <w:szCs w:val="22"/>
    </w:rPr>
  </w:style>
  <w:style w:type="paragraph" w:styleId="26">
    <w:name w:val="Balloon Text"/>
    <w:basedOn w:val="1"/>
    <w:link w:val="76"/>
    <w:semiHidden/>
    <w:qFormat/>
    <w:uiPriority w:val="99"/>
    <w:rPr>
      <w:rFonts w:ascii="Calibri" w:hAnsi="Calibri" w:cs="Calibri"/>
      <w:kern w:val="0"/>
      <w:sz w:val="18"/>
      <w:szCs w:val="18"/>
    </w:rPr>
  </w:style>
  <w:style w:type="paragraph" w:styleId="27">
    <w:name w:val="footer"/>
    <w:basedOn w:val="1"/>
    <w:link w:val="78"/>
    <w:qFormat/>
    <w:uiPriority w:val="99"/>
    <w:pPr>
      <w:tabs>
        <w:tab w:val="center" w:pos="4153"/>
        <w:tab w:val="right" w:pos="8306"/>
      </w:tabs>
      <w:snapToGrid w:val="0"/>
      <w:jc w:val="left"/>
    </w:pPr>
    <w:rPr>
      <w:kern w:val="0"/>
      <w:sz w:val="18"/>
      <w:szCs w:val="18"/>
    </w:rPr>
  </w:style>
  <w:style w:type="paragraph" w:styleId="28">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rPr>
  </w:style>
  <w:style w:type="paragraph" w:styleId="30">
    <w:name w:val="toc 4"/>
    <w:basedOn w:val="1"/>
    <w:next w:val="1"/>
    <w:semiHidden/>
    <w:qFormat/>
    <w:uiPriority w:val="99"/>
    <w:pPr>
      <w:ind w:left="630"/>
      <w:jc w:val="left"/>
    </w:pPr>
    <w:rPr>
      <w:sz w:val="18"/>
      <w:szCs w:val="18"/>
    </w:rPr>
  </w:style>
  <w:style w:type="paragraph" w:styleId="31">
    <w:name w:val="toc 6"/>
    <w:basedOn w:val="1"/>
    <w:next w:val="1"/>
    <w:semiHidden/>
    <w:qFormat/>
    <w:uiPriority w:val="99"/>
    <w:pPr>
      <w:ind w:left="1050"/>
      <w:jc w:val="left"/>
    </w:pPr>
    <w:rPr>
      <w:sz w:val="18"/>
      <w:szCs w:val="18"/>
    </w:rPr>
  </w:style>
  <w:style w:type="paragraph" w:styleId="32">
    <w:name w:val="Body Text Indent 3"/>
    <w:basedOn w:val="1"/>
    <w:link w:val="82"/>
    <w:qFormat/>
    <w:uiPriority w:val="99"/>
    <w:pPr>
      <w:spacing w:after="120"/>
      <w:ind w:left="420" w:leftChars="200"/>
    </w:pPr>
    <w:rPr>
      <w:kern w:val="0"/>
      <w:sz w:val="16"/>
      <w:szCs w:val="16"/>
    </w:rPr>
  </w:style>
  <w:style w:type="paragraph" w:styleId="33">
    <w:name w:val="toc 2"/>
    <w:basedOn w:val="1"/>
    <w:next w:val="1"/>
    <w:semiHidden/>
    <w:qFormat/>
    <w:uiPriority w:val="99"/>
    <w:pPr>
      <w:ind w:left="210"/>
      <w:jc w:val="left"/>
    </w:pPr>
    <w:rPr>
      <w:smallCaps/>
    </w:rPr>
  </w:style>
  <w:style w:type="paragraph" w:styleId="34">
    <w:name w:val="toc 9"/>
    <w:basedOn w:val="1"/>
    <w:next w:val="1"/>
    <w:semiHidden/>
    <w:qFormat/>
    <w:uiPriority w:val="99"/>
    <w:pPr>
      <w:ind w:left="1680"/>
      <w:jc w:val="left"/>
    </w:pPr>
    <w:rPr>
      <w:sz w:val="18"/>
      <w:szCs w:val="18"/>
    </w:rPr>
  </w:style>
  <w:style w:type="paragraph" w:styleId="35">
    <w:name w:val="HTML Preformatted"/>
    <w:basedOn w:val="1"/>
    <w:link w:val="8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7">
    <w:name w:val="annotation subject"/>
    <w:basedOn w:val="14"/>
    <w:next w:val="14"/>
    <w:link w:val="62"/>
    <w:semiHidden/>
    <w:qFormat/>
    <w:uiPriority w:val="99"/>
    <w:rPr>
      <w:rFonts w:ascii="Calibri" w:hAnsi="Calibri" w:cs="Calibri"/>
      <w:b/>
      <w:bCs/>
      <w:kern w:val="0"/>
      <w:sz w:val="20"/>
      <w:szCs w:val="20"/>
    </w:r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b/>
      <w:bCs/>
    </w:rPr>
  </w:style>
  <w:style w:type="character" w:styleId="42">
    <w:name w:val="page number"/>
    <w:basedOn w:val="40"/>
    <w:qFormat/>
    <w:uiPriority w:val="99"/>
  </w:style>
  <w:style w:type="character" w:styleId="43">
    <w:name w:val="FollowedHyperlink"/>
    <w:basedOn w:val="40"/>
    <w:qFormat/>
    <w:uiPriority w:val="99"/>
    <w:rPr>
      <w:color w:val="800080"/>
      <w:u w:val="single"/>
    </w:rPr>
  </w:style>
  <w:style w:type="character" w:styleId="44">
    <w:name w:val="Emphasis"/>
    <w:basedOn w:val="40"/>
    <w:qFormat/>
    <w:uiPriority w:val="99"/>
    <w:rPr>
      <w:color w:val="auto"/>
    </w:rPr>
  </w:style>
  <w:style w:type="character" w:styleId="45">
    <w:name w:val="Hyperlink"/>
    <w:basedOn w:val="40"/>
    <w:qFormat/>
    <w:uiPriority w:val="99"/>
    <w:rPr>
      <w:rFonts w:eastAsia="宋体"/>
      <w:color w:val="0000FF"/>
      <w:sz w:val="28"/>
      <w:szCs w:val="28"/>
      <w:u w:val="single"/>
    </w:rPr>
  </w:style>
  <w:style w:type="character" w:styleId="46">
    <w:name w:val="annotation reference"/>
    <w:basedOn w:val="40"/>
    <w:qFormat/>
    <w:uiPriority w:val="99"/>
    <w:rPr>
      <w:sz w:val="21"/>
      <w:szCs w:val="21"/>
    </w:rPr>
  </w:style>
  <w:style w:type="paragraph" w:customStyle="1" w:styleId="47">
    <w:name w:val="正文缩进1"/>
    <w:basedOn w:val="1"/>
    <w:qFormat/>
    <w:uiPriority w:val="0"/>
    <w:pPr>
      <w:widowControl/>
      <w:ind w:firstLine="420"/>
      <w:jc w:val="left"/>
    </w:pPr>
    <w:rPr>
      <w:kern w:val="0"/>
    </w:rPr>
  </w:style>
  <w:style w:type="character" w:customStyle="1" w:styleId="48">
    <w:name w:val="标题 1 Char"/>
    <w:basedOn w:val="40"/>
    <w:link w:val="3"/>
    <w:qFormat/>
    <w:uiPriority w:val="99"/>
    <w:rPr>
      <w:rFonts w:ascii="Times New Roman" w:hAnsi="Times New Roman" w:eastAsia="宋体" w:cs="Times New Roman"/>
      <w:b/>
      <w:bCs/>
      <w:kern w:val="0"/>
      <w:sz w:val="24"/>
      <w:szCs w:val="24"/>
    </w:rPr>
  </w:style>
  <w:style w:type="character" w:customStyle="1" w:styleId="49">
    <w:name w:val="标题 2 Char"/>
    <w:basedOn w:val="40"/>
    <w:link w:val="4"/>
    <w:qFormat/>
    <w:uiPriority w:val="99"/>
    <w:rPr>
      <w:rFonts w:ascii="Arial" w:hAnsi="Arial" w:eastAsia="黑体" w:cs="Arial"/>
      <w:b/>
      <w:bCs/>
      <w:sz w:val="32"/>
      <w:szCs w:val="32"/>
    </w:rPr>
  </w:style>
  <w:style w:type="character" w:customStyle="1" w:styleId="50">
    <w:name w:val="标题 3 Char"/>
    <w:basedOn w:val="40"/>
    <w:link w:val="5"/>
    <w:qFormat/>
    <w:uiPriority w:val="99"/>
    <w:rPr>
      <w:rFonts w:ascii="楷体_GB2312" w:hAnsi="宋体" w:eastAsia="楷体_GB2312" w:cs="楷体_GB2312"/>
      <w:b/>
      <w:bCs/>
      <w:sz w:val="32"/>
      <w:szCs w:val="32"/>
    </w:rPr>
  </w:style>
  <w:style w:type="character" w:customStyle="1" w:styleId="51">
    <w:name w:val="标题 4 Char"/>
    <w:basedOn w:val="40"/>
    <w:link w:val="6"/>
    <w:qFormat/>
    <w:uiPriority w:val="99"/>
    <w:rPr>
      <w:rFonts w:ascii="Arial" w:hAnsi="Arial" w:eastAsia="黑体" w:cs="Arial"/>
      <w:b/>
      <w:bCs/>
      <w:kern w:val="0"/>
      <w:sz w:val="28"/>
      <w:szCs w:val="28"/>
    </w:rPr>
  </w:style>
  <w:style w:type="character" w:customStyle="1" w:styleId="52">
    <w:name w:val="标题 5 Char"/>
    <w:basedOn w:val="40"/>
    <w:link w:val="7"/>
    <w:qFormat/>
    <w:uiPriority w:val="99"/>
    <w:rPr>
      <w:rFonts w:ascii="Times New Roman" w:hAnsi="Times New Roman" w:eastAsia="宋体" w:cs="Times New Roman"/>
      <w:b/>
      <w:bCs/>
      <w:kern w:val="0"/>
      <w:sz w:val="28"/>
      <w:szCs w:val="28"/>
    </w:rPr>
  </w:style>
  <w:style w:type="character" w:customStyle="1" w:styleId="53">
    <w:name w:val="标题 6 Char"/>
    <w:basedOn w:val="40"/>
    <w:link w:val="8"/>
    <w:qFormat/>
    <w:uiPriority w:val="99"/>
    <w:rPr>
      <w:rFonts w:ascii="Arial" w:hAnsi="Arial" w:eastAsia="黑体" w:cs="Arial"/>
      <w:b/>
      <w:bCs/>
      <w:kern w:val="0"/>
      <w:sz w:val="24"/>
      <w:szCs w:val="24"/>
    </w:rPr>
  </w:style>
  <w:style w:type="character" w:customStyle="1" w:styleId="54">
    <w:name w:val="标题 7 Char"/>
    <w:basedOn w:val="40"/>
    <w:link w:val="9"/>
    <w:qFormat/>
    <w:uiPriority w:val="99"/>
    <w:rPr>
      <w:rFonts w:ascii="Times New Roman" w:hAnsi="Times New Roman" w:eastAsia="宋体" w:cs="Times New Roman"/>
      <w:b/>
      <w:bCs/>
      <w:kern w:val="0"/>
      <w:sz w:val="24"/>
      <w:szCs w:val="24"/>
    </w:rPr>
  </w:style>
  <w:style w:type="character" w:customStyle="1" w:styleId="55">
    <w:name w:val="标题 8 Char"/>
    <w:basedOn w:val="40"/>
    <w:link w:val="10"/>
    <w:qFormat/>
    <w:uiPriority w:val="99"/>
    <w:rPr>
      <w:rFonts w:ascii="Arial" w:hAnsi="Arial" w:eastAsia="黑体" w:cs="Arial"/>
      <w:kern w:val="0"/>
      <w:sz w:val="24"/>
      <w:szCs w:val="24"/>
    </w:rPr>
  </w:style>
  <w:style w:type="character" w:customStyle="1" w:styleId="56">
    <w:name w:val="标题 9 Char"/>
    <w:basedOn w:val="40"/>
    <w:link w:val="11"/>
    <w:qFormat/>
    <w:uiPriority w:val="99"/>
    <w:rPr>
      <w:rFonts w:ascii="Arial" w:hAnsi="Arial" w:eastAsia="黑体" w:cs="Arial"/>
      <w:kern w:val="0"/>
      <w:szCs w:val="21"/>
    </w:rPr>
  </w:style>
  <w:style w:type="character" w:customStyle="1" w:styleId="57">
    <w:name w:val="正文文本 Char"/>
    <w:basedOn w:val="40"/>
    <w:qFormat/>
    <w:uiPriority w:val="99"/>
    <w:rPr>
      <w:rFonts w:ascii="Times New Roman" w:hAnsi="Times New Roman" w:eastAsia="宋体" w:cs="Times New Roman"/>
      <w:szCs w:val="21"/>
    </w:rPr>
  </w:style>
  <w:style w:type="character" w:customStyle="1" w:styleId="58">
    <w:name w:val="正文文本 Char1"/>
    <w:basedOn w:val="40"/>
    <w:link w:val="16"/>
    <w:qFormat/>
    <w:locked/>
    <w:uiPriority w:val="99"/>
    <w:rPr>
      <w:rFonts w:ascii="Times New Roman" w:hAnsi="Times New Roman" w:eastAsia="宋体" w:cs="Times New Roman"/>
      <w:kern w:val="0"/>
      <w:sz w:val="20"/>
      <w:szCs w:val="20"/>
    </w:rPr>
  </w:style>
  <w:style w:type="character" w:customStyle="1" w:styleId="59">
    <w:name w:val="批注文字 Char"/>
    <w:basedOn w:val="40"/>
    <w:qFormat/>
    <w:uiPriority w:val="99"/>
    <w:rPr>
      <w:rFonts w:ascii="Times New Roman" w:hAnsi="Times New Roman" w:eastAsia="宋体" w:cs="Times New Roman"/>
      <w:szCs w:val="21"/>
    </w:rPr>
  </w:style>
  <w:style w:type="character" w:customStyle="1" w:styleId="60">
    <w:name w:val="批注文字 Char2"/>
    <w:basedOn w:val="40"/>
    <w:link w:val="14"/>
    <w:semiHidden/>
    <w:qFormat/>
    <w:locked/>
    <w:uiPriority w:val="99"/>
    <w:rPr>
      <w:rFonts w:ascii="Times New Roman" w:hAnsi="Times New Roman" w:eastAsia="宋体" w:cs="Times New Roman"/>
      <w:szCs w:val="21"/>
    </w:rPr>
  </w:style>
  <w:style w:type="character" w:customStyle="1" w:styleId="61">
    <w:name w:val="批注主题 Char"/>
    <w:basedOn w:val="59"/>
    <w:semiHidden/>
    <w:qFormat/>
    <w:uiPriority w:val="99"/>
    <w:rPr>
      <w:rFonts w:ascii="Times New Roman" w:hAnsi="Times New Roman" w:eastAsia="宋体" w:cs="Times New Roman"/>
      <w:b/>
      <w:bCs/>
      <w:szCs w:val="21"/>
    </w:rPr>
  </w:style>
  <w:style w:type="character" w:customStyle="1" w:styleId="62">
    <w:name w:val="批注主题 Char1"/>
    <w:basedOn w:val="60"/>
    <w:link w:val="37"/>
    <w:semiHidden/>
    <w:qFormat/>
    <w:locked/>
    <w:uiPriority w:val="99"/>
    <w:rPr>
      <w:rFonts w:ascii="Calibri" w:hAnsi="Calibri" w:eastAsia="宋体" w:cs="Calibri"/>
      <w:b/>
      <w:bCs/>
      <w:kern w:val="0"/>
      <w:sz w:val="20"/>
      <w:szCs w:val="20"/>
    </w:rPr>
  </w:style>
  <w:style w:type="character" w:customStyle="1" w:styleId="63">
    <w:name w:val="文档结构图 Char"/>
    <w:basedOn w:val="40"/>
    <w:qFormat/>
    <w:uiPriority w:val="99"/>
    <w:rPr>
      <w:rFonts w:ascii="宋体" w:hAnsi="Times New Roman" w:eastAsia="宋体" w:cs="Times New Roman"/>
      <w:sz w:val="18"/>
      <w:szCs w:val="18"/>
    </w:rPr>
  </w:style>
  <w:style w:type="character" w:customStyle="1" w:styleId="64">
    <w:name w:val="文档结构图 Char1"/>
    <w:basedOn w:val="40"/>
    <w:link w:val="13"/>
    <w:semiHidden/>
    <w:qFormat/>
    <w:locked/>
    <w:uiPriority w:val="99"/>
    <w:rPr>
      <w:rFonts w:ascii="Times New Roman" w:hAnsi="Times New Roman" w:eastAsia="宋体" w:cs="Times New Roman"/>
      <w:kern w:val="0"/>
      <w:sz w:val="20"/>
      <w:szCs w:val="20"/>
      <w:shd w:val="clear" w:color="auto" w:fill="000080"/>
    </w:rPr>
  </w:style>
  <w:style w:type="character" w:customStyle="1" w:styleId="65">
    <w:name w:val="正文文本 3 Char"/>
    <w:basedOn w:val="40"/>
    <w:qFormat/>
    <w:uiPriority w:val="99"/>
    <w:rPr>
      <w:rFonts w:ascii="Times New Roman" w:hAnsi="Times New Roman" w:eastAsia="宋体" w:cs="Times New Roman"/>
      <w:sz w:val="16"/>
      <w:szCs w:val="16"/>
    </w:rPr>
  </w:style>
  <w:style w:type="character" w:customStyle="1" w:styleId="66">
    <w:name w:val="正文文本 3 Char1"/>
    <w:basedOn w:val="40"/>
    <w:link w:val="15"/>
    <w:qFormat/>
    <w:locked/>
    <w:uiPriority w:val="99"/>
    <w:rPr>
      <w:rFonts w:ascii="Times New Roman" w:hAnsi="Times New Roman" w:eastAsia="宋体" w:cs="Times New Roman"/>
      <w:kern w:val="0"/>
      <w:sz w:val="16"/>
      <w:szCs w:val="16"/>
    </w:rPr>
  </w:style>
  <w:style w:type="character" w:customStyle="1" w:styleId="67">
    <w:name w:val="正文文本缩进 Char"/>
    <w:basedOn w:val="40"/>
    <w:qFormat/>
    <w:uiPriority w:val="99"/>
    <w:rPr>
      <w:rFonts w:ascii="Times New Roman" w:hAnsi="Times New Roman" w:eastAsia="宋体" w:cs="Times New Roman"/>
      <w:szCs w:val="21"/>
    </w:rPr>
  </w:style>
  <w:style w:type="character" w:customStyle="1" w:styleId="68">
    <w:name w:val="正文文本缩进 Char1"/>
    <w:basedOn w:val="40"/>
    <w:link w:val="17"/>
    <w:qFormat/>
    <w:locked/>
    <w:uiPriority w:val="99"/>
    <w:rPr>
      <w:rFonts w:ascii="Times New Roman" w:hAnsi="Times New Roman" w:eastAsia="宋体" w:cs="Times New Roman"/>
      <w:kern w:val="0"/>
      <w:sz w:val="24"/>
      <w:szCs w:val="24"/>
    </w:rPr>
  </w:style>
  <w:style w:type="character" w:customStyle="1" w:styleId="69">
    <w:name w:val="纯文本 Char"/>
    <w:basedOn w:val="40"/>
    <w:qFormat/>
    <w:uiPriority w:val="99"/>
    <w:rPr>
      <w:rFonts w:ascii="宋体" w:hAnsi="Courier New" w:eastAsia="宋体" w:cs="Courier New"/>
      <w:szCs w:val="21"/>
    </w:rPr>
  </w:style>
  <w:style w:type="character" w:customStyle="1" w:styleId="70">
    <w:name w:val="纯文本 Char2"/>
    <w:basedOn w:val="40"/>
    <w:link w:val="21"/>
    <w:qFormat/>
    <w:locked/>
    <w:uiPriority w:val="99"/>
    <w:rPr>
      <w:rFonts w:ascii="宋体" w:hAnsi="Courier New" w:eastAsia="宋体" w:cs="宋体"/>
      <w:kern w:val="0"/>
      <w:sz w:val="20"/>
      <w:szCs w:val="20"/>
    </w:rPr>
  </w:style>
  <w:style w:type="character" w:customStyle="1" w:styleId="71">
    <w:name w:val="日期 Char"/>
    <w:basedOn w:val="40"/>
    <w:qFormat/>
    <w:uiPriority w:val="99"/>
    <w:rPr>
      <w:rFonts w:ascii="Times New Roman" w:hAnsi="Times New Roman" w:eastAsia="宋体" w:cs="Times New Roman"/>
      <w:szCs w:val="21"/>
    </w:rPr>
  </w:style>
  <w:style w:type="character" w:customStyle="1" w:styleId="72">
    <w:name w:val="日期 Char1"/>
    <w:basedOn w:val="40"/>
    <w:link w:val="23"/>
    <w:qFormat/>
    <w:locked/>
    <w:uiPriority w:val="99"/>
    <w:rPr>
      <w:rFonts w:ascii="宋体" w:hAnsi="Times New Roman" w:eastAsia="宋体" w:cs="宋体"/>
      <w:kern w:val="0"/>
      <w:sz w:val="20"/>
      <w:szCs w:val="20"/>
    </w:rPr>
  </w:style>
  <w:style w:type="character" w:customStyle="1" w:styleId="73">
    <w:name w:val="正文文本缩进 2 Char"/>
    <w:basedOn w:val="40"/>
    <w:qFormat/>
    <w:uiPriority w:val="99"/>
    <w:rPr>
      <w:rFonts w:ascii="Times New Roman" w:hAnsi="Times New Roman" w:eastAsia="宋体" w:cs="Times New Roman"/>
      <w:szCs w:val="21"/>
    </w:rPr>
  </w:style>
  <w:style w:type="character" w:customStyle="1" w:styleId="74">
    <w:name w:val="正文文本缩进 2 Char1"/>
    <w:basedOn w:val="40"/>
    <w:link w:val="24"/>
    <w:qFormat/>
    <w:locked/>
    <w:uiPriority w:val="99"/>
    <w:rPr>
      <w:rFonts w:ascii="Times New Roman" w:hAnsi="Times New Roman" w:eastAsia="宋体" w:cs="Times New Roman"/>
      <w:kern w:val="0"/>
      <w:sz w:val="24"/>
      <w:szCs w:val="24"/>
    </w:rPr>
  </w:style>
  <w:style w:type="character" w:customStyle="1" w:styleId="75">
    <w:name w:val="批注框文本 Char"/>
    <w:basedOn w:val="40"/>
    <w:qFormat/>
    <w:uiPriority w:val="99"/>
    <w:rPr>
      <w:rFonts w:ascii="Times New Roman" w:hAnsi="Times New Roman" w:eastAsia="宋体" w:cs="Times New Roman"/>
      <w:sz w:val="18"/>
      <w:szCs w:val="18"/>
    </w:rPr>
  </w:style>
  <w:style w:type="character" w:customStyle="1" w:styleId="76">
    <w:name w:val="批注框文本 Char2"/>
    <w:basedOn w:val="40"/>
    <w:link w:val="26"/>
    <w:semiHidden/>
    <w:qFormat/>
    <w:locked/>
    <w:uiPriority w:val="99"/>
    <w:rPr>
      <w:rFonts w:ascii="Calibri" w:hAnsi="Calibri" w:eastAsia="宋体" w:cs="Calibri"/>
      <w:kern w:val="0"/>
      <w:sz w:val="18"/>
      <w:szCs w:val="18"/>
    </w:rPr>
  </w:style>
  <w:style w:type="character" w:customStyle="1" w:styleId="77">
    <w:name w:val="页脚 Char"/>
    <w:basedOn w:val="40"/>
    <w:qFormat/>
    <w:uiPriority w:val="99"/>
    <w:rPr>
      <w:rFonts w:ascii="Times New Roman" w:hAnsi="Times New Roman" w:eastAsia="宋体" w:cs="Times New Roman"/>
      <w:sz w:val="18"/>
      <w:szCs w:val="18"/>
    </w:rPr>
  </w:style>
  <w:style w:type="character" w:customStyle="1" w:styleId="78">
    <w:name w:val="页脚 Char1"/>
    <w:basedOn w:val="40"/>
    <w:link w:val="27"/>
    <w:qFormat/>
    <w:locked/>
    <w:uiPriority w:val="99"/>
    <w:rPr>
      <w:rFonts w:ascii="Times New Roman" w:hAnsi="Times New Roman" w:eastAsia="宋体" w:cs="Times New Roman"/>
      <w:kern w:val="0"/>
      <w:sz w:val="18"/>
      <w:szCs w:val="18"/>
    </w:rPr>
  </w:style>
  <w:style w:type="character" w:customStyle="1" w:styleId="79">
    <w:name w:val="页眉 Char"/>
    <w:basedOn w:val="40"/>
    <w:qFormat/>
    <w:uiPriority w:val="99"/>
    <w:rPr>
      <w:rFonts w:ascii="Times New Roman" w:hAnsi="Times New Roman" w:eastAsia="宋体" w:cs="Times New Roman"/>
      <w:sz w:val="18"/>
      <w:szCs w:val="18"/>
    </w:rPr>
  </w:style>
  <w:style w:type="character" w:customStyle="1" w:styleId="80">
    <w:name w:val="页眉 Char1"/>
    <w:basedOn w:val="40"/>
    <w:link w:val="28"/>
    <w:qFormat/>
    <w:locked/>
    <w:uiPriority w:val="99"/>
    <w:rPr>
      <w:rFonts w:ascii="Times New Roman" w:hAnsi="Times New Roman" w:eastAsia="宋体" w:cs="Times New Roman"/>
      <w:kern w:val="0"/>
      <w:sz w:val="18"/>
      <w:szCs w:val="18"/>
    </w:rPr>
  </w:style>
  <w:style w:type="character" w:customStyle="1" w:styleId="81">
    <w:name w:val="正文文本缩进 3 Char"/>
    <w:basedOn w:val="40"/>
    <w:qFormat/>
    <w:uiPriority w:val="99"/>
    <w:rPr>
      <w:rFonts w:ascii="Times New Roman" w:hAnsi="Times New Roman" w:eastAsia="宋体" w:cs="Times New Roman"/>
      <w:sz w:val="16"/>
      <w:szCs w:val="16"/>
    </w:rPr>
  </w:style>
  <w:style w:type="character" w:customStyle="1" w:styleId="82">
    <w:name w:val="正文文本缩进 3 Char1"/>
    <w:basedOn w:val="40"/>
    <w:link w:val="32"/>
    <w:qFormat/>
    <w:locked/>
    <w:uiPriority w:val="99"/>
    <w:rPr>
      <w:rFonts w:ascii="Times New Roman" w:hAnsi="Times New Roman" w:eastAsia="宋体" w:cs="Times New Roman"/>
      <w:kern w:val="0"/>
      <w:sz w:val="16"/>
      <w:szCs w:val="16"/>
    </w:rPr>
  </w:style>
  <w:style w:type="character" w:customStyle="1" w:styleId="83">
    <w:name w:val="HTML 预设格式 Char"/>
    <w:basedOn w:val="40"/>
    <w:qFormat/>
    <w:uiPriority w:val="99"/>
    <w:rPr>
      <w:rFonts w:ascii="Courier New" w:hAnsi="Courier New" w:eastAsia="宋体" w:cs="Courier New"/>
      <w:sz w:val="20"/>
      <w:szCs w:val="20"/>
    </w:rPr>
  </w:style>
  <w:style w:type="character" w:customStyle="1" w:styleId="84">
    <w:name w:val="HTML 预设格式 Char1"/>
    <w:basedOn w:val="40"/>
    <w:link w:val="35"/>
    <w:qFormat/>
    <w:locked/>
    <w:uiPriority w:val="99"/>
    <w:rPr>
      <w:rFonts w:ascii="黑体" w:hAnsi="Courier New" w:eastAsia="黑体" w:cs="黑体"/>
      <w:kern w:val="0"/>
      <w:sz w:val="20"/>
      <w:szCs w:val="20"/>
    </w:rPr>
  </w:style>
  <w:style w:type="character" w:customStyle="1" w:styleId="85">
    <w:name w:val="s10pv000000"/>
    <w:qFormat/>
    <w:uiPriority w:val="99"/>
  </w:style>
  <w:style w:type="character" w:customStyle="1" w:styleId="86">
    <w:name w:val="Anrede1IhrZeichen"/>
    <w:qFormat/>
    <w:uiPriority w:val="99"/>
    <w:rPr>
      <w:rFonts w:ascii="Arial" w:hAnsi="Arial" w:cs="Arial"/>
      <w:sz w:val="20"/>
      <w:szCs w:val="20"/>
    </w:rPr>
  </w:style>
  <w:style w:type="character" w:customStyle="1" w:styleId="87">
    <w:name w:val="纯文本 Char1"/>
    <w:qFormat/>
    <w:uiPriority w:val="99"/>
    <w:rPr>
      <w:rFonts w:ascii="宋体" w:hAnsi="Courier New" w:cs="宋体"/>
      <w:kern w:val="2"/>
      <w:sz w:val="21"/>
      <w:szCs w:val="21"/>
    </w:rPr>
  </w:style>
  <w:style w:type="character" w:customStyle="1" w:styleId="88">
    <w:name w:val="font81"/>
    <w:qFormat/>
    <w:uiPriority w:val="99"/>
    <w:rPr>
      <w:rFonts w:ascii="Times New Roman" w:hAnsi="Times New Roman" w:cs="Times New Roman"/>
      <w:color w:val="000000"/>
      <w:sz w:val="20"/>
      <w:szCs w:val="20"/>
      <w:u w:val="none"/>
    </w:rPr>
  </w:style>
  <w:style w:type="character" w:customStyle="1" w:styleId="89">
    <w:name w:val="正文缩进 Char"/>
    <w:link w:val="2"/>
    <w:qFormat/>
    <w:locked/>
    <w:uiPriority w:val="99"/>
    <w:rPr>
      <w:rFonts w:ascii="Times New Roman" w:hAnsi="Times New Roman" w:eastAsia="宋体" w:cs="Times New Roman"/>
      <w:kern w:val="0"/>
      <w:szCs w:val="21"/>
    </w:rPr>
  </w:style>
  <w:style w:type="character" w:customStyle="1" w:styleId="90">
    <w:name w:val="明显参考1"/>
    <w:qFormat/>
    <w:uiPriority w:val="99"/>
    <w:rPr>
      <w:b/>
      <w:bCs/>
      <w:smallCaps/>
      <w:color w:val="auto"/>
      <w:spacing w:val="5"/>
      <w:u w:val="single"/>
    </w:rPr>
  </w:style>
  <w:style w:type="character" w:customStyle="1" w:styleId="91">
    <w:name w:val="批注框文本 Char1"/>
    <w:semiHidden/>
    <w:qFormat/>
    <w:uiPriority w:val="99"/>
    <w:rPr>
      <w:kern w:val="2"/>
      <w:sz w:val="18"/>
      <w:szCs w:val="18"/>
    </w:rPr>
  </w:style>
  <w:style w:type="character" w:customStyle="1" w:styleId="92">
    <w:name w:val="f141"/>
    <w:qFormat/>
    <w:uiPriority w:val="99"/>
    <w:rPr>
      <w:sz w:val="21"/>
      <w:szCs w:val="21"/>
    </w:rPr>
  </w:style>
  <w:style w:type="character" w:customStyle="1" w:styleId="93">
    <w:name w:val="批注文字 Char1"/>
    <w:semiHidden/>
    <w:qFormat/>
    <w:uiPriority w:val="99"/>
    <w:rPr>
      <w:kern w:val="2"/>
      <w:sz w:val="22"/>
      <w:szCs w:val="22"/>
    </w:rPr>
  </w:style>
  <w:style w:type="character" w:customStyle="1" w:styleId="94">
    <w:name w:val="p141"/>
    <w:qFormat/>
    <w:uiPriority w:val="99"/>
    <w:rPr>
      <w:sz w:val="21"/>
      <w:szCs w:val="21"/>
    </w:rPr>
  </w:style>
  <w:style w:type="character" w:customStyle="1" w:styleId="95">
    <w:name w:val="font61"/>
    <w:qFormat/>
    <w:uiPriority w:val="99"/>
    <w:rPr>
      <w:rFonts w:ascii="宋体" w:hAnsi="宋体" w:eastAsia="宋体" w:cs="宋体"/>
      <w:b/>
      <w:bCs/>
      <w:color w:val="000000"/>
      <w:sz w:val="20"/>
      <w:szCs w:val="20"/>
      <w:u w:val="none"/>
    </w:rPr>
  </w:style>
  <w:style w:type="paragraph" w:customStyle="1" w:styleId="96">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97">
    <w:name w:val="List Paragraph"/>
    <w:basedOn w:val="1"/>
    <w:link w:val="149"/>
    <w:qFormat/>
    <w:uiPriority w:val="99"/>
    <w:pPr>
      <w:ind w:firstLine="420" w:firstLineChars="200"/>
    </w:pPr>
  </w:style>
  <w:style w:type="paragraph" w:customStyle="1" w:styleId="98">
    <w:name w:val="默认段落字体 Para Char"/>
    <w:basedOn w:val="1"/>
    <w:qFormat/>
    <w:uiPriority w:val="99"/>
  </w:style>
  <w:style w:type="paragraph" w:customStyle="1" w:styleId="99">
    <w:name w:val="_Style 39"/>
    <w:basedOn w:val="1"/>
    <w:qFormat/>
    <w:uiPriority w:val="99"/>
  </w:style>
  <w:style w:type="paragraph" w:customStyle="1" w:styleId="100">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_Style 37"/>
    <w:basedOn w:val="1"/>
    <w:qFormat/>
    <w:uiPriority w:val="99"/>
  </w:style>
  <w:style w:type="paragraph" w:customStyle="1" w:styleId="102">
    <w:name w:val="样式 标题 2 + 宋体 五号 非加粗 黑色"/>
    <w:basedOn w:val="4"/>
    <w:qFormat/>
    <w:uiPriority w:val="99"/>
    <w:pPr>
      <w:tabs>
        <w:tab w:val="left" w:pos="840"/>
      </w:tabs>
      <w:adjustRightInd w:val="0"/>
      <w:spacing w:line="416" w:lineRule="atLeast"/>
      <w:ind w:left="840" w:hanging="420"/>
      <w:jc w:val="left"/>
      <w:textAlignment w:val="baseline"/>
    </w:pPr>
    <w:rPr>
      <w:rFonts w:ascii="宋体" w:hAnsi="宋体" w:eastAsia="宋体" w:cs="宋体"/>
      <w:b w:val="0"/>
      <w:bCs w:val="0"/>
      <w:color w:val="000000"/>
      <w:kern w:val="0"/>
      <w:sz w:val="21"/>
      <w:szCs w:val="21"/>
    </w:rPr>
  </w:style>
  <w:style w:type="paragraph" w:customStyle="1" w:styleId="103">
    <w:name w:val="font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样式 标题 4 + 段前: 5 磅 段后: 5 磅 行距: 单倍行距"/>
    <w:basedOn w:val="6"/>
    <w:qFormat/>
    <w:uiPriority w:val="99"/>
    <w:pPr>
      <w:widowControl w:val="0"/>
      <w:tabs>
        <w:tab w:val="left" w:pos="1680"/>
      </w:tabs>
      <w:adjustRightInd w:val="0"/>
      <w:spacing w:before="100" w:after="100" w:line="240" w:lineRule="auto"/>
      <w:ind w:left="1680" w:hanging="420"/>
      <w:textAlignment w:val="baseline"/>
    </w:pPr>
  </w:style>
  <w:style w:type="paragraph" w:customStyle="1" w:styleId="105">
    <w:name w:val="Char Char Char Char Char Char Char"/>
    <w:basedOn w:val="1"/>
    <w:qFormat/>
    <w:uiPriority w:val="99"/>
    <w:rPr>
      <w:rFonts w:ascii="Tahoma" w:hAnsi="Tahoma" w:cs="Tahoma"/>
      <w:sz w:val="30"/>
      <w:szCs w:val="30"/>
    </w:rPr>
  </w:style>
  <w:style w:type="paragraph" w:customStyle="1" w:styleId="106">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Char1 Char Char Char Char Char Char Char Char Char"/>
    <w:basedOn w:val="1"/>
    <w:qFormat/>
    <w:uiPriority w:val="99"/>
    <w:pPr>
      <w:widowControl/>
      <w:spacing w:line="400" w:lineRule="exact"/>
      <w:jc w:val="center"/>
    </w:pPr>
    <w:rPr>
      <w:rFonts w:ascii="Verdana" w:hAnsi="Verdana" w:cs="Verdana"/>
      <w:kern w:val="0"/>
      <w:lang w:eastAsia="en-US"/>
    </w:rPr>
  </w:style>
  <w:style w:type="paragraph" w:customStyle="1" w:styleId="108">
    <w:name w:val="基准标题"/>
    <w:basedOn w:val="16"/>
    <w:next w:val="16"/>
    <w:qFormat/>
    <w:uiPriority w:val="99"/>
    <w:pPr>
      <w:keepNext/>
      <w:keepLines/>
      <w:widowControl/>
      <w:spacing w:after="0" w:line="240" w:lineRule="atLeast"/>
      <w:jc w:val="left"/>
    </w:pPr>
    <w:rPr>
      <w:rFonts w:ascii="Garamond" w:hAnsi="Garamond" w:cs="Garamond"/>
      <w:kern w:val="20"/>
      <w:sz w:val="22"/>
      <w:szCs w:val="22"/>
    </w:rPr>
  </w:style>
  <w:style w:type="paragraph" w:customStyle="1" w:styleId="109">
    <w:name w:val="默认段落字体 Para Char Char Char Char"/>
    <w:basedOn w:val="1"/>
    <w:qFormat/>
    <w:uiPriority w:val="99"/>
  </w:style>
  <w:style w:type="paragraph" w:customStyle="1" w:styleId="110">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1">
    <w:name w:val="3 Char"/>
    <w:basedOn w:val="1"/>
    <w:qFormat/>
    <w:uiPriority w:val="99"/>
    <w:pPr>
      <w:widowControl/>
      <w:spacing w:line="400" w:lineRule="exact"/>
      <w:jc w:val="center"/>
    </w:pPr>
    <w:rPr>
      <w:rFonts w:ascii="Verdana" w:hAnsi="Verdana" w:cs="Verdana"/>
      <w:kern w:val="0"/>
      <w:lang w:eastAsia="en-US"/>
    </w:rPr>
  </w:style>
  <w:style w:type="paragraph" w:customStyle="1" w:styleId="1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head"/>
    <w:basedOn w:val="1"/>
    <w:qFormat/>
    <w:uiPriority w:val="99"/>
    <w:pPr>
      <w:widowControl/>
      <w:spacing w:before="100" w:beforeAutospacing="1" w:after="100" w:afterAutospacing="1"/>
      <w:jc w:val="center"/>
    </w:pPr>
    <w:rPr>
      <w:rFonts w:ascii="黑体" w:hAnsi="宋体" w:eastAsia="黑体" w:cs="黑体"/>
      <w:b/>
      <w:bCs/>
      <w:kern w:val="0"/>
      <w:sz w:val="28"/>
      <w:szCs w:val="28"/>
    </w:rPr>
  </w:style>
  <w:style w:type="paragraph" w:customStyle="1" w:styleId="114">
    <w:name w:val="Char Char2 Char"/>
    <w:basedOn w:val="1"/>
    <w:qFormat/>
    <w:uiPriority w:val="99"/>
    <w:rPr>
      <w:rFonts w:ascii="宋体" w:hAnsi="宋体" w:cs="宋体"/>
      <w:b/>
      <w:bCs/>
      <w:sz w:val="28"/>
      <w:szCs w:val="28"/>
    </w:rPr>
  </w:style>
  <w:style w:type="paragraph" w:customStyle="1" w:styleId="115">
    <w:name w:val="Char2"/>
    <w:basedOn w:val="1"/>
    <w:qFormat/>
    <w:uiPriority w:val="99"/>
    <w:pPr>
      <w:widowControl/>
      <w:spacing w:after="160" w:line="240" w:lineRule="exact"/>
      <w:jc w:val="left"/>
    </w:pPr>
  </w:style>
  <w:style w:type="paragraph" w:customStyle="1" w:styleId="116">
    <w:name w:val="样式 标题 3h3H3sect1.2.3 + 五号 段前: 6 磅 段后: 6 磅 行距: 单倍行距"/>
    <w:basedOn w:val="5"/>
    <w:qFormat/>
    <w:uiPriority w:val="99"/>
    <w:pPr>
      <w:keepLines/>
      <w:tabs>
        <w:tab w:val="left" w:pos="1260"/>
      </w:tabs>
      <w:adjustRightInd w:val="0"/>
      <w:spacing w:before="120" w:after="120"/>
      <w:ind w:left="1260" w:hanging="420"/>
      <w:jc w:val="left"/>
      <w:textAlignment w:val="baseline"/>
    </w:pPr>
    <w:rPr>
      <w:rFonts w:ascii="Times New Roman" w:hAnsi="Times New Roman" w:eastAsia="宋体" w:cs="Times New Roman"/>
      <w:kern w:val="0"/>
      <w:sz w:val="21"/>
      <w:szCs w:val="21"/>
    </w:rPr>
  </w:style>
  <w:style w:type="paragraph" w:customStyle="1" w:styleId="117">
    <w:name w:val="列出段落1"/>
    <w:basedOn w:val="1"/>
    <w:qFormat/>
    <w:uiPriority w:val="99"/>
    <w:pPr>
      <w:ind w:firstLine="420" w:firstLineChars="200"/>
    </w:pPr>
  </w:style>
  <w:style w:type="paragraph" w:customStyle="1" w:styleId="118">
    <w:name w:val="TOC 标题1"/>
    <w:basedOn w:val="3"/>
    <w:next w:val="1"/>
    <w:qFormat/>
    <w:uiPriority w:val="99"/>
    <w:pPr>
      <w:keepLines/>
      <w:spacing w:before="480" w:line="276" w:lineRule="auto"/>
      <w:outlineLvl w:val="9"/>
    </w:pPr>
    <w:rPr>
      <w:rFonts w:ascii="Cambria" w:hAnsi="Cambria" w:cs="Cambria"/>
      <w:color w:val="365F91"/>
      <w:sz w:val="28"/>
      <w:szCs w:val="28"/>
    </w:rPr>
  </w:style>
  <w:style w:type="paragraph" w:customStyle="1" w:styleId="119">
    <w:name w:val="Char1 Char Char Char"/>
    <w:basedOn w:val="1"/>
    <w:qFormat/>
    <w:uiPriority w:val="99"/>
  </w:style>
  <w:style w:type="paragraph" w:customStyle="1" w:styleId="120">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121">
    <w:name w:val="xl29"/>
    <w:basedOn w:val="1"/>
    <w:qFormat/>
    <w:uiPriority w:val="99"/>
    <w:pPr>
      <w:widowControl/>
      <w:spacing w:before="100" w:beforeAutospacing="1" w:after="100" w:afterAutospacing="1"/>
      <w:jc w:val="center"/>
    </w:pPr>
    <w:rPr>
      <w:rFonts w:ascii="宋体" w:hAnsi="宋体" w:cs="宋体"/>
      <w:kern w:val="0"/>
      <w:sz w:val="28"/>
      <w:szCs w:val="28"/>
    </w:rPr>
  </w:style>
  <w:style w:type="paragraph" w:customStyle="1" w:styleId="122">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24">
    <w:name w:val="Char Char Char"/>
    <w:basedOn w:val="1"/>
    <w:qFormat/>
    <w:uiPriority w:val="99"/>
    <w:rPr>
      <w:rFonts w:ascii="宋体" w:hAnsi="宋体" w:cs="宋体"/>
      <w:b/>
      <w:bCs/>
      <w:sz w:val="28"/>
      <w:szCs w:val="28"/>
    </w:rPr>
  </w:style>
  <w:style w:type="paragraph" w:customStyle="1" w:styleId="12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26">
    <w:name w:val="样式1"/>
    <w:basedOn w:val="1"/>
    <w:qFormat/>
    <w:uiPriority w:val="99"/>
    <w:pPr>
      <w:tabs>
        <w:tab w:val="left" w:pos="425"/>
        <w:tab w:val="left" w:pos="709"/>
      </w:tabs>
      <w:adjustRightInd w:val="0"/>
      <w:ind w:left="425" w:hanging="425"/>
      <w:textAlignment w:val="baseline"/>
    </w:pPr>
    <w:rPr>
      <w:rFonts w:ascii="宋体" w:hAnsi="宋体" w:cs="宋体"/>
      <w:kern w:val="0"/>
    </w:rPr>
  </w:style>
  <w:style w:type="paragraph" w:customStyle="1" w:styleId="127">
    <w:name w:val="样式4"/>
    <w:basedOn w:val="1"/>
    <w:qFormat/>
    <w:uiPriority w:val="99"/>
    <w:pPr>
      <w:tabs>
        <w:tab w:val="left" w:pos="2328"/>
      </w:tabs>
      <w:ind w:left="2328" w:hanging="708"/>
    </w:pPr>
  </w:style>
  <w:style w:type="paragraph" w:customStyle="1" w:styleId="128">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9">
    <w:name w:val="封面3"/>
    <w:basedOn w:val="1"/>
    <w:qFormat/>
    <w:uiPriority w:val="99"/>
    <w:pPr>
      <w:tabs>
        <w:tab w:val="left" w:pos="2160"/>
      </w:tabs>
      <w:spacing w:line="360" w:lineRule="auto"/>
      <w:ind w:firstLine="542" w:firstLineChars="180"/>
    </w:pPr>
    <w:rPr>
      <w:rFonts w:ascii="黑体" w:hAnsi="宋体" w:eastAsia="黑体" w:cs="黑体"/>
      <w:b/>
      <w:bCs/>
      <w:kern w:val="0"/>
      <w:sz w:val="30"/>
      <w:szCs w:val="30"/>
    </w:rPr>
  </w:style>
  <w:style w:type="paragraph" w:customStyle="1" w:styleId="130">
    <w:name w:val="设计方案"/>
    <w:basedOn w:val="1"/>
    <w:qFormat/>
    <w:uiPriority w:val="99"/>
    <w:pPr>
      <w:widowControl/>
      <w:tabs>
        <w:tab w:val="left" w:pos="425"/>
      </w:tabs>
      <w:spacing w:after="160" w:line="240" w:lineRule="exact"/>
      <w:ind w:left="425" w:hanging="425"/>
      <w:jc w:val="left"/>
    </w:pPr>
    <w:rPr>
      <w:rFonts w:ascii="Verdana" w:hAnsi="Verdana" w:cs="Verdana"/>
      <w:kern w:val="0"/>
      <w:lang w:eastAsia="en-US"/>
    </w:rPr>
  </w:style>
  <w:style w:type="paragraph" w:customStyle="1" w:styleId="131">
    <w:name w:val="表格"/>
    <w:basedOn w:val="1"/>
    <w:qFormat/>
    <w:uiPriority w:val="99"/>
    <w:pPr>
      <w:spacing w:line="420" w:lineRule="exact"/>
      <w:ind w:left="84" w:leftChars="40"/>
      <w:jc w:val="center"/>
    </w:pPr>
    <w:rPr>
      <w:rFonts w:ascii="宋体" w:hAnsi="宋体" w:cs="宋体"/>
      <w:spacing w:val="-12"/>
    </w:rPr>
  </w:style>
  <w:style w:type="paragraph" w:customStyle="1" w:styleId="132">
    <w:name w:val="Char1"/>
    <w:basedOn w:val="1"/>
    <w:qFormat/>
    <w:uiPriority w:val="99"/>
    <w:pPr>
      <w:widowControl/>
      <w:spacing w:after="160" w:line="240" w:lineRule="exact"/>
      <w:jc w:val="left"/>
    </w:pPr>
    <w:rPr>
      <w:sz w:val="24"/>
      <w:szCs w:val="24"/>
    </w:rPr>
  </w:style>
  <w:style w:type="paragraph" w:customStyle="1" w:styleId="133">
    <w:name w:val="p0"/>
    <w:basedOn w:val="1"/>
    <w:qFormat/>
    <w:uiPriority w:val="99"/>
    <w:pPr>
      <w:widowControl/>
    </w:pPr>
    <w:rPr>
      <w:kern w:val="0"/>
    </w:rPr>
  </w:style>
  <w:style w:type="paragraph" w:customStyle="1" w:styleId="13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35">
    <w:name w:val="修订3"/>
    <w:hidden/>
    <w:unhideWhenUsed/>
    <w:qFormat/>
    <w:uiPriority w:val="99"/>
    <w:rPr>
      <w:rFonts w:ascii="Times New Roman" w:hAnsi="Times New Roman" w:eastAsia="宋体" w:cs="Times New Roman"/>
      <w:kern w:val="2"/>
      <w:sz w:val="21"/>
      <w:szCs w:val="21"/>
      <w:lang w:val="en-US" w:eastAsia="zh-CN" w:bidi="ar-SA"/>
    </w:rPr>
  </w:style>
  <w:style w:type="character" w:customStyle="1" w:styleId="136">
    <w:name w:val="apple-converted-space"/>
    <w:basedOn w:val="40"/>
    <w:qFormat/>
    <w:uiPriority w:val="0"/>
  </w:style>
  <w:style w:type="character" w:customStyle="1" w:styleId="137">
    <w:name w:val="font-heiti"/>
    <w:basedOn w:val="40"/>
    <w:qFormat/>
    <w:uiPriority w:val="0"/>
  </w:style>
  <w:style w:type="paragraph" w:customStyle="1" w:styleId="138">
    <w:name w:val="正文.何"/>
    <w:basedOn w:val="1"/>
    <w:link w:val="140"/>
    <w:qFormat/>
    <w:uiPriority w:val="0"/>
    <w:pPr>
      <w:spacing w:line="360" w:lineRule="auto"/>
    </w:pPr>
  </w:style>
  <w:style w:type="character" w:customStyle="1" w:styleId="139">
    <w:name w:val="font11"/>
    <w:qFormat/>
    <w:uiPriority w:val="0"/>
    <w:rPr>
      <w:rFonts w:hint="eastAsia" w:ascii="宋体" w:hAnsi="宋体" w:eastAsia="宋体" w:cs="宋体"/>
      <w:color w:val="000000"/>
      <w:sz w:val="22"/>
      <w:szCs w:val="22"/>
      <w:u w:val="none"/>
    </w:rPr>
  </w:style>
  <w:style w:type="character" w:customStyle="1" w:styleId="140">
    <w:name w:val="正文.何 字符"/>
    <w:link w:val="138"/>
    <w:qFormat/>
    <w:uiPriority w:val="0"/>
    <w:rPr>
      <w:kern w:val="2"/>
      <w:sz w:val="21"/>
      <w:szCs w:val="21"/>
    </w:rPr>
  </w:style>
  <w:style w:type="paragraph" w:customStyle="1" w:styleId="141">
    <w:name w:val="Table Paragraph"/>
    <w:basedOn w:val="1"/>
    <w:qFormat/>
    <w:uiPriority w:val="1"/>
    <w:pPr>
      <w:autoSpaceDE w:val="0"/>
      <w:autoSpaceDN w:val="0"/>
      <w:spacing w:before="86"/>
      <w:jc w:val="left"/>
    </w:pPr>
    <w:rPr>
      <w:rFonts w:ascii="宋体" w:hAnsi="宋体" w:cs="宋体"/>
      <w:kern w:val="0"/>
      <w:sz w:val="22"/>
      <w:szCs w:val="22"/>
      <w:lang w:val="zh-CN" w:bidi="zh-CN"/>
    </w:rPr>
  </w:style>
  <w:style w:type="character" w:customStyle="1" w:styleId="142">
    <w:name w:val="font01"/>
    <w:qFormat/>
    <w:uiPriority w:val="0"/>
    <w:rPr>
      <w:rFonts w:hint="eastAsia" w:ascii="微软雅黑" w:hAnsi="微软雅黑" w:eastAsia="微软雅黑" w:cs="微软雅黑"/>
      <w:color w:val="000000"/>
      <w:sz w:val="22"/>
      <w:szCs w:val="22"/>
      <w:u w:val="none"/>
    </w:rPr>
  </w:style>
  <w:style w:type="paragraph" w:customStyle="1" w:styleId="143">
    <w:name w:val="+正文"/>
    <w:basedOn w:val="1"/>
    <w:qFormat/>
    <w:uiPriority w:val="0"/>
    <w:pPr>
      <w:spacing w:line="360" w:lineRule="auto"/>
      <w:ind w:firstLine="200" w:firstLineChars="200"/>
    </w:pPr>
    <w:rPr>
      <w:rFonts w:ascii="宋体"/>
      <w:sz w:val="24"/>
      <w:szCs w:val="24"/>
    </w:rPr>
  </w:style>
  <w:style w:type="paragraph" w:customStyle="1" w:styleId="144">
    <w:name w:val="_Style 3"/>
    <w:basedOn w:val="1"/>
    <w:next w:val="32"/>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character" w:customStyle="1" w:styleId="145">
    <w:name w:val="正文缩进2格 Char"/>
    <w:link w:val="146"/>
    <w:qFormat/>
    <w:locked/>
    <w:uiPriority w:val="0"/>
    <w:rPr>
      <w:rFonts w:ascii="仿宋_GB2312" w:hAnsi="宋体" w:eastAsia="仿宋_GB2312"/>
      <w:kern w:val="2"/>
      <w:sz w:val="31"/>
    </w:rPr>
  </w:style>
  <w:style w:type="paragraph" w:customStyle="1" w:styleId="146">
    <w:name w:val="正文缩进2格"/>
    <w:basedOn w:val="1"/>
    <w:next w:val="1"/>
    <w:link w:val="145"/>
    <w:qFormat/>
    <w:uiPriority w:val="0"/>
    <w:pPr>
      <w:spacing w:line="600" w:lineRule="exact"/>
      <w:ind w:firstLine="639" w:firstLineChars="206"/>
    </w:pPr>
    <w:rPr>
      <w:rFonts w:ascii="仿宋_GB2312" w:hAnsi="宋体" w:eastAsia="仿宋_GB2312"/>
      <w:sz w:val="31"/>
      <w:szCs w:val="20"/>
    </w:rPr>
  </w:style>
  <w:style w:type="paragraph" w:customStyle="1" w:styleId="147">
    <w:name w:val="首行缩进"/>
    <w:basedOn w:val="1"/>
    <w:qFormat/>
    <w:uiPriority w:val="0"/>
    <w:pPr>
      <w:ind w:firstLine="480" w:firstLineChars="200"/>
    </w:pPr>
    <w:rPr>
      <w:szCs w:val="20"/>
      <w:lang w:val="zh-CN"/>
    </w:rPr>
  </w:style>
  <w:style w:type="paragraph" w:customStyle="1" w:styleId="14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149">
    <w:name w:val="列出段落 Char"/>
    <w:link w:val="97"/>
    <w:qFormat/>
    <w:locked/>
    <w:uiPriority w:val="99"/>
    <w:rPr>
      <w:kern w:val="2"/>
      <w:sz w:val="21"/>
      <w:szCs w:val="21"/>
    </w:rPr>
  </w:style>
  <w:style w:type="paragraph" w:customStyle="1" w:styleId="150">
    <w:name w:val="修订5"/>
    <w:hidden/>
    <w:semiHidden/>
    <w:qFormat/>
    <w:uiPriority w:val="99"/>
    <w:rPr>
      <w:rFonts w:ascii="Times New Roman" w:hAnsi="Times New Roman" w:eastAsia="宋体" w:cs="Times New Roman"/>
      <w:kern w:val="2"/>
      <w:sz w:val="21"/>
      <w:szCs w:val="21"/>
      <w:lang w:val="en-US" w:eastAsia="zh-CN" w:bidi="ar-SA"/>
    </w:rPr>
  </w:style>
  <w:style w:type="character" w:customStyle="1" w:styleId="151">
    <w:name w:val="font41"/>
    <w:basedOn w:val="40"/>
    <w:qFormat/>
    <w:uiPriority w:val="0"/>
    <w:rPr>
      <w:rFonts w:hint="eastAsia" w:ascii="宋体" w:hAnsi="宋体" w:eastAsia="宋体" w:cs="宋体"/>
      <w:color w:val="000000"/>
      <w:sz w:val="22"/>
      <w:szCs w:val="22"/>
      <w:u w:val="none"/>
    </w:rPr>
  </w:style>
  <w:style w:type="character" w:customStyle="1" w:styleId="152">
    <w:name w:val="font21"/>
    <w:basedOn w:val="40"/>
    <w:qFormat/>
    <w:uiPriority w:val="0"/>
    <w:rPr>
      <w:rFonts w:ascii="default" w:hAnsi="default" w:eastAsia="default" w:cs="default"/>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DBBB4-C525-40E6-BBB2-46F431363FB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105</Pages>
  <Words>49396</Words>
  <Characters>53657</Characters>
  <Lines>424</Lines>
  <Paragraphs>119</Paragraphs>
  <TotalTime>11</TotalTime>
  <ScaleCrop>false</ScaleCrop>
  <LinksUpToDate>false</LinksUpToDate>
  <CharactersWithSpaces>58312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2022-01-14T07:21:00Z</dcterms:created>
  <dc:creator>何敏仪</dc:creator>
  <cp:lastModifiedBy>代理-梁</cp:lastModifiedBy>
  <cp:lastPrinted>2020-10-23T00:29:00Z</cp:lastPrinted>
  <dcterms:modified xsi:type="dcterms:W3CDTF">2022-04-24T02:10:14Z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3E7E5B4FE4A945238B74C223F0F62304</vt:lpwstr>
  </property>
</Properties>
</file>