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440101-2024-02927</w:t>
      </w:r>
    </w:p>
    <w:p>
      <w:pPr>
        <w:jc w:val="center"/>
      </w:pPr>
      <w:r>
        <w:rPr>
          <w:b/>
          <w:sz w:val="24"/>
        </w:rPr>
        <w:t>采购项目编号：</w:t>
      </w:r>
      <w:r>
        <w:rPr>
          <w:b/>
          <w:sz w:val="24"/>
        </w:rPr>
        <w:t>GDYD231259</w:t>
      </w:r>
    </w:p>
    <w:p>
      <w:pPr>
        <w:jc w:val="center"/>
      </w:pPr>
      <w:r>
        <w:rPr>
          <w:b/>
          <w:sz w:val="24"/>
        </w:rPr>
        <w:t>项目名称：</w:t>
      </w:r>
      <w:r>
        <w:rPr>
          <w:b/>
          <w:sz w:val="24"/>
        </w:rPr>
        <w:t>广医2024年科研仪器设备购置项目（二）</w:t>
      </w:r>
    </w:p>
    <w:p>
      <w:pPr>
        <w:jc w:val="center"/>
      </w:pPr>
      <w:r>
        <w:rPr>
          <w:b/>
          <w:sz w:val="24"/>
        </w:rPr>
        <w:t>采购人：</w:t>
      </w:r>
      <w:r>
        <w:rPr>
          <w:b/>
          <w:sz w:val="24"/>
        </w:rPr>
        <w:t>广州医科大学</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第一章投标邀请</w:t>
      </w:r>
    </w:p>
    <w:p>
      <w:pPr>
        <w:ind w:firstLine="480"/>
      </w:pPr>
      <w:r>
        <w:rPr/>
        <w:t>广东远东招标代理有限公司</w:t>
      </w:r>
      <w:r>
        <w:rPr/>
        <w:t>受</w:t>
      </w:r>
      <w:r>
        <w:rPr/>
        <w:t>广州医科大学</w:t>
      </w:r>
      <w:r>
        <w:rPr/>
        <w:t>的委托，采用</w:t>
      </w:r>
      <w:r>
        <w:rPr/>
        <w:t>公开招标</w:t>
      </w:r>
      <w:r>
        <w:rPr/>
        <w:t>方式组织采购</w:t>
      </w:r>
      <w:r>
        <w:rPr/>
        <w:t>广医2024年科研仪器设备购置项目（二）</w:t>
      </w:r>
      <w:r>
        <w:rPr/>
        <w:t>。欢迎符合资格条件的国内供应商参加投标。</w:t>
      </w:r>
    </w:p>
    <w:p>
      <w:r>
        <w:rPr>
          <w:b/>
          <w:sz w:val="28"/>
        </w:rPr>
        <w:t>一.项目概述</w:t>
      </w:r>
    </w:p>
    <w:p>
      <w:r>
        <w:rPr>
          <w:b/>
          <w:sz w:val="24"/>
        </w:rPr>
        <w:t>1.名称与编号</w:t>
      </w:r>
    </w:p>
    <w:p>
      <w:pPr>
        <w:ind w:firstLine="480"/>
      </w:pPr>
      <w:r>
        <w:rPr/>
        <w:t>项目名称：</w:t>
      </w:r>
      <w:r>
        <w:rPr/>
        <w:t>广医2024年科研仪器设备购置项目（二）</w:t>
      </w:r>
    </w:p>
    <w:p>
      <w:pPr>
        <w:ind w:firstLine="480"/>
      </w:pPr>
      <w:r>
        <w:rPr/>
        <w:t>采购计划编号：</w:t>
      </w:r>
      <w:r>
        <w:rPr/>
        <w:t>440101-2024-02927</w:t>
      </w:r>
    </w:p>
    <w:p>
      <w:pPr>
        <w:ind w:firstLine="480"/>
      </w:pPr>
      <w:r>
        <w:rPr/>
        <w:t>采购项目编号：</w:t>
      </w:r>
      <w:r>
        <w:rPr/>
        <w:t>GDYD231259</w:t>
      </w:r>
    </w:p>
    <w:p>
      <w:pPr>
        <w:ind w:firstLine="480"/>
      </w:pPr>
      <w:r>
        <w:rPr/>
        <w:t>采购方式：</w:t>
      </w:r>
      <w:r>
        <w:rPr/>
        <w:t>公开招标</w:t>
      </w:r>
    </w:p>
    <w:p>
      <w:pPr>
        <w:ind w:firstLine="480"/>
      </w:pPr>
      <w:r>
        <w:rPr/>
        <w:t>预算金额：</w:t>
      </w:r>
      <w:r>
        <w:rPr/>
        <w:t>2,200,000.00</w:t>
      </w:r>
      <w:r>
        <w:rPr/>
        <w:t>元</w:t>
      </w:r>
    </w:p>
    <w:p>
      <w:r>
        <w:rPr>
          <w:b/>
          <w:sz w:val="24"/>
        </w:rPr>
        <w:t>2.项目内容及需求情况（采购项目技术规格、参数及要求）</w:t>
      </w:r>
    </w:p>
    <w:p>
      <w:pPr>
        <w:ind w:firstLine="480"/>
      </w:pPr>
    </w:p>
    <w:p/>
    <w:p>
      <w:r>
        <w:rPr/>
        <w:t>采购包1(广医2024年科研仪器设备购置项目（二）):</w:t>
      </w:r>
    </w:p>
    <w:p>
      <w:r>
        <w:rPr/>
        <w:t>采购包预算金额：2,200,000.00元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电化学分析仪器</w:t>
            </w:r>
          </w:p>
        </w:tc>
        <w:tc>
          <w:tcPr>
            <w:tcW w:type="dxa" w:w="2052"/>
          </w:tcPr>
          <w:p>
            <w:r>
              <w:rPr/>
              <w:t>小颗粒细胞分析系统</w:t>
            </w:r>
          </w:p>
        </w:tc>
        <w:tc>
          <w:tcPr>
            <w:tcW w:type="dxa" w:w="977"/>
          </w:tcPr>
          <w:p>
            <w:r>
              <w:rPr/>
              <w:t>1.00(套)</w:t>
            </w:r>
          </w:p>
        </w:tc>
        <w:tc>
          <w:tcPr>
            <w:tcW w:type="dxa" w:w="977"/>
          </w:tcPr>
          <w:p>
            <w:r>
              <w:rPr/>
              <w:t>详见第二章</w:t>
            </w:r>
          </w:p>
        </w:tc>
        <w:tc>
          <w:tcPr>
            <w:tcW w:type="dxa" w:w="977"/>
          </w:tcPr>
          <w:p>
            <w:r>
              <w:rPr/>
              <w:t>2,200,000.00</w:t>
            </w:r>
          </w:p>
        </w:tc>
        <w:tc>
          <w:tcPr>
            <w:tcW w:type="dxa" w:w="977"/>
          </w:tcPr>
          <w:p>
            <w:r>
              <w:rPr/>
              <w:t>否</w:t>
            </w:r>
          </w:p>
        </w:tc>
      </w:tr>
    </w:tbl>
    <w:p/>
    <w:p>
      <w:r>
        <w:rPr/>
        <w:t>本采购包不接受联合体投标</w:t>
      </w:r>
    </w:p>
    <w:p/>
    <w:p>
      <w:r>
        <w:rPr/>
        <w:t>合同履行期限：合同签订接采购人通知后90日内完成设备的供货、安装、调试，并交付给采购人正常使用。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声明函（格式自定）或提供以下资料：提供投标文件提交截止日前12个月内任意1个月依法缴纳税收和社会保障资金的相关材料。如依法免税或不需要缴纳社会保障资金的，提供相应证明材料。</w:t>
      </w:r>
    </w:p>
    <w:p/>
    <w:p>
      <w:r>
        <w:rPr/>
        <w:t>3）具有良好的商业信誉和健全的财务会计制度：提供声明函（格式自定）或提供2022年度的财务状况报告或基本开户行出具的资信证明或财政部门认可的政府采购专业担保机构出具的担保函,成立不足一年的单位可以提供响应文件提交截止前上一季度或月份财务会计报表。</w:t>
      </w:r>
    </w:p>
    <w:p/>
    <w:p>
      <w:r>
        <w:rPr/>
        <w:t>4）履行合同所必需的设备和专业技术能力：提供声明函（格式自拟）。</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6）法律、行政法规规定的其他条件：提供声明函（格式自拟）。</w:t>
      </w:r>
    </w:p>
    <w:p/>
    <w:p>
      <w:r>
        <w:rPr>
          <w:b/>
          <w:sz w:val="24"/>
        </w:rPr>
        <w:t>2.落实政府采购政策需满足的资格要求：</w:t>
      </w:r>
    </w:p>
    <w:p>
      <w:pPr>
        <w:ind w:firstLine="480"/>
      </w:pPr>
    </w:p>
    <w:p>
      <w:pPr>
        <w:jc w:val="left"/>
      </w:pPr>
    </w:p>
    <w:p>
      <w:r>
        <w:rPr/>
        <w:t>采购包1（广医2024年科研仪器设备购置项目（二））：</w:t>
      </w:r>
      <w:r>
        <w:rPr/>
        <w:t>本项目不属于专门面向中小企业采购的项目，允许非中小微企业、监狱企业、残疾人福利性单位参与项目投标。</w:t>
      </w:r>
    </w:p>
    <w:p/>
    <w:p>
      <w:r>
        <w:rPr>
          <w:b/>
          <w:sz w:val="24"/>
        </w:rPr>
        <w:t>3.本项目特定的资格要求：</w:t>
      </w:r>
    </w:p>
    <w:p>
      <w:pPr>
        <w:ind w:firstLine="480"/>
      </w:pPr>
    </w:p>
    <w:p/>
    <w:p>
      <w:r>
        <w:rPr/>
        <w:t>采购包1（广医2024年科研仪器设备购置项目（二））：</w:t>
      </w:r>
    </w:p>
    <w:p/>
    <w:p>
      <w:r>
        <w:rPr/>
        <w:t>1)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中国采购与招标网（http://www.chinabidding.com.cn/）,中国财经报网（http://www.cfen.com.cn/）、广东远东招标代理有限公司（http://www.gdydzb.com/）。</w:t>
      </w:r>
      <w:r>
        <w:rPr/>
        <w:t>。</w:t>
      </w:r>
    </w:p>
    <w:p>
      <w:r>
        <w:rPr>
          <w:b/>
          <w:sz w:val="28"/>
        </w:rPr>
        <w:t>六.本项目联系方式：</w:t>
      </w:r>
    </w:p>
    <w:p>
      <w:r>
        <w:rPr>
          <w:b/>
          <w:sz w:val="24"/>
        </w:rPr>
        <w:t>1.采购人信息</w:t>
      </w:r>
    </w:p>
    <w:p>
      <w:pPr>
        <w:ind w:firstLine="480"/>
      </w:pPr>
      <w:r>
        <w:rPr/>
        <w:t>名称：</w:t>
      </w:r>
      <w:r>
        <w:rPr/>
        <w:t>广州医科大学</w:t>
      </w:r>
    </w:p>
    <w:p>
      <w:pPr>
        <w:ind w:firstLine="480"/>
      </w:pPr>
      <w:r>
        <w:rPr/>
        <w:t>地址：</w:t>
      </w:r>
      <w:r>
        <w:rPr/>
        <w:t>广州市番禺区新造镇新造路1号</w:t>
      </w:r>
    </w:p>
    <w:p>
      <w:pPr>
        <w:ind w:firstLine="480"/>
      </w:pPr>
      <w:r>
        <w:rPr/>
        <w:t>联系方式：</w:t>
      </w:r>
      <w:r>
        <w:rPr/>
        <w:t>020-37103132</w:t>
      </w:r>
    </w:p>
    <w:p>
      <w:r>
        <w:rPr>
          <w:b/>
          <w:sz w:val="24"/>
        </w:rPr>
        <w:t>2.采购代理机构信息</w:t>
      </w:r>
    </w:p>
    <w:p>
      <w:pPr>
        <w:ind w:firstLine="480"/>
      </w:pPr>
      <w:r>
        <w:rPr/>
        <w:t>名称：</w:t>
      </w:r>
      <w:r>
        <w:rPr/>
        <w:t>广东远东招标代理有限公司</w:t>
      </w:r>
    </w:p>
    <w:p>
      <w:pPr>
        <w:ind w:firstLine="480"/>
      </w:pPr>
      <w:r>
        <w:rPr/>
        <w:t>地址：</w:t>
      </w:r>
      <w:r>
        <w:rPr/>
        <w:t>广州市越秀区越秀北路222号越良大厦6楼</w:t>
      </w:r>
    </w:p>
    <w:p>
      <w:pPr>
        <w:ind w:firstLine="480"/>
      </w:pPr>
      <w:r>
        <w:rPr/>
        <w:t>联系方式：</w:t>
      </w:r>
      <w:r>
        <w:rPr/>
        <w:t>17688486221</w:t>
      </w:r>
    </w:p>
    <w:p>
      <w:r>
        <w:rPr>
          <w:b/>
          <w:sz w:val="24"/>
        </w:rPr>
        <w:t>3.项目联系方式</w:t>
      </w:r>
    </w:p>
    <w:p>
      <w:pPr>
        <w:ind w:firstLine="480"/>
      </w:pPr>
      <w:r>
        <w:rPr/>
        <w:t>项目联系人：</w:t>
      </w:r>
      <w:r>
        <w:rPr/>
        <w:t>杨工</w:t>
      </w:r>
    </w:p>
    <w:p>
      <w:pPr>
        <w:ind w:firstLine="480"/>
      </w:pPr>
      <w:r>
        <w:rPr/>
        <w:t>电话：</w:t>
      </w:r>
      <w:r>
        <w:rPr/>
        <w:t>17688486221</w:t>
      </w:r>
    </w:p>
    <w:p>
      <w:r>
        <w:rPr>
          <w:b/>
          <w:sz w:val="24"/>
        </w:rPr>
        <w:t>4.技术支持联系方式</w:t>
      </w:r>
    </w:p>
    <w:p>
      <w:pPr>
        <w:ind w:firstLine="480"/>
      </w:pPr>
      <w:r>
        <w:rPr/>
        <w:t>云平台联系方式：020-88696588</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16"/>
        <w:jc w:val="left"/>
      </w:pPr>
      <w:r>
        <w:rPr>
          <w:sz w:val="24"/>
        </w:rPr>
        <w:t>1.采购内容：</w:t>
      </w:r>
    </w:p>
    <w:tbl>
      <w:tblPr>
        <w:tblW w:w="0" w:type="auto"/>
        <w:tblBorders>
          <w:top w:val="none" w:color="000000" w:sz="4"/>
          <w:left w:val="none" w:color="000000" w:sz="4"/>
          <w:bottom w:val="none" w:color="000000" w:sz="4"/>
          <w:right w:val="none" w:color="000000" w:sz="4"/>
          <w:insideH w:val="none"/>
          <w:insideV w:val="none"/>
        </w:tblBorders>
      </w:tblPr>
      <w:tblGrid>
        <w:gridCol w:w="2414"/>
        <w:gridCol w:w="2317"/>
        <w:gridCol w:w="3573"/>
      </w:tblGrid>
      <w:tr>
        <w:tc>
          <w:tcPr>
            <w:tcW w:type="dxa" w:w="2414"/>
            <w:tcBorders>
              <w:top w:val="single" w:color="000000" w:sz="4"/>
              <w:left w:val="single" w:color="000000" w:sz="4"/>
              <w:bottom w:val="single" w:color="000000" w:sz="4"/>
              <w:right w:val="single" w:color="000000" w:sz="4"/>
            </w:tcBorders>
            <w:vAlign w:val="top"/>
          </w:tcPr>
          <w:p>
            <w:pPr>
              <w:jc w:val="center"/>
            </w:pPr>
            <w:r>
              <w:rPr>
                <w:sz w:val="24"/>
              </w:rPr>
              <w:t>采购内容</w:t>
            </w:r>
          </w:p>
        </w:tc>
        <w:tc>
          <w:tcPr>
            <w:tcW w:type="dxa" w:w="2317"/>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3573"/>
            <w:tcBorders>
              <w:top w:val="single" w:color="000000" w:sz="4"/>
              <w:left w:val="none" w:color="000000" w:sz="4"/>
              <w:bottom w:val="single" w:color="000000" w:sz="4"/>
              <w:right w:val="single" w:color="000000" w:sz="4"/>
            </w:tcBorders>
            <w:vAlign w:val="top"/>
          </w:tcPr>
          <w:p>
            <w:pPr>
              <w:jc w:val="center"/>
            </w:pPr>
            <w:r>
              <w:rPr>
                <w:sz w:val="24"/>
              </w:rPr>
              <w:t>预算金额（人民币：元）</w:t>
            </w:r>
          </w:p>
        </w:tc>
      </w:tr>
      <w:tr>
        <w:tc>
          <w:tcPr>
            <w:tcW w:type="dxa" w:w="2414"/>
            <w:tcBorders>
              <w:top w:val="none" w:color="000000" w:sz="4"/>
              <w:left w:val="single" w:color="000000" w:sz="4"/>
              <w:bottom w:val="single" w:color="000000" w:sz="4"/>
              <w:right w:val="single" w:color="000000" w:sz="4"/>
            </w:tcBorders>
            <w:vAlign w:val="top"/>
          </w:tcPr>
          <w:p>
            <w:pPr>
              <w:jc w:val="center"/>
            </w:pPr>
            <w:r>
              <w:rPr>
                <w:sz w:val="24"/>
              </w:rPr>
              <w:t>小颗粒细胞分析系统</w:t>
            </w:r>
          </w:p>
        </w:tc>
        <w:tc>
          <w:tcPr>
            <w:tcW w:type="dxa" w:w="2317"/>
            <w:tcBorders>
              <w:top w:val="none" w:color="000000" w:sz="4"/>
              <w:left w:val="none" w:color="000000" w:sz="4"/>
              <w:bottom w:val="single" w:color="000000" w:sz="4"/>
              <w:right w:val="single" w:color="000000" w:sz="4"/>
            </w:tcBorders>
            <w:vAlign w:val="top"/>
          </w:tcPr>
          <w:p>
            <w:pPr>
              <w:jc w:val="center"/>
            </w:pPr>
            <w:r>
              <w:rPr>
                <w:sz w:val="24"/>
              </w:rPr>
              <w:t>1套</w:t>
            </w:r>
          </w:p>
        </w:tc>
        <w:tc>
          <w:tcPr>
            <w:tcW w:type="dxa" w:w="3573"/>
            <w:tcBorders>
              <w:top w:val="none" w:color="000000" w:sz="4"/>
              <w:left w:val="none" w:color="000000" w:sz="4"/>
              <w:bottom w:val="single" w:color="000000" w:sz="4"/>
              <w:right w:val="single" w:color="000000" w:sz="4"/>
            </w:tcBorders>
            <w:vAlign w:val="top"/>
          </w:tcPr>
          <w:p>
            <w:pPr>
              <w:jc w:val="center"/>
            </w:pPr>
            <w:r>
              <w:rPr>
                <w:sz w:val="24"/>
              </w:rPr>
              <w:t>2,200,000.00</w:t>
            </w:r>
          </w:p>
        </w:tc>
      </w:tr>
    </w:tbl>
    <w:p>
      <w:pPr>
        <w:ind w:firstLine="16"/>
        <w:jc w:val="left"/>
      </w:pPr>
      <w:r>
        <w:rPr>
          <w:sz w:val="24"/>
        </w:rPr>
        <w:t>2.其他说明</w:t>
      </w:r>
      <w:r>
        <w:br/>
      </w:r>
      <w:r>
        <w:rPr>
          <w:sz w:val="24"/>
        </w:rPr>
        <w:t>2.1投标人必须对项目全部内容进行投标报价，不允许只对内部分内容进行投标。</w:t>
      </w:r>
    </w:p>
    <w:p>
      <w:pPr>
        <w:ind w:firstLine="480"/>
        <w:jc w:val="left"/>
      </w:pPr>
      <w:r>
        <w:rPr>
          <w:sz w:val="24"/>
        </w:rPr>
        <w:t>2.2需要落实的政府采购政策：《政府采购促进中小企业发展实施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jc w:val="both"/>
      </w:pPr>
      <w:r>
        <w:rPr>
          <w:sz w:val="24"/>
        </w:rPr>
        <w:t>2.3以设备技术要求序号最细的（如2.1与2.1.1之间，2.1.1为最细序号）作为一项参数，以计算技术参数响应数量。</w:t>
      </w:r>
    </w:p>
    <w:p/>
    <w:p>
      <w:pPr>
        <w:ind w:firstLine="480"/>
      </w:pPr>
    </w:p>
    <w:p/>
    <w:p>
      <w:r>
        <w:rPr/>
        <w:t>采购包1（广医2024年科研仪器设备购置项目（二））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合同签订接采购人通知后90日内完成设备的供货、安装、调试，并交付给采购人正常使用。</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自合同签订之日起10个工作日内，中标人向采购人支付合同金额的5%作为履约保证金，采购人收到中标人支付的履约保证金后，7个工作日内办理支付手续，采购人预付中标人合同总金额的40%（其中合同金额的20%作为本合同的定金）；如购买设备的款源来自上级财政部门，则采购人将付款有效凭证上交上级财政部门的时间视为付款时间。</w:t>
            </w:r>
          </w:p>
          <w:p/>
          <w:p>
            <w:r>
              <w:rPr/>
              <w:t>2期：支付比例60%,合同设备全部交付到指定地点并完成安装后交付采购人试运行，试运行时间不超过三个月。试运行验收合格后，据合同、正式发票、验收调试合格报告等凭证，在 5 个工作日内，采购人应向中标人支付合同总额的剩余 60%。如购买设备的款源来自上级财政部门，则采购人将付款有效凭证上交上级财政部门的时间视为付款时间。</w:t>
            </w:r>
          </w:p>
        </w:tc>
      </w:tr>
      <w:tr>
        <w:tc>
          <w:tcPr>
            <w:tcW w:type="dxa" w:w="4153"/>
          </w:tcPr>
          <w:p>
            <w:r>
              <w:rPr/>
              <w:t>验收要求</w:t>
            </w:r>
          </w:p>
        </w:tc>
        <w:tc>
          <w:tcPr>
            <w:tcW w:type="dxa" w:w="4153"/>
          </w:tcPr>
          <w:p/>
          <w:p/>
          <w:p/>
          <w:p>
            <w:r>
              <w:rPr/>
              <w:t>1期：1.在收到中标人验收申请后7日内组织履约验收，验收应在采购人、中标人双方共同参加下进行。 2.验收按国家有关的规定、规范进行。验收时如发现所交付的设备有短装、次品、损坏或其它不符合本合同规定之情形者，采购人应作出详尽的现场记录，或由甲乙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4.中标人保证合同项下提供的设备不侵犯任何第三方的专利、商标或版权。否则，中标人须承担对第三方的专利或版权的侵权责任并承担因此而发生的所有费用。 5.依照国家法律法规需要办理备案的特种设备，在验收报账之前，中标人应协助采购人办理特种设备备案完毕，并向采购人交付备案材料。</w:t>
            </w:r>
          </w:p>
        </w:tc>
      </w:tr>
      <w:tr>
        <w:tc>
          <w:tcPr>
            <w:tcW w:type="dxa" w:w="4153"/>
          </w:tcPr>
          <w:p>
            <w:r>
              <w:rPr/>
              <w:t>履约保证金</w:t>
            </w:r>
          </w:p>
        </w:tc>
        <w:tc>
          <w:tcPr>
            <w:tcW w:type="dxa" w:w="4153"/>
          </w:tcPr>
          <w:p/>
          <w:p/>
          <w:p/>
          <w:p/>
          <w:p>
            <w:r>
              <w:rPr/>
              <w:t>收取比例：5%,说明：自合同签订之日起10个工作日内，中标人向采购人支付合同金额的5%作为履约保证金，以保函等非现金形式缴纳或提交。 本合同履行过程中，如符合以下约定情形之一, 则采购人在中标人完成交货验收后的7个工作日内应无息返还全部或剩余的履约保证金： （1）中标人没有发生违约或造成采购人损失的行为； （2）按照本合同的约定，扣除违约金、相应赔偿款项后仍有余额。</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其他商务要求，1.合同设备的包装均应有良好的防湿、防锈、防潮、防雨、防腐及防碰撞的措施。凡由于包装不良造成的损失和由此产生的费用均由中标人承担。 2.合同设备的技术性能稳定，应用面广泛。 3.合同设备的交货 3.1 交货地点：运输及卸车至采购人指定地点。运输过程中因故发生的货物数量、质量问题及损失所产生费用由中标人负责。 4.合同设备的安装  4.1 中标人负责合同项下的设备安装调试至正常运作并通过验收及格。 4.2中标人若因安装调试导致设备性能问题，致使采购人设备出现任何质量、工艺问题，该后果由中标人承担。 4.3中标人应在采购人通知安装之日起7天内完成安装调试。 4.4中标人安装时须对各安装场地内的其他设备、设施有良好保护措施。  5.质量保证及售后服务 ★5.1中标人保证合同设备是全新、未曾使用过的，其质量、规格及技术特征符合《合同乙方提供的货物清单》的要求和采购文件的要求；合同设备保质保用期为本项目有关部门验收签字之日起≥5年。 5.2保质保用期内非因采购人的人为原因而出现设备质量及安装问题，由中标人负责包修、包换或包退，并承担因此而产生的一切费用。保质保用期内设备维护保养所用到的“试剂耗材包”由中标人负责免费提供。中标人应提供免费咨询电话。中标人应在收到采购人通知后4小时内响应，24 小时内派员到现场维修，48小时内处理完毕。如在48小时内无法处理完毕，中标人应提供采购人同意的合理解决方案，否则，采购人有权委托第三方机构及时处理，因此发生的一切费用，由中标人承担。 5.3保质保用期后中标人对合同货物提供终身免费保修服务，如需更换零配件，中标人只收取零配件费，在硬件无改变的情况下，软件终身免费升级。  下列情况中标人不负责免费保修： （1）不按照中标人提供的正确使用方法而引致设备故障损坏； （2）擅自改装设备。  5.4 双方同意因设备的质量问题而发生争议的，由广东省质检部门进行质量鉴定。设备符合质量标准的，鉴定费用由采购人承担；设备不符合质量标准的，鉴定费用由中标人承担。 5.5在保质保用期内，中标人每自然年度需无偿培训采购人的使用及维修技术至少2次，主要内容为设备的基本结构、性能、主要部件的构造及修理，日常使用保养与管理，常见故障的排除，紧急情况的处理等，培训地点主要在设备安装现场或按采购人安排。 5.6中标人需向采购人提供本仪器或系统所具备的各项功能的详细 《中英文操作说明书》电子版 word或 WPS，及2份对应的纸质版说明书(需提供承诺函并加盖投标人公章)。  5.7设备必须由卖方负责完成首次计量强制检定。 6、报价方式  6.1 投标人总报价应包括本项目设计、设备制造、包装、仓储、运输、装卸费、货物进口所需办理海关手续的费用、保险费、培训费、安装及验收合格之前及保修期间包括备品备件发生的所有含税费用（进口设备可享受国家免税优惠政策的是免税价）。本合同执行期间合同总金额不变。 6.2 最终结算货币：以投标货币为结算货币（人民币）。 7、技术服务 7.1</w:t>
              <w:tab/>
              <w:t>中标人应派员到采购人指定地点配合工作。 7.2</w:t>
              <w:tab/>
              <w:t>中标人应按采购人提供的合同执行进度计划，配合、协调采购人及有关单位工作，积极推进合同执行进度。 8、技术要求 8.1中标人所提供设备，必须符合国家有关规范、行业规范、样品标准和环保要求及采购人的技术要求，并提供设备的检测报告（如有）。 9.投标人中标后需与采购人签订《广州医科大学采购招标廉洁协议》（具体见第五章合同文本附件）。 10.若招标文件中设备名称与投标人实际所能提供的厂家设备名称存在差异，投标人在投标时需标注出两个设备名称，例如A为招标文件设备名称，B为实际厂家设备名称，则投标时设备名称为“A（B）”。</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电化学分析仪器</w:t>
            </w:r>
          </w:p>
        </w:tc>
        <w:tc>
          <w:tcPr>
            <w:tcW w:type="dxa" w:w="831"/>
          </w:tcPr>
          <w:p>
            <w:pPr>
              <w:jc w:val="left"/>
            </w:pPr>
            <w:r>
              <w:rPr/>
              <w:t>小颗粒细胞分析系统</w:t>
            </w:r>
          </w:p>
        </w:tc>
        <w:tc>
          <w:tcPr>
            <w:tcW w:type="dxa" w:w="831"/>
          </w:tcPr>
          <w:p>
            <w:pPr>
              <w:jc w:val="left"/>
            </w:pPr>
            <w:r>
              <w:rPr/>
              <w:t>套</w:t>
            </w:r>
          </w:p>
        </w:tc>
        <w:tc>
          <w:tcPr>
            <w:tcW w:type="dxa" w:w="831"/>
          </w:tcPr>
          <w:p>
            <w:pPr>
              <w:jc w:val="right"/>
            </w:pPr>
            <w:r>
              <w:rPr/>
              <w:t>1.00</w:t>
            </w:r>
          </w:p>
        </w:tc>
        <w:tc>
          <w:tcPr>
            <w:tcW w:type="dxa" w:w="831"/>
          </w:tcPr>
          <w:p>
            <w:pPr>
              <w:jc w:val="right"/>
            </w:pPr>
            <w:r>
              <w:rPr/>
              <w:t>2,200,000.00</w:t>
            </w:r>
          </w:p>
        </w:tc>
        <w:tc>
          <w:tcPr>
            <w:tcW w:type="dxa" w:w="831"/>
          </w:tcPr>
          <w:p>
            <w:pPr>
              <w:jc w:val="right"/>
            </w:pPr>
            <w:r>
              <w:rPr/>
              <w:t>2,200,000.00</w:t>
            </w:r>
          </w:p>
        </w:tc>
        <w:tc>
          <w:tcPr>
            <w:tcW w:type="dxa" w:w="831"/>
          </w:tcPr>
          <w:p>
            <w:r>
              <w:rPr/>
              <w:t>工业</w:t>
            </w:r>
          </w:p>
        </w:tc>
        <w:tc>
          <w:tcPr>
            <w:tcW w:type="dxa" w:w="831"/>
          </w:tcPr>
          <w:p>
            <w:r>
              <w:rPr/>
              <w:t>详见附表一</w:t>
            </w:r>
          </w:p>
        </w:tc>
      </w:tr>
    </w:tbl>
    <w:p/>
    <w:p>
      <w:r>
        <w:rPr>
          <w:b/>
        </w:rPr>
        <w:t>附表</w:t>
      </w:r>
      <w:r>
        <w:rPr>
          <w:b/>
        </w:rPr>
        <w:t>一</w:t>
      </w:r>
      <w:r>
        <w:rPr>
          <w:b/>
        </w:rPr>
        <w:t>：</w:t>
      </w:r>
      <w:r>
        <w:rPr>
          <w:b/>
        </w:rPr>
        <w:t>小颗粒细胞分析系统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一、技术参数要求</w:t>
            </w:r>
            <w:r>
              <w:br/>
            </w:r>
            <w:r>
              <w:rPr>
                <w:sz w:val="24"/>
              </w:rPr>
              <w:t>1．工作条件：</w:t>
            </w:r>
          </w:p>
          <w:p>
            <w:pPr>
              <w:jc w:val="both"/>
            </w:pPr>
            <w:r>
              <w:rPr>
                <w:sz w:val="24"/>
              </w:rPr>
              <w:t>1.1工作电压：220V，50/60 Hz</w:t>
            </w:r>
          </w:p>
          <w:p>
            <w:pPr>
              <w:jc w:val="both"/>
            </w:pPr>
            <w:r>
              <w:rPr>
                <w:sz w:val="24"/>
              </w:rPr>
              <w:t>1.2环境温度：15℃～30℃</w:t>
            </w:r>
          </w:p>
          <w:p>
            <w:pPr>
              <w:jc w:val="both"/>
            </w:pPr>
            <w:r>
              <w:rPr>
                <w:sz w:val="24"/>
              </w:rPr>
              <w:t>1.3环境湿度：20%～80%</w:t>
            </w:r>
          </w:p>
          <w:p>
            <w:pPr>
              <w:jc w:val="both"/>
            </w:pPr>
            <w:r>
              <w:rPr>
                <w:sz w:val="24"/>
              </w:rPr>
              <w:t>2.技术参数：</w:t>
            </w:r>
          </w:p>
          <w:p>
            <w:pPr>
              <w:jc w:val="both"/>
            </w:pPr>
            <w:r>
              <w:rPr>
                <w:sz w:val="24"/>
              </w:rPr>
              <w:t>2.1主机系统</w:t>
            </w:r>
          </w:p>
          <w:p>
            <w:pPr>
              <w:jc w:val="both"/>
            </w:pPr>
            <w:r>
              <w:rPr>
                <w:sz w:val="24"/>
              </w:rPr>
              <w:t>★2.1.1主机至少配置5根固态激光器，其中包含488 nm≥45 mW、638±5 nm ≥50 mW、561 nm≥30 mW、405 nm≥80 mW、375 nm≥60 mW(可选择)和808 nm≥60 mW（可选择），且激光非共线激发，激光之间无干扰；</w:t>
            </w:r>
          </w:p>
          <w:p>
            <w:pPr>
              <w:jc w:val="both"/>
            </w:pPr>
            <w:r>
              <w:rPr>
                <w:sz w:val="24"/>
              </w:rPr>
              <w:t>2.1.2荧光和侧向角散射光：前向SSC、侧向FSC以及荧光检测，光信号通过物镜收集、光纤传导至高性能雪崩光电二极管（FAPD）阵列检测器；</w:t>
            </w:r>
          </w:p>
          <w:p>
            <w:pPr>
              <w:jc w:val="both"/>
            </w:pPr>
            <w:r>
              <w:rPr>
                <w:sz w:val="24"/>
              </w:rPr>
              <w:t>2.1.3荧光检测器：不少于21个检测参数，≥19个荧光通道，且每个荧光通道配置独立的荧光检测器和带通道滤光片，不同波长激光之间无需共用通道，不同荧光通道也无需共用带通滤光片；</w:t>
            </w:r>
          </w:p>
          <w:p>
            <w:pPr>
              <w:jc w:val="both"/>
            </w:pPr>
            <w:r>
              <w:rPr>
                <w:sz w:val="24"/>
              </w:rPr>
              <w:t>▲2.1.4带通滤光片：具备≥19个带通滤光片，每个荧光通道具备一个独立的带通滤光片，荧光通道之间不共用带通滤光片；</w:t>
            </w:r>
          </w:p>
          <w:p>
            <w:pPr>
              <w:jc w:val="both"/>
            </w:pPr>
            <w:r>
              <w:rPr>
                <w:sz w:val="24"/>
              </w:rPr>
              <w:t>▲2.1.5散射光分辨率：≤0.09 µm（提供官方彩页或官网参数为标准并加盖投标人公章），后续用于外泌体相关研究。</w:t>
            </w:r>
          </w:p>
          <w:p>
            <w:pPr>
              <w:jc w:val="both"/>
            </w:pPr>
            <w:r>
              <w:rPr>
                <w:sz w:val="24"/>
              </w:rPr>
              <w:t>2.2.光学系统</w:t>
            </w:r>
          </w:p>
          <w:p>
            <w:pPr>
              <w:jc w:val="both"/>
            </w:pPr>
            <w:r>
              <w:rPr>
                <w:sz w:val="24"/>
              </w:rPr>
              <w:t>▲2.2.1荧光检测灵敏度：FITC＜30 MESF、PE＜10 MESF（提供官方彩页或官网参数为标准并加盖投标人公章）</w:t>
            </w:r>
          </w:p>
          <w:p>
            <w:pPr>
              <w:jc w:val="both"/>
            </w:pPr>
            <w:r>
              <w:rPr>
                <w:sz w:val="24"/>
              </w:rPr>
              <w:t>2.2.2检测速度：≥30,000 events/s</w:t>
            </w:r>
          </w:p>
          <w:p>
            <w:pPr>
              <w:jc w:val="both"/>
            </w:pPr>
            <w:r>
              <w:rPr>
                <w:sz w:val="24"/>
              </w:rPr>
              <w:t>2.2.3数字采样频率：≥24 MHZ</w:t>
            </w:r>
          </w:p>
          <w:p>
            <w:pPr>
              <w:jc w:val="both"/>
            </w:pPr>
            <w:r>
              <w:rPr>
                <w:sz w:val="24"/>
              </w:rPr>
              <w:t>2.2.4数字化信号动态检测范围：≥7个对数阈。宽动态范围检测器，具备免电压调节图形无损缩放功能，同时具备电压可调功能；</w:t>
            </w:r>
          </w:p>
          <w:p>
            <w:pPr>
              <w:jc w:val="both"/>
            </w:pPr>
            <w:r>
              <w:rPr>
                <w:sz w:val="24"/>
              </w:rPr>
              <w:t>2.2.5可实现无微球绝对计数：无需昂贵的微球，就可从统计窗口中读取样本浓度；</w:t>
            </w:r>
          </w:p>
          <w:p>
            <w:pPr>
              <w:jc w:val="both"/>
            </w:pPr>
            <w:r>
              <w:rPr>
                <w:sz w:val="24"/>
              </w:rPr>
              <w:t>2.2.6荧光补偿：全矩阵补偿，自动补偿和手动补偿，具备补偿库功能，即荧光通道的电压或者增益改变，补偿矩阵自动更新补偿溢出值。</w:t>
            </w:r>
          </w:p>
          <w:p>
            <w:pPr>
              <w:jc w:val="both"/>
            </w:pPr>
            <w:r>
              <w:rPr>
                <w:sz w:val="24"/>
              </w:rPr>
              <w:t>2.3.液流系统</w:t>
            </w:r>
          </w:p>
          <w:p>
            <w:pPr>
              <w:jc w:val="both"/>
            </w:pPr>
            <w:r>
              <w:rPr>
                <w:sz w:val="24"/>
              </w:rPr>
              <w:t>★2.3.1流动室：免校准集成光学石英流动室设计，数值孔径＞1.3；</w:t>
            </w:r>
          </w:p>
          <w:p>
            <w:pPr>
              <w:jc w:val="both"/>
            </w:pPr>
            <w:r>
              <w:rPr>
                <w:sz w:val="24"/>
              </w:rPr>
              <w:t>2.3.2. 流动室尺寸：内径≥420 µm *180 µm；</w:t>
            </w:r>
          </w:p>
          <w:p>
            <w:pPr>
              <w:jc w:val="both"/>
            </w:pPr>
            <w:r>
              <w:rPr>
                <w:sz w:val="24"/>
              </w:rPr>
              <w:t>▲2.3.3样本流速：自定义调节范围：10μL/min～240μL/min，具备预设高、中、低三档速度；</w:t>
            </w:r>
          </w:p>
          <w:p>
            <w:pPr>
              <w:jc w:val="both"/>
            </w:pPr>
            <w:r>
              <w:rPr>
                <w:sz w:val="24"/>
              </w:rPr>
              <w:t>2.3.4上样方式：可采用多上样方式，包括5 ml（12*75 mm）流式管、1.5 ml、2 ml EP管等，96孔板自动孔板上样；</w:t>
            </w:r>
          </w:p>
          <w:p>
            <w:pPr>
              <w:jc w:val="both"/>
            </w:pPr>
            <w:r>
              <w:rPr>
                <w:sz w:val="24"/>
              </w:rPr>
              <w:t>2.3.5自动液流控制程序：包括启动（初始化）、样本混合、反向冲洗、排汽泡、关闭（日常清洗）、深度清洗。</w:t>
            </w:r>
          </w:p>
          <w:p>
            <w:pPr>
              <w:jc w:val="both"/>
            </w:pPr>
            <w:r>
              <w:rPr>
                <w:sz w:val="24"/>
              </w:rPr>
              <w:t>2.4软件系统</w:t>
            </w:r>
          </w:p>
          <w:p>
            <w:pPr>
              <w:jc w:val="both"/>
            </w:pPr>
            <w:r>
              <w:rPr>
                <w:sz w:val="24"/>
              </w:rPr>
              <w:t>2.4.1软件界面：同时具备英文和中文操作界面；</w:t>
            </w:r>
          </w:p>
          <w:p>
            <w:pPr>
              <w:jc w:val="both"/>
            </w:pPr>
            <w:r>
              <w:rPr>
                <w:sz w:val="24"/>
              </w:rPr>
              <w:t>2.4.2程序接口：具备应用程序编程接口 (API)，确保外挂软件可以针对流式主机执行一定的操作控制；</w:t>
            </w:r>
          </w:p>
          <w:p>
            <w:pPr>
              <w:jc w:val="both"/>
            </w:pPr>
            <w:r>
              <w:rPr>
                <w:sz w:val="24"/>
              </w:rPr>
              <w:t>2.4.3仪器和流式软件具有审计追踪软件，可在任何一台Windows10系统的电脑无限次的安装和免费使用，该软件符合 FDA 21 PART 11标准以确保数据的有效性和可靠性，具有溯源性。</w:t>
            </w:r>
          </w:p>
          <w:p>
            <w:pPr>
              <w:jc w:val="both"/>
            </w:pPr>
            <w:r>
              <w:rPr>
                <w:sz w:val="24"/>
              </w:rPr>
              <w:t>2.5数据处理系统（i7处理器及以上；运行内存8 GB以上；2T以上硬盘，不低于Win 10系统，22寸以上图像输出系统）。</w:t>
            </w:r>
          </w:p>
          <w:p>
            <w:pPr>
              <w:jc w:val="both"/>
            </w:pPr>
            <w:r>
              <w:rPr>
                <w:sz w:val="24"/>
              </w:rPr>
              <w:t>2.6电源供应系统一套（26AH/12V 原厂电池，可以为后端设备提供不少于30分钟备电时间）。</w:t>
            </w:r>
          </w:p>
          <w:p>
            <w:pPr>
              <w:jc w:val="both"/>
            </w:pPr>
            <w:r>
              <w:rPr>
                <w:sz w:val="24"/>
              </w:rPr>
              <w:t>二、配置清单（该项不作为技术参数响应）：</w:t>
            </w:r>
          </w:p>
          <w:tbl>
            <w:tblPr>
              <w:tblInd w:type="dxa" w:w="120"/>
              <w:tblBorders>
                <w:top w:val="none" w:color="000000" w:sz="4"/>
                <w:left w:val="none" w:color="000000" w:sz="4"/>
                <w:bottom w:val="none" w:color="000000" w:sz="4"/>
                <w:right w:val="none" w:color="000000" w:sz="4"/>
                <w:insideH w:val="none"/>
                <w:insideV w:val="none"/>
              </w:tblBorders>
            </w:tblPr>
            <w:tblGrid>
              <w:gridCol w:w="847"/>
              <w:gridCol w:w="3353"/>
              <w:gridCol w:w="1398"/>
            </w:tblGrid>
            <w:tr>
              <w:tc>
                <w:tcPr>
                  <w:tcW w:type="dxa" w:w="847"/>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3353"/>
                  <w:tcBorders>
                    <w:top w:val="single" w:color="000000" w:sz="4"/>
                    <w:left w:val="none" w:color="000000" w:sz="4"/>
                    <w:bottom w:val="single" w:color="000000" w:sz="4"/>
                    <w:right w:val="single" w:color="000000" w:sz="4"/>
                  </w:tcBorders>
                  <w:vAlign w:val="top"/>
                </w:tcPr>
                <w:p>
                  <w:pPr>
                    <w:jc w:val="center"/>
                  </w:pPr>
                  <w:r>
                    <w:rPr>
                      <w:sz w:val="24"/>
                    </w:rPr>
                    <w:t>设备名称</w:t>
                  </w:r>
                </w:p>
              </w:tc>
              <w:tc>
                <w:tcPr>
                  <w:tcW w:type="dxa" w:w="1398"/>
                  <w:tcBorders>
                    <w:top w:val="single" w:color="000000" w:sz="4"/>
                    <w:left w:val="none" w:color="000000" w:sz="4"/>
                    <w:bottom w:val="single" w:color="000000" w:sz="4"/>
                    <w:right w:val="single" w:color="000000" w:sz="4"/>
                  </w:tcBorders>
                  <w:vAlign w:val="top"/>
                </w:tcPr>
                <w:p>
                  <w:pPr>
                    <w:jc w:val="center"/>
                  </w:pPr>
                  <w:r>
                    <w:rPr>
                      <w:sz w:val="24"/>
                    </w:rPr>
                    <w:t>数量</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1</w:t>
                  </w:r>
                </w:p>
              </w:tc>
              <w:tc>
                <w:tcPr>
                  <w:tcW w:type="dxa" w:w="3353"/>
                  <w:tcBorders>
                    <w:top w:val="none" w:color="000000" w:sz="4"/>
                    <w:left w:val="none" w:color="000000" w:sz="4"/>
                    <w:bottom w:val="single" w:color="000000" w:sz="4"/>
                    <w:right w:val="single" w:color="000000" w:sz="4"/>
                  </w:tcBorders>
                  <w:vAlign w:val="top"/>
                </w:tcPr>
                <w:p>
                  <w:pPr>
                    <w:jc w:val="center"/>
                  </w:pPr>
                  <w:r>
                    <w:rPr>
                      <w:sz w:val="24"/>
                    </w:rPr>
                    <w:t>流式细胞仪主机</w:t>
                  </w:r>
                </w:p>
              </w:tc>
              <w:tc>
                <w:tcPr>
                  <w:tcW w:type="dxa" w:w="1398"/>
                  <w:tcBorders>
                    <w:top w:val="none" w:color="000000" w:sz="4"/>
                    <w:left w:val="none" w:color="000000" w:sz="4"/>
                    <w:bottom w:val="single" w:color="000000" w:sz="4"/>
                    <w:right w:val="single" w:color="000000" w:sz="4"/>
                  </w:tcBorders>
                  <w:vAlign w:val="top"/>
                </w:tcPr>
                <w:p>
                  <w:pPr>
                    <w:jc w:val="center"/>
                  </w:pPr>
                  <w:r>
                    <w:rPr>
                      <w:sz w:val="24"/>
                    </w:rPr>
                    <w:t>1台</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2</w:t>
                  </w:r>
                </w:p>
              </w:tc>
              <w:tc>
                <w:tcPr>
                  <w:tcW w:type="dxa" w:w="3353"/>
                  <w:tcBorders>
                    <w:top w:val="none" w:color="000000" w:sz="4"/>
                    <w:left w:val="none" w:color="000000" w:sz="4"/>
                    <w:bottom w:val="single" w:color="000000" w:sz="4"/>
                    <w:right w:val="single" w:color="000000" w:sz="4"/>
                  </w:tcBorders>
                  <w:vAlign w:val="top"/>
                </w:tcPr>
                <w:p>
                  <w:pPr>
                    <w:jc w:val="center"/>
                  </w:pPr>
                  <w:r>
                    <w:rPr>
                      <w:sz w:val="24"/>
                    </w:rPr>
                    <w:t>数据处理系统</w:t>
                  </w:r>
                </w:p>
              </w:tc>
              <w:tc>
                <w:tcPr>
                  <w:tcW w:type="dxa" w:w="1398"/>
                  <w:tcBorders>
                    <w:top w:val="none" w:color="000000" w:sz="4"/>
                    <w:left w:val="none" w:color="000000" w:sz="4"/>
                    <w:bottom w:val="single" w:color="000000" w:sz="4"/>
                    <w:right w:val="single" w:color="000000" w:sz="4"/>
                  </w:tcBorders>
                  <w:vAlign w:val="top"/>
                </w:tcPr>
                <w:p>
                  <w:pPr>
                    <w:jc w:val="center"/>
                  </w:pPr>
                  <w:r>
                    <w:rPr>
                      <w:sz w:val="24"/>
                    </w:rPr>
                    <w:t>1套</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3</w:t>
                  </w:r>
                </w:p>
              </w:tc>
              <w:tc>
                <w:tcPr>
                  <w:tcW w:type="dxa" w:w="3353"/>
                  <w:tcBorders>
                    <w:top w:val="none" w:color="000000" w:sz="4"/>
                    <w:left w:val="none" w:color="000000" w:sz="4"/>
                    <w:bottom w:val="single" w:color="000000" w:sz="4"/>
                    <w:right w:val="single" w:color="000000" w:sz="4"/>
                  </w:tcBorders>
                  <w:vAlign w:val="top"/>
                </w:tcPr>
                <w:p>
                  <w:pPr>
                    <w:jc w:val="center"/>
                  </w:pPr>
                  <w:r>
                    <w:rPr>
                      <w:sz w:val="24"/>
                    </w:rPr>
                    <w:t>装机试剂</w:t>
                  </w:r>
                </w:p>
              </w:tc>
              <w:tc>
                <w:tcPr>
                  <w:tcW w:type="dxa" w:w="1398"/>
                  <w:tcBorders>
                    <w:top w:val="none" w:color="000000" w:sz="4"/>
                    <w:left w:val="none" w:color="000000" w:sz="4"/>
                    <w:bottom w:val="single" w:color="000000" w:sz="4"/>
                    <w:right w:val="single" w:color="000000" w:sz="4"/>
                  </w:tcBorders>
                  <w:vAlign w:val="top"/>
                </w:tcPr>
                <w:p>
                  <w:pPr>
                    <w:jc w:val="center"/>
                  </w:pPr>
                  <w:r>
                    <w:rPr>
                      <w:sz w:val="24"/>
                    </w:rPr>
                    <w:t>1套</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4</w:t>
                  </w:r>
                </w:p>
              </w:tc>
              <w:tc>
                <w:tcPr>
                  <w:tcW w:type="dxa" w:w="3353"/>
                  <w:tcBorders>
                    <w:top w:val="none" w:color="000000" w:sz="4"/>
                    <w:left w:val="none" w:color="000000" w:sz="4"/>
                    <w:bottom w:val="single" w:color="000000" w:sz="4"/>
                    <w:right w:val="single" w:color="000000" w:sz="4"/>
                  </w:tcBorders>
                  <w:vAlign w:val="top"/>
                </w:tcPr>
                <w:p>
                  <w:pPr>
                    <w:jc w:val="center"/>
                  </w:pPr>
                  <w:r>
                    <w:rPr>
                      <w:sz w:val="24"/>
                    </w:rPr>
                    <w:t>96孔板自动孔板上样器</w:t>
                  </w:r>
                </w:p>
              </w:tc>
              <w:tc>
                <w:tcPr>
                  <w:tcW w:type="dxa" w:w="1398"/>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5</w:t>
                  </w:r>
                </w:p>
              </w:tc>
              <w:tc>
                <w:tcPr>
                  <w:tcW w:type="dxa" w:w="3353"/>
                  <w:tcBorders>
                    <w:top w:val="none" w:color="000000" w:sz="4"/>
                    <w:left w:val="none" w:color="000000" w:sz="4"/>
                    <w:bottom w:val="single" w:color="000000" w:sz="4"/>
                    <w:right w:val="single" w:color="000000" w:sz="4"/>
                  </w:tcBorders>
                  <w:vAlign w:val="top"/>
                </w:tcPr>
                <w:p>
                  <w:pPr>
                    <w:jc w:val="center"/>
                  </w:pPr>
                  <w:r>
                    <w:rPr>
                      <w:sz w:val="24"/>
                    </w:rPr>
                    <w:t>高维流式数据分析软件五年使用账户</w:t>
                  </w:r>
                </w:p>
              </w:tc>
              <w:tc>
                <w:tcPr>
                  <w:tcW w:type="dxa" w:w="1398"/>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6</w:t>
                  </w:r>
                </w:p>
              </w:tc>
              <w:tc>
                <w:tcPr>
                  <w:tcW w:type="dxa" w:w="3353"/>
                  <w:tcBorders>
                    <w:top w:val="none" w:color="000000" w:sz="4"/>
                    <w:left w:val="none" w:color="000000" w:sz="4"/>
                    <w:bottom w:val="single" w:color="000000" w:sz="4"/>
                    <w:right w:val="single" w:color="000000" w:sz="4"/>
                  </w:tcBorders>
                  <w:vAlign w:val="top"/>
                </w:tcPr>
                <w:p>
                  <w:pPr>
                    <w:jc w:val="center"/>
                  </w:pPr>
                  <w:r>
                    <w:rPr>
                      <w:sz w:val="24"/>
                    </w:rPr>
                    <w:t>QC荧光微球</w:t>
                  </w:r>
                </w:p>
              </w:tc>
              <w:tc>
                <w:tcPr>
                  <w:tcW w:type="dxa" w:w="1398"/>
                  <w:tcBorders>
                    <w:top w:val="none" w:color="000000" w:sz="4"/>
                    <w:left w:val="none" w:color="000000" w:sz="4"/>
                    <w:bottom w:val="single" w:color="000000" w:sz="4"/>
                    <w:right w:val="single" w:color="000000" w:sz="4"/>
                  </w:tcBorders>
                  <w:vAlign w:val="top"/>
                </w:tcPr>
                <w:p>
                  <w:pPr>
                    <w:jc w:val="center"/>
                  </w:pPr>
                  <w:r>
                    <w:rPr>
                      <w:sz w:val="24"/>
                    </w:rPr>
                    <w:t>10瓶</w:t>
                  </w:r>
                </w:p>
              </w:tc>
            </w:tr>
            <w:tr>
              <w:tc>
                <w:tcPr>
                  <w:tcW w:type="dxa" w:w="847"/>
                  <w:tcBorders>
                    <w:top w:val="none" w:color="000000" w:sz="4"/>
                    <w:left w:val="single" w:color="000000" w:sz="4"/>
                    <w:bottom w:val="single" w:color="000000" w:sz="4"/>
                    <w:right w:val="single" w:color="000000" w:sz="4"/>
                  </w:tcBorders>
                  <w:vAlign w:val="top"/>
                </w:tcPr>
                <w:p>
                  <w:pPr>
                    <w:jc w:val="center"/>
                  </w:pPr>
                  <w:r>
                    <w:rPr>
                      <w:sz w:val="24"/>
                    </w:rPr>
                    <w:t>7</w:t>
                  </w:r>
                </w:p>
              </w:tc>
              <w:tc>
                <w:tcPr>
                  <w:tcW w:type="dxa" w:w="3353"/>
                  <w:tcBorders>
                    <w:top w:val="none" w:color="000000" w:sz="4"/>
                    <w:left w:val="none" w:color="000000" w:sz="4"/>
                    <w:bottom w:val="single" w:color="000000" w:sz="4"/>
                    <w:right w:val="single" w:color="000000" w:sz="4"/>
                  </w:tcBorders>
                  <w:vAlign w:val="top"/>
                </w:tcPr>
                <w:p>
                  <w:pPr>
                    <w:jc w:val="center"/>
                  </w:pPr>
                  <w:r>
                    <w:rPr>
                      <w:sz w:val="24"/>
                    </w:rPr>
                    <w:t>电源系统</w:t>
                  </w:r>
                </w:p>
              </w:tc>
              <w:tc>
                <w:tcPr>
                  <w:tcW w:type="dxa" w:w="1398"/>
                  <w:tcBorders>
                    <w:top w:val="none" w:color="000000" w:sz="4"/>
                    <w:left w:val="none" w:color="000000" w:sz="4"/>
                    <w:bottom w:val="single" w:color="000000" w:sz="4"/>
                    <w:right w:val="single" w:color="000000" w:sz="4"/>
                  </w:tcBorders>
                  <w:vAlign w:val="top"/>
                </w:tcPr>
                <w:p>
                  <w:pPr>
                    <w:jc w:val="center"/>
                  </w:pPr>
                  <w:r>
                    <w:rPr>
                      <w:sz w:val="24"/>
                    </w:rPr>
                    <w:t>1套</w:t>
                  </w:r>
                </w:p>
              </w:tc>
            </w:tr>
          </w:tbl>
          <w:p>
            <w:r>
              <w:rPr/>
              <w:t xml:space="preserve"> </w:t>
            </w:r>
          </w:p>
          <w:p>
            <w:r>
              <w:rPr/>
              <w:t xml:space="preserve"> </w:t>
            </w:r>
          </w:p>
          <w:p>
            <w:r>
              <w:rPr/>
              <w:t xml:space="preserve"> </w:t>
            </w:r>
          </w:p>
          <w:p>
            <w:r>
              <w:rPr/>
              <w:t xml:space="preserve"> </w:t>
            </w:r>
          </w:p>
          <w:p/>
          <w:p/>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1.采购代理机构：本项目是指广东远东招标代理有限公司，负责整个采购活动的组织，依法负责编制和发布招标文件，对招标文件拥有最终的解释权，不以任何身份出任评标委员会成员。</w:t>
      </w:r>
    </w:p>
    <w:p>
      <w:pPr>
        <w:ind w:firstLine="480"/>
      </w:pPr>
      <w:r>
        <w:rPr/>
        <w:t>2.采购人：本项目是指</w:t>
      </w:r>
      <w:r>
        <w:rPr/>
        <w:t>广州医科大学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采购机构代理服务收费标准：参照《招标代理服务收费管理暂行办法》（计价格〔2002〕1980号)附表货物类招标收费标准向中标(成交)人收取中标服务费，以中标价为计费基数计算代理费后下浮12%执行。 应以现金方式向采购代理机构直接缴纳招标代理服务费，付至采购代理机构发出的《收费通知》的账号。</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资金来源，财政资金</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杨工</w:t>
      </w:r>
    </w:p>
    <w:p>
      <w:pPr>
        <w:ind w:firstLine="480"/>
      </w:pPr>
      <w:r>
        <w:rPr/>
        <w:t>电话：</w:t>
      </w:r>
      <w:r>
        <w:rPr/>
        <w:t>17688486221</w:t>
      </w:r>
    </w:p>
    <w:p>
      <w:pPr>
        <w:ind w:firstLine="480"/>
      </w:pPr>
      <w:r>
        <w:rPr/>
        <w:t>传真：</w:t>
      </w:r>
      <w:r>
        <w:rPr/>
        <w:t>/</w:t>
      </w:r>
    </w:p>
    <w:p>
      <w:pPr>
        <w:ind w:firstLine="480"/>
      </w:pPr>
      <w:r>
        <w:rPr/>
        <w:t>邮箱：</w:t>
      </w:r>
      <w:r>
        <w:rPr/>
        <w:t>402715502@qq.com</w:t>
      </w:r>
    </w:p>
    <w:p>
      <w:pPr>
        <w:ind w:firstLine="480"/>
      </w:pPr>
      <w:r>
        <w:rPr/>
        <w:t>地址：</w:t>
      </w:r>
      <w:r>
        <w:rPr/>
        <w:t>广州市越秀区越秀北路222号越良大厦6楼</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话：020-38923575</w:t>
      </w:r>
    </w:p>
    <w:p>
      <w:r>
        <w:rPr/>
        <w:t>邮  编：510030</w:t>
      </w:r>
    </w:p>
    <w:p>
      <w:r>
        <w:rPr/>
        <w:t>传  真： /</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广医2024年科研仪器设备购置项目（二）)：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w:t>
      </w:r>
      <w:r>
        <w:rPr/>
        <w:t>统一对外发布。</w:t>
      </w:r>
    </w:p>
    <w:p>
      <w:pPr>
        <w:ind w:firstLine="480"/>
      </w:pPr>
      <w:r>
        <w:rPr/>
        <w:t>（2）对</w:t>
      </w:r>
      <w:r>
        <w:rPr/>
        <w:t>广东远东招标代理有限公司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采购包1（广医2024年科研仪器设备购置项目（二））：</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 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采购包1（广医2024年科研仪器设备购置项目（二））：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提供声明函（格式自定）或提供以下资料：提供投标文件提交截止日前12个月内任意1个月依法缴纳税收和社会保障资金的相关材料。如依法免税或不需要缴纳社会保障资金的，提供相应证明材料。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声明函（格式自定）或提供2022年度的财务状况报告或基本开户行出具的资信证明或财政部门认可的政府采购专业担保机构出具的担保函,成立不足一年的单位可以提供响应文件提交截止前上一季度或月份财务会计报表。</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本项目不属于专门面向中小企业采购的项目，允许非中小微企业、监狱企业、残疾人福利性单位参与项目投标。</w:t>
            </w:r>
          </w:p>
        </w:tc>
      </w:tr>
    </w:tbl>
    <w:p/>
    <w:p>
      <w:pPr>
        <w:ind w:firstLine="480"/>
      </w:pPr>
      <w:r>
        <w:rPr/>
        <w:t>表二符合性审查表：</w:t>
      </w:r>
    </w:p>
    <w:p>
      <w:pPr>
        <w:ind w:firstLine="480"/>
      </w:pPr>
    </w:p>
    <w:p/>
    <w:p>
      <w:r>
        <w:rPr/>
        <w:t>采购包1（广医2024年科研仪器设备购置项目（二））：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已经盖章、签署，有效期涵盖投标有效期。</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报价修正</w:t>
            </w:r>
          </w:p>
        </w:tc>
        <w:tc>
          <w:tcPr>
            <w:tcW w:type="dxa" w:w="4238"/>
          </w:tcPr>
          <w:p>
            <w:r>
              <w:rPr/>
              <w:t>如出现投标报价错误的处理原则修正后的报价,投标人按规定书面确认。</w:t>
            </w:r>
          </w:p>
        </w:tc>
      </w:tr>
      <w:tr>
        <w:tc>
          <w:tcPr>
            <w:tcW w:type="dxa" w:w="890"/>
          </w:tcPr>
          <w:p>
            <w:r>
              <w:rPr/>
              <w:t>6</w:t>
            </w:r>
          </w:p>
        </w:tc>
        <w:tc>
          <w:tcPr>
            <w:tcW w:type="dxa" w:w="3178"/>
          </w:tcPr>
          <w:p>
            <w:r>
              <w:rPr/>
              <w:t>投标方案</w:t>
            </w:r>
          </w:p>
        </w:tc>
        <w:tc>
          <w:tcPr>
            <w:tcW w:type="dxa" w:w="4238"/>
          </w:tcPr>
          <w:p>
            <w:r>
              <w:rPr/>
              <w:t>投标人提供的投标方案及报价方案固定。</w:t>
            </w:r>
          </w:p>
        </w:tc>
      </w:tr>
      <w:tr>
        <w:tc>
          <w:tcPr>
            <w:tcW w:type="dxa" w:w="890"/>
          </w:tcPr>
          <w:p>
            <w:r>
              <w:rPr/>
              <w:t>7</w:t>
            </w:r>
          </w:p>
        </w:tc>
        <w:tc>
          <w:tcPr>
            <w:tcW w:type="dxa" w:w="3178"/>
          </w:tcPr>
          <w:p>
            <w:r>
              <w:rPr/>
              <w:t>投标报价</w:t>
            </w:r>
          </w:p>
        </w:tc>
        <w:tc>
          <w:tcPr>
            <w:tcW w:type="dxa" w:w="4238"/>
          </w:tcPr>
          <w:p>
            <w:r>
              <w:rPr/>
              <w:t>供应商报价不确定或超过采购文件中列出的预算金额（分项预算总价）的情形。</w:t>
            </w:r>
          </w:p>
        </w:tc>
      </w:tr>
      <w:tr>
        <w:tc>
          <w:tcPr>
            <w:tcW w:type="dxa" w:w="890"/>
          </w:tcPr>
          <w:p>
            <w:r>
              <w:rPr/>
              <w:t>8</w:t>
            </w:r>
          </w:p>
        </w:tc>
        <w:tc>
          <w:tcPr>
            <w:tcW w:type="dxa" w:w="3178"/>
          </w:tcPr>
          <w:p>
            <w:r>
              <w:rPr/>
              <w:t>其他</w:t>
            </w:r>
          </w:p>
        </w:tc>
        <w:tc>
          <w:tcPr>
            <w:tcW w:type="dxa" w:w="4238"/>
          </w:tcPr>
          <w:p>
            <w:r>
              <w:rPr/>
              <w:t>投标文件中没有法律、法规和招标文件规定的其他无效情形。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采购包1(广医2024年科研仪器设备购置项目（二）):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商务部分13.0分</w:t>
            </w:r>
          </w:p>
          <w:p>
            <w:r>
              <w:rPr/>
              <w:t>技术部分52.0分</w:t>
            </w:r>
          </w:p>
          <w:p>
            <w:r>
              <w:rPr/>
              <w:t>综合信用分5.0分</w:t>
            </w:r>
          </w:p>
          <w:p>
            <w:r>
              <w:rPr/>
              <w:t>报价得分30.0分</w:t>
            </w:r>
          </w:p>
        </w:tc>
      </w:tr>
      <w:tr>
        <w:tc>
          <w:tcPr>
            <w:tcW w:type="dxa" w:w="922"/>
            <w:gridSpan w:val="2"/>
            <w:vMerge w:val="restart"/>
          </w:tcPr>
          <w:p>
            <w:pPr>
              <w:jc w:val="center"/>
            </w:pPr>
            <w:r>
              <w:rPr/>
              <w:t>技术部分</w:t>
            </w:r>
          </w:p>
        </w:tc>
        <w:tc>
          <w:tcPr>
            <w:tcW w:type="dxa" w:w="2307"/>
          </w:tcPr>
          <w:p>
            <w:pPr>
              <w:jc w:val="left"/>
            </w:pPr>
            <w:r>
              <w:rPr/>
              <w:t>设备技术参数响应程度、性能符合性 (34.0分)</w:t>
            </w:r>
          </w:p>
        </w:tc>
        <w:tc>
          <w:tcPr>
            <w:tcW w:type="dxa" w:w="5076"/>
          </w:tcPr>
          <w:p>
            <w:pPr>
              <w:jc w:val="left"/>
            </w:pPr>
            <w:r>
              <w:rPr/>
              <w:t>根据各投标人所投产品对《第二章 采购需求》中“2.技术标准与要求附表一：具体技术(参数)要求”的对应响应情况进行综合评审： （1）对带“▲”号（共4条）参数的响应程度进行评审，每满足一个“▲”号条款，得3分，本小项共12分。 （2）对18项一般条款（“▲”“★”除外）的技术要求进行逐一响应，本小项共22分，投标人本小项得分=投标人响应项数/总项数×22分。 注：投标人应提供投标产品彩页或厂家出具的技术白皮书或厂家的证明材料作为证明文件（如厂家的产品使用说明书为英文版，请同时提供中文版）。若投标人不提供上述证明文件，则评标委员会视为没有响应该参数。</w:t>
            </w:r>
          </w:p>
        </w:tc>
      </w:tr>
      <w:tr>
        <w:tc>
          <w:tcPr>
            <w:tcW w:type="dxa" w:w="922"/>
            <w:gridSpan w:val="2"/>
            <w:vMerge/>
          </w:tcPr>
          <w:p/>
        </w:tc>
        <w:tc>
          <w:tcPr>
            <w:tcW w:type="dxa" w:w="2307"/>
          </w:tcPr>
          <w:p>
            <w:pPr>
              <w:jc w:val="left"/>
            </w:pPr>
            <w:r>
              <w:rPr/>
              <w:t>所投货物选型合理、技术成熟可靠性 (5.0分)</w:t>
            </w:r>
            <w:r>
              <w:rPr/>
              <w:t>，（等次分值选择：</w:t>
            </w:r>
            <w:r>
              <w:rPr/>
              <w:t>0.0;</w:t>
            </w:r>
            <w:r>
              <w:rPr/>
              <w:t>1.0;</w:t>
            </w:r>
            <w:r>
              <w:rPr/>
              <w:t>3.0;</w:t>
            </w:r>
            <w:r>
              <w:rPr/>
              <w:t>5.0;</w:t>
            </w:r>
            <w:r>
              <w:rPr/>
              <w:t>）</w:t>
            </w:r>
          </w:p>
        </w:tc>
        <w:tc>
          <w:tcPr>
            <w:tcW w:type="dxa" w:w="5076"/>
          </w:tcPr>
          <w:p>
            <w:pPr>
              <w:jc w:val="left"/>
            </w:pPr>
            <w:r>
              <w:rPr/>
              <w:t>投标人根据用户需求中的技术参数及商务要求，从自身参投的品牌中选取更优、更贴合本项目用户自身特色的规格型号，并作出相应阐述，评委会对此进行综合评价： （1）投标人对用户的机构特色理解透彻，对用户的服务定位把握准确，所选产品规格型号与用户需求的贴合度及其技术成熟程度等的阐述条理清晰，同时可提供实际供货产品的具体生产日期及质量证明文件（如合格证，检验报告等），得5分；  （2）投标人对用户的机构特色有一定程度的理解，对用户的服务定位有认知但不够具体，所选产品规格型号与用户需求的贴合度及其技术成熟程度等的阐述有基础条理，同时可提供实际供货产品的大致生产年份及质量证明文件（如合格证，检验报告等），得3分； （3）投标人对用户的机构特色和服务定位缺乏了解，或者对所选产品规格型号与用户需求的贴合度及其技术成熟程度等仅作出少量的阐述，或者无法提供实际供货产品的生产时间或质量证明文件（如合格证，检验报告等），得1分；  （4）投标人未能提供本评分项要求内容描述的，得0分。</w:t>
            </w:r>
          </w:p>
        </w:tc>
      </w:tr>
      <w:tr>
        <w:tc>
          <w:tcPr>
            <w:tcW w:type="dxa" w:w="922"/>
            <w:gridSpan w:val="2"/>
            <w:vMerge/>
          </w:tcPr>
          <w:p/>
        </w:tc>
        <w:tc>
          <w:tcPr>
            <w:tcW w:type="dxa" w:w="2307"/>
          </w:tcPr>
          <w:p>
            <w:pPr>
              <w:jc w:val="left"/>
            </w:pPr>
            <w:r>
              <w:rPr/>
              <w:t>项目实施方案 (3.0分)</w:t>
            </w:r>
            <w:r>
              <w:rPr/>
              <w:t>，（等次分值选择：</w:t>
            </w:r>
            <w:r>
              <w:rPr/>
              <w:t>0.0;</w:t>
            </w:r>
            <w:r>
              <w:rPr/>
              <w:t>1.0;</w:t>
            </w:r>
            <w:r>
              <w:rPr/>
              <w:t>2.0;</w:t>
            </w:r>
            <w:r>
              <w:rPr/>
              <w:t>3.0;</w:t>
            </w:r>
            <w:r>
              <w:rPr/>
              <w:t>）</w:t>
            </w:r>
          </w:p>
        </w:tc>
        <w:tc>
          <w:tcPr>
            <w:tcW w:type="dxa" w:w="5076"/>
          </w:tcPr>
          <w:p>
            <w:pPr>
              <w:jc w:val="left"/>
            </w:pPr>
            <w:r>
              <w:rPr/>
              <w:t>根据投标人针对本项目制定的项目整体实施方案（包括但不仅限于货物运输、安装调试等进度计划、安装人员安排等内容）进行综合评审： （1）货物运输、安装调试方案完整详细，提供各项货物的详细安装计划安排和人员分工表，完全满足或优于采购需求的，得3分； （2）货物运输、安装调试方案内容完整，有明确的计划和步骤，有根据采购需求编制合理可行的进度计划安排，基本满足采购需求，但内容不够详细具体的，得2分； （3）货物运输、安装、调试方案不明确，或进度计划安排不合理，或项目整体实施方案部分内容有缺漏，部分满足采购需求，得1分； （4）其他或无响应，得0分。</w:t>
            </w:r>
          </w:p>
        </w:tc>
      </w:tr>
      <w:tr>
        <w:tc>
          <w:tcPr>
            <w:tcW w:type="dxa" w:w="922"/>
            <w:gridSpan w:val="2"/>
            <w:vMerge/>
          </w:tcPr>
          <w:p/>
        </w:tc>
        <w:tc>
          <w:tcPr>
            <w:tcW w:type="dxa" w:w="2307"/>
          </w:tcPr>
          <w:p>
            <w:pPr>
              <w:jc w:val="left"/>
            </w:pPr>
            <w:r>
              <w:rPr/>
              <w:t>质量保证方案 (5.0分)</w:t>
            </w:r>
            <w:r>
              <w:rPr/>
              <w:t>，（等次分值选择：</w:t>
            </w:r>
            <w:r>
              <w:rPr/>
              <w:t>0.0;</w:t>
            </w:r>
            <w:r>
              <w:rPr/>
              <w:t>1.0;</w:t>
            </w:r>
            <w:r>
              <w:rPr/>
              <w:t>3.0;</w:t>
            </w:r>
            <w:r>
              <w:rPr/>
              <w:t>5.0;</w:t>
            </w:r>
            <w:r>
              <w:rPr/>
              <w:t>）</w:t>
            </w:r>
          </w:p>
        </w:tc>
        <w:tc>
          <w:tcPr>
            <w:tcW w:type="dxa" w:w="5076"/>
          </w:tcPr>
          <w:p>
            <w:pPr>
              <w:jc w:val="left"/>
            </w:pPr>
            <w:r>
              <w:rPr/>
              <w:t>根据投标人针对本项目制定的质量保证方案（包括但不仅限于质量目标、质量控制措施、质量保证体系及措施、质量保障管理及制度等内容）进行综合评分： （1）质量目标清晰明确，质量控制措施合理可行，质量保证体系系统科学、保证措施严谨规范，质量保障管理及制度权责分明、体系完整，质量保证方案各项内容均具备，并能根据项目性质或采购需求提出合理可行的建议，完全满足或优于采购需求，得5分； （2）质量目标明确，质量控制措施合理可行，质量保证体系及保证措施规范，质量保障管理及制度权责分明，质量保证方案各项内容均具备，满足采购需求，但未能根据项目性质或采购需求提出合理可行的建议或者建议不完善，得3分； （3）质量目标不明确，或质量控制措施、质量保证体系及保证措施和质量保障管理及制度方案不合理不可行，或质量保证方案部分内容有缺漏，或未能根据项目性质或采购需求提出合理可行的建议，部分满足采购需求，得1分； （4）其他或无响应，得0分。</w:t>
            </w:r>
          </w:p>
        </w:tc>
      </w:tr>
      <w:tr>
        <w:tc>
          <w:tcPr>
            <w:tcW w:type="dxa" w:w="922"/>
            <w:gridSpan w:val="2"/>
            <w:vMerge/>
          </w:tcPr>
          <w:p/>
        </w:tc>
        <w:tc>
          <w:tcPr>
            <w:tcW w:type="dxa" w:w="2307"/>
          </w:tcPr>
          <w:p>
            <w:pPr>
              <w:jc w:val="left"/>
            </w:pPr>
            <w:r>
              <w:rPr/>
              <w:t>售后服务方案 (5.0分)</w:t>
            </w:r>
          </w:p>
        </w:tc>
        <w:tc>
          <w:tcPr>
            <w:tcW w:type="dxa" w:w="5076"/>
          </w:tcPr>
          <w:p>
            <w:pPr>
              <w:jc w:val="left"/>
            </w:pPr>
            <w:r>
              <w:rPr/>
              <w:t>一、根据投标人针对本项目提供的售后服务方案（包括但不限于售后服务网点安排、售后服务人员配置、备品备件库、质保期满后的后续维修服务内容等）进行综合评审： （1）有售后服务网点，针对设备故障维修有详细的应对措施、售后人员安排方案，对于突发事件能在满足或优于用户要求的时间内响应以及到场解决完毕，备品备件清单详细，能列明质保期满后的后续维修服务内容，完全满足或优于采购需求，得3分； （2）有售后服务网点，针对设备故障维修有详细的应对措施及相应的解决方案，对于突发事件能在满足或优于用户要求的时间内响应以及到场解决完毕，备品备件清单详细，能列明质保期满后的后续维修服务内容，基本满足采购需求，得2分； （3）无售后服务网点，或未提供针对设备故障维修有详细的应对措施，或备品备件清单不明确，或质保期满后的后续维修服务内容不明确，或对于突发事件不能在满足用户要求的时间内响应以及到场解决完毕，部分满足采购需求的，得1分； （4）其他或无响应，得0分 二、当设备在保质保用期间出现故障无法使用时，投标人承诺为采购人（用户）提供备用机的，的2分。 注：须提供承诺函并加盖投标人公章，不提供承诺不得分。</w:t>
            </w:r>
          </w:p>
        </w:tc>
      </w:tr>
      <w:tr>
        <w:tc>
          <w:tcPr>
            <w:tcW w:type="dxa" w:w="922"/>
            <w:gridSpan w:val="2"/>
            <w:vMerge w:val="restart"/>
          </w:tcPr>
          <w:p>
            <w:pPr>
              <w:jc w:val="center"/>
            </w:pPr>
            <w:r>
              <w:rPr/>
              <w:t>商务部分</w:t>
            </w:r>
          </w:p>
        </w:tc>
        <w:tc>
          <w:tcPr>
            <w:tcW w:type="dxa" w:w="2307"/>
          </w:tcPr>
          <w:p>
            <w:pPr>
              <w:jc w:val="left"/>
            </w:pPr>
            <w:r>
              <w:rPr/>
              <w:t>同类项目业绩 (3.0分)</w:t>
            </w:r>
          </w:p>
        </w:tc>
        <w:tc>
          <w:tcPr>
            <w:tcW w:type="dxa" w:w="5076"/>
          </w:tcPr>
          <w:p>
            <w:pPr>
              <w:jc w:val="left"/>
            </w:pPr>
            <w:r>
              <w:rPr/>
              <w:t>投标人需提供2021年1月1日（合同落款时间为准）至今承担过同类型项目业绩，每提供一个得0.5分，最高为3分。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jc w:val="left"/>
            </w:pPr>
            <w:r>
              <w:rPr/>
              <w:t>满意度评价 (2.0分)</w:t>
            </w:r>
          </w:p>
        </w:tc>
        <w:tc>
          <w:tcPr>
            <w:tcW w:type="dxa" w:w="5076"/>
          </w:tcPr>
          <w:p>
            <w:pPr>
              <w:jc w:val="left"/>
            </w:pPr>
            <w:r>
              <w:rPr/>
              <w:t>投标人需提供2021年1月1日至今的同类型项目业绩评价意见为优秀或满意或类似好评或验收意见为合格的，每提供一份得0.5分，累计最高得2分。  注：以上业绩评价意见（或验收意见）需提供用户（业主）盖章的评价（或验收）证明资料及合同扫描件并加盖投标人公章，未提交证明材料或者评标委员会无法认定的不得分。</w:t>
            </w:r>
          </w:p>
        </w:tc>
      </w:tr>
      <w:tr>
        <w:tc>
          <w:tcPr>
            <w:tcW w:type="dxa" w:w="922"/>
            <w:gridSpan w:val="2"/>
            <w:vMerge/>
          </w:tcPr>
          <w:p/>
        </w:tc>
        <w:tc>
          <w:tcPr>
            <w:tcW w:type="dxa" w:w="2307"/>
          </w:tcPr>
          <w:p>
            <w:pPr>
              <w:jc w:val="left"/>
            </w:pPr>
            <w:r>
              <w:rPr/>
              <w:t>技术培训方案 (5.0分)</w:t>
            </w:r>
            <w:r>
              <w:rPr/>
              <w:t>，（等次分值选择：</w:t>
            </w:r>
            <w:r>
              <w:rPr/>
              <w:t>0.0;</w:t>
            </w:r>
            <w:r>
              <w:rPr/>
              <w:t>1.0;</w:t>
            </w:r>
            <w:r>
              <w:rPr/>
              <w:t>3.0;</w:t>
            </w:r>
            <w:r>
              <w:rPr/>
              <w:t>5.0;</w:t>
            </w:r>
            <w:r>
              <w:rPr/>
              <w:t>）</w:t>
            </w:r>
          </w:p>
        </w:tc>
        <w:tc>
          <w:tcPr>
            <w:tcW w:type="dxa" w:w="5076"/>
          </w:tcPr>
          <w:p>
            <w:pPr>
              <w:jc w:val="left"/>
            </w:pPr>
            <w:r>
              <w:rPr/>
              <w:t>根据投标人提供针对本项目的技术培训方案（包括但不限于：培训计划、培训方式、培训内容等）进行综合评审。 （1）培训计划安排合理得当，能针对设备操作的重点、难点、关键点制定详细的培训方案，能针对常见故障制定详细的故障排除培训方案，能规划培训时间和地点，培训方式多样化，能根据设备操作、故障诊断、维护方法等方面制定详细的培训内容并提供教学大纲，完全满足或优于采购需求，得5分； （2）培训计划安排合理得当，能针对设备操作的重点、难点、关键点制定简易培训方案，能针对常见故障制定简易故障排除培训方案，能规划培训时间和地点，培训方式多样化，能根据设备/产品操作、故障诊断、维护方法等方面制定培训内容，满足采购需求，得3分； （3）培训计划安排不详细不合理，或但未结合采购需求制定培训方案，或培训方式单一，或培训内容不具体，得1分。 （4）其他或无响应，得0分。</w:t>
            </w:r>
          </w:p>
        </w:tc>
      </w:tr>
      <w:tr>
        <w:tc>
          <w:tcPr>
            <w:tcW w:type="dxa" w:w="922"/>
            <w:gridSpan w:val="2"/>
            <w:vMerge/>
          </w:tcPr>
          <w:p/>
        </w:tc>
        <w:tc>
          <w:tcPr>
            <w:tcW w:type="dxa" w:w="2307"/>
          </w:tcPr>
          <w:p>
            <w:pPr>
              <w:jc w:val="left"/>
            </w:pPr>
            <w:r>
              <w:rPr/>
              <w:t>管理体系认证 (3.0分)</w:t>
            </w:r>
          </w:p>
        </w:tc>
        <w:tc>
          <w:tcPr>
            <w:tcW w:type="dxa" w:w="5076"/>
          </w:tcPr>
          <w:p>
            <w:pPr>
              <w:jc w:val="left"/>
            </w:pPr>
            <w:r>
              <w:rPr/>
              <w:t>投标人具有以下管理体系认证证书的，每提供一项得1分，最高得3分。 1.具有有效期内的质量管理体系认证证书； 2.具有有效期内的职业健康安全管理体系认证证书； 3.具有有效期内的环境管理体系认证证书。 （须提供在全国认证认可信息公共服务平台上http://cx.cnca.cn查询结果的截图（须清晰可辨）并加盖投标人公章，证书状态必须为“有效”，不提供不得分。）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both"/>
      </w:pPr>
    </w:p>
    <w:p>
      <w:pPr>
        <w:ind w:firstLine="783"/>
        <w:jc w:val="center"/>
      </w:pPr>
    </w:p>
    <w:p>
      <w:pPr>
        <w:ind w:firstLine="783"/>
        <w:jc w:val="center"/>
      </w:pPr>
    </w:p>
    <w:p>
      <w:pPr>
        <w:ind w:firstLine="783"/>
        <w:jc w:val="center"/>
      </w:pPr>
    </w:p>
    <w:p>
      <w:pPr>
        <w:jc w:val="center"/>
      </w:pPr>
      <w:r>
        <w:rPr>
          <w:b/>
          <w:sz w:val="56"/>
        </w:rPr>
        <w:t>广州医科大学</w:t>
      </w:r>
    </w:p>
    <w:p>
      <w:pPr>
        <w:ind w:firstLine="1084"/>
        <w:jc w:val="both"/>
      </w:pPr>
    </w:p>
    <w:p>
      <w:pPr>
        <w:jc w:val="center"/>
      </w:pPr>
      <w:r>
        <w:rPr>
          <w:b/>
          <w:sz w:val="56"/>
        </w:rPr>
        <w:t>合同书</w:t>
      </w:r>
    </w:p>
    <w:p>
      <w:pPr>
        <w:ind w:firstLine="663"/>
        <w:jc w:val="center"/>
      </w:pPr>
    </w:p>
    <w:p>
      <w:pPr>
        <w:ind w:firstLine="663"/>
        <w:jc w:val="center"/>
      </w:pPr>
    </w:p>
    <w:p>
      <w:pPr>
        <w:ind w:firstLine="663"/>
        <w:jc w:val="center"/>
      </w:pPr>
    </w:p>
    <w:p>
      <w:pPr>
        <w:ind w:firstLine="663"/>
        <w:jc w:val="center"/>
      </w:pPr>
    </w:p>
    <w:p>
      <w:pPr>
        <w:ind w:firstLine="663"/>
        <w:jc w:val="center"/>
      </w:pPr>
    </w:p>
    <w:p>
      <w:pPr>
        <w:ind w:firstLine="663"/>
        <w:jc w:val="center"/>
      </w:pPr>
    </w:p>
    <w:p>
      <w:pPr>
        <w:ind w:firstLine="663"/>
        <w:jc w:val="center"/>
      </w:pPr>
    </w:p>
    <w:p>
      <w:pPr>
        <w:ind w:firstLine="663"/>
        <w:jc w:val="center"/>
      </w:pPr>
    </w:p>
    <w:p>
      <w:pPr>
        <w:ind w:firstLine="663"/>
        <w:jc w:val="center"/>
      </w:pPr>
    </w:p>
    <w:p>
      <w:pPr>
        <w:ind w:firstLine="663"/>
        <w:jc w:val="center"/>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pPr>
              <w:ind w:firstLine="482"/>
              <w:jc w:val="both"/>
            </w:pPr>
          </w:p>
          <w:p>
            <w:pPr>
              <w:ind w:firstLine="482"/>
              <w:jc w:val="both"/>
            </w:pP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采购编号：</w:t>
            </w:r>
            <w:r>
              <w:rPr>
                <w:b/>
                <w:sz w:val="24"/>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项目名称：</w:t>
            </w:r>
            <w:r>
              <w:rPr>
                <w:b/>
                <w:sz w:val="24"/>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中标公司：</w:t>
            </w:r>
            <w:r>
              <w:rPr>
                <w:b/>
                <w:sz w:val="24"/>
              </w:rPr>
              <w:t xml:space="preserve">                                </w:t>
            </w:r>
          </w:p>
        </w:tc>
      </w:tr>
    </w:tbl>
    <w:p>
      <w:pPr>
        <w:jc w:val="both"/>
      </w:pPr>
    </w:p>
    <w:p>
      <w:pPr>
        <w:jc w:val="both"/>
      </w:pPr>
    </w:p>
    <w:p>
      <w:pPr>
        <w:jc w:val="center"/>
      </w:pPr>
      <w:r>
        <w:rPr>
          <w:b/>
          <w:sz w:val="24"/>
        </w:rPr>
        <w:t>设备采购合同</w:t>
      </w:r>
    </w:p>
    <w:p>
      <w:pPr>
        <w:jc w:val="both"/>
      </w:pPr>
      <w:r>
        <w:rPr>
          <w:sz w:val="24"/>
        </w:rPr>
        <w:t>项目名称</w:t>
      </w:r>
      <w:r>
        <w:rPr>
          <w:sz w:val="21"/>
          <w:u w:val="single"/>
        </w:rPr>
        <w:t xml:space="preserve">                        </w:t>
      </w:r>
      <w:r>
        <w:rPr>
          <w:sz w:val="21"/>
        </w:rPr>
        <w:t xml:space="preserve">       </w:t>
      </w:r>
    </w:p>
    <w:p>
      <w:pPr>
        <w:jc w:val="both"/>
      </w:pPr>
      <w:r>
        <w:rPr>
          <w:b/>
          <w:sz w:val="24"/>
        </w:rPr>
        <w:t>甲</w:t>
      </w:r>
      <w:r>
        <w:rPr>
          <w:b/>
          <w:sz w:val="24"/>
        </w:rPr>
        <w:t>方：广州医科大学</w:t>
      </w:r>
    </w:p>
    <w:p>
      <w:pPr>
        <w:jc w:val="both"/>
      </w:pPr>
      <w:r>
        <w:rPr>
          <w:b/>
          <w:sz w:val="24"/>
        </w:rPr>
        <w:t>乙</w:t>
      </w:r>
      <w:r>
        <w:rPr>
          <w:b/>
          <w:sz w:val="24"/>
        </w:rPr>
        <w:t>方：</w:t>
      </w:r>
    </w:p>
    <w:p>
      <w:pPr>
        <w:ind w:firstLine="480"/>
        <w:jc w:val="both"/>
      </w:pPr>
      <w:r>
        <w:rPr>
          <w:sz w:val="24"/>
        </w:rPr>
        <w:t>根据《中华人民共和国民法典》及广东远东招标代理有限公司的中标结果和招标文件的要求，甲、乙双方经协商确定，甲方向乙方订购</w:t>
      </w:r>
      <w:r>
        <w:rPr>
          <w:sz w:val="21"/>
          <w:u w:val="single"/>
        </w:rPr>
        <w:t xml:space="preserve">          </w:t>
      </w:r>
      <w:r>
        <w:rPr>
          <w:sz w:val="24"/>
        </w:rPr>
        <w:t>，为明确双方责任和权利，特签订本合同，共同遵守。具体条款如下：</w:t>
      </w:r>
    </w:p>
    <w:p>
      <w:pPr>
        <w:jc w:val="both"/>
      </w:pPr>
      <w:r>
        <w:rPr>
          <w:b/>
          <w:sz w:val="24"/>
        </w:rPr>
        <w:t>一、合同设备</w:t>
      </w:r>
    </w:p>
    <w:p>
      <w:pPr>
        <w:jc w:val="center"/>
      </w:pPr>
      <w:r>
        <w:rPr>
          <w:b/>
          <w:sz w:val="24"/>
        </w:rPr>
        <w:t>合同乙方提供的货物清单</w:t>
      </w:r>
    </w:p>
    <w:tbl>
      <w:tblPr>
        <w:tblW w:w="0" w:type="auto"/>
        <w:tblBorders>
          <w:top w:val="none" w:color="000000" w:sz="4"/>
          <w:left w:val="none" w:color="000000" w:sz="4"/>
          <w:bottom w:val="none" w:color="000000" w:sz="4"/>
          <w:right w:val="none" w:color="000000" w:sz="4"/>
          <w:insideH w:val="none"/>
          <w:insideV w:val="none"/>
        </w:tblBorders>
      </w:tblPr>
      <w:tblGrid>
        <w:gridCol w:w="650"/>
        <w:gridCol w:w="650"/>
        <w:gridCol w:w="650"/>
        <w:gridCol w:w="650"/>
        <w:gridCol w:w="650"/>
        <w:gridCol w:w="650"/>
        <w:gridCol w:w="900"/>
        <w:gridCol w:w="900"/>
        <w:gridCol w:w="650"/>
        <w:gridCol w:w="650"/>
        <w:gridCol w:w="650"/>
        <w:gridCol w:w="650"/>
      </w:tblGrid>
      <w:tr>
        <w:tc>
          <w:tcPr>
            <w:tcW w:type="dxa" w:w="650"/>
            <w:tcBorders>
              <w:top w:val="single" w:color="000000" w:sz="4"/>
              <w:left w:val="single" w:color="000000" w:sz="4"/>
              <w:bottom w:val="single" w:color="000000" w:sz="4"/>
              <w:right w:val="single" w:color="000000" w:sz="4"/>
            </w:tcBorders>
            <w:vAlign w:val="top"/>
          </w:tcPr>
          <w:p>
            <w:pPr>
              <w:ind w:firstLine="2"/>
              <w:jc w:val="center"/>
            </w:pPr>
            <w:r>
              <w:rPr>
                <w:b/>
                <w:sz w:val="24"/>
              </w:rPr>
              <w:t>品名</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规格型号</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品牌</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产地</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单位</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数量</w:t>
            </w:r>
          </w:p>
        </w:tc>
        <w:tc>
          <w:tcPr>
            <w:tcW w:type="dxa" w:w="900"/>
            <w:tcBorders>
              <w:top w:val="single" w:color="000000" w:sz="4"/>
              <w:left w:val="none" w:color="000000" w:sz="4"/>
              <w:bottom w:val="single" w:color="000000" w:sz="4"/>
              <w:right w:val="single" w:color="000000" w:sz="4"/>
            </w:tcBorders>
            <w:vAlign w:val="top"/>
          </w:tcPr>
          <w:p>
            <w:pPr>
              <w:jc w:val="center"/>
            </w:pPr>
            <w:r>
              <w:rPr>
                <w:b/>
                <w:sz w:val="24"/>
              </w:rPr>
              <w:t>单价（元）</w:t>
            </w:r>
          </w:p>
        </w:tc>
        <w:tc>
          <w:tcPr>
            <w:tcW w:type="dxa" w:w="900"/>
            <w:tcBorders>
              <w:top w:val="single" w:color="000000" w:sz="4"/>
              <w:left w:val="none" w:color="000000" w:sz="4"/>
              <w:bottom w:val="single" w:color="000000" w:sz="4"/>
              <w:right w:val="single" w:color="000000" w:sz="4"/>
            </w:tcBorders>
            <w:vAlign w:val="top"/>
          </w:tcPr>
          <w:p>
            <w:pPr>
              <w:jc w:val="center"/>
            </w:pPr>
            <w:r>
              <w:rPr>
                <w:b/>
                <w:sz w:val="24"/>
              </w:rPr>
              <w:t>总价（元）</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随机配件</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交货地点</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交货时间</w:t>
            </w:r>
          </w:p>
        </w:tc>
        <w:tc>
          <w:tcPr>
            <w:tcW w:type="dxa" w:w="650"/>
            <w:tcBorders>
              <w:top w:val="single" w:color="000000" w:sz="4"/>
              <w:left w:val="none" w:color="000000" w:sz="4"/>
              <w:bottom w:val="single" w:color="000000" w:sz="4"/>
              <w:right w:val="single" w:color="000000" w:sz="4"/>
            </w:tcBorders>
            <w:vAlign w:val="top"/>
          </w:tcPr>
          <w:p>
            <w:pPr>
              <w:jc w:val="center"/>
            </w:pPr>
            <w:r>
              <w:rPr>
                <w:b/>
                <w:sz w:val="24"/>
              </w:rPr>
              <w:t>备注</w:t>
            </w: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r>
        <w:tc>
          <w:tcPr>
            <w:tcW w:type="dxa" w:w="650"/>
            <w:tcBorders>
              <w:top w:val="none" w:color="000000" w:sz="4"/>
              <w:left w:val="singl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90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c>
          <w:tcPr>
            <w:tcW w:type="dxa" w:w="650"/>
            <w:tcBorders>
              <w:top w:val="none" w:color="000000" w:sz="4"/>
              <w:left w:val="none" w:color="000000" w:sz="4"/>
              <w:bottom w:val="single" w:color="000000" w:sz="4"/>
              <w:right w:val="single" w:color="000000" w:sz="4"/>
            </w:tcBorders>
            <w:vAlign w:val="top"/>
          </w:tcPr>
          <w:p>
            <w:pPr>
              <w:jc w:val="both"/>
            </w:pPr>
          </w:p>
        </w:tc>
      </w:tr>
    </w:tbl>
    <w:p>
      <w:pPr>
        <w:jc w:val="both"/>
      </w:pPr>
      <w:r>
        <w:rPr>
          <w:sz w:val="24"/>
        </w:rPr>
        <w:t>注：乙方负责向甲方供应上表中所列货物及负责安装调试。</w:t>
      </w:r>
      <w:r>
        <w:br/>
      </w:r>
      <w:r>
        <w:rPr>
          <w:b/>
          <w:sz w:val="24"/>
        </w:rPr>
        <w:t>二、合同总价</w:t>
      </w:r>
    </w:p>
    <w:p>
      <w:pPr>
        <w:ind w:firstLine="480"/>
        <w:jc w:val="both"/>
      </w:pPr>
      <w:r>
        <w:rPr>
          <w:sz w:val="24"/>
        </w:rPr>
        <w:t>总价为：</w:t>
      </w:r>
      <w:r>
        <w:rPr>
          <w:sz w:val="21"/>
          <w:u w:val="single"/>
        </w:rPr>
        <w:t xml:space="preserve">          </w:t>
      </w:r>
      <w:r>
        <w:rPr>
          <w:sz w:val="24"/>
        </w:rPr>
        <w:t>元（大写：人民币</w:t>
      </w:r>
      <w:r>
        <w:rPr>
          <w:sz w:val="21"/>
          <w:u w:val="single"/>
        </w:rPr>
        <w:t xml:space="preserve">         </w:t>
      </w:r>
      <w:r>
        <w:rPr>
          <w:sz w:val="24"/>
        </w:rPr>
        <w:t>元整）。该合同总金额是设计、设备制造、包装、仓储、运输、装卸费、保险费、安装及验收合格之前及保修期间包括备品备件发生的所有含税费用。本合同执行期间合同总金额不变。</w:t>
      </w:r>
    </w:p>
    <w:p>
      <w:pPr>
        <w:jc w:val="both"/>
      </w:pPr>
      <w:r>
        <w:rPr>
          <w:b/>
          <w:sz w:val="24"/>
        </w:rPr>
        <w:t>三、合同组成</w:t>
      </w:r>
    </w:p>
    <w:p>
      <w:pPr>
        <w:ind w:firstLine="480"/>
        <w:jc w:val="both"/>
      </w:pPr>
      <w:r>
        <w:rPr>
          <w:sz w:val="24"/>
        </w:rPr>
        <w:t>详细价格、技术说明及其它有关合同设备的特定信息由合同附件说明。所有附件及本项目的招投标文件、会议纪要、协议、澄清等均为本合同不可分割之一部分。</w:t>
      </w:r>
    </w:p>
    <w:p>
      <w:pPr>
        <w:jc w:val="both"/>
      </w:pPr>
      <w:r>
        <w:rPr>
          <w:b/>
          <w:sz w:val="24"/>
        </w:rPr>
        <w:t>四、技术要求</w:t>
      </w:r>
    </w:p>
    <w:p>
      <w:pPr>
        <w:ind w:firstLine="480"/>
        <w:jc w:val="both"/>
      </w:pPr>
      <w:r>
        <w:rPr>
          <w:sz w:val="24"/>
        </w:rPr>
        <w:t>乙方所提供设备，必须符合国家有关规范、行业规范、样品标准和环保要求及甲方的技术要求，并提供设备的检测报告。</w:t>
      </w:r>
    </w:p>
    <w:p>
      <w:pPr>
        <w:jc w:val="left"/>
      </w:pPr>
      <w:r>
        <w:rPr>
          <w:b/>
          <w:sz w:val="24"/>
        </w:rPr>
        <w:t>五、合同设备包装、交货、安装及验收</w:t>
      </w:r>
    </w:p>
    <w:p>
      <w:pPr>
        <w:ind w:firstLine="480"/>
        <w:jc w:val="left"/>
      </w:pPr>
      <w:r>
        <w:rPr>
          <w:sz w:val="24"/>
        </w:rPr>
        <w:t>1.合同设备的包装</w:t>
      </w:r>
    </w:p>
    <w:p>
      <w:pPr>
        <w:ind w:firstLine="480"/>
        <w:jc w:val="left"/>
      </w:pPr>
      <w:r>
        <w:rPr>
          <w:sz w:val="24"/>
        </w:rPr>
        <w:t>1.1设备的包装均应有良好的防湿、防锈、防潮、防雨、防腐及防碰撞的措施。凡由于包装不良造成的损失和由此产生的费用均由乙方承担。</w:t>
      </w:r>
    </w:p>
    <w:p>
      <w:pPr>
        <w:ind w:firstLine="480"/>
        <w:jc w:val="left"/>
      </w:pPr>
      <w:r>
        <w:rPr>
          <w:sz w:val="24"/>
        </w:rPr>
        <w:t>2.合同设备的交货</w:t>
      </w:r>
    </w:p>
    <w:p>
      <w:pPr>
        <w:ind w:firstLine="480"/>
        <w:jc w:val="left"/>
      </w:pPr>
      <w:r>
        <w:rPr>
          <w:sz w:val="24"/>
        </w:rPr>
        <w:t>2.1 乙方交货时</w:t>
      </w:r>
      <w:r>
        <w:rPr>
          <w:sz w:val="24"/>
        </w:rPr>
        <w:t>间：合同签订接甲方通知后</w:t>
      </w:r>
      <w:r>
        <w:rPr>
          <w:sz w:val="21"/>
          <w:u w:val="single"/>
        </w:rPr>
        <w:t xml:space="preserve">    </w:t>
      </w:r>
      <w:r>
        <w:rPr>
          <w:sz w:val="24"/>
        </w:rPr>
        <w:t>日内完成设备的供货、安装、调试，并交付给采购人正常使用。</w:t>
      </w:r>
    </w:p>
    <w:p>
      <w:pPr>
        <w:ind w:firstLine="480"/>
        <w:jc w:val="left"/>
      </w:pPr>
      <w:r>
        <w:rPr>
          <w:sz w:val="24"/>
        </w:rPr>
        <w:t>2.2 乙方交货地点：运输及卸车至甲方指定地点。运输过程中因故发生的货物数量、质量问题及损失所产生费用由乙方负责。</w:t>
      </w:r>
    </w:p>
    <w:p>
      <w:pPr>
        <w:ind w:firstLine="480"/>
        <w:jc w:val="left"/>
      </w:pPr>
      <w:r>
        <w:rPr>
          <w:sz w:val="24"/>
        </w:rPr>
        <w:t>3.合同设备的安装</w:t>
      </w:r>
    </w:p>
    <w:p>
      <w:pPr>
        <w:ind w:firstLine="480"/>
        <w:jc w:val="left"/>
      </w:pPr>
      <w:r>
        <w:rPr>
          <w:sz w:val="24"/>
        </w:rPr>
        <w:t>3.1 乙方负责合同项下的设备安装调试至正常运作并通过验收及格。</w:t>
      </w:r>
    </w:p>
    <w:p>
      <w:pPr>
        <w:ind w:firstLine="480"/>
        <w:jc w:val="left"/>
      </w:pPr>
      <w:r>
        <w:rPr>
          <w:sz w:val="24"/>
        </w:rPr>
        <w:t>3.2若因安装调试导致设备性能问题，致使甲方产品出现任何质量、工艺问题，该后果由乙方承担。</w:t>
      </w:r>
    </w:p>
    <w:p>
      <w:pPr>
        <w:ind w:firstLine="480"/>
        <w:jc w:val="left"/>
      </w:pPr>
      <w:r>
        <w:rPr>
          <w:sz w:val="24"/>
        </w:rPr>
        <w:t>3.3乙方应在甲方通知安装之日起 7 天内完成安装调试。</w:t>
      </w:r>
    </w:p>
    <w:p>
      <w:pPr>
        <w:ind w:firstLine="480"/>
        <w:jc w:val="left"/>
      </w:pPr>
      <w:r>
        <w:rPr>
          <w:sz w:val="24"/>
        </w:rPr>
        <w:t>3.4 乙方安装时须对各安装场地内的其他设备、设施有良好保护措施。</w:t>
      </w:r>
    </w:p>
    <w:p>
      <w:pPr>
        <w:ind w:firstLine="480"/>
        <w:jc w:val="left"/>
      </w:pPr>
      <w:r>
        <w:rPr>
          <w:sz w:val="24"/>
        </w:rPr>
        <w:t>4.设备的验收</w:t>
      </w:r>
    </w:p>
    <w:p>
      <w:pPr>
        <w:ind w:firstLine="480"/>
        <w:jc w:val="left"/>
      </w:pPr>
      <w:r>
        <w:rPr>
          <w:sz w:val="24"/>
        </w:rPr>
        <w:t>4.1 在收到乙方验收申请后7日内组织履约验收，验收应在甲乙双方共同参加下进行。</w:t>
      </w:r>
    </w:p>
    <w:p>
      <w:pPr>
        <w:ind w:firstLine="480"/>
        <w:jc w:val="left"/>
      </w:pPr>
      <w:r>
        <w:rPr>
          <w:sz w:val="24"/>
        </w:rPr>
        <w:t>4.2验收按国家有关的规定、规范进行。验收时如发现所交付的设备有短装、次品、损坏或其它不符合本合同规定之情形者，甲方应作出</w:t>
      </w:r>
      <w:r>
        <w:rPr>
          <w:sz w:val="24"/>
        </w:rPr>
        <w:t>详尽的现场记录，或由甲乙双方签署备忘录。此现场记录或备忘录可用作补充、缺失和更换损坏部件的有效证据。由此产生的有关费用由乙方承担。</w:t>
      </w:r>
    </w:p>
    <w:p>
      <w:pPr>
        <w:ind w:firstLine="480"/>
        <w:jc w:val="left"/>
      </w:pPr>
      <w:r>
        <w:rPr>
          <w:sz w:val="24"/>
        </w:rPr>
        <w:t>4.3如果合同设备运输和安装过程中因事故造成货物短缺、损坏，乙方应及时安排换装，以保证合同设备安装的成功完成。换货的相关费用由乙方承担。</w:t>
      </w:r>
    </w:p>
    <w:p>
      <w:pPr>
        <w:ind w:firstLine="480"/>
        <w:jc w:val="left"/>
      </w:pPr>
      <w:r>
        <w:rPr>
          <w:sz w:val="24"/>
        </w:rPr>
        <w:t>4.4乙方保证合同项下提供的设备不侵犯任何第三方的专利、商标或版权。否则，乙方须承担对第三方的侵权责任并承担因此而发生的所有费用。</w:t>
      </w:r>
    </w:p>
    <w:p>
      <w:pPr>
        <w:ind w:firstLine="480"/>
        <w:jc w:val="left"/>
      </w:pPr>
      <w:r>
        <w:rPr>
          <w:sz w:val="24"/>
        </w:rPr>
        <w:t>4.5依照国家法律法规需要办理备案的特种设备，在验收报账之前，乙方应协助甲方办理特种设备备案完毕，并向甲方交付备案材料。</w:t>
      </w:r>
    </w:p>
    <w:p>
      <w:pPr>
        <w:jc w:val="left"/>
      </w:pPr>
      <w:r>
        <w:rPr>
          <w:b/>
          <w:sz w:val="24"/>
        </w:rPr>
        <w:t>六、质量保证及售后服务</w:t>
      </w:r>
    </w:p>
    <w:p>
      <w:pPr>
        <w:ind w:firstLine="480"/>
        <w:jc w:val="both"/>
      </w:pPr>
      <w:r>
        <w:rPr>
          <w:sz w:val="24"/>
        </w:rPr>
        <w:t>1.乙方保证合同设备是全新、未曾使用过的，其质量、规格及技术特征符合《合同乙方提供的货物清单》的要求和采购文件的要求；合同设备保质保用期为本项目有关部门验收签字之日起为</w:t>
      </w:r>
      <w:r>
        <w:rPr>
          <w:sz w:val="21"/>
          <w:u w:val="single"/>
        </w:rPr>
        <w:t xml:space="preserve">    </w:t>
      </w:r>
      <w:r>
        <w:rPr>
          <w:sz w:val="24"/>
        </w:rPr>
        <w:t>年。</w:t>
      </w:r>
    </w:p>
    <w:p>
      <w:pPr>
        <w:ind w:firstLine="480"/>
        <w:jc w:val="both"/>
      </w:pPr>
      <w:r>
        <w:rPr>
          <w:sz w:val="24"/>
        </w:rPr>
        <w:t>2.保质保用期内非因甲方的人为原因而出现设备质量及安装问题，由乙方负责包修、包换或包退，并承担因此而产生的一切</w:t>
      </w:r>
      <w:r>
        <w:rPr>
          <w:sz w:val="24"/>
        </w:rPr>
        <w:t>费用。保质保用期内设备维护保养所用到的</w:t>
      </w:r>
      <w:r>
        <w:rPr>
          <w:sz w:val="24"/>
        </w:rPr>
        <w:t>“试剂耗材包”由</w:t>
      </w:r>
      <w:r>
        <w:rPr>
          <w:sz w:val="24"/>
        </w:rPr>
        <w:t>乙方</w:t>
      </w:r>
      <w:r>
        <w:rPr>
          <w:sz w:val="24"/>
        </w:rPr>
        <w:t>负责免费提供。乙方应提供免费咨询电话。乙方应在收到甲方通知后</w:t>
      </w:r>
      <w:r>
        <w:rPr>
          <w:sz w:val="21"/>
          <w:u w:val="single"/>
        </w:rPr>
        <w:t xml:space="preserve">    </w:t>
      </w:r>
      <w:r>
        <w:rPr>
          <w:sz w:val="24"/>
        </w:rPr>
        <w:t>小时内响应，</w:t>
      </w:r>
      <w:r>
        <w:rPr>
          <w:sz w:val="21"/>
          <w:u w:val="single"/>
        </w:rPr>
        <w:t xml:space="preserve">    </w:t>
      </w:r>
      <w:r>
        <w:rPr>
          <w:sz w:val="24"/>
        </w:rPr>
        <w:t>小时内派员到现场维修，</w:t>
      </w:r>
      <w:r>
        <w:rPr>
          <w:sz w:val="21"/>
          <w:u w:val="single"/>
        </w:rPr>
        <w:t xml:space="preserve">    </w:t>
      </w:r>
      <w:r>
        <w:rPr>
          <w:sz w:val="24"/>
        </w:rPr>
        <w:t>小</w:t>
      </w:r>
      <w:r>
        <w:rPr>
          <w:sz w:val="24"/>
        </w:rPr>
        <w:t>时内处理完毕。如在</w:t>
      </w:r>
      <w:r>
        <w:rPr>
          <w:sz w:val="21"/>
          <w:u w:val="single"/>
        </w:rPr>
        <w:t xml:space="preserve">    </w:t>
      </w:r>
      <w:r>
        <w:rPr>
          <w:sz w:val="24"/>
        </w:rPr>
        <w:t>小时内无法处理完毕，乙方应提供甲方同意的合理解决方案，否则，甲方有权委托第三方机构及时处理，因此发生的一切费用，由乙方承担。</w:t>
      </w:r>
    </w:p>
    <w:p>
      <w:pPr>
        <w:ind w:firstLine="480"/>
        <w:jc w:val="both"/>
      </w:pPr>
      <w:r>
        <w:rPr>
          <w:sz w:val="24"/>
        </w:rPr>
        <w:t>3.保质保用期后乙方对合同货物提供终身免费保修服务，如需更换零配件，乙方只收取零配件费，在硬件无改变的情况下，软件终身免费升级。</w:t>
      </w:r>
    </w:p>
    <w:p>
      <w:pPr>
        <w:jc w:val="both"/>
      </w:pPr>
      <w:r>
        <w:rPr>
          <w:sz w:val="24"/>
        </w:rPr>
        <w:t>下列情况乙方不负责免费保修：</w:t>
      </w:r>
    </w:p>
    <w:p>
      <w:pPr>
        <w:ind w:firstLine="480"/>
        <w:jc w:val="both"/>
      </w:pPr>
      <w:r>
        <w:rPr>
          <w:sz w:val="24"/>
        </w:rPr>
        <w:t>（</w:t>
      </w:r>
      <w:r>
        <w:rPr>
          <w:sz w:val="24"/>
        </w:rPr>
        <w:t>1）不按照乙方提供的正确使用方法而引致设备故障损坏；</w:t>
      </w:r>
    </w:p>
    <w:p>
      <w:pPr>
        <w:ind w:firstLine="480"/>
        <w:jc w:val="both"/>
      </w:pPr>
      <w:r>
        <w:rPr>
          <w:sz w:val="24"/>
        </w:rPr>
        <w:t>（</w:t>
      </w:r>
      <w:r>
        <w:rPr>
          <w:sz w:val="24"/>
        </w:rPr>
        <w:t>2）擅自改装设备。</w:t>
      </w:r>
    </w:p>
    <w:p>
      <w:pPr>
        <w:ind w:firstLine="480"/>
        <w:jc w:val="both"/>
      </w:pPr>
      <w:r>
        <w:rPr>
          <w:sz w:val="24"/>
        </w:rPr>
        <w:t>4.双方同意因设备的质量问题而发生争议的，由广东省质检部门进行质量鉴定。设备符合质量标准的，鉴定费用由甲方承担；设备不符合质量标准的，鉴定费用由乙方承担。</w:t>
      </w:r>
    </w:p>
    <w:p>
      <w:pPr>
        <w:ind w:firstLine="480"/>
        <w:jc w:val="both"/>
      </w:pPr>
      <w:r>
        <w:rPr>
          <w:sz w:val="24"/>
        </w:rPr>
        <w:t>5.在保质保用期内，乙方每自然年度需无偿培训甲方的使用及维修技术至少2次，主要内容为设备的基本结构、性能、主要部件的构造及修理，日常使用保养与管理，常见故障的排除，紧急情况的处理等，培训地点主要在设备安装现场或按甲方安排。</w:t>
      </w:r>
    </w:p>
    <w:p>
      <w:pPr>
        <w:ind w:firstLine="480"/>
        <w:jc w:val="both"/>
      </w:pPr>
      <w:r>
        <w:rPr>
          <w:sz w:val="24"/>
        </w:rPr>
        <w:t>6.乙方需向甲方提供本仪器或系统所具备的各项功能的详细 《中英文操作说明书》电子版 word或 WPS，及2份对应的纸质版说明书。</w:t>
      </w:r>
    </w:p>
    <w:p>
      <w:pPr>
        <w:ind w:firstLine="480"/>
        <w:jc w:val="both"/>
      </w:pPr>
      <w:r>
        <w:rPr>
          <w:sz w:val="24"/>
        </w:rPr>
        <w:t>7.设备必须由卖方负责完成首次计量强制检定。</w:t>
      </w:r>
    </w:p>
    <w:p>
      <w:pPr>
        <w:jc w:val="both"/>
      </w:pPr>
      <w:r>
        <w:rPr>
          <w:b/>
          <w:sz w:val="24"/>
        </w:rPr>
        <w:t>七、付款办法</w:t>
      </w:r>
    </w:p>
    <w:p>
      <w:pPr>
        <w:ind w:firstLine="480"/>
        <w:jc w:val="left"/>
      </w:pPr>
      <w:r>
        <w:rPr>
          <w:sz w:val="24"/>
        </w:rPr>
        <w:t>本合同的每笔款项以人民币支付，支付的时间和金额如下：</w:t>
      </w:r>
    </w:p>
    <w:p>
      <w:pPr>
        <w:ind w:firstLine="480"/>
        <w:jc w:val="left"/>
      </w:pPr>
      <w:r>
        <w:rPr>
          <w:sz w:val="24"/>
        </w:rPr>
        <w:t>1.自合同签订之日起10</w:t>
      </w:r>
      <w:r>
        <w:rPr>
          <w:sz w:val="24"/>
        </w:rPr>
        <w:t>个工作日内，乙方向甲方支付合同金额的</w:t>
      </w:r>
      <w:r>
        <w:rPr>
          <w:sz w:val="24"/>
        </w:rPr>
        <w:t>5%作为履约保证金，以保函等非现金形式缴纳或提交。</w:t>
      </w:r>
    </w:p>
    <w:p>
      <w:pPr>
        <w:ind w:firstLine="480"/>
        <w:jc w:val="left"/>
      </w:pPr>
      <w:r>
        <w:rPr>
          <w:sz w:val="24"/>
        </w:rPr>
        <w:t>本合同履行过程中，如符合以下约定情形之一</w:t>
      </w:r>
      <w:r>
        <w:rPr>
          <w:sz w:val="24"/>
        </w:rPr>
        <w:t>,则甲方在乙方完成交货验收后的7个工作日内应无息返还全部或剩余的履约保证金：</w:t>
      </w:r>
    </w:p>
    <w:p>
      <w:pPr>
        <w:ind w:firstLine="480"/>
        <w:jc w:val="left"/>
      </w:pPr>
      <w:r>
        <w:rPr>
          <w:sz w:val="24"/>
        </w:rPr>
        <w:t>（</w:t>
      </w:r>
      <w:r>
        <w:rPr>
          <w:sz w:val="24"/>
        </w:rPr>
        <w:t>1）乙方没有发生违约或造成甲方损失的行为；</w:t>
      </w:r>
    </w:p>
    <w:p>
      <w:pPr>
        <w:ind w:firstLine="480"/>
        <w:jc w:val="left"/>
      </w:pPr>
      <w:r>
        <w:rPr>
          <w:sz w:val="24"/>
        </w:rPr>
        <w:t>（</w:t>
      </w:r>
      <w:r>
        <w:rPr>
          <w:sz w:val="24"/>
        </w:rPr>
        <w:t>2）按照本合同的约定，扣除违约金、相应赔偿款项后仍有余额。</w:t>
      </w:r>
    </w:p>
    <w:p>
      <w:pPr>
        <w:ind w:firstLine="480"/>
        <w:jc w:val="left"/>
      </w:pPr>
      <w:r>
        <w:rPr>
          <w:sz w:val="24"/>
        </w:rPr>
        <w:t>2.甲方收到乙方支付的履约保证金后，7个工作日内办理支付手续，甲方预付乙方合同总金额的40%，即¥</w:t>
      </w:r>
      <w:r>
        <w:rPr>
          <w:sz w:val="21"/>
          <w:u w:val="single"/>
        </w:rPr>
        <w:t xml:space="preserve">        </w:t>
      </w:r>
      <w:r>
        <w:rPr>
          <w:sz w:val="24"/>
        </w:rPr>
        <w:t>元（大写</w:t>
      </w:r>
      <w:r>
        <w:rPr>
          <w:sz w:val="21"/>
          <w:u w:val="single"/>
        </w:rPr>
        <w:t xml:space="preserve">        </w:t>
      </w:r>
      <w:r>
        <w:rPr>
          <w:sz w:val="24"/>
        </w:rPr>
        <w:t>元），其中合同总金额的</w:t>
      </w:r>
      <w:r>
        <w:rPr>
          <w:sz w:val="24"/>
        </w:rPr>
        <w:t>20%即，¥</w:t>
      </w:r>
      <w:r>
        <w:rPr>
          <w:sz w:val="21"/>
          <w:u w:val="single"/>
        </w:rPr>
        <w:t xml:space="preserve">        </w:t>
      </w:r>
      <w:r>
        <w:rPr>
          <w:sz w:val="24"/>
        </w:rPr>
        <w:t>元（大写</w:t>
      </w:r>
      <w:r>
        <w:rPr>
          <w:sz w:val="21"/>
          <w:u w:val="single"/>
        </w:rPr>
        <w:t xml:space="preserve">        </w:t>
      </w:r>
      <w:r>
        <w:rPr>
          <w:sz w:val="24"/>
        </w:rPr>
        <w:t>元）作为本合同的定金。</w:t>
      </w:r>
    </w:p>
    <w:p>
      <w:pPr>
        <w:ind w:firstLine="480"/>
        <w:jc w:val="left"/>
      </w:pPr>
      <w:r>
        <w:rPr>
          <w:sz w:val="24"/>
        </w:rPr>
        <w:t>3.合同设备全部交付到指定地点并完成安装后交付甲方试运行，试运行时间不超过三个月。试运行验收合格后，据合同、正式发票、验收调试合格报告等凭证，在 5 个工作日内，甲方应向乙方支付合同总额的剩余60%，即¥</w:t>
      </w:r>
      <w:r>
        <w:rPr>
          <w:sz w:val="21"/>
          <w:u w:val="single"/>
        </w:rPr>
        <w:t xml:space="preserve">        </w:t>
      </w:r>
      <w:r>
        <w:rPr>
          <w:sz w:val="24"/>
        </w:rPr>
        <w:t>元（大写：</w:t>
      </w:r>
      <w:r>
        <w:rPr>
          <w:sz w:val="21"/>
          <w:u w:val="single"/>
        </w:rPr>
        <w:t xml:space="preserve">        </w:t>
      </w:r>
      <w:r>
        <w:rPr>
          <w:sz w:val="24"/>
        </w:rPr>
        <w:t>元）。</w:t>
      </w:r>
    </w:p>
    <w:p>
      <w:pPr>
        <w:ind w:firstLine="480"/>
        <w:jc w:val="left"/>
      </w:pPr>
      <w:r>
        <w:rPr>
          <w:sz w:val="24"/>
        </w:rPr>
        <w:t>4.如购买设备的款源来自上级财政部门，则甲方将付款有效凭证上交上级财政部门的时间视为付款时间。</w:t>
      </w:r>
    </w:p>
    <w:p>
      <w:pPr>
        <w:jc w:val="both"/>
      </w:pPr>
      <w:r>
        <w:rPr>
          <w:b/>
          <w:sz w:val="24"/>
        </w:rPr>
        <w:t>八、技术服务</w:t>
      </w:r>
    </w:p>
    <w:p>
      <w:pPr>
        <w:ind w:firstLine="480"/>
        <w:jc w:val="left"/>
      </w:pPr>
      <w:r>
        <w:rPr>
          <w:sz w:val="24"/>
        </w:rPr>
        <w:t>1.乙方应派员到甲方指定地点配合工作。</w:t>
      </w:r>
    </w:p>
    <w:p>
      <w:pPr>
        <w:ind w:firstLine="480"/>
        <w:jc w:val="left"/>
      </w:pPr>
      <w:r>
        <w:rPr>
          <w:sz w:val="24"/>
        </w:rPr>
        <w:t>2.乙方应按甲方提供的合同执行进度计划，配合、协调甲方及有关单位工作，积极推进合同执行进度。</w:t>
      </w:r>
    </w:p>
    <w:p>
      <w:pPr>
        <w:jc w:val="left"/>
      </w:pPr>
      <w:r>
        <w:rPr>
          <w:b/>
          <w:sz w:val="24"/>
        </w:rPr>
        <w:t>九、不可抗力</w:t>
      </w:r>
    </w:p>
    <w:p>
      <w:pPr>
        <w:ind w:firstLine="480"/>
        <w:jc w:val="both"/>
      </w:pPr>
      <w:r>
        <w:rPr>
          <w:sz w:val="24"/>
        </w:rPr>
        <w:t>1.不可抗力指战争、严重火灾、洪水、台风、地震等或其它双方认定的客观的、不能克服避免的不可抗力事件。</w:t>
      </w:r>
    </w:p>
    <w:p>
      <w:pPr>
        <w:ind w:firstLine="480"/>
        <w:jc w:val="both"/>
      </w:pPr>
      <w:r>
        <w:rPr>
          <w:sz w:val="24"/>
        </w:rPr>
        <w:t>2.签约双方中任何一方由于不可抗力影响合同履行时，发生不可抗力一方应尽快通知另一方。在此情况下，乙方仍然有责任采取必要的措施解决供货相关问题，双方应通过友好协商妥善解决合同履行问题。</w:t>
      </w:r>
    </w:p>
    <w:p>
      <w:pPr>
        <w:jc w:val="both"/>
      </w:pPr>
      <w:r>
        <w:rPr>
          <w:b/>
          <w:sz w:val="24"/>
        </w:rPr>
        <w:t>十、索赔</w:t>
      </w:r>
    </w:p>
    <w:p>
      <w:pPr>
        <w:ind w:firstLine="480"/>
        <w:jc w:val="both"/>
      </w:pPr>
      <w:r>
        <w:rPr>
          <w:sz w:val="24"/>
        </w:rPr>
        <w:t>1.如甲方对设备质量有异议，甲方有权根据有关政府部门的检验结果向乙方提出索赔。</w:t>
      </w:r>
    </w:p>
    <w:p>
      <w:pPr>
        <w:ind w:firstLine="480"/>
        <w:jc w:val="both"/>
      </w:pPr>
      <w:r>
        <w:rPr>
          <w:sz w:val="24"/>
        </w:rPr>
        <w:t>2.在合同履行期间，如果确认乙方对甲方就质量问题提出的索赔和差异负有责任，乙方应按照下列一种或多种方式解决赔偿事宜：</w:t>
      </w:r>
    </w:p>
    <w:p>
      <w:pPr>
        <w:ind w:firstLine="480"/>
        <w:jc w:val="both"/>
      </w:pPr>
      <w:r>
        <w:rPr>
          <w:sz w:val="24"/>
        </w:rPr>
        <w:t>（</w:t>
      </w:r>
      <w:r>
        <w:rPr>
          <w:sz w:val="24"/>
        </w:rPr>
        <w:t>1）乙方提供货物存在严重问题，甲方要求退货的，乙方应将相应货款退还给甲方，并承担由此发生的一切损失和费用。</w:t>
      </w:r>
    </w:p>
    <w:p>
      <w:pPr>
        <w:ind w:firstLine="480"/>
        <w:jc w:val="both"/>
      </w:pPr>
      <w:r>
        <w:rPr>
          <w:sz w:val="24"/>
        </w:rPr>
        <w:t>（</w:t>
      </w:r>
      <w:r>
        <w:rPr>
          <w:sz w:val="24"/>
        </w:rPr>
        <w:t>2）根据货物低劣程度、损坏程度以及甲方所遭受损失的数额，甲乙双方商定降低货物的价格。</w:t>
      </w:r>
    </w:p>
    <w:p>
      <w:pPr>
        <w:ind w:firstLine="480"/>
        <w:jc w:val="both"/>
      </w:pPr>
      <w:r>
        <w:rPr>
          <w:sz w:val="24"/>
        </w:rPr>
        <w:t>（</w:t>
      </w:r>
      <w:r>
        <w:rPr>
          <w:sz w:val="24"/>
        </w:rPr>
        <w:t>3）用符合规格、质量和性能要求的新零件、部件或货物来更换有缺陷的部分或修补缺陷的部分，乙方应承担一切费用和风险并负担甲方因更换、维修设备所发生的一切直接费用。同时，相应延长质量保证期。</w:t>
      </w:r>
    </w:p>
    <w:p>
      <w:pPr>
        <w:ind w:firstLine="480"/>
        <w:jc w:val="both"/>
      </w:pPr>
      <w:r>
        <w:rPr>
          <w:sz w:val="24"/>
        </w:rPr>
        <w:t>3.如果在甲方发出索赔通知后30天内，乙方未作答复，则视为乙方已默认接受上述索赔（包括金额、方式等）。甲方将从合同款项中直接扣减索赔金额。如果该些扣减款项不足以补偿损失，甲方有权向乙方提出对不足部分的赔偿。</w:t>
      </w:r>
    </w:p>
    <w:p>
      <w:pPr>
        <w:jc w:val="both"/>
      </w:pPr>
      <w:r>
        <w:rPr>
          <w:b/>
          <w:sz w:val="24"/>
        </w:rPr>
        <w:t>十一、违约责任</w:t>
      </w:r>
    </w:p>
    <w:p>
      <w:pPr>
        <w:ind w:firstLine="480"/>
        <w:jc w:val="both"/>
      </w:pPr>
      <w:r>
        <w:rPr>
          <w:sz w:val="24"/>
        </w:rPr>
        <w:t>1.乙方未能按时交货的，每拖延1天须向甲方支付合同金额5‰的违约金。乙方逾期</w:t>
      </w:r>
      <w:r>
        <w:rPr>
          <w:sz w:val="24"/>
          <w:u w:val="single"/>
        </w:rPr>
        <w:t xml:space="preserve"> </w:t>
      </w:r>
      <w:r>
        <w:rPr>
          <w:sz w:val="24"/>
          <w:u w:val="single"/>
        </w:rPr>
        <w:t>15</w:t>
      </w:r>
      <w:r>
        <w:rPr>
          <w:sz w:val="24"/>
        </w:rPr>
        <w:t>天以上未交货的，甲方有权拒绝收货并解除本合同。甲方根据本条约定解除合同的，乙方应退回甲方已付预付款，并双倍返还定金。</w:t>
      </w:r>
    </w:p>
    <w:p>
      <w:pPr>
        <w:ind w:firstLine="480"/>
        <w:jc w:val="both"/>
      </w:pPr>
      <w:r>
        <w:rPr>
          <w:sz w:val="24"/>
        </w:rPr>
        <w:t>2.乙方交付的货物不符合合同约定的，甲方有权拒收，乙方应退回甲方已付预付款，并双倍返还定金。</w:t>
      </w:r>
    </w:p>
    <w:p>
      <w:pPr>
        <w:ind w:firstLine="480"/>
        <w:jc w:val="both"/>
      </w:pPr>
      <w:r>
        <w:rPr>
          <w:sz w:val="24"/>
        </w:rPr>
        <w:t xml:space="preserve">3.乙方逾期未能完成安装和调试的，每拖延1天，须向甲方支付合同金额5‰的违约金。       </w:t>
      </w:r>
    </w:p>
    <w:p>
      <w:pPr>
        <w:ind w:firstLine="480"/>
        <w:jc w:val="both"/>
      </w:pPr>
      <w:r>
        <w:rPr>
          <w:sz w:val="24"/>
        </w:rPr>
        <w:t>4.自甲方通知安装之日起</w:t>
      </w:r>
      <w:r>
        <w:rPr>
          <w:sz w:val="24"/>
          <w:u w:val="single"/>
        </w:rPr>
        <w:t xml:space="preserve"> </w:t>
      </w:r>
      <w:r>
        <w:rPr>
          <w:sz w:val="24"/>
          <w:u w:val="single"/>
        </w:rPr>
        <w:t>20</w:t>
      </w:r>
      <w:r>
        <w:rPr>
          <w:sz w:val="24"/>
        </w:rPr>
        <w:t>天内设备未能安装验收合格的，甲方有权解除本合同，乙方应退回甲方已付款项，并向甲方双倍返还定金。</w:t>
      </w:r>
    </w:p>
    <w:p>
      <w:pPr>
        <w:ind w:firstLine="480"/>
        <w:jc w:val="both"/>
      </w:pPr>
      <w:r>
        <w:rPr>
          <w:sz w:val="24"/>
        </w:rPr>
        <w:t>5.本合同履行过程中如乙方存在违约和造成甲方损失的行为，违约金和相应赔偿款项优先从乙方缴纳的履约保证金中扣除，甲方扣除部分违约金和相应赔偿款项的，不代表甲方放弃与本合同有关的其他权利。</w:t>
      </w:r>
    </w:p>
    <w:p>
      <w:pPr>
        <w:jc w:val="both"/>
      </w:pPr>
      <w:r>
        <w:rPr>
          <w:b/>
          <w:sz w:val="24"/>
        </w:rPr>
        <w:t>十二、合同终止</w:t>
      </w:r>
    </w:p>
    <w:p>
      <w:pPr>
        <w:ind w:firstLine="480"/>
        <w:jc w:val="both"/>
      </w:pPr>
      <w:r>
        <w:rPr>
          <w:sz w:val="24"/>
        </w:rPr>
        <w:t>如果一方严重违反合同，并在收到对方违约通知书后在</w:t>
      </w:r>
      <w:r>
        <w:rPr>
          <w:sz w:val="24"/>
        </w:rPr>
        <w:t>30天内仍未能改正违约的，另一方可立即终止本合同。</w:t>
      </w:r>
    </w:p>
    <w:p>
      <w:pPr>
        <w:jc w:val="both"/>
      </w:pPr>
      <w:r>
        <w:rPr>
          <w:b/>
          <w:sz w:val="24"/>
        </w:rPr>
        <w:t>十三、通知送达</w:t>
      </w:r>
    </w:p>
    <w:p>
      <w:pPr>
        <w:ind w:firstLine="480"/>
        <w:jc w:val="both"/>
      </w:pPr>
      <w:r>
        <w:rPr>
          <w:sz w:val="24"/>
        </w:rPr>
        <w:t>乙方送达联系人：</w:t>
      </w:r>
      <w:r>
        <w:rPr>
          <w:sz w:val="21"/>
          <w:u w:val="single"/>
        </w:rPr>
        <w:t xml:space="preserve">       </w:t>
      </w:r>
      <w:r>
        <w:rPr>
          <w:sz w:val="24"/>
        </w:rPr>
        <w:t>，联系方式</w:t>
      </w:r>
      <w:r>
        <w:rPr>
          <w:sz w:val="24"/>
          <w:u w:val="single"/>
        </w:rPr>
        <w:t>：</w:t>
      </w:r>
      <w:r>
        <w:rPr>
          <w:sz w:val="24"/>
          <w:u w:val="single"/>
        </w:rPr>
        <w:t xml:space="preserve">     </w:t>
      </w:r>
      <w:r>
        <w:rPr>
          <w:sz w:val="24"/>
        </w:rPr>
        <w:t>（电话</w:t>
      </w:r>
      <w:r>
        <w:rPr>
          <w:sz w:val="24"/>
        </w:rPr>
        <w:t>/电邮），送达地址：</w:t>
      </w:r>
      <w:r>
        <w:rPr>
          <w:sz w:val="21"/>
          <w:u w:val="single"/>
        </w:rPr>
        <w:t xml:space="preserve">        </w:t>
      </w:r>
      <w:r>
        <w:rPr>
          <w:sz w:val="24"/>
        </w:rPr>
        <w:t>，甲方按本地址通知即视为送达乙方；如乙方送达联系人、联系方式及地址发生变更，乙方应于变更前</w:t>
      </w:r>
      <w:r>
        <w:rPr>
          <w:sz w:val="21"/>
          <w:u w:val="single"/>
        </w:rPr>
        <w:t xml:space="preserve">   </w:t>
      </w:r>
      <w:r>
        <w:rPr>
          <w:sz w:val="24"/>
        </w:rPr>
        <w:t>日内书面通知甲方，否则，由乙方承担所有法律后果。</w:t>
      </w:r>
    </w:p>
    <w:p>
      <w:pPr>
        <w:jc w:val="both"/>
      </w:pPr>
      <w:r>
        <w:rPr>
          <w:b/>
          <w:sz w:val="24"/>
        </w:rPr>
        <w:t>十四、法律诉讼</w:t>
      </w:r>
    </w:p>
    <w:p>
      <w:pPr>
        <w:ind w:firstLine="480"/>
        <w:jc w:val="both"/>
      </w:pPr>
      <w:r>
        <w:rPr>
          <w:sz w:val="24"/>
        </w:rPr>
        <w:t>签约双方在履约中发生争执和分歧，双方应通过友好协商解决。若经协商不能达成协议，则向甲方所在地人民法院提起诉讼。受理期间，双方应继续履行合同其余部分。</w:t>
      </w:r>
    </w:p>
    <w:p>
      <w:pPr>
        <w:jc w:val="both"/>
      </w:pPr>
      <w:r>
        <w:rPr>
          <w:b/>
          <w:sz w:val="24"/>
        </w:rPr>
        <w:t>十五、其他</w:t>
      </w:r>
    </w:p>
    <w:p>
      <w:pPr>
        <w:ind w:firstLine="480"/>
        <w:jc w:val="both"/>
      </w:pPr>
      <w:r>
        <w:rPr>
          <w:sz w:val="24"/>
        </w:rPr>
        <w:t>15.1本合同正本九份，具有同等法律效力，甲方执七份，乙方执一份，招标代理机构一份，合同自双方签名盖章之日起即时生效。</w:t>
      </w:r>
    </w:p>
    <w:p>
      <w:pPr>
        <w:ind w:firstLine="480"/>
        <w:jc w:val="both"/>
      </w:pPr>
      <w:r>
        <w:rPr>
          <w:sz w:val="24"/>
        </w:rPr>
        <w:t>15.2本合同末尽事宜，由双方协商处理。</w:t>
      </w:r>
    </w:p>
    <w:p>
      <w:pPr>
        <w:jc w:val="left"/>
      </w:pPr>
    </w:p>
    <w:p>
      <w:pPr>
        <w:jc w:val="both"/>
      </w:pPr>
      <w:r>
        <w:rPr>
          <w:sz w:val="24"/>
        </w:rPr>
        <w:t>甲方：广州医科大学</w:t>
      </w:r>
      <w:r>
        <w:rPr>
          <w:sz w:val="24"/>
        </w:rPr>
        <w:t xml:space="preserve">                   </w:t>
      </w:r>
      <w:r>
        <w:rPr>
          <w:sz w:val="24"/>
        </w:rPr>
        <w:t>乙方：</w:t>
      </w:r>
      <w:r>
        <w:rPr>
          <w:sz w:val="21"/>
          <w:u w:val="single"/>
        </w:rPr>
        <w:t xml:space="preserve">                </w:t>
      </w:r>
    </w:p>
    <w:p>
      <w:pPr>
        <w:jc w:val="both"/>
      </w:pPr>
      <w:r>
        <w:rPr>
          <w:sz w:val="21"/>
        </w:rPr>
        <w:t xml:space="preserve"> </w:t>
      </w:r>
    </w:p>
    <w:p>
      <w:pPr>
        <w:jc w:val="left"/>
      </w:pPr>
      <w:r>
        <w:rPr>
          <w:sz w:val="24"/>
        </w:rPr>
        <w:t>法定代表人：</w:t>
      </w:r>
      <w:r>
        <w:rPr>
          <w:sz w:val="24"/>
        </w:rPr>
        <w:t xml:space="preserve">                         </w:t>
      </w:r>
      <w:r>
        <w:rPr>
          <w:sz w:val="24"/>
        </w:rPr>
        <w:t>法定代表人：</w:t>
      </w:r>
    </w:p>
    <w:p>
      <w:pPr>
        <w:jc w:val="left"/>
      </w:pPr>
      <w:r>
        <w:rPr>
          <w:sz w:val="24"/>
        </w:rPr>
        <w:t>签约代表：</w:t>
      </w:r>
      <w:r>
        <w:rPr>
          <w:sz w:val="24"/>
        </w:rPr>
        <w:t xml:space="preserve">                           </w:t>
      </w:r>
      <w:r>
        <w:rPr>
          <w:sz w:val="24"/>
        </w:rPr>
        <w:t>签约代表：</w:t>
      </w:r>
    </w:p>
    <w:p>
      <w:pPr>
        <w:jc w:val="left"/>
      </w:pPr>
      <w:r>
        <w:rPr>
          <w:sz w:val="24"/>
        </w:rPr>
        <w:t>地址：</w:t>
      </w:r>
      <w:r>
        <w:rPr>
          <w:sz w:val="24"/>
        </w:rPr>
        <w:t xml:space="preserve">                               </w:t>
      </w:r>
      <w:r>
        <w:rPr>
          <w:sz w:val="24"/>
        </w:rPr>
        <w:t>地址：</w:t>
      </w:r>
    </w:p>
    <w:p>
      <w:pPr>
        <w:jc w:val="left"/>
      </w:pPr>
      <w:r>
        <w:rPr>
          <w:sz w:val="24"/>
        </w:rPr>
        <w:t>电话：</w:t>
      </w:r>
      <w:r>
        <w:rPr>
          <w:sz w:val="24"/>
        </w:rPr>
        <w:t xml:space="preserve">                               </w:t>
      </w:r>
      <w:r>
        <w:rPr>
          <w:sz w:val="24"/>
        </w:rPr>
        <w:t>电话：</w:t>
      </w:r>
    </w:p>
    <w:p>
      <w:pPr>
        <w:jc w:val="left"/>
      </w:pPr>
      <w:r>
        <w:rPr>
          <w:sz w:val="24"/>
        </w:rPr>
        <w:t>传真</w:t>
      </w:r>
      <w:r>
        <w:rPr>
          <w:sz w:val="24"/>
        </w:rPr>
        <w:t>:                                 传真:</w:t>
      </w:r>
    </w:p>
    <w:p>
      <w:pPr>
        <w:jc w:val="left"/>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jc w:val="left"/>
      </w:pPr>
      <w:r>
        <w:rPr>
          <w:sz w:val="24"/>
        </w:rPr>
        <w:t>开户银行：</w:t>
      </w:r>
      <w:r>
        <w:rPr>
          <w:sz w:val="24"/>
        </w:rPr>
        <w:t xml:space="preserve">   </w:t>
      </w:r>
      <w:r>
        <w:br/>
      </w:r>
      <w:r>
        <w:rPr>
          <w:sz w:val="24"/>
        </w:rPr>
        <w:t>账号：</w:t>
      </w:r>
    </w:p>
    <w:p>
      <w:pPr>
        <w:jc w:val="left"/>
      </w:pPr>
      <w:r>
        <w:rPr>
          <w:sz w:val="21"/>
        </w:rPr>
        <w:t xml:space="preserve">                                       </w:t>
      </w:r>
    </w:p>
    <w:p>
      <w:pPr>
        <w:jc w:val="both"/>
      </w:pPr>
    </w:p>
    <w:p>
      <w:pPr>
        <w:jc w:val="both"/>
      </w:pPr>
    </w:p>
    <w:p>
      <w:pPr>
        <w:jc w:val="both"/>
      </w:pPr>
    </w:p>
    <w:p>
      <w:pPr>
        <w:jc w:val="both"/>
      </w:pPr>
      <w:r>
        <w:rPr>
          <w:sz w:val="21"/>
        </w:rPr>
        <w:t xml:space="preserve"> </w:t>
      </w:r>
    </w:p>
    <w:p>
      <w:pPr>
        <w:jc w:val="both"/>
      </w:pPr>
    </w:p>
    <w:p/>
    <w:p/>
    <w:p>
      <w:r>
        <w:rPr/>
        <w:t xml:space="preserve"> </w:t>
      </w:r>
    </w:p>
    <w:p>
      <w:pPr>
        <w:jc w:val="center"/>
      </w:pPr>
      <w:r>
        <w:rPr>
          <w:sz w:val="28"/>
        </w:rPr>
        <w:t>广州医科大学采购招标廉洁协议</w:t>
      </w:r>
    </w:p>
    <w:p>
      <w:pPr>
        <w:jc w:val="both"/>
      </w:pPr>
    </w:p>
    <w:p>
      <w:pPr>
        <w:ind w:firstLine="480"/>
        <w:jc w:val="both"/>
      </w:pPr>
      <w:r>
        <w:rPr>
          <w:sz w:val="24"/>
        </w:rPr>
        <w:t>甲方：广州医科大学</w:t>
      </w:r>
    </w:p>
    <w:p>
      <w:pPr>
        <w:ind w:firstLine="480"/>
        <w:jc w:val="both"/>
      </w:pPr>
      <w:r>
        <w:rPr>
          <w:sz w:val="24"/>
        </w:rPr>
        <w:t>乙方：</w:t>
      </w:r>
      <w:r>
        <w:rPr>
          <w:sz w:val="21"/>
          <w:u w:val="single"/>
        </w:rPr>
        <w:t xml:space="preserve">           </w:t>
      </w:r>
    </w:p>
    <w:p>
      <w:pPr>
        <w:ind w:firstLine="480"/>
        <w:jc w:val="both"/>
      </w:pPr>
      <w:r>
        <w:rPr>
          <w:sz w:val="24"/>
        </w:rPr>
        <w:t>为加强学校廉政建设，促进学校与企业廉洁合作，有效防范商业贿赂行为。经甲、乙双方协商，同意签订本协议，并共同遵守。</w:t>
      </w:r>
    </w:p>
    <w:p>
      <w:pPr>
        <w:ind w:firstLine="482"/>
        <w:jc w:val="both"/>
      </w:pPr>
      <w:r>
        <w:rPr>
          <w:b/>
          <w:sz w:val="24"/>
        </w:rPr>
        <w:t>一、甲方责任和廉洁要求</w:t>
      </w:r>
    </w:p>
    <w:p>
      <w:pPr>
        <w:ind w:firstLine="480"/>
        <w:jc w:val="both"/>
      </w:pPr>
      <w:r>
        <w:rPr>
          <w:sz w:val="24"/>
        </w:rPr>
        <w:t>甲方在招标、遴选、议标、合同签订、合同履约、合同付款、合同结算等过程中，要遵守以下廉洁约定：</w:t>
      </w:r>
    </w:p>
    <w:p>
      <w:pPr>
        <w:ind w:firstLine="480"/>
        <w:jc w:val="both"/>
      </w:pPr>
      <w:r>
        <w:rPr>
          <w:sz w:val="24"/>
        </w:rPr>
        <w:t>1.甲方在进行上述业务活动过程中，应严格遵守国家法律法规、行业纪律和学校规章制度，严格执行双方确定的合同、协议和承诺；</w:t>
      </w:r>
    </w:p>
    <w:p>
      <w:pPr>
        <w:ind w:firstLine="480"/>
        <w:jc w:val="both"/>
      </w:pPr>
      <w:r>
        <w:rPr>
          <w:sz w:val="24"/>
        </w:rPr>
        <w:t>2.甲方的人员在进行上述活动，如与乙方存在利益关联或者亲属关系的，应主动向业务主管部门报告，申请回避；</w:t>
      </w:r>
    </w:p>
    <w:p>
      <w:pPr>
        <w:ind w:firstLine="480"/>
        <w:jc w:val="both"/>
      </w:pPr>
      <w:r>
        <w:rPr>
          <w:sz w:val="24"/>
        </w:rPr>
        <w:t>3.甲方的人员必须严格执行廉洁自律各项规定，不得向乙方索要任何形式的个人利益，不得收受乙方赠送的礼品、礼金和有价证券，不得接受乙方宴请、免费旅游、房屋装修、出国留学或其它财产性利益；</w:t>
      </w:r>
    </w:p>
    <w:p>
      <w:pPr>
        <w:ind w:firstLine="480"/>
        <w:jc w:val="both"/>
      </w:pPr>
      <w:r>
        <w:rPr>
          <w:sz w:val="24"/>
        </w:rPr>
        <w:t>4.甲方应向乙方介绍本单位的有关廉政建设的各项制度和规定，有权对乙方在业务活动中保持廉洁的情况实行监督，如发现乙方的人员有不廉洁行为，应及时采取措施，终止其不廉洁行为的继续发生。</w:t>
      </w:r>
    </w:p>
    <w:p>
      <w:pPr>
        <w:ind w:firstLine="482"/>
        <w:jc w:val="both"/>
      </w:pPr>
      <w:r>
        <w:rPr>
          <w:b/>
          <w:sz w:val="24"/>
        </w:rPr>
        <w:t>二、乙方责任和廉洁要求</w:t>
      </w:r>
    </w:p>
    <w:p>
      <w:pPr>
        <w:ind w:firstLine="480"/>
        <w:jc w:val="both"/>
      </w:pPr>
      <w:r>
        <w:rPr>
          <w:sz w:val="24"/>
        </w:rPr>
        <w:t>1.乙方加强对应标项目工作的乙方人员的廉洁教育，主动如实向甲方报告是否与甲方的员工存在利益关联或亲属关系的情况；</w:t>
      </w:r>
    </w:p>
    <w:p>
      <w:pPr>
        <w:ind w:firstLine="480"/>
        <w:jc w:val="both"/>
      </w:pPr>
      <w:r>
        <w:rPr>
          <w:sz w:val="24"/>
        </w:rPr>
        <w:t>2.业务活动坚持“公开、公正、诚信、透明”原则，乙方不得与甲方的人员就业务事项进行私下商谈或者达成默契，不得与其他单位串通投标，不得采取不正当手段竞争业务；</w:t>
      </w:r>
    </w:p>
    <w:p>
      <w:pPr>
        <w:ind w:firstLine="480"/>
        <w:jc w:val="both"/>
      </w:pPr>
      <w:r>
        <w:rPr>
          <w:sz w:val="24"/>
        </w:rPr>
        <w:t>3.乙方承诺杜绝实施商业贿赂行为，不以任何名义宴请采购人的人员及其亲属，或为甲方的人员及其亲属提供娱乐服务、免费旅游、房屋装修、出国留学或其它财产性利益，或赠送礼品、礼金及有价证券等，不以任何其他方式为甲方的人员及其亲属赠送、提供其他未列举的任何形式的好处与利益；</w:t>
      </w:r>
    </w:p>
    <w:p>
      <w:pPr>
        <w:ind w:firstLine="480"/>
        <w:jc w:val="both"/>
      </w:pPr>
      <w:r>
        <w:rPr>
          <w:sz w:val="24"/>
        </w:rPr>
        <w:t>4.乙方在业务活动过程中发现甲方的人员有不廉洁的行为，须及时采取措施，终止其不廉洁行为的继续发生。</w:t>
      </w:r>
    </w:p>
    <w:p>
      <w:pPr>
        <w:ind w:firstLine="482"/>
        <w:jc w:val="both"/>
      </w:pPr>
      <w:r>
        <w:rPr>
          <w:b/>
          <w:sz w:val="24"/>
        </w:rPr>
        <w:t>三、违约的处理</w:t>
      </w:r>
    </w:p>
    <w:p>
      <w:pPr>
        <w:ind w:firstLine="480"/>
        <w:jc w:val="both"/>
      </w:pPr>
      <w:r>
        <w:rPr>
          <w:sz w:val="24"/>
        </w:rPr>
        <w:t>1.甲乙双方如违反上述协议任何一条，被发现或被投诉，一经查实，即构成违约。如甲方违约，按管理权限，依据有关规定，给予党纪、政纪或组织处理；如乙方违约，甲方有权立即终止与乙方的所有项目合同和其他一切业务，并由乙方赔偿甲方因此造成的损失以及发生的一切费用；涉嫌犯罪的，移交司法机关处理。</w:t>
      </w:r>
    </w:p>
    <w:p>
      <w:pPr>
        <w:ind w:firstLine="480"/>
        <w:jc w:val="both"/>
      </w:pPr>
      <w:r>
        <w:rPr>
          <w:sz w:val="24"/>
        </w:rPr>
        <w:t>2.如乙方被政府部门列入商业贿赂不良记录，则严格按照《中华人民共和国反不正当竞争法》相关规定处理。</w:t>
      </w:r>
    </w:p>
    <w:p>
      <w:pPr>
        <w:ind w:firstLine="482"/>
        <w:jc w:val="both"/>
      </w:pPr>
      <w:r>
        <w:rPr>
          <w:b/>
          <w:sz w:val="24"/>
        </w:rPr>
        <w:t>四、</w:t>
      </w:r>
      <w:r>
        <w:rPr>
          <w:sz w:val="24"/>
        </w:rPr>
        <w:t>本协议作为甲乙双方业务合同的重要组成部分，与业务合同一并执行，具有同等法律效力。</w:t>
      </w:r>
    </w:p>
    <w:p>
      <w:pPr>
        <w:ind w:firstLine="482"/>
        <w:jc w:val="both"/>
      </w:pPr>
      <w:r>
        <w:rPr>
          <w:b/>
          <w:sz w:val="24"/>
        </w:rPr>
        <w:t>五、</w:t>
      </w:r>
      <w:r>
        <w:rPr>
          <w:sz w:val="24"/>
        </w:rPr>
        <w:t>本协议一式两份，甲、乙双方各执一份，并从签订之日起生效。</w:t>
      </w:r>
    </w:p>
    <w:p>
      <w:pPr>
        <w:ind w:firstLine="480"/>
        <w:jc w:val="both"/>
      </w:pPr>
    </w:p>
    <w:p>
      <w:pPr>
        <w:ind w:firstLine="480"/>
        <w:jc w:val="both"/>
      </w:pPr>
    </w:p>
    <w:p>
      <w:pPr>
        <w:jc w:val="both"/>
      </w:pPr>
    </w:p>
    <w:p>
      <w:pPr>
        <w:ind w:firstLine="480"/>
        <w:jc w:val="both"/>
      </w:pPr>
      <w:r>
        <w:rPr>
          <w:sz w:val="24"/>
        </w:rPr>
        <w:t>甲方（盖章）：</w:t>
      </w:r>
      <w:r>
        <w:rPr>
          <w:sz w:val="24"/>
        </w:rPr>
        <w:t xml:space="preserve">                               </w:t>
      </w:r>
      <w:r>
        <w:rPr>
          <w:sz w:val="24"/>
        </w:rPr>
        <w:t>乙方（盖章）：</w:t>
      </w:r>
    </w:p>
    <w:p>
      <w:pPr>
        <w:ind w:firstLine="480"/>
        <w:jc w:val="both"/>
      </w:pPr>
    </w:p>
    <w:p>
      <w:pPr>
        <w:ind w:firstLine="480"/>
        <w:jc w:val="both"/>
      </w:pPr>
      <w:r>
        <w:rPr>
          <w:sz w:val="24"/>
        </w:rPr>
        <w:t>法人代表（负责人）：</w:t>
      </w:r>
      <w:r>
        <w:rPr>
          <w:sz w:val="24"/>
        </w:rPr>
        <w:t xml:space="preserve">                         </w:t>
      </w:r>
      <w:r>
        <w:rPr>
          <w:sz w:val="24"/>
        </w:rPr>
        <w:t>法人代表（负责人）：</w:t>
      </w:r>
    </w:p>
    <w:p>
      <w:pPr>
        <w:ind w:firstLine="480"/>
        <w:jc w:val="both"/>
      </w:pPr>
    </w:p>
    <w:p>
      <w:pPr>
        <w:ind w:firstLine="480"/>
        <w:jc w:val="both"/>
      </w:pPr>
      <w:r>
        <w:rPr>
          <w:sz w:val="24"/>
        </w:rPr>
        <w:t>签约代表签名：</w:t>
      </w:r>
      <w:r>
        <w:rPr>
          <w:sz w:val="24"/>
        </w:rPr>
        <w:t xml:space="preserve">                               </w:t>
      </w:r>
      <w:r>
        <w:rPr>
          <w:sz w:val="24"/>
        </w:rPr>
        <w:t>签约代表签名：</w:t>
      </w:r>
    </w:p>
    <w:p>
      <w:pPr>
        <w:ind w:firstLine="480"/>
        <w:jc w:val="both"/>
      </w:pPr>
    </w:p>
    <w:p>
      <w:pPr>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440101-2024-02927</w:t>
      </w:r>
    </w:p>
    <w:p>
      <w:pPr>
        <w:jc w:val="center"/>
      </w:pPr>
      <w:r>
        <w:rPr>
          <w:b/>
          <w:sz w:val="24"/>
        </w:rPr>
        <w:t>采购项目编号：</w:t>
      </w:r>
      <w:r>
        <w:rPr>
          <w:b/>
          <w:sz w:val="24"/>
        </w:rPr>
        <w:t>GDYD231259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w:t>
      </w:r>
    </w:p>
    <w:p>
      <w:pPr>
        <w:ind w:firstLine="480"/>
      </w:pPr>
      <w:r>
        <w:rPr/>
        <w:t>你方组织的</w:t>
      </w:r>
      <w:r>
        <w:rPr>
          <w:u w:val="single"/>
        </w:rPr>
        <w:t>“</w:t>
      </w:r>
      <w:r>
        <w:rPr>
          <w:u w:val="single"/>
        </w:rPr>
        <w:t>广医2024年科研仪器设备购置项目（二）</w:t>
      </w:r>
      <w:r>
        <w:rPr>
          <w:u w:val="single"/>
        </w:rPr>
        <w:t>”</w:t>
      </w:r>
      <w:r>
        <w:rPr/>
        <w:t>项目的招标[采购项目编号为：</w:t>
      </w:r>
      <w:r>
        <w:rPr>
          <w:u w:val="single"/>
        </w:rPr>
        <w:t>GDYD231259</w:t>
      </w:r>
      <w:r>
        <w:rPr/>
        <w:t>]，我方愿参与投标。</w:t>
      </w:r>
    </w:p>
    <w:p>
      <w:pPr>
        <w:ind w:firstLine="480"/>
      </w:pPr>
      <w:r>
        <w:rPr/>
        <w:t>我方确认收到贵方提供的</w:t>
      </w:r>
      <w:r>
        <w:rPr>
          <w:u w:val="single"/>
        </w:rPr>
        <w:t>“</w:t>
      </w:r>
      <w:r>
        <w:rPr>
          <w:u w:val="single"/>
        </w:rPr>
        <w:t>广医2024年科研仪器设备购置项目（二）</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广医2024年科研仪器设备购置项目（二）</w:t>
      </w:r>
      <w:r>
        <w:rPr/>
        <w:t>”项目采购[采购项目编号为</w:t>
      </w:r>
      <w:r>
        <w:rPr/>
        <w:t>GDYD231259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广州医科大学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广东远东招标代理有限公司</w:t>
      </w:r>
    </w:p>
    <w:p>
      <w:pPr>
        <w:ind w:firstLine="480"/>
      </w:pPr>
      <w:r>
        <w:rPr/>
        <w:t>如果我方在贵采购代理机构组织的</w:t>
      </w:r>
      <w:r>
        <w:rPr/>
        <w:t>广医2024年科研仪器设备购置项目（二）</w:t>
      </w:r>
      <w:r>
        <w:rPr/>
        <w:t>招标中获中标（采购项目编号：</w:t>
      </w:r>
      <w:r>
        <w:rPr/>
        <w:t>GDYD231259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