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860FC">
      <w:pPr>
        <w:ind w:firstLine="420"/>
        <w:rPr>
          <w:rFonts w:hint="eastAsia" w:ascii="宋体" w:hAnsi="宋体" w:cs="宋体"/>
          <w:color w:val="auto"/>
          <w:highlight w:val="none"/>
        </w:rPr>
      </w:pPr>
      <w:bookmarkStart w:id="0" w:name="_Toc365631677"/>
      <w:bookmarkStart w:id="1" w:name="_Toc334004007"/>
      <w:bookmarkStart w:id="2" w:name="_Toc334018653"/>
    </w:p>
    <w:p w14:paraId="516D676E">
      <w:pPr>
        <w:spacing w:before="312" w:beforeLines="100" w:line="360" w:lineRule="auto"/>
        <w:rPr>
          <w:rFonts w:hint="eastAsia" w:ascii="宋体" w:hAnsi="宋体" w:eastAsia="宋体" w:cs="宋体"/>
          <w:b/>
          <w:bCs/>
          <w:color w:val="auto"/>
          <w:spacing w:val="100"/>
          <w:sz w:val="28"/>
          <w:szCs w:val="28"/>
          <w:highlight w:val="none"/>
          <w:lang w:eastAsia="zh-CN"/>
        </w:rPr>
      </w:pPr>
      <w:r>
        <w:rPr>
          <w:rFonts w:hint="eastAsia" w:ascii="宋体" w:hAnsi="宋体" w:eastAsia="宋体" w:cs="宋体"/>
          <w:b/>
          <w:bCs/>
          <w:color w:val="auto"/>
          <w:spacing w:val="100"/>
          <w:sz w:val="28"/>
          <w:szCs w:val="28"/>
          <w:highlight w:val="none"/>
          <w:lang w:eastAsia="zh-CN"/>
        </w:rPr>
        <w:drawing>
          <wp:inline distT="0" distB="0" distL="114300" distR="114300">
            <wp:extent cx="5746115" cy="8124190"/>
            <wp:effectExtent l="0" t="0" r="6985" b="10160"/>
            <wp:docPr id="1" name="图片 1" descr="招标文件封面-盖章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盖章_01"/>
                    <pic:cNvPicPr>
                      <a:picLocks noChangeAspect="1"/>
                    </pic:cNvPicPr>
                  </pic:nvPicPr>
                  <pic:blipFill>
                    <a:blip r:embed="rId8"/>
                    <a:stretch>
                      <a:fillRect/>
                    </a:stretch>
                  </pic:blipFill>
                  <pic:spPr>
                    <a:xfrm>
                      <a:off x="0" y="0"/>
                      <a:ext cx="5746115" cy="8124190"/>
                    </a:xfrm>
                    <a:prstGeom prst="rect">
                      <a:avLst/>
                    </a:prstGeom>
                  </pic:spPr>
                </pic:pic>
              </a:graphicData>
            </a:graphic>
          </wp:inline>
        </w:drawing>
      </w:r>
    </w:p>
    <w:p w14:paraId="530BB44F">
      <w:pPr>
        <w:spacing w:line="360" w:lineRule="auto"/>
        <w:jc w:val="center"/>
        <w:rPr>
          <w:rFonts w:hint="eastAsia" w:ascii="宋体" w:hAnsi="宋体" w:eastAsia="宋体" w:cs="宋体"/>
          <w:color w:val="auto"/>
          <w:kern w:val="2"/>
          <w:sz w:val="21"/>
          <w:szCs w:val="21"/>
          <w:highlight w:val="none"/>
          <w:lang w:val="en-US" w:eastAsia="zh-CN" w:bidi="ar-SA"/>
        </w:rPr>
      </w:pPr>
      <w:bookmarkStart w:id="3" w:name="_Toc365817406"/>
      <w:r>
        <w:rPr>
          <w:rFonts w:hint="eastAsia" w:ascii="宋体" w:hAnsi="宋体" w:cs="宋体"/>
          <w:b/>
          <w:color w:val="auto"/>
          <w:sz w:val="44"/>
          <w:szCs w:val="44"/>
          <w:highlight w:val="none"/>
        </w:rPr>
        <w:t>目   录</w:t>
      </w:r>
      <w:bookmarkEnd w:id="0"/>
      <w:bookmarkEnd w:id="3"/>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p>
    <w:p w14:paraId="451646B1">
      <w:pPr>
        <w:pStyle w:val="33"/>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_Toc4004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kern w:val="0"/>
          <w:sz w:val="28"/>
          <w:szCs w:val="28"/>
          <w:highlight w:val="none"/>
        </w:rPr>
        <w:t>第一篇 投标邀请书</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_Toc4004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80E7BCB">
      <w:pPr>
        <w:pStyle w:val="33"/>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_Toc29031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第二篇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_Toc29031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BD8532B">
      <w:pPr>
        <w:pStyle w:val="33"/>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_Toc16519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zh-CN"/>
        </w:rPr>
        <w:t>第三篇　</w:t>
      </w:r>
      <w:r>
        <w:rPr>
          <w:rFonts w:hint="eastAsia" w:ascii="宋体" w:hAnsi="宋体" w:eastAsia="宋体" w:cs="宋体"/>
          <w:b w:val="0"/>
          <w:bCs w:val="0"/>
          <w:color w:val="auto"/>
          <w:sz w:val="28"/>
          <w:szCs w:val="28"/>
          <w:highlight w:val="none"/>
        </w:rPr>
        <w:t>用户需求书</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_Toc16519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792748A">
      <w:pPr>
        <w:pStyle w:val="33"/>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_Toc23271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kern w:val="0"/>
          <w:sz w:val="28"/>
          <w:szCs w:val="28"/>
          <w:highlight w:val="none"/>
        </w:rPr>
        <w:t>第四篇　合同书文本格式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_Toc23271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A8E21C5">
      <w:pPr>
        <w:pStyle w:val="33"/>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_Toc12463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第五篇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_Toc12463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6F0E6B6">
      <w:pPr>
        <w:pStyle w:val="33"/>
        <w:tabs>
          <w:tab w:val="right" w:leader="dot" w:pos="9524"/>
        </w:tabs>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_Toc385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附件：评审工作大纲</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_Toc385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90A7EF4">
      <w:pPr>
        <w:spacing w:line="360" w:lineRule="auto"/>
        <w:jc w:val="center"/>
        <w:rPr>
          <w:rFonts w:hint="eastAsia" w:ascii="宋体" w:hAnsi="宋体" w:cs="宋体"/>
          <w:smallCaps/>
          <w:color w:val="auto"/>
          <w:sz w:val="28"/>
          <w:szCs w:val="28"/>
          <w:highlight w:val="none"/>
        </w:rPr>
      </w:pPr>
      <w:r>
        <w:rPr>
          <w:rFonts w:hint="eastAsia" w:ascii="宋体" w:hAnsi="宋体" w:cs="宋体"/>
          <w:color w:val="auto"/>
          <w:szCs w:val="21"/>
          <w:highlight w:val="none"/>
        </w:rPr>
        <w:fldChar w:fldCharType="end"/>
      </w:r>
    </w:p>
    <w:p w14:paraId="22B53EDE">
      <w:pPr>
        <w:jc w:val="center"/>
        <w:rPr>
          <w:rFonts w:hint="eastAsia" w:ascii="宋体" w:hAnsi="宋体" w:cs="宋体"/>
          <w:smallCaps/>
          <w:color w:val="auto"/>
          <w:sz w:val="28"/>
          <w:szCs w:val="28"/>
          <w:highlight w:val="none"/>
        </w:rPr>
      </w:pPr>
    </w:p>
    <w:p w14:paraId="1E39979A">
      <w:pPr>
        <w:jc w:val="center"/>
        <w:rPr>
          <w:rFonts w:hint="eastAsia" w:ascii="宋体" w:hAnsi="宋体" w:cs="宋体"/>
          <w:smallCaps/>
          <w:color w:val="auto"/>
          <w:sz w:val="28"/>
          <w:szCs w:val="28"/>
          <w:highlight w:val="none"/>
        </w:rPr>
      </w:pPr>
    </w:p>
    <w:p w14:paraId="2279B754">
      <w:pPr>
        <w:jc w:val="center"/>
        <w:rPr>
          <w:rFonts w:hint="eastAsia" w:ascii="宋体" w:hAnsi="宋体" w:cs="宋体"/>
          <w:smallCaps/>
          <w:color w:val="auto"/>
          <w:sz w:val="28"/>
          <w:szCs w:val="28"/>
          <w:highlight w:val="none"/>
        </w:rPr>
      </w:pPr>
    </w:p>
    <w:p w14:paraId="327AD6D3">
      <w:pPr>
        <w:jc w:val="center"/>
        <w:rPr>
          <w:rFonts w:hint="eastAsia" w:ascii="宋体" w:hAnsi="宋体" w:cs="宋体"/>
          <w:smallCaps/>
          <w:color w:val="auto"/>
          <w:sz w:val="28"/>
          <w:szCs w:val="28"/>
          <w:highlight w:val="none"/>
        </w:rPr>
      </w:pPr>
    </w:p>
    <w:p w14:paraId="2D90372B">
      <w:pPr>
        <w:jc w:val="center"/>
        <w:rPr>
          <w:rFonts w:hint="eastAsia" w:ascii="宋体" w:hAnsi="宋体" w:cs="宋体"/>
          <w:smallCaps/>
          <w:color w:val="auto"/>
          <w:sz w:val="28"/>
          <w:szCs w:val="28"/>
          <w:highlight w:val="none"/>
        </w:rPr>
      </w:pPr>
    </w:p>
    <w:p w14:paraId="2EE08A17">
      <w:pPr>
        <w:rPr>
          <w:rFonts w:hint="eastAsia" w:ascii="宋体" w:hAnsi="宋体" w:cs="宋体"/>
          <w:smallCaps/>
          <w:color w:val="auto"/>
          <w:szCs w:val="28"/>
          <w:highlight w:val="none"/>
        </w:rPr>
      </w:pPr>
    </w:p>
    <w:p w14:paraId="4051604A">
      <w:pPr>
        <w:rPr>
          <w:rFonts w:hint="eastAsia" w:ascii="宋体" w:hAnsi="宋体" w:cs="宋体"/>
          <w:smallCaps/>
          <w:color w:val="auto"/>
          <w:szCs w:val="28"/>
          <w:highlight w:val="none"/>
        </w:rPr>
      </w:pPr>
    </w:p>
    <w:p w14:paraId="094D63CA">
      <w:pPr>
        <w:rPr>
          <w:rFonts w:hint="eastAsia" w:ascii="宋体" w:hAnsi="宋体" w:cs="宋体"/>
          <w:smallCaps/>
          <w:color w:val="auto"/>
          <w:szCs w:val="28"/>
          <w:highlight w:val="none"/>
        </w:rPr>
      </w:pPr>
    </w:p>
    <w:p w14:paraId="405A3D27">
      <w:pPr>
        <w:rPr>
          <w:rFonts w:hint="eastAsia" w:ascii="宋体" w:hAnsi="宋体" w:cs="宋体"/>
          <w:smallCaps/>
          <w:color w:val="auto"/>
          <w:szCs w:val="28"/>
          <w:highlight w:val="none"/>
        </w:rPr>
      </w:pPr>
    </w:p>
    <w:p w14:paraId="7C99A84A">
      <w:pPr>
        <w:rPr>
          <w:rFonts w:hint="eastAsia" w:ascii="宋体" w:hAnsi="宋体" w:cs="宋体"/>
          <w:smallCaps/>
          <w:color w:val="auto"/>
          <w:szCs w:val="28"/>
          <w:highlight w:val="none"/>
        </w:rPr>
      </w:pPr>
    </w:p>
    <w:p w14:paraId="3252E163">
      <w:pPr>
        <w:rPr>
          <w:rFonts w:hint="eastAsia" w:ascii="宋体" w:hAnsi="宋体" w:cs="宋体"/>
          <w:smallCaps/>
          <w:color w:val="auto"/>
          <w:szCs w:val="28"/>
          <w:highlight w:val="none"/>
        </w:rPr>
      </w:pPr>
    </w:p>
    <w:p w14:paraId="67E033B5">
      <w:pPr>
        <w:rPr>
          <w:rFonts w:hint="eastAsia" w:ascii="宋体" w:hAnsi="宋体" w:cs="宋体"/>
          <w:smallCaps/>
          <w:color w:val="auto"/>
          <w:szCs w:val="28"/>
          <w:highlight w:val="none"/>
        </w:rPr>
      </w:pPr>
    </w:p>
    <w:p w14:paraId="6AE2F260">
      <w:pPr>
        <w:rPr>
          <w:rFonts w:hint="eastAsia" w:ascii="宋体" w:hAnsi="宋体" w:cs="宋体"/>
          <w:smallCaps/>
          <w:color w:val="auto"/>
          <w:szCs w:val="28"/>
          <w:highlight w:val="none"/>
        </w:rPr>
      </w:pPr>
    </w:p>
    <w:p w14:paraId="391E29D5">
      <w:pPr>
        <w:rPr>
          <w:rFonts w:hint="eastAsia" w:ascii="宋体" w:hAnsi="宋体" w:cs="宋体"/>
          <w:smallCaps/>
          <w:color w:val="auto"/>
          <w:szCs w:val="28"/>
          <w:highlight w:val="none"/>
        </w:rPr>
      </w:pPr>
    </w:p>
    <w:p w14:paraId="36841B2B">
      <w:pPr>
        <w:rPr>
          <w:rFonts w:hint="eastAsia" w:ascii="宋体" w:hAnsi="宋体" w:cs="宋体"/>
          <w:smallCaps/>
          <w:color w:val="auto"/>
          <w:szCs w:val="28"/>
          <w:highlight w:val="none"/>
        </w:rPr>
      </w:pPr>
    </w:p>
    <w:p w14:paraId="34F4F96F">
      <w:pPr>
        <w:rPr>
          <w:rFonts w:hint="eastAsia" w:ascii="宋体" w:hAnsi="宋体" w:cs="宋体"/>
          <w:smallCaps/>
          <w:color w:val="auto"/>
          <w:szCs w:val="28"/>
          <w:highlight w:val="none"/>
        </w:rPr>
      </w:pPr>
    </w:p>
    <w:p w14:paraId="29A17750">
      <w:pPr>
        <w:rPr>
          <w:rFonts w:hint="eastAsia" w:ascii="宋体" w:hAnsi="宋体" w:cs="宋体"/>
          <w:smallCaps/>
          <w:color w:val="auto"/>
          <w:szCs w:val="28"/>
          <w:highlight w:val="none"/>
        </w:rPr>
      </w:pPr>
    </w:p>
    <w:p w14:paraId="487915B8">
      <w:pPr>
        <w:rPr>
          <w:rFonts w:hint="eastAsia" w:ascii="宋体" w:hAnsi="宋体" w:cs="宋体"/>
          <w:smallCaps/>
          <w:color w:val="auto"/>
          <w:szCs w:val="28"/>
          <w:highlight w:val="none"/>
        </w:rPr>
      </w:pPr>
    </w:p>
    <w:p w14:paraId="6F6C7C5D">
      <w:pPr>
        <w:rPr>
          <w:rFonts w:hint="eastAsia" w:ascii="宋体" w:hAnsi="宋体" w:cs="宋体"/>
          <w:smallCaps/>
          <w:color w:val="auto"/>
          <w:szCs w:val="28"/>
          <w:highlight w:val="none"/>
        </w:rPr>
      </w:pPr>
    </w:p>
    <w:p w14:paraId="6149630B">
      <w:pPr>
        <w:rPr>
          <w:rFonts w:hint="eastAsia" w:ascii="宋体" w:hAnsi="宋体" w:cs="宋体"/>
          <w:smallCaps/>
          <w:color w:val="auto"/>
          <w:szCs w:val="28"/>
          <w:highlight w:val="none"/>
        </w:rPr>
      </w:pPr>
    </w:p>
    <w:p w14:paraId="5D0663D7">
      <w:pPr>
        <w:rPr>
          <w:rFonts w:hint="eastAsia" w:ascii="宋体" w:hAnsi="宋体" w:cs="宋体"/>
          <w:smallCaps/>
          <w:color w:val="auto"/>
          <w:szCs w:val="28"/>
          <w:highlight w:val="none"/>
        </w:rPr>
      </w:pPr>
    </w:p>
    <w:p w14:paraId="0476CBFB">
      <w:pPr>
        <w:rPr>
          <w:rFonts w:hint="eastAsia" w:ascii="宋体" w:hAnsi="宋体" w:cs="宋体"/>
          <w:smallCaps/>
          <w:color w:val="auto"/>
          <w:szCs w:val="28"/>
          <w:highlight w:val="none"/>
        </w:rPr>
      </w:pPr>
    </w:p>
    <w:p w14:paraId="27473574">
      <w:pPr>
        <w:rPr>
          <w:rFonts w:hint="eastAsia" w:ascii="宋体" w:hAnsi="宋体" w:cs="宋体"/>
          <w:smallCaps/>
          <w:color w:val="auto"/>
          <w:szCs w:val="28"/>
          <w:highlight w:val="none"/>
        </w:rPr>
      </w:pPr>
    </w:p>
    <w:p w14:paraId="5BC6A148">
      <w:pPr>
        <w:rPr>
          <w:rFonts w:hint="eastAsia" w:ascii="宋体" w:hAnsi="宋体" w:cs="宋体"/>
          <w:smallCaps/>
          <w:color w:val="auto"/>
          <w:szCs w:val="28"/>
          <w:highlight w:val="none"/>
        </w:rPr>
      </w:pPr>
    </w:p>
    <w:p w14:paraId="689AB15B">
      <w:pPr>
        <w:rPr>
          <w:rFonts w:hint="eastAsia" w:ascii="宋体" w:hAnsi="宋体" w:cs="宋体"/>
          <w:smallCaps/>
          <w:color w:val="auto"/>
          <w:szCs w:val="28"/>
          <w:highlight w:val="none"/>
        </w:rPr>
      </w:pPr>
    </w:p>
    <w:p w14:paraId="1B3A6AEB">
      <w:pPr>
        <w:rPr>
          <w:rFonts w:hint="eastAsia" w:ascii="宋体" w:hAnsi="宋体" w:cs="宋体"/>
          <w:smallCaps/>
          <w:color w:val="auto"/>
          <w:szCs w:val="28"/>
          <w:highlight w:val="none"/>
        </w:rPr>
      </w:pPr>
    </w:p>
    <w:p w14:paraId="4AE53FC2">
      <w:pPr>
        <w:rPr>
          <w:rFonts w:hint="eastAsia" w:ascii="宋体" w:hAnsi="宋体" w:cs="宋体"/>
          <w:smallCaps/>
          <w:color w:val="auto"/>
          <w:szCs w:val="28"/>
          <w:highlight w:val="none"/>
        </w:rPr>
      </w:pPr>
    </w:p>
    <w:p w14:paraId="4646326F">
      <w:pPr>
        <w:rPr>
          <w:rFonts w:hint="eastAsia" w:ascii="宋体" w:hAnsi="宋体" w:cs="宋体"/>
          <w:smallCaps/>
          <w:color w:val="auto"/>
          <w:szCs w:val="28"/>
          <w:highlight w:val="none"/>
        </w:rPr>
      </w:pPr>
    </w:p>
    <w:p w14:paraId="76C07B4D">
      <w:pPr>
        <w:rPr>
          <w:rFonts w:hint="eastAsia" w:ascii="宋体" w:hAnsi="宋体" w:cs="宋体"/>
          <w:smallCaps/>
          <w:color w:val="auto"/>
          <w:szCs w:val="28"/>
          <w:highlight w:val="none"/>
        </w:rPr>
      </w:pPr>
    </w:p>
    <w:p w14:paraId="155080E7">
      <w:pPr>
        <w:rPr>
          <w:rFonts w:hint="eastAsia" w:ascii="宋体" w:hAnsi="宋体" w:cs="宋体"/>
          <w:smallCaps/>
          <w:color w:val="auto"/>
          <w:szCs w:val="28"/>
          <w:highlight w:val="none"/>
        </w:rPr>
        <w:sectPr>
          <w:headerReference r:id="rId3" w:type="default"/>
          <w:footerReference r:id="rId4" w:type="default"/>
          <w:pgSz w:w="11906" w:h="16838"/>
          <w:pgMar w:top="1418" w:right="1418" w:bottom="1418" w:left="1418" w:header="851" w:footer="992" w:gutter="0"/>
          <w:pgNumType w:fmt="decimal" w:start="1"/>
          <w:cols w:space="720" w:num="1"/>
          <w:docGrid w:linePitch="312" w:charSpace="0"/>
        </w:sectPr>
      </w:pPr>
    </w:p>
    <w:p w14:paraId="1EC37229">
      <w:pPr>
        <w:rPr>
          <w:rFonts w:hint="eastAsia" w:ascii="宋体" w:hAnsi="宋体" w:cs="宋体"/>
          <w:smallCaps/>
          <w:color w:val="auto"/>
          <w:szCs w:val="28"/>
          <w:highlight w:val="none"/>
        </w:rPr>
      </w:pPr>
    </w:p>
    <w:p w14:paraId="6ED62BE9">
      <w:pPr>
        <w:rPr>
          <w:rFonts w:hint="eastAsia" w:ascii="宋体" w:hAnsi="宋体" w:cs="宋体"/>
          <w:smallCaps/>
          <w:color w:val="auto"/>
          <w:szCs w:val="28"/>
          <w:highlight w:val="none"/>
        </w:rPr>
      </w:pPr>
    </w:p>
    <w:p w14:paraId="0FD91A6A">
      <w:pPr>
        <w:rPr>
          <w:rFonts w:hint="eastAsia" w:ascii="宋体" w:hAnsi="宋体" w:cs="宋体"/>
          <w:smallCaps/>
          <w:color w:val="auto"/>
          <w:szCs w:val="28"/>
          <w:highlight w:val="none"/>
        </w:rPr>
      </w:pPr>
    </w:p>
    <w:p w14:paraId="4538AF99">
      <w:pPr>
        <w:rPr>
          <w:rFonts w:hint="eastAsia" w:ascii="宋体" w:hAnsi="宋体" w:cs="宋体"/>
          <w:smallCaps/>
          <w:color w:val="auto"/>
          <w:szCs w:val="28"/>
          <w:highlight w:val="none"/>
        </w:rPr>
      </w:pPr>
    </w:p>
    <w:p w14:paraId="45B85CA6">
      <w:pPr>
        <w:rPr>
          <w:rFonts w:hint="eastAsia" w:ascii="宋体" w:hAnsi="宋体" w:cs="宋体"/>
          <w:smallCaps/>
          <w:color w:val="auto"/>
          <w:szCs w:val="28"/>
          <w:highlight w:val="none"/>
        </w:rPr>
      </w:pPr>
    </w:p>
    <w:p w14:paraId="18455657">
      <w:pPr>
        <w:pStyle w:val="58"/>
        <w:rPr>
          <w:rFonts w:hint="eastAsia" w:ascii="宋体" w:hAnsi="宋体" w:cs="宋体"/>
          <w:smallCaps/>
          <w:color w:val="auto"/>
          <w:szCs w:val="28"/>
          <w:highlight w:val="none"/>
        </w:rPr>
      </w:pPr>
    </w:p>
    <w:p w14:paraId="18A86D97">
      <w:pPr>
        <w:pStyle w:val="58"/>
        <w:rPr>
          <w:rFonts w:hint="eastAsia" w:ascii="宋体" w:hAnsi="宋体" w:cs="宋体"/>
          <w:smallCaps/>
          <w:color w:val="auto"/>
          <w:szCs w:val="28"/>
          <w:highlight w:val="none"/>
        </w:rPr>
      </w:pPr>
    </w:p>
    <w:p w14:paraId="1E063F07">
      <w:pPr>
        <w:pStyle w:val="58"/>
        <w:rPr>
          <w:rFonts w:hint="eastAsia" w:ascii="宋体" w:hAnsi="宋体" w:cs="宋体"/>
          <w:smallCaps/>
          <w:color w:val="auto"/>
          <w:szCs w:val="28"/>
          <w:highlight w:val="none"/>
        </w:rPr>
      </w:pPr>
    </w:p>
    <w:p w14:paraId="740F15D0">
      <w:pPr>
        <w:rPr>
          <w:rFonts w:hint="eastAsia" w:ascii="宋体" w:hAnsi="宋体" w:cs="宋体"/>
          <w:smallCaps/>
          <w:color w:val="auto"/>
          <w:szCs w:val="28"/>
          <w:highlight w:val="none"/>
        </w:rPr>
      </w:pPr>
    </w:p>
    <w:p w14:paraId="07A36CED">
      <w:pPr>
        <w:rPr>
          <w:rFonts w:hint="eastAsia" w:ascii="宋体" w:hAnsi="宋体" w:cs="宋体"/>
          <w:smallCaps/>
          <w:color w:val="auto"/>
          <w:szCs w:val="28"/>
          <w:highlight w:val="none"/>
        </w:rPr>
      </w:pPr>
    </w:p>
    <w:p w14:paraId="33FD6243">
      <w:pPr>
        <w:rPr>
          <w:rFonts w:hint="eastAsia" w:ascii="宋体" w:hAnsi="宋体" w:cs="宋体"/>
          <w:smallCaps/>
          <w:color w:val="auto"/>
          <w:szCs w:val="28"/>
          <w:highlight w:val="none"/>
        </w:rPr>
      </w:pPr>
    </w:p>
    <w:p w14:paraId="6FA47E01">
      <w:pPr>
        <w:rPr>
          <w:rFonts w:hint="eastAsia" w:ascii="宋体" w:hAnsi="宋体" w:cs="宋体"/>
          <w:smallCaps/>
          <w:color w:val="auto"/>
          <w:szCs w:val="28"/>
          <w:highlight w:val="none"/>
        </w:rPr>
      </w:pPr>
    </w:p>
    <w:p w14:paraId="5CE2D872">
      <w:pPr>
        <w:rPr>
          <w:rFonts w:hint="eastAsia" w:ascii="宋体" w:hAnsi="宋体" w:cs="宋体"/>
          <w:smallCaps/>
          <w:color w:val="auto"/>
          <w:szCs w:val="28"/>
          <w:highlight w:val="none"/>
        </w:rPr>
      </w:pPr>
    </w:p>
    <w:p w14:paraId="58084807">
      <w:pPr>
        <w:rPr>
          <w:rFonts w:hint="eastAsia" w:ascii="宋体" w:hAnsi="宋体" w:cs="宋体"/>
          <w:smallCaps/>
          <w:color w:val="auto"/>
          <w:szCs w:val="28"/>
          <w:highlight w:val="none"/>
        </w:rPr>
      </w:pPr>
    </w:p>
    <w:p w14:paraId="12C614D3">
      <w:pPr>
        <w:rPr>
          <w:rFonts w:hint="eastAsia" w:ascii="宋体" w:hAnsi="宋体" w:cs="宋体"/>
          <w:smallCaps/>
          <w:color w:val="auto"/>
          <w:szCs w:val="28"/>
          <w:highlight w:val="none"/>
        </w:rPr>
      </w:pPr>
    </w:p>
    <w:p w14:paraId="54198DE3">
      <w:pPr>
        <w:rPr>
          <w:rFonts w:hint="eastAsia" w:ascii="宋体" w:hAnsi="宋体" w:cs="宋体"/>
          <w:smallCaps/>
          <w:color w:val="auto"/>
          <w:szCs w:val="28"/>
          <w:highlight w:val="none"/>
        </w:rPr>
      </w:pPr>
    </w:p>
    <w:p w14:paraId="73650FE2">
      <w:pPr>
        <w:rPr>
          <w:rFonts w:hint="eastAsia" w:ascii="宋体" w:hAnsi="宋体" w:cs="宋体"/>
          <w:smallCaps/>
          <w:color w:val="auto"/>
          <w:szCs w:val="28"/>
          <w:highlight w:val="none"/>
        </w:rPr>
      </w:pPr>
    </w:p>
    <w:p w14:paraId="1D028272">
      <w:pPr>
        <w:pStyle w:val="48"/>
        <w:rPr>
          <w:rFonts w:hint="eastAsia" w:ascii="宋体" w:hAnsi="宋体" w:cs="宋体"/>
          <w:color w:val="auto"/>
          <w:sz w:val="36"/>
          <w:szCs w:val="44"/>
          <w:highlight w:val="none"/>
        </w:rPr>
      </w:pPr>
    </w:p>
    <w:p w14:paraId="55A7652E">
      <w:pPr>
        <w:pStyle w:val="5"/>
        <w:rPr>
          <w:rFonts w:hint="eastAsia"/>
          <w:color w:val="auto"/>
          <w:highlight w:val="none"/>
        </w:rPr>
      </w:pPr>
    </w:p>
    <w:p w14:paraId="28257BEC">
      <w:pPr>
        <w:jc w:val="center"/>
        <w:rPr>
          <w:rFonts w:hint="eastAsia" w:ascii="宋体" w:hAnsi="宋体" w:cs="宋体"/>
          <w:smallCaps/>
          <w:color w:val="auto"/>
          <w:sz w:val="28"/>
          <w:szCs w:val="28"/>
          <w:highlight w:val="none"/>
        </w:rPr>
      </w:pPr>
    </w:p>
    <w:p w14:paraId="410FD7BD">
      <w:pPr>
        <w:jc w:val="center"/>
        <w:outlineLvl w:val="0"/>
        <w:rPr>
          <w:rFonts w:hint="eastAsia" w:ascii="宋体" w:hAnsi="宋体" w:cs="宋体"/>
          <w:b/>
          <w:color w:val="auto"/>
          <w:kern w:val="0"/>
          <w:sz w:val="44"/>
          <w:szCs w:val="28"/>
          <w:highlight w:val="none"/>
        </w:rPr>
      </w:pPr>
      <w:bookmarkStart w:id="4" w:name="_Toc4004"/>
      <w:bookmarkStart w:id="5" w:name="_Toc449081275"/>
      <w:r>
        <w:rPr>
          <w:rFonts w:hint="eastAsia" w:ascii="宋体" w:hAnsi="宋体" w:cs="宋体"/>
          <w:b/>
          <w:color w:val="auto"/>
          <w:kern w:val="0"/>
          <w:sz w:val="44"/>
          <w:szCs w:val="28"/>
          <w:highlight w:val="none"/>
        </w:rPr>
        <w:t xml:space="preserve">第一篇 </w:t>
      </w:r>
      <w:bookmarkEnd w:id="1"/>
      <w:bookmarkEnd w:id="2"/>
      <w:r>
        <w:rPr>
          <w:rFonts w:hint="eastAsia" w:ascii="宋体" w:hAnsi="宋体" w:cs="宋体"/>
          <w:b/>
          <w:color w:val="auto"/>
          <w:kern w:val="0"/>
          <w:sz w:val="44"/>
          <w:szCs w:val="28"/>
          <w:highlight w:val="none"/>
        </w:rPr>
        <w:t>投标邀请书</w:t>
      </w:r>
      <w:bookmarkEnd w:id="4"/>
      <w:bookmarkEnd w:id="5"/>
    </w:p>
    <w:p w14:paraId="17D440AF">
      <w:pPr>
        <w:jc w:val="center"/>
        <w:rPr>
          <w:rFonts w:hint="eastAsia" w:ascii="宋体" w:hAnsi="宋体" w:cs="宋体"/>
          <w:b/>
          <w:color w:val="auto"/>
          <w:kern w:val="0"/>
          <w:sz w:val="44"/>
          <w:szCs w:val="28"/>
          <w:highlight w:val="none"/>
        </w:rPr>
      </w:pPr>
    </w:p>
    <w:p w14:paraId="44C236F1">
      <w:pPr>
        <w:jc w:val="center"/>
        <w:rPr>
          <w:rFonts w:hint="eastAsia" w:ascii="宋体" w:hAnsi="宋体" w:cs="宋体"/>
          <w:b/>
          <w:color w:val="auto"/>
          <w:kern w:val="0"/>
          <w:sz w:val="44"/>
          <w:szCs w:val="28"/>
          <w:highlight w:val="none"/>
        </w:rPr>
      </w:pPr>
    </w:p>
    <w:p w14:paraId="69C28C52">
      <w:pPr>
        <w:jc w:val="center"/>
        <w:rPr>
          <w:rFonts w:hint="eastAsia" w:ascii="宋体" w:hAnsi="宋体" w:cs="宋体"/>
          <w:b/>
          <w:color w:val="auto"/>
          <w:kern w:val="0"/>
          <w:sz w:val="44"/>
          <w:szCs w:val="28"/>
          <w:highlight w:val="none"/>
        </w:rPr>
      </w:pPr>
    </w:p>
    <w:p w14:paraId="678E1EA5">
      <w:pPr>
        <w:jc w:val="center"/>
        <w:rPr>
          <w:rFonts w:hint="eastAsia" w:ascii="宋体" w:hAnsi="宋体" w:cs="宋体"/>
          <w:b/>
          <w:color w:val="auto"/>
          <w:kern w:val="0"/>
          <w:sz w:val="44"/>
          <w:szCs w:val="28"/>
          <w:highlight w:val="none"/>
        </w:rPr>
      </w:pPr>
    </w:p>
    <w:p w14:paraId="523A9F9E">
      <w:pPr>
        <w:jc w:val="center"/>
        <w:rPr>
          <w:rFonts w:hint="eastAsia" w:ascii="宋体" w:hAnsi="宋体" w:cs="宋体"/>
          <w:b/>
          <w:color w:val="auto"/>
          <w:kern w:val="0"/>
          <w:sz w:val="44"/>
          <w:szCs w:val="28"/>
          <w:highlight w:val="none"/>
        </w:rPr>
      </w:pPr>
    </w:p>
    <w:p w14:paraId="2E0A5E05">
      <w:pPr>
        <w:jc w:val="center"/>
        <w:rPr>
          <w:rFonts w:hint="eastAsia" w:ascii="宋体" w:hAnsi="宋体" w:cs="宋体"/>
          <w:b/>
          <w:color w:val="auto"/>
          <w:kern w:val="0"/>
          <w:sz w:val="44"/>
          <w:szCs w:val="28"/>
          <w:highlight w:val="none"/>
        </w:rPr>
      </w:pPr>
    </w:p>
    <w:p w14:paraId="5EC5B5B0">
      <w:pPr>
        <w:jc w:val="center"/>
        <w:rPr>
          <w:rFonts w:hint="eastAsia" w:ascii="宋体" w:hAnsi="宋体" w:cs="宋体"/>
          <w:b/>
          <w:color w:val="auto"/>
          <w:kern w:val="0"/>
          <w:sz w:val="44"/>
          <w:szCs w:val="28"/>
          <w:highlight w:val="none"/>
        </w:rPr>
      </w:pPr>
    </w:p>
    <w:p w14:paraId="61D812E7">
      <w:pPr>
        <w:jc w:val="center"/>
        <w:rPr>
          <w:rFonts w:hint="eastAsia" w:ascii="宋体" w:hAnsi="宋体" w:cs="宋体"/>
          <w:b/>
          <w:color w:val="auto"/>
          <w:kern w:val="0"/>
          <w:sz w:val="44"/>
          <w:szCs w:val="28"/>
          <w:highlight w:val="none"/>
        </w:rPr>
      </w:pPr>
    </w:p>
    <w:p w14:paraId="395A0C53">
      <w:pPr>
        <w:jc w:val="center"/>
        <w:rPr>
          <w:rFonts w:hint="eastAsia" w:ascii="宋体" w:hAnsi="宋体" w:cs="宋体"/>
          <w:b/>
          <w:color w:val="auto"/>
          <w:kern w:val="0"/>
          <w:sz w:val="44"/>
          <w:szCs w:val="28"/>
          <w:highlight w:val="none"/>
        </w:rPr>
      </w:pPr>
    </w:p>
    <w:p w14:paraId="5B222DD0">
      <w:pPr>
        <w:jc w:val="center"/>
        <w:rPr>
          <w:rFonts w:hint="eastAsia" w:ascii="宋体" w:hAnsi="宋体" w:cs="宋体"/>
          <w:b/>
          <w:color w:val="auto"/>
          <w:kern w:val="0"/>
          <w:sz w:val="44"/>
          <w:szCs w:val="28"/>
          <w:highlight w:val="none"/>
        </w:rPr>
      </w:pPr>
    </w:p>
    <w:p w14:paraId="4E978EEA">
      <w:pPr>
        <w:jc w:val="center"/>
        <w:rPr>
          <w:rFonts w:hint="eastAsia" w:ascii="宋体" w:hAnsi="宋体" w:cs="宋体"/>
          <w:b/>
          <w:color w:val="auto"/>
          <w:kern w:val="0"/>
          <w:sz w:val="44"/>
          <w:szCs w:val="28"/>
          <w:highlight w:val="none"/>
        </w:rPr>
      </w:pPr>
    </w:p>
    <w:p w14:paraId="27527AC8">
      <w:pPr>
        <w:jc w:val="center"/>
        <w:rPr>
          <w:rFonts w:hint="eastAsia" w:ascii="宋体" w:hAnsi="宋体" w:cs="宋体"/>
          <w:b/>
          <w:color w:val="auto"/>
          <w:kern w:val="0"/>
          <w:sz w:val="44"/>
          <w:szCs w:val="28"/>
          <w:highlight w:val="none"/>
        </w:rPr>
      </w:pPr>
    </w:p>
    <w:p w14:paraId="6328E76A">
      <w:pPr>
        <w:spacing w:line="360" w:lineRule="auto"/>
        <w:jc w:val="center"/>
        <w:rPr>
          <w:rFonts w:hint="eastAsia" w:ascii="宋体" w:hAnsi="宋体" w:cs="宋体"/>
          <w:b/>
          <w:color w:val="auto"/>
          <w:sz w:val="32"/>
          <w:szCs w:val="32"/>
          <w:highlight w:val="none"/>
          <w:lang w:val="zh-CN"/>
        </w:rPr>
      </w:pPr>
      <w:bookmarkStart w:id="6" w:name="_Toc365817408"/>
      <w:bookmarkStart w:id="7" w:name="_Toc365631679"/>
      <w:bookmarkStart w:id="8" w:name="_Toc367947710"/>
      <w:r>
        <w:rPr>
          <w:rFonts w:hint="eastAsia" w:ascii="宋体" w:hAnsi="宋体" w:cs="宋体"/>
          <w:b/>
          <w:color w:val="auto"/>
          <w:sz w:val="32"/>
          <w:szCs w:val="32"/>
          <w:highlight w:val="none"/>
          <w:lang w:val="zh-CN"/>
        </w:rPr>
        <w:t>投标邀请书</w:t>
      </w:r>
      <w:bookmarkEnd w:id="6"/>
      <w:bookmarkEnd w:id="7"/>
      <w:bookmarkEnd w:id="8"/>
    </w:p>
    <w:p w14:paraId="3342A9F8">
      <w:pPr>
        <w:pBdr>
          <w:top w:val="single" w:color="auto" w:sz="4" w:space="1"/>
          <w:left w:val="single" w:color="auto" w:sz="4" w:space="4"/>
          <w:bottom w:val="single" w:color="auto" w:sz="4" w:space="1"/>
          <w:right w:val="single" w:color="auto" w:sz="4" w:space="4"/>
        </w:pBdr>
        <w:spacing w:line="360" w:lineRule="auto"/>
        <w:ind w:firstLine="482" w:firstLineChars="200"/>
        <w:jc w:val="center"/>
        <w:rPr>
          <w:rFonts w:hint="eastAsia" w:ascii="宋体" w:hAnsi="宋体" w:cs="宋体"/>
          <w:b/>
          <w:color w:val="auto"/>
          <w:sz w:val="24"/>
          <w:highlight w:val="none"/>
        </w:rPr>
      </w:pPr>
      <w:bookmarkStart w:id="9" w:name="_Toc334004008"/>
      <w:bookmarkStart w:id="10" w:name="_Toc334018654"/>
      <w:r>
        <w:rPr>
          <w:rFonts w:hint="eastAsia" w:ascii="宋体" w:hAnsi="宋体" w:cs="宋体"/>
          <w:b/>
          <w:color w:val="auto"/>
          <w:sz w:val="24"/>
          <w:highlight w:val="none"/>
        </w:rPr>
        <w:t>项目概况</w:t>
      </w:r>
    </w:p>
    <w:p w14:paraId="1F7F6E7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u w:val="single"/>
          <w:lang w:val="zh-CN"/>
        </w:rPr>
        <w:t>征集2026年—2028年校园桶装饮用水服务商</w:t>
      </w:r>
      <w:r>
        <w:rPr>
          <w:rFonts w:hint="eastAsia" w:ascii="宋体" w:hAnsi="宋体" w:cs="宋体"/>
          <w:bCs/>
          <w:color w:val="auto"/>
          <w:szCs w:val="21"/>
          <w:highlight w:val="none"/>
          <w:lang w:val="zh-CN"/>
        </w:rPr>
        <w:t>的</w:t>
      </w:r>
      <w:r>
        <w:rPr>
          <w:rFonts w:hint="eastAsia" w:ascii="宋体" w:hAnsi="宋体" w:cs="宋体"/>
          <w:color w:val="auto"/>
          <w:kern w:val="0"/>
          <w:szCs w:val="21"/>
          <w:highlight w:val="none"/>
        </w:rPr>
        <w:t>潜在投标人应在</w:t>
      </w:r>
      <w:r>
        <w:rPr>
          <w:rFonts w:hint="eastAsia" w:ascii="宋体" w:hAnsi="宋体" w:cs="宋体"/>
          <w:color w:val="auto"/>
          <w:kern w:val="0"/>
          <w:szCs w:val="21"/>
          <w:highlight w:val="none"/>
          <w:u w:val="single"/>
          <w:lang w:eastAsia="zh-CN"/>
        </w:rPr>
        <w:t>韶关市公共资源交易一体化平台“产权招标交易系统”进行网上报名（详见“六、其他补充事宜”）</w:t>
      </w:r>
      <w:r>
        <w:rPr>
          <w:rFonts w:hint="eastAsia" w:ascii="宋体" w:hAnsi="宋体" w:cs="宋体"/>
          <w:color w:val="auto"/>
          <w:kern w:val="0"/>
          <w:szCs w:val="21"/>
          <w:highlight w:val="none"/>
          <w:u w:val="single"/>
        </w:rPr>
        <w:t>进行网上报名（详见“六、其他补充事宜”），获取</w:t>
      </w:r>
      <w:r>
        <w:rPr>
          <w:rFonts w:hint="eastAsia" w:ascii="宋体" w:hAnsi="宋体" w:cs="宋体"/>
          <w:color w:val="auto"/>
          <w:highlight w:val="none"/>
        </w:rPr>
        <w:t>招标文件，并于</w:t>
      </w:r>
      <w:r>
        <w:rPr>
          <w:rFonts w:hint="eastAsia" w:ascii="宋体" w:hAnsi="宋体" w:cs="宋体"/>
          <w:color w:val="auto"/>
          <w:highlight w:val="none"/>
          <w:u w:val="single"/>
          <w:lang w:eastAsia="zh-CN"/>
        </w:rPr>
        <w:t>2026年</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28</w:t>
      </w:r>
      <w:r>
        <w:rPr>
          <w:rFonts w:hint="eastAsia" w:ascii="宋体" w:hAnsi="宋体" w:cs="宋体"/>
          <w:color w:val="auto"/>
          <w:highlight w:val="none"/>
          <w:u w:val="single"/>
          <w:lang w:eastAsia="zh-CN"/>
        </w:rPr>
        <w:t>日</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lang w:eastAsia="zh-CN"/>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lang w:eastAsia="zh-CN"/>
        </w:rPr>
        <w:t>分</w:t>
      </w:r>
      <w:r>
        <w:rPr>
          <w:rFonts w:hint="eastAsia" w:ascii="宋体" w:hAnsi="宋体" w:cs="宋体"/>
          <w:bCs/>
          <w:color w:val="auto"/>
          <w:highlight w:val="none"/>
          <w:u w:val="single"/>
        </w:rPr>
        <w:t>（</w:t>
      </w:r>
      <w:r>
        <w:rPr>
          <w:rFonts w:hint="eastAsia" w:ascii="宋体" w:hAnsi="宋体" w:cs="宋体"/>
          <w:bCs/>
          <w:color w:val="auto"/>
          <w:highlight w:val="none"/>
        </w:rPr>
        <w:t>北京时间）前递交投标文件</w:t>
      </w:r>
      <w:r>
        <w:rPr>
          <w:rFonts w:hint="eastAsia" w:ascii="宋体" w:hAnsi="宋体" w:cs="宋体"/>
          <w:color w:val="auto"/>
          <w:highlight w:val="none"/>
        </w:rPr>
        <w:t>。</w:t>
      </w:r>
    </w:p>
    <w:p w14:paraId="76BE20EC">
      <w:pPr>
        <w:keepNext/>
        <w:spacing w:before="120" w:beforeLines="50" w:after="120" w:afterLines="50" w:line="360" w:lineRule="auto"/>
        <w:outlineLvl w:val="1"/>
        <w:rPr>
          <w:rFonts w:hint="eastAsia" w:ascii="宋体" w:hAnsi="宋体" w:cs="宋体"/>
          <w:b/>
          <w:color w:val="auto"/>
          <w:szCs w:val="21"/>
          <w:highlight w:val="none"/>
        </w:rPr>
      </w:pPr>
      <w:bookmarkStart w:id="11" w:name="_Toc28359002"/>
      <w:bookmarkStart w:id="12" w:name="_Toc35393790"/>
      <w:bookmarkStart w:id="13" w:name="_Toc24158"/>
      <w:bookmarkStart w:id="14" w:name="_Toc35393621"/>
      <w:bookmarkStart w:id="15" w:name="_Toc28359079"/>
      <w:bookmarkStart w:id="16" w:name="_Hlk24379207"/>
      <w:r>
        <w:rPr>
          <w:rFonts w:hint="eastAsia" w:ascii="宋体" w:hAnsi="宋体" w:cs="宋体"/>
          <w:b/>
          <w:color w:val="auto"/>
          <w:szCs w:val="21"/>
          <w:highlight w:val="none"/>
        </w:rPr>
        <w:t>一、项目基本情况</w:t>
      </w:r>
      <w:bookmarkEnd w:id="11"/>
      <w:bookmarkEnd w:id="12"/>
      <w:bookmarkEnd w:id="13"/>
      <w:bookmarkEnd w:id="14"/>
      <w:bookmarkEnd w:id="15"/>
    </w:p>
    <w:p w14:paraId="7701FF6F">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CQZB260018</w:t>
      </w:r>
    </w:p>
    <w:p w14:paraId="22B12F5A">
      <w:pPr>
        <w:snapToGri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2.项目名称：</w:t>
      </w:r>
      <w:bookmarkEnd w:id="16"/>
      <w:r>
        <w:rPr>
          <w:rFonts w:hint="eastAsia" w:ascii="宋体" w:hAnsi="宋体" w:cs="宋体"/>
          <w:color w:val="auto"/>
          <w:szCs w:val="21"/>
          <w:highlight w:val="none"/>
          <w:lang w:val="zh-CN"/>
        </w:rPr>
        <w:t>征集2026年—2028年校园桶装饮用水服务商</w:t>
      </w:r>
    </w:p>
    <w:p w14:paraId="0272441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3.招标方式：公开招标</w:t>
      </w:r>
    </w:p>
    <w:p w14:paraId="74AA3F1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4.项目预算金额：</w:t>
      </w:r>
      <w:r>
        <w:rPr>
          <w:rFonts w:hint="eastAsia" w:ascii="宋体" w:hAnsi="宋体" w:cs="宋体"/>
          <w:color w:val="auto"/>
          <w:szCs w:val="21"/>
          <w:highlight w:val="none"/>
          <w:lang w:eastAsia="zh-CN"/>
        </w:rPr>
        <w:t>资格标，无采购预算</w:t>
      </w:r>
      <w:r>
        <w:rPr>
          <w:rFonts w:hint="eastAsia" w:ascii="宋体" w:hAnsi="宋体" w:cs="宋体"/>
          <w:color w:val="auto"/>
          <w:szCs w:val="21"/>
          <w:highlight w:val="none"/>
        </w:rPr>
        <w:t>。</w:t>
      </w:r>
    </w:p>
    <w:p w14:paraId="4243BD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5.招标需求：</w:t>
      </w:r>
    </w:p>
    <w:p w14:paraId="3BBAC4E5">
      <w:pPr>
        <w:snapToGri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5.1 标的名称：</w:t>
      </w:r>
      <w:r>
        <w:rPr>
          <w:rFonts w:hint="eastAsia" w:ascii="宋体" w:hAnsi="宋体" w:cs="宋体"/>
          <w:color w:val="auto"/>
          <w:szCs w:val="21"/>
          <w:highlight w:val="none"/>
          <w:lang w:val="zh-CN"/>
        </w:rPr>
        <w:t>征集2026年—2028年校园桶装饮用水服务商</w:t>
      </w:r>
    </w:p>
    <w:p w14:paraId="07206A59">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5.2 数量：1</w:t>
      </w:r>
      <w:r>
        <w:rPr>
          <w:rFonts w:hint="eastAsia" w:ascii="宋体" w:hAnsi="宋体" w:cs="宋体"/>
          <w:color w:val="auto"/>
          <w:szCs w:val="21"/>
          <w:highlight w:val="none"/>
          <w:lang w:val="en-US" w:eastAsia="zh-CN"/>
        </w:rPr>
        <w:t>项</w:t>
      </w:r>
    </w:p>
    <w:p w14:paraId="019C940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招标项目技术规格、参数及要求：详情请见第三篇《用户需求书》。投标人须对所有内容进行投标，不允许只对其中部分内容进行投标。</w:t>
      </w:r>
    </w:p>
    <w:p w14:paraId="6EE887A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其他：无</w:t>
      </w:r>
    </w:p>
    <w:p w14:paraId="69A8A56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服务期限：详见用户需求书</w:t>
      </w:r>
    </w:p>
    <w:p w14:paraId="05DD309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本项目不接受联合体投标</w:t>
      </w:r>
    </w:p>
    <w:p w14:paraId="04F14D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本项目不接受</w:t>
      </w:r>
      <w:r>
        <w:rPr>
          <w:rFonts w:hint="eastAsia" w:ascii="宋体" w:hAnsi="宋体" w:cs="宋体"/>
          <w:color w:val="auto"/>
          <w:highlight w:val="none"/>
          <w:lang w:val="en-US" w:eastAsia="zh-CN"/>
        </w:rPr>
        <w:t>以任何方式进行转包或分包。</w:t>
      </w:r>
    </w:p>
    <w:p w14:paraId="119CD23E">
      <w:pPr>
        <w:keepNext/>
        <w:spacing w:before="120" w:beforeLines="50" w:after="120" w:afterLines="50" w:line="360" w:lineRule="auto"/>
        <w:outlineLvl w:val="1"/>
        <w:rPr>
          <w:rFonts w:hint="eastAsia" w:ascii="宋体" w:hAnsi="宋体" w:cs="宋体"/>
          <w:b/>
          <w:color w:val="auto"/>
          <w:szCs w:val="21"/>
          <w:highlight w:val="none"/>
        </w:rPr>
      </w:pPr>
      <w:bookmarkStart w:id="17" w:name="_Toc19691"/>
      <w:bookmarkStart w:id="18" w:name="_Toc35393622"/>
      <w:bookmarkStart w:id="19" w:name="_Toc28359003"/>
      <w:bookmarkStart w:id="20" w:name="_Toc35393791"/>
      <w:bookmarkStart w:id="21" w:name="_Toc28359080"/>
      <w:r>
        <w:rPr>
          <w:rFonts w:hint="eastAsia" w:ascii="宋体" w:hAnsi="宋体" w:cs="宋体"/>
          <w:b/>
          <w:color w:val="auto"/>
          <w:szCs w:val="21"/>
          <w:highlight w:val="none"/>
        </w:rPr>
        <w:t>二、申请人的资格要求：</w:t>
      </w:r>
      <w:bookmarkEnd w:id="17"/>
      <w:bookmarkEnd w:id="18"/>
      <w:bookmarkEnd w:id="19"/>
      <w:bookmarkEnd w:id="20"/>
      <w:bookmarkEnd w:id="21"/>
    </w:p>
    <w:p w14:paraId="437FC42B">
      <w:pPr>
        <w:snapToGrid w:val="0"/>
        <w:spacing w:line="360" w:lineRule="auto"/>
        <w:ind w:firstLine="420" w:firstLineChars="200"/>
        <w:rPr>
          <w:rFonts w:hint="eastAsia" w:ascii="宋体" w:hAnsi="宋体" w:cs="宋体"/>
          <w:color w:val="auto"/>
          <w:szCs w:val="21"/>
          <w:highlight w:val="none"/>
        </w:rPr>
      </w:pPr>
      <w:bookmarkStart w:id="22" w:name="_Toc35393792"/>
      <w:bookmarkStart w:id="23" w:name="_Toc35393623"/>
      <w:r>
        <w:rPr>
          <w:rFonts w:hint="eastAsia" w:ascii="宋体" w:hAnsi="宋体" w:cs="宋体"/>
          <w:color w:val="auto"/>
          <w:szCs w:val="21"/>
          <w:highlight w:val="none"/>
        </w:rPr>
        <w:t>1.具有独立承担民事责任的能力【提供在中华人民共和国境内注册的法人或其他组织的营业执照或事业单位法人证书或社会团体法人登记证书复印件；如国家另有规定的，则从其规定】。</w:t>
      </w:r>
    </w:p>
    <w:p w14:paraId="2C0F9B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有依法缴纳税收和社会保障资金的良好记录【提供投标截止日前6个月内任意1个月依法缴纳税收和社会保障资金的相关材料。如依法免税或不需要缴纳社会保障资金的，提供相应证明材料】。</w:t>
      </w:r>
    </w:p>
    <w:p w14:paraId="6D9AF7A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具有良好的商业信誉和健全的财务会计制度【提供以下2种证明材料之一：①投标人必须提供2025年度经会计师事务所审计的财务状况报告，2026年新成立的则提供2026年至今任意1个月的财务状况报表；②同时提供a.基本开户行出具的资信证明，b.《基本存款账号信息》或《开户许可证》】。</w:t>
      </w:r>
    </w:p>
    <w:p w14:paraId="4390A28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具有履行合同所必需的设备和专业技术能力【投标人必须提供</w:t>
      </w:r>
      <w:r>
        <w:rPr>
          <w:rFonts w:hint="eastAsia" w:ascii="宋体" w:hAnsi="宋体" w:cs="宋体"/>
          <w:color w:val="auto"/>
          <w:szCs w:val="21"/>
          <w:highlight w:val="none"/>
          <w:lang w:eastAsia="zh-CN"/>
        </w:rPr>
        <w:t>《</w:t>
      </w:r>
      <w:r>
        <w:rPr>
          <w:rFonts w:hint="eastAsia" w:ascii="宋体" w:hAnsi="宋体" w:cs="宋体"/>
          <w:color w:val="auto"/>
          <w:szCs w:val="21"/>
          <w:highlight w:val="none"/>
        </w:rPr>
        <w:t>关于具有履行合同所必需的设备和专业技术能力的承诺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格式参考本招标文件第五篇投标文件格式“5-1《关于具有履行合同所必需的设备和专业技术能力的承诺》</w:t>
      </w:r>
      <w:r>
        <w:rPr>
          <w:rFonts w:hint="eastAsia" w:ascii="宋体" w:hAnsi="宋体" w:cs="宋体"/>
          <w:color w:val="auto"/>
          <w:szCs w:val="21"/>
          <w:highlight w:val="none"/>
        </w:rPr>
        <w:t>】。</w:t>
      </w:r>
    </w:p>
    <w:p w14:paraId="52EAF37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参加招标活动前三年内，在经营活动中没有重大违法记录【投标人必须提供《守法经营声明书》，格式参考本招标文件第五篇投标文件格式“5-2《守法经营声明书》</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8DC97A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法律、行政法规规定的其他条件【投标人必须提供《守法经营声明书》，格式参考本招标文件第五篇投标文件格式“5-2《守法经营声明书》】。</w:t>
      </w:r>
    </w:p>
    <w:p w14:paraId="0FB0EC8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与招标人存在利害关系可能影响招标公正性的法人、其他组织或者个人，不得参加投标。单位负责人为同一人或者存在控股、管理关系的不同单位，不得参加同一标段（包组）投标或者未划分标段（包组）的同一招标项目投标。</w:t>
      </w:r>
    </w:p>
    <w:p w14:paraId="13087D19">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8.投标人应具备有效的《食品生产许可证》《中华人民共和国取水许可证》。</w:t>
      </w:r>
    </w:p>
    <w:p w14:paraId="2A503B57">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投标人未被列入“信用中国”网站（www.creditchina.gov.cn）发布的《法人和非法人组织公共信用信息报告》严重失信主体名单的。</w:t>
      </w:r>
    </w:p>
    <w:p w14:paraId="410CFD3D">
      <w:pPr>
        <w:keepNext/>
        <w:spacing w:line="360" w:lineRule="auto"/>
        <w:outlineLvl w:val="1"/>
        <w:rPr>
          <w:rFonts w:hint="eastAsia" w:ascii="宋体" w:hAnsi="宋体" w:cs="宋体"/>
          <w:b/>
          <w:color w:val="auto"/>
          <w:szCs w:val="21"/>
          <w:highlight w:val="none"/>
        </w:rPr>
      </w:pPr>
      <w:bookmarkStart w:id="24" w:name="_Toc6087"/>
      <w:r>
        <w:rPr>
          <w:rFonts w:hint="eastAsia" w:ascii="宋体" w:hAnsi="宋体" w:cs="宋体"/>
          <w:b/>
          <w:color w:val="auto"/>
          <w:szCs w:val="21"/>
          <w:highlight w:val="none"/>
        </w:rPr>
        <w:t>三、获取招标文件</w:t>
      </w:r>
      <w:bookmarkEnd w:id="22"/>
      <w:bookmarkEnd w:id="23"/>
      <w:bookmarkEnd w:id="24"/>
    </w:p>
    <w:p w14:paraId="62F74827">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olor w:val="auto"/>
          <w:highlight w:val="none"/>
          <w:u w:val="single"/>
          <w:lang w:val="en-US" w:eastAsia="zh-CN"/>
        </w:rPr>
        <w:t>2026年7月7日17时00分至2026年7月14日23时59分</w:t>
      </w:r>
      <w:r>
        <w:rPr>
          <w:rFonts w:hint="eastAsia" w:ascii="宋体" w:hAnsi="宋体"/>
          <w:bCs/>
          <w:color w:val="auto"/>
          <w:highlight w:val="none"/>
        </w:rPr>
        <w:t>（北京时间）</w:t>
      </w:r>
    </w:p>
    <w:p w14:paraId="6D906208">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地点：参与本项目的投标人须采用韶关市公共资源交易一体化平台（https://ythpt.sg.gov.cn）“产权招标交易系统”进行网上报名，详见“六、其他补充事宜”的“（一）招标项目注意事项”</w:t>
      </w:r>
    </w:p>
    <w:p w14:paraId="688806F2">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方式：网上获取</w:t>
      </w:r>
    </w:p>
    <w:p w14:paraId="50A6544E">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rPr>
        <w:t>：0</w:t>
      </w:r>
    </w:p>
    <w:p w14:paraId="75AB1F06">
      <w:pPr>
        <w:keepNext/>
        <w:spacing w:before="120" w:beforeLines="50" w:after="120" w:afterLines="50" w:line="360" w:lineRule="auto"/>
        <w:outlineLvl w:val="1"/>
        <w:rPr>
          <w:rFonts w:hint="eastAsia" w:ascii="宋体" w:hAnsi="宋体" w:cs="宋体"/>
          <w:b/>
          <w:color w:val="auto"/>
          <w:szCs w:val="21"/>
          <w:highlight w:val="none"/>
        </w:rPr>
      </w:pPr>
      <w:bookmarkStart w:id="25" w:name="_Toc28359082"/>
      <w:bookmarkStart w:id="26" w:name="_Toc28359005"/>
      <w:bookmarkStart w:id="27" w:name="_Toc16285"/>
      <w:bookmarkStart w:id="28" w:name="_Toc35393793"/>
      <w:bookmarkStart w:id="29" w:name="_Toc35393624"/>
      <w:r>
        <w:rPr>
          <w:rFonts w:hint="eastAsia" w:ascii="宋体" w:hAnsi="宋体" w:cs="宋体"/>
          <w:b/>
          <w:color w:val="auto"/>
          <w:szCs w:val="21"/>
          <w:highlight w:val="none"/>
        </w:rPr>
        <w:t>四、提交投标文件</w:t>
      </w:r>
      <w:bookmarkEnd w:id="25"/>
      <w:bookmarkEnd w:id="26"/>
      <w:r>
        <w:rPr>
          <w:rFonts w:hint="eastAsia" w:ascii="宋体" w:hAnsi="宋体" w:cs="宋体"/>
          <w:b/>
          <w:color w:val="auto"/>
          <w:szCs w:val="21"/>
          <w:highlight w:val="none"/>
        </w:rPr>
        <w:t>截止时间、开标时间和地点</w:t>
      </w:r>
      <w:bookmarkEnd w:id="27"/>
      <w:bookmarkEnd w:id="28"/>
      <w:bookmarkEnd w:id="29"/>
    </w:p>
    <w:p w14:paraId="07782C5F">
      <w:pPr>
        <w:numPr>
          <w:ilvl w:val="0"/>
          <w:numId w:val="0"/>
        </w:numPr>
        <w:spacing w:line="360" w:lineRule="auto"/>
        <w:ind w:firstLine="420" w:firstLineChars="200"/>
        <w:rPr>
          <w:rFonts w:hint="eastAsia" w:ascii="宋体" w:hAnsi="宋体" w:cs="宋体"/>
          <w:iCs/>
          <w:color w:val="auto"/>
          <w:highlight w:val="none"/>
          <w:u w:val="single"/>
        </w:rPr>
      </w:pPr>
      <w:r>
        <w:rPr>
          <w:rFonts w:hint="eastAsia" w:ascii="宋体" w:hAnsi="宋体" w:eastAsia="宋体" w:cs="宋体"/>
          <w:iCs/>
          <w:color w:val="auto"/>
          <w:kern w:val="2"/>
          <w:sz w:val="21"/>
          <w:szCs w:val="24"/>
          <w:highlight w:val="none"/>
          <w:lang w:val="en-US" w:eastAsia="zh-CN" w:bidi="ar-SA"/>
        </w:rPr>
        <w:t>1.</w:t>
      </w:r>
      <w:r>
        <w:rPr>
          <w:rFonts w:hint="eastAsia" w:ascii="宋体" w:hAnsi="宋体"/>
          <w:color w:val="auto"/>
          <w:highlight w:val="none"/>
          <w:u w:val="none"/>
          <w:lang w:val="en-US" w:eastAsia="zh-CN"/>
        </w:rPr>
        <w:t>电子投标截止时间：</w:t>
      </w:r>
      <w:r>
        <w:rPr>
          <w:rFonts w:hint="eastAsia" w:ascii="宋体" w:hAnsi="宋体" w:cs="宋体"/>
          <w:color w:val="auto"/>
          <w:highlight w:val="none"/>
          <w:u w:val="single"/>
          <w:lang w:eastAsia="zh-CN"/>
        </w:rPr>
        <w:t>2026年</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28</w:t>
      </w:r>
      <w:r>
        <w:rPr>
          <w:rFonts w:hint="eastAsia" w:ascii="宋体" w:hAnsi="宋体" w:cs="宋体"/>
          <w:color w:val="auto"/>
          <w:highlight w:val="none"/>
          <w:u w:val="single"/>
          <w:lang w:eastAsia="zh-CN"/>
        </w:rPr>
        <w:t>日</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lang w:eastAsia="zh-CN"/>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lang w:eastAsia="zh-CN"/>
        </w:rPr>
        <w:t>分</w:t>
      </w:r>
      <w:r>
        <w:rPr>
          <w:rFonts w:hint="eastAsia" w:ascii="宋体" w:hAnsi="宋体" w:cs="宋体"/>
          <w:bCs/>
          <w:color w:val="auto"/>
          <w:szCs w:val="21"/>
          <w:highlight w:val="none"/>
        </w:rPr>
        <w:t>（北京时间）</w:t>
      </w:r>
    </w:p>
    <w:p w14:paraId="1D070ED6">
      <w:pPr>
        <w:spacing w:line="360" w:lineRule="auto"/>
        <w:ind w:firstLine="630" w:firstLineChars="300"/>
        <w:rPr>
          <w:rFonts w:hint="default" w:ascii="宋体" w:hAnsi="宋体" w:cs="宋体"/>
          <w:iCs/>
          <w:color w:val="auto"/>
          <w:highlight w:val="none"/>
          <w:u w:val="none"/>
          <w:lang w:val="en-US" w:eastAsia="zh-CN"/>
        </w:rPr>
      </w:pPr>
      <w:r>
        <w:rPr>
          <w:rFonts w:hint="eastAsia" w:ascii="宋体" w:hAnsi="宋体" w:cs="宋体"/>
          <w:iCs/>
          <w:color w:val="auto"/>
          <w:highlight w:val="none"/>
          <w:u w:val="none"/>
          <w:lang w:val="en-US" w:eastAsia="zh-CN"/>
        </w:rPr>
        <w:t>纸质投标文件截止时间：</w:t>
      </w:r>
      <w:r>
        <w:rPr>
          <w:rFonts w:hint="eastAsia" w:ascii="宋体" w:hAnsi="宋体" w:cs="宋体"/>
          <w:color w:val="auto"/>
          <w:highlight w:val="none"/>
          <w:u w:val="single"/>
          <w:lang w:eastAsia="zh-CN"/>
        </w:rPr>
        <w:t>2026年</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28</w:t>
      </w:r>
      <w:r>
        <w:rPr>
          <w:rFonts w:hint="eastAsia" w:ascii="宋体" w:hAnsi="宋体" w:cs="宋体"/>
          <w:color w:val="auto"/>
          <w:highlight w:val="none"/>
          <w:u w:val="single"/>
          <w:lang w:eastAsia="zh-CN"/>
        </w:rPr>
        <w:t>日</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lang w:eastAsia="zh-CN"/>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lang w:eastAsia="zh-CN"/>
        </w:rPr>
        <w:t>分</w:t>
      </w:r>
      <w:r>
        <w:rPr>
          <w:rFonts w:hint="eastAsia" w:ascii="宋体" w:hAnsi="宋体" w:cs="宋体"/>
          <w:bCs/>
          <w:color w:val="auto"/>
          <w:szCs w:val="21"/>
          <w:highlight w:val="none"/>
        </w:rPr>
        <w:t>（北京时间）</w:t>
      </w:r>
    </w:p>
    <w:p w14:paraId="069E82F1">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lang w:val="en-US" w:eastAsia="zh-CN"/>
        </w:rPr>
        <w:t>2.</w:t>
      </w:r>
      <w:r>
        <w:rPr>
          <w:rFonts w:hint="eastAsia" w:ascii="宋体" w:hAnsi="宋体"/>
          <w:color w:val="auto"/>
          <w:highlight w:val="none"/>
        </w:rPr>
        <w:t>地点：</w:t>
      </w:r>
      <w:r>
        <w:rPr>
          <w:rFonts w:hint="eastAsia" w:ascii="宋体" w:hAnsi="宋体"/>
          <w:color w:val="auto"/>
          <w:highlight w:val="none"/>
          <w:lang w:eastAsia="zh-CN"/>
        </w:rPr>
        <w:t>广东省韶关市武江区西联镇（韶关市公共资源交易中心，具体房间号以当日现场通知为准）</w:t>
      </w:r>
    </w:p>
    <w:p w14:paraId="06A4878A">
      <w:pPr>
        <w:keepNext/>
        <w:spacing w:before="120" w:beforeLines="50" w:after="120" w:afterLines="50" w:line="360" w:lineRule="auto"/>
        <w:outlineLvl w:val="1"/>
        <w:rPr>
          <w:rFonts w:hint="eastAsia" w:ascii="宋体" w:hAnsi="宋体" w:cs="宋体"/>
          <w:b/>
          <w:color w:val="auto"/>
          <w:szCs w:val="21"/>
          <w:highlight w:val="none"/>
        </w:rPr>
      </w:pPr>
      <w:bookmarkStart w:id="30" w:name="_Toc35393625"/>
      <w:bookmarkStart w:id="31" w:name="_Toc35393794"/>
      <w:bookmarkStart w:id="32" w:name="_Toc2829"/>
      <w:bookmarkStart w:id="33" w:name="_Toc28359084"/>
      <w:bookmarkStart w:id="34" w:name="_Toc28359007"/>
      <w:r>
        <w:rPr>
          <w:rFonts w:hint="eastAsia" w:ascii="宋体" w:hAnsi="宋体" w:cs="宋体"/>
          <w:b/>
          <w:color w:val="auto"/>
          <w:szCs w:val="21"/>
          <w:highlight w:val="none"/>
        </w:rPr>
        <w:t>五、公告期限</w:t>
      </w:r>
      <w:bookmarkEnd w:id="30"/>
      <w:bookmarkEnd w:id="31"/>
      <w:bookmarkEnd w:id="32"/>
      <w:bookmarkEnd w:id="33"/>
      <w:bookmarkEnd w:id="34"/>
    </w:p>
    <w:p w14:paraId="70F0688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1E83554">
      <w:pPr>
        <w:keepNext/>
        <w:spacing w:before="120" w:beforeLines="50" w:after="120" w:afterLines="50" w:line="360" w:lineRule="auto"/>
        <w:outlineLvl w:val="1"/>
        <w:rPr>
          <w:rFonts w:hint="eastAsia" w:ascii="宋体" w:hAnsi="宋体" w:cs="宋体"/>
          <w:b/>
          <w:color w:val="auto"/>
          <w:szCs w:val="21"/>
          <w:highlight w:val="none"/>
        </w:rPr>
      </w:pPr>
      <w:bookmarkStart w:id="35" w:name="_Toc35393626"/>
      <w:bookmarkStart w:id="36" w:name="_Toc2896"/>
      <w:bookmarkStart w:id="37" w:name="_Toc35393795"/>
      <w:r>
        <w:rPr>
          <w:rFonts w:hint="eastAsia" w:ascii="宋体" w:hAnsi="宋体" w:cs="宋体"/>
          <w:b/>
          <w:color w:val="auto"/>
          <w:szCs w:val="21"/>
          <w:highlight w:val="none"/>
        </w:rPr>
        <w:t>六、其他补充事宜</w:t>
      </w:r>
      <w:bookmarkEnd w:id="35"/>
      <w:bookmarkEnd w:id="36"/>
      <w:bookmarkEnd w:id="37"/>
    </w:p>
    <w:p w14:paraId="1D653EA1">
      <w:pPr>
        <w:spacing w:line="360" w:lineRule="auto"/>
        <w:rPr>
          <w:rFonts w:hint="eastAsia" w:ascii="宋体" w:hAnsi="宋体"/>
          <w:color w:val="auto"/>
          <w:szCs w:val="22"/>
          <w:highlight w:val="none"/>
        </w:rPr>
      </w:pPr>
      <w:r>
        <w:rPr>
          <w:rFonts w:hint="eastAsia" w:ascii="宋体" w:hAnsi="宋体"/>
          <w:color w:val="auto"/>
          <w:szCs w:val="22"/>
          <w:highlight w:val="none"/>
          <w:lang w:eastAsia="zh-CN"/>
        </w:rPr>
        <w:t>（</w:t>
      </w:r>
      <w:r>
        <w:rPr>
          <w:rFonts w:hint="eastAsia" w:ascii="宋体" w:hAnsi="宋体"/>
          <w:color w:val="auto"/>
          <w:szCs w:val="22"/>
          <w:highlight w:val="none"/>
        </w:rPr>
        <w:t>一）招标项目注意事项</w:t>
      </w:r>
    </w:p>
    <w:p w14:paraId="0BD71C9F">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lang w:val="en-US" w:eastAsia="zh-CN"/>
        </w:rPr>
        <w:t>1.</w:t>
      </w:r>
      <w:r>
        <w:rPr>
          <w:rFonts w:hint="eastAsia" w:ascii="宋体" w:hAnsi="宋体"/>
          <w:color w:val="auto"/>
          <w:szCs w:val="22"/>
          <w:highlight w:val="none"/>
        </w:rPr>
        <w:t>参与本项目的投标人须采用韶关市公共资源交易一体化平台（https://ythpt.sg.gov.cn）“产权招标交易系统”进行网上报名、交纳投标保证。</w:t>
      </w:r>
    </w:p>
    <w:p w14:paraId="6554C14B">
      <w:pPr>
        <w:spacing w:line="360" w:lineRule="auto"/>
        <w:ind w:firstLine="630" w:firstLineChars="300"/>
        <w:rPr>
          <w:rFonts w:hint="eastAsia"/>
          <w:color w:val="auto"/>
          <w:highlight w:val="none"/>
        </w:rPr>
      </w:pPr>
      <w:r>
        <w:rPr>
          <w:rFonts w:hint="eastAsia" w:ascii="宋体" w:hAnsi="宋体"/>
          <w:color w:val="auto"/>
          <w:szCs w:val="22"/>
          <w:highlight w:val="none"/>
          <w:lang w:val="en-US" w:eastAsia="zh-CN"/>
        </w:rPr>
        <w:t>2.</w:t>
      </w:r>
      <w:r>
        <w:rPr>
          <w:rFonts w:hint="eastAsia" w:ascii="宋体" w:hAnsi="宋体"/>
          <w:color w:val="auto"/>
          <w:szCs w:val="22"/>
          <w:highlight w:val="none"/>
        </w:rPr>
        <w:t>报名事宜</w:t>
      </w:r>
    </w:p>
    <w:p w14:paraId="2886D301">
      <w:pPr>
        <w:spacing w:line="360" w:lineRule="auto"/>
        <w:ind w:firstLine="630" w:firstLineChars="300"/>
        <w:rPr>
          <w:rFonts w:hint="eastAsia" w:ascii="宋体" w:hAnsi="宋体"/>
          <w:color w:val="auto"/>
          <w:szCs w:val="22"/>
          <w:highlight w:val="none"/>
        </w:rPr>
      </w:pPr>
      <w:r>
        <w:rPr>
          <w:rFonts w:hint="eastAsia" w:ascii="宋体" w:hAnsi="宋体"/>
          <w:bCs/>
          <w:color w:val="auto"/>
          <w:szCs w:val="21"/>
          <w:highlight w:val="none"/>
        </w:rPr>
        <w:t>（1）</w:t>
      </w:r>
      <w:r>
        <w:rPr>
          <w:rFonts w:hint="eastAsia" w:ascii="宋体" w:hAnsi="宋体"/>
          <w:color w:val="auto"/>
          <w:szCs w:val="22"/>
          <w:highlight w:val="none"/>
        </w:rPr>
        <w:t>报名流程：投标人必须在报名时间内登录韶关市公共资源交易一体化平台（https://ythpt.sg.gov.cn），在用户登录窗口登录。登录成功后，点击“产权招标交易系统”进入产权招标交易系统，投标人点击菜单“项目投标 &gt; 项目列表”，可以查看当前可报名的产权招标项目，</w:t>
      </w:r>
      <w:r>
        <w:rPr>
          <w:rFonts w:hint="eastAsia" w:ascii="宋体" w:hAnsi="宋体"/>
          <w:color w:val="auto"/>
          <w:szCs w:val="22"/>
          <w:highlight w:val="none"/>
          <w:lang w:eastAsia="zh-CN"/>
        </w:rPr>
        <w:t>选择需参与的项目，点击“报名”</w:t>
      </w:r>
      <w:r>
        <w:rPr>
          <w:rFonts w:hint="eastAsia" w:ascii="宋体" w:hAnsi="宋体"/>
          <w:color w:val="auto"/>
          <w:szCs w:val="22"/>
          <w:highlight w:val="none"/>
          <w:lang w:val="en-US" w:eastAsia="zh-CN"/>
        </w:rPr>
        <w:t>进入项目信息界面</w:t>
      </w:r>
      <w:r>
        <w:rPr>
          <w:rFonts w:hint="eastAsia" w:ascii="宋体" w:hAnsi="宋体"/>
          <w:color w:val="auto"/>
          <w:szCs w:val="22"/>
          <w:highlight w:val="none"/>
          <w:lang w:eastAsia="zh-CN"/>
        </w:rPr>
        <w:t>，</w:t>
      </w:r>
      <w:r>
        <w:rPr>
          <w:rFonts w:hint="eastAsia" w:ascii="宋体" w:hAnsi="宋体"/>
          <w:color w:val="auto"/>
          <w:szCs w:val="22"/>
          <w:highlight w:val="none"/>
        </w:rPr>
        <w:t>输入“企业联系人</w:t>
      </w:r>
      <w:r>
        <w:rPr>
          <w:rFonts w:hint="eastAsia" w:ascii="宋体" w:hAnsi="宋体"/>
          <w:color w:val="auto"/>
          <w:szCs w:val="22"/>
          <w:highlight w:val="none"/>
          <w:lang w:eastAsia="zh-CN"/>
        </w:rPr>
        <w:t>”“</w:t>
      </w:r>
      <w:r>
        <w:rPr>
          <w:rFonts w:hint="eastAsia" w:ascii="宋体" w:hAnsi="宋体"/>
          <w:color w:val="auto"/>
          <w:szCs w:val="22"/>
          <w:highlight w:val="none"/>
        </w:rPr>
        <w:t>联系手机”，点击“报名”按钮，插入CA，输入正确的PIN码</w:t>
      </w:r>
      <w:r>
        <w:rPr>
          <w:rFonts w:hint="eastAsia" w:ascii="宋体" w:hAnsi="宋体"/>
          <w:color w:val="auto"/>
          <w:szCs w:val="22"/>
          <w:highlight w:val="none"/>
          <w:lang w:val="en-US" w:eastAsia="zh-CN"/>
        </w:rPr>
        <w:t>验证成功后，点击“确认”即可</w:t>
      </w:r>
      <w:r>
        <w:rPr>
          <w:rFonts w:hint="eastAsia" w:ascii="宋体" w:hAnsi="宋体"/>
          <w:color w:val="auto"/>
          <w:szCs w:val="22"/>
          <w:highlight w:val="none"/>
        </w:rPr>
        <w:t>。在“已报项目”栏中看到已报项目，即为报名成功。</w:t>
      </w:r>
    </w:p>
    <w:p w14:paraId="3C31D87F">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rPr>
        <w:t>（2）未在韶关市公共资源交易中心办理韶关市电子交易平台数字证书和产权招标交易系统投标人入库手续的，投标人应当登录韶关市公共资源交易一体化平台（https://ythpt.sg.gov.cn）用户注册及完善企业信息、上传资料，携带相关资料到韶关市公共资源交易中心1号楼一楼办事大厅办理相关手续（详见全国公共资源交易平台（广东省·韶关市）的《韶关市公共资源交易平台产权招标系统投标人操作手册》）。</w:t>
      </w:r>
    </w:p>
    <w:p w14:paraId="6B756683">
      <w:pPr>
        <w:spacing w:line="360" w:lineRule="auto"/>
        <w:ind w:firstLine="630" w:firstLineChars="300"/>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报名成功后，投标人自行登录韶关市公共资源交易一体化平台（https://ythpt.sg.gov.cn）或产权招标交易系统下载招标文件、操作指南（以最新日期版本为准）参加投标活动。</w:t>
      </w:r>
    </w:p>
    <w:p w14:paraId="2100F8AC">
      <w:pPr>
        <w:spacing w:line="360" w:lineRule="auto"/>
        <w:ind w:firstLine="630" w:firstLineChars="300"/>
        <w:rPr>
          <w:rFonts w:ascii="宋体" w:hAnsi="宋体"/>
          <w:bCs/>
          <w:color w:val="auto"/>
          <w:szCs w:val="21"/>
          <w:highlight w:val="none"/>
        </w:rPr>
      </w:pPr>
      <w:r>
        <w:rPr>
          <w:rFonts w:ascii="宋体" w:hAnsi="宋体"/>
          <w:bCs/>
          <w:color w:val="auto"/>
          <w:szCs w:val="21"/>
          <w:highlight w:val="none"/>
        </w:rPr>
        <w:t>（4）</w:t>
      </w:r>
      <w:r>
        <w:rPr>
          <w:rFonts w:hint="eastAsia" w:ascii="宋体" w:hAnsi="宋体"/>
          <w:color w:val="auto"/>
          <w:szCs w:val="22"/>
          <w:highlight w:val="none"/>
        </w:rPr>
        <w:t>投标人应当在参与招标活动前详细研究了招标文件的所有内容，包括澄清、修改文件（如果有）和所有已提供的参考资料以及有关附件，且不存在任何含糊不清和误解之处，否则，由此产生的一切后果由投标人自行承担。</w:t>
      </w:r>
    </w:p>
    <w:p w14:paraId="58B5152E">
      <w:pPr>
        <w:spacing w:line="360" w:lineRule="auto"/>
        <w:ind w:left="630"/>
        <w:rPr>
          <w:rFonts w:hint="eastAsia" w:ascii="宋体" w:hAnsi="宋体"/>
          <w:color w:val="auto"/>
          <w:szCs w:val="22"/>
          <w:highlight w:val="none"/>
        </w:rPr>
      </w:pPr>
      <w:r>
        <w:rPr>
          <w:rFonts w:hint="eastAsia" w:ascii="宋体" w:hAnsi="宋体"/>
          <w:color w:val="auto"/>
          <w:szCs w:val="22"/>
          <w:highlight w:val="none"/>
          <w:lang w:val="en-US" w:eastAsia="zh-CN"/>
        </w:rPr>
        <w:t>3.</w:t>
      </w:r>
      <w:r>
        <w:rPr>
          <w:rFonts w:hint="eastAsia" w:ascii="宋体" w:hAnsi="宋体"/>
          <w:color w:val="auto"/>
          <w:szCs w:val="22"/>
          <w:highlight w:val="none"/>
        </w:rPr>
        <w:t>交纳</w:t>
      </w:r>
      <w:r>
        <w:rPr>
          <w:rFonts w:hint="eastAsia" w:ascii="宋体" w:hAnsi="宋体"/>
          <w:color w:val="auto"/>
          <w:szCs w:val="22"/>
          <w:highlight w:val="none"/>
          <w:lang w:eastAsia="zh-CN"/>
        </w:rPr>
        <w:t>投标保证</w:t>
      </w:r>
      <w:r>
        <w:rPr>
          <w:rFonts w:hint="eastAsia" w:ascii="宋体" w:hAnsi="宋体"/>
          <w:color w:val="auto"/>
          <w:szCs w:val="22"/>
          <w:highlight w:val="none"/>
        </w:rPr>
        <w:t>事宜（技术支持：电话：0751-8379671伍工）</w:t>
      </w:r>
    </w:p>
    <w:p w14:paraId="3789A8FF">
      <w:pPr>
        <w:spacing w:line="360" w:lineRule="auto"/>
        <w:rPr>
          <w:rFonts w:hint="eastAsia" w:ascii="宋体" w:hAnsi="宋体"/>
          <w:color w:val="auto"/>
          <w:szCs w:val="22"/>
          <w:highlight w:val="none"/>
        </w:rPr>
      </w:pPr>
      <w:r>
        <w:rPr>
          <w:rFonts w:hint="eastAsia" w:ascii="宋体" w:hAnsi="宋体"/>
          <w:color w:val="auto"/>
          <w:szCs w:val="22"/>
          <w:highlight w:val="none"/>
        </w:rPr>
        <w:t xml:space="preserve">      （1）</w:t>
      </w:r>
      <w:r>
        <w:rPr>
          <w:rFonts w:hint="eastAsia" w:ascii="宋体" w:hAnsi="宋体"/>
          <w:color w:val="auto"/>
          <w:szCs w:val="22"/>
          <w:highlight w:val="none"/>
          <w:lang w:eastAsia="zh-CN"/>
        </w:rPr>
        <w:t>投标保证</w:t>
      </w:r>
      <w:r>
        <w:rPr>
          <w:rFonts w:hint="eastAsia" w:ascii="宋体" w:hAnsi="宋体"/>
          <w:color w:val="auto"/>
          <w:szCs w:val="22"/>
          <w:highlight w:val="none"/>
        </w:rPr>
        <w:t>交纳截止时间：</w:t>
      </w:r>
      <w:r>
        <w:rPr>
          <w:rFonts w:hint="eastAsia" w:ascii="宋体" w:hAnsi="宋体" w:cs="宋体"/>
          <w:color w:val="auto"/>
          <w:highlight w:val="none"/>
          <w:u w:val="single"/>
          <w:lang w:eastAsia="zh-CN"/>
        </w:rPr>
        <w:t>2026年</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27</w:t>
      </w:r>
      <w:r>
        <w:rPr>
          <w:rFonts w:hint="eastAsia" w:ascii="宋体" w:hAnsi="宋体" w:cs="宋体"/>
          <w:color w:val="auto"/>
          <w:highlight w:val="none"/>
          <w:u w:val="single"/>
          <w:lang w:eastAsia="zh-CN"/>
        </w:rPr>
        <w:t>日</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lang w:eastAsia="zh-CN"/>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lang w:eastAsia="zh-CN"/>
        </w:rPr>
        <w:t>分</w:t>
      </w:r>
      <w:r>
        <w:rPr>
          <w:rFonts w:hint="eastAsia" w:ascii="宋体" w:hAnsi="宋体"/>
          <w:bCs/>
          <w:color w:val="auto"/>
          <w:highlight w:val="none"/>
        </w:rPr>
        <w:t>（北京时间）</w:t>
      </w:r>
    </w:p>
    <w:p w14:paraId="4B2C30C1">
      <w:pPr>
        <w:spacing w:line="360" w:lineRule="auto"/>
        <w:ind w:firstLine="420" w:firstLineChars="200"/>
        <w:rPr>
          <w:rFonts w:hint="eastAsia" w:ascii="宋体" w:hAnsi="宋体"/>
          <w:color w:val="auto"/>
          <w:szCs w:val="22"/>
          <w:highlight w:val="none"/>
        </w:rPr>
      </w:pPr>
      <w:r>
        <w:rPr>
          <w:rFonts w:hint="eastAsia" w:ascii="宋体" w:hAnsi="宋体"/>
          <w:color w:val="auto"/>
          <w:szCs w:val="22"/>
          <w:highlight w:val="none"/>
        </w:rPr>
        <w:t xml:space="preserve">  （2）本项目</w:t>
      </w:r>
      <w:r>
        <w:rPr>
          <w:rFonts w:hint="eastAsia" w:ascii="宋体" w:hAnsi="宋体"/>
          <w:color w:val="auto"/>
          <w:szCs w:val="22"/>
          <w:highlight w:val="none"/>
          <w:lang w:eastAsia="zh-CN"/>
        </w:rPr>
        <w:t>投标保证</w:t>
      </w:r>
      <w:r>
        <w:rPr>
          <w:rFonts w:hint="eastAsia" w:ascii="宋体" w:hAnsi="宋体"/>
          <w:color w:val="auto"/>
          <w:szCs w:val="22"/>
          <w:highlight w:val="none"/>
        </w:rPr>
        <w:t>金额为：人民币</w:t>
      </w:r>
      <w:r>
        <w:rPr>
          <w:rFonts w:hint="eastAsia" w:ascii="宋体" w:hAnsi="宋体"/>
          <w:color w:val="auto"/>
          <w:szCs w:val="22"/>
          <w:highlight w:val="none"/>
          <w:lang w:val="en-US" w:eastAsia="zh-CN"/>
        </w:rPr>
        <w:t>贰万元整</w:t>
      </w:r>
      <w:r>
        <w:rPr>
          <w:rFonts w:hint="eastAsia" w:ascii="宋体" w:hAnsi="宋体"/>
          <w:color w:val="auto"/>
          <w:szCs w:val="22"/>
          <w:highlight w:val="none"/>
        </w:rPr>
        <w:t>（¥</w:t>
      </w:r>
      <w:r>
        <w:rPr>
          <w:rFonts w:hint="eastAsia" w:ascii="宋体" w:hAnsi="宋体"/>
          <w:color w:val="auto"/>
          <w:szCs w:val="22"/>
          <w:highlight w:val="none"/>
          <w:lang w:val="en-US" w:eastAsia="zh-CN"/>
        </w:rPr>
        <w:t>2</w:t>
      </w:r>
      <w:r>
        <w:rPr>
          <w:rFonts w:hint="eastAsia" w:ascii="宋体" w:hAnsi="宋体"/>
          <w:color w:val="auto"/>
          <w:szCs w:val="22"/>
          <w:highlight w:val="none"/>
        </w:rPr>
        <w:t>0,000.00）</w:t>
      </w:r>
    </w:p>
    <w:p w14:paraId="794353F9">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rPr>
        <w:t>（3）交纳</w:t>
      </w:r>
      <w:r>
        <w:rPr>
          <w:rFonts w:hint="eastAsia" w:ascii="宋体" w:hAnsi="宋体"/>
          <w:color w:val="auto"/>
          <w:szCs w:val="22"/>
          <w:highlight w:val="none"/>
          <w:lang w:eastAsia="zh-CN"/>
        </w:rPr>
        <w:t>投标保证</w:t>
      </w:r>
      <w:r>
        <w:rPr>
          <w:rFonts w:hint="eastAsia" w:ascii="宋体" w:hAnsi="宋体"/>
          <w:color w:val="auto"/>
          <w:szCs w:val="22"/>
          <w:highlight w:val="none"/>
        </w:rPr>
        <w:t>流程：投标人</w:t>
      </w:r>
      <w:r>
        <w:rPr>
          <w:rFonts w:hint="eastAsia" w:ascii="宋体" w:hAnsi="宋体"/>
          <w:color w:val="auto"/>
          <w:szCs w:val="22"/>
          <w:highlight w:val="none"/>
          <w:lang w:eastAsia="zh-CN"/>
        </w:rPr>
        <w:t>必须在投标保证交纳截止时间前</w:t>
      </w:r>
      <w:r>
        <w:rPr>
          <w:rFonts w:hint="eastAsia" w:ascii="宋体" w:hAnsi="宋体"/>
          <w:color w:val="auto"/>
          <w:szCs w:val="22"/>
          <w:highlight w:val="none"/>
        </w:rPr>
        <w:t>在已报项目处理页面中，点击“缴纳保证金”按钮，可以进入缴纳</w:t>
      </w:r>
      <w:r>
        <w:rPr>
          <w:rFonts w:hint="eastAsia" w:ascii="宋体" w:hAnsi="宋体"/>
          <w:color w:val="auto"/>
          <w:szCs w:val="22"/>
          <w:highlight w:val="none"/>
          <w:lang w:eastAsia="zh-CN"/>
        </w:rPr>
        <w:t>投标保证</w:t>
      </w:r>
      <w:r>
        <w:rPr>
          <w:rFonts w:hint="eastAsia" w:ascii="宋体" w:hAnsi="宋体"/>
          <w:color w:val="auto"/>
          <w:szCs w:val="22"/>
          <w:highlight w:val="none"/>
        </w:rPr>
        <w:t>页面。</w:t>
      </w:r>
    </w:p>
    <w:p w14:paraId="3DE6A5C3">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rPr>
        <w:t>（4）缴纳</w:t>
      </w:r>
      <w:r>
        <w:rPr>
          <w:rFonts w:hint="eastAsia" w:ascii="宋体" w:hAnsi="宋体"/>
          <w:color w:val="auto"/>
          <w:szCs w:val="22"/>
          <w:highlight w:val="none"/>
          <w:lang w:eastAsia="zh-CN"/>
        </w:rPr>
        <w:t>投标保证</w:t>
      </w:r>
      <w:r>
        <w:rPr>
          <w:rFonts w:hint="eastAsia" w:ascii="宋体" w:hAnsi="宋体"/>
          <w:color w:val="auto"/>
          <w:szCs w:val="22"/>
          <w:highlight w:val="none"/>
        </w:rPr>
        <w:t>方式：①转账、②保函</w:t>
      </w:r>
    </w:p>
    <w:p w14:paraId="7E596662">
      <w:pPr>
        <w:spacing w:line="360" w:lineRule="auto"/>
        <w:ind w:firstLine="840" w:firstLineChars="400"/>
        <w:rPr>
          <w:rFonts w:hint="eastAsia" w:ascii="宋体" w:hAnsi="宋体"/>
          <w:color w:val="auto"/>
          <w:szCs w:val="22"/>
          <w:highlight w:val="none"/>
        </w:rPr>
      </w:pPr>
      <w:r>
        <w:rPr>
          <w:rFonts w:hint="eastAsia" w:ascii="宋体" w:hAnsi="宋体"/>
          <w:color w:val="auto"/>
          <w:szCs w:val="22"/>
          <w:highlight w:val="none"/>
        </w:rPr>
        <w:t>①转账：转账方式缴纳保证金时，需选择一家缴纳保证金的银行。选中银行后，点击“确认，下一步”按钮，可以生成保证金付款子账号信息。转账方式支付保证金，需要使用投标人公司账户，在保证金缴纳截止时间之前，一次性打入足额保证金到保证金收款子账号中，才能缴纳成功。</w:t>
      </w:r>
      <w:r>
        <w:rPr>
          <w:rFonts w:hint="eastAsia" w:ascii="宋体" w:hAnsi="宋体"/>
          <w:color w:val="auto"/>
          <w:szCs w:val="22"/>
          <w:highlight w:val="none"/>
          <w:lang w:eastAsia="zh-CN"/>
        </w:rPr>
        <w:t>【特别注意：该子账号为一次性账号，仅限当前获取该子账号的</w:t>
      </w:r>
      <w:r>
        <w:rPr>
          <w:rFonts w:hint="eastAsia" w:ascii="宋体" w:hAnsi="宋体"/>
          <w:color w:val="auto"/>
          <w:szCs w:val="22"/>
          <w:highlight w:val="none"/>
          <w:lang w:val="en-US" w:eastAsia="zh-CN"/>
        </w:rPr>
        <w:t>投标人</w:t>
      </w:r>
      <w:r>
        <w:rPr>
          <w:rFonts w:hint="eastAsia" w:ascii="宋体" w:hAnsi="宋体"/>
          <w:color w:val="auto"/>
          <w:szCs w:val="22"/>
          <w:highlight w:val="none"/>
          <w:lang w:eastAsia="zh-CN"/>
        </w:rPr>
        <w:t>参加该项目当次</w:t>
      </w:r>
      <w:r>
        <w:rPr>
          <w:rFonts w:hint="eastAsia" w:ascii="宋体" w:hAnsi="宋体"/>
          <w:color w:val="auto"/>
          <w:szCs w:val="22"/>
          <w:highlight w:val="none"/>
          <w:lang w:val="en-US" w:eastAsia="zh-CN"/>
        </w:rPr>
        <w:t>招标</w:t>
      </w:r>
      <w:r>
        <w:rPr>
          <w:rFonts w:hint="eastAsia" w:ascii="宋体" w:hAnsi="宋体"/>
          <w:color w:val="auto"/>
          <w:szCs w:val="22"/>
          <w:highlight w:val="none"/>
          <w:lang w:eastAsia="zh-CN"/>
        </w:rPr>
        <w:t>活动有效），投标人将投标保证金一次性足额汇入子账号。在“是否缴纳保证金”栏显示为“是”后（请勿在显示“否”时打印），点击“打印保证金交纳信息表”，将保证金交纳信息表打印出来，并粘贴或装订在投标文件。产权招标交易系统将根据投标保证金到达产权招标交易系统的时间判断投标保证金是否有效，“保证金是否有效交纳”栏显示为“已交纳”，即为投标保证金有效。投标保证金有效与否，将以产权招标交易系统作为判断依据。请各投标人充分考虑到银行转账的时间差，适时提前转账（建议投标人在投标保证金提交截止时间的2个工作日之前交纳投标保证金），否则，由此产生的一切后果由投标人自行承担】</w:t>
      </w:r>
    </w:p>
    <w:p w14:paraId="38A74B61">
      <w:pPr>
        <w:spacing w:line="360" w:lineRule="auto"/>
        <w:ind w:firstLine="840" w:firstLineChars="400"/>
        <w:rPr>
          <w:rFonts w:hint="eastAsia" w:ascii="宋体" w:hAnsi="宋体"/>
          <w:color w:val="auto"/>
          <w:szCs w:val="22"/>
          <w:highlight w:val="none"/>
        </w:rPr>
      </w:pPr>
      <w:r>
        <w:rPr>
          <w:rFonts w:hint="eastAsia" w:ascii="宋体" w:hAnsi="宋体"/>
          <w:color w:val="auto"/>
          <w:szCs w:val="22"/>
          <w:highlight w:val="none"/>
        </w:rPr>
        <w:t>②保函：保函方式缴纳保证金时，填写开具保函银行、保函担保费、保函有效期、保函编号，上传保函扫描件</w:t>
      </w:r>
      <w:r>
        <w:rPr>
          <w:rFonts w:hint="eastAsia" w:ascii="宋体" w:hAnsi="宋体"/>
          <w:color w:val="auto"/>
          <w:szCs w:val="22"/>
          <w:highlight w:val="none"/>
          <w:lang w:val="en-US" w:eastAsia="zh-CN"/>
        </w:rPr>
        <w:t>（保函的有效期不得短于投标有效期）</w:t>
      </w:r>
      <w:r>
        <w:rPr>
          <w:rFonts w:hint="eastAsia" w:ascii="宋体" w:hAnsi="宋体"/>
          <w:color w:val="auto"/>
          <w:szCs w:val="22"/>
          <w:highlight w:val="none"/>
        </w:rPr>
        <w:t>。</w:t>
      </w:r>
    </w:p>
    <w:p w14:paraId="3C3FA403">
      <w:pPr>
        <w:spacing w:line="360" w:lineRule="auto"/>
        <w:ind w:firstLine="840" w:firstLineChars="400"/>
        <w:rPr>
          <w:rFonts w:hint="eastAsia" w:ascii="宋体" w:hAnsi="宋体"/>
          <w:color w:val="auto"/>
          <w:szCs w:val="22"/>
          <w:highlight w:val="none"/>
        </w:rPr>
      </w:pPr>
      <w:r>
        <w:rPr>
          <w:rFonts w:hint="eastAsia" w:ascii="宋体" w:hAnsi="宋体"/>
          <w:color w:val="auto"/>
          <w:szCs w:val="22"/>
          <w:highlight w:val="none"/>
        </w:rPr>
        <w:t>具体操作流程：登录</w:t>
      </w:r>
      <w:r>
        <w:rPr>
          <w:rFonts w:hint="eastAsia" w:ascii="宋体" w:hAnsi="宋体"/>
          <w:color w:val="auto"/>
          <w:szCs w:val="22"/>
          <w:highlight w:val="none"/>
          <w:lang w:eastAsia="zh-CN"/>
        </w:rPr>
        <w:t>全国公共资源交易平台（广东省·韶关市）（https://ygp.gdzwfw.gov.cn/#/440200/index）</w:t>
      </w:r>
      <w:r>
        <w:rPr>
          <w:rFonts w:hint="eastAsia" w:ascii="宋体" w:hAnsi="宋体"/>
          <w:color w:val="auto"/>
          <w:szCs w:val="22"/>
          <w:highlight w:val="none"/>
        </w:rPr>
        <w:t>－服务指南－下载《</w:t>
      </w:r>
      <w:r>
        <w:rPr>
          <w:rFonts w:hint="eastAsia" w:ascii="宋体" w:hAnsi="宋体"/>
          <w:color w:val="auto"/>
          <w:szCs w:val="22"/>
          <w:highlight w:val="none"/>
          <w:lang w:eastAsia="zh-CN"/>
        </w:rPr>
        <w:t>韶关市公共资源交易平台产权招标系统投标人操作手册</w:t>
      </w:r>
      <w:r>
        <w:rPr>
          <w:rFonts w:hint="eastAsia" w:ascii="宋体" w:hAnsi="宋体"/>
          <w:color w:val="auto"/>
          <w:szCs w:val="22"/>
          <w:highlight w:val="none"/>
        </w:rPr>
        <w:t>》</w:t>
      </w:r>
    </w:p>
    <w:p w14:paraId="479C645F">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lang w:val="en-US" w:eastAsia="zh-CN"/>
        </w:rPr>
        <w:t>4.</w:t>
      </w:r>
      <w:r>
        <w:rPr>
          <w:rFonts w:hint="eastAsia" w:ascii="宋体" w:hAnsi="宋体"/>
          <w:color w:val="auto"/>
          <w:szCs w:val="22"/>
          <w:highlight w:val="none"/>
        </w:rPr>
        <w:t>首次在韶关市公共资源交易一体化平台“产权招标交易”招标投标活动的投标人，必须在平台系统上传企业相关资料办理企业入库事宜。投标人可登录全国公共资源交易平台（广东省·韶关市）（https://ygp.gdzwfw.gov.cn/#/440200/index）</w:t>
      </w:r>
      <w:r>
        <w:rPr>
          <w:rFonts w:hint="eastAsia" w:ascii="宋体" w:hAnsi="宋体"/>
          <w:color w:val="auto"/>
          <w:szCs w:val="22"/>
          <w:highlight w:val="none"/>
          <w:lang w:eastAsia="zh-CN"/>
        </w:rPr>
        <w:t>办理</w:t>
      </w:r>
      <w:r>
        <w:rPr>
          <w:rFonts w:hint="eastAsia" w:ascii="宋体" w:hAnsi="宋体"/>
          <w:color w:val="auto"/>
          <w:szCs w:val="22"/>
          <w:highlight w:val="none"/>
        </w:rPr>
        <w:t>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20CF7A7B">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rPr>
        <w:t>具体操作流程：登录</w:t>
      </w:r>
      <w:r>
        <w:rPr>
          <w:rFonts w:hint="eastAsia" w:ascii="宋体" w:hAnsi="宋体"/>
          <w:color w:val="auto"/>
          <w:szCs w:val="22"/>
          <w:highlight w:val="none"/>
          <w:lang w:eastAsia="zh-CN"/>
        </w:rPr>
        <w:t>全国公共资源交易平台（广东省·韶关市）（https://ygp.gdzwfw.gov.cn/#/440200/index）</w:t>
      </w:r>
      <w:r>
        <w:rPr>
          <w:rFonts w:hint="eastAsia" w:ascii="宋体" w:hAnsi="宋体"/>
          <w:color w:val="auto"/>
          <w:szCs w:val="22"/>
          <w:highlight w:val="none"/>
        </w:rPr>
        <w:t>－服务指南－下载《</w:t>
      </w:r>
      <w:r>
        <w:rPr>
          <w:rFonts w:hint="eastAsia" w:ascii="宋体" w:hAnsi="宋体"/>
          <w:color w:val="auto"/>
          <w:szCs w:val="22"/>
          <w:highlight w:val="none"/>
          <w:lang w:eastAsia="zh-CN"/>
        </w:rPr>
        <w:t>韶关市公共资源交易平台产权招标系统投标人操作手册</w:t>
      </w:r>
      <w:r>
        <w:rPr>
          <w:rFonts w:hint="eastAsia" w:ascii="宋体" w:hAnsi="宋体"/>
          <w:color w:val="auto"/>
          <w:szCs w:val="22"/>
          <w:highlight w:val="none"/>
        </w:rPr>
        <w:t>》</w:t>
      </w:r>
    </w:p>
    <w:p w14:paraId="78CCFA78">
      <w:pPr>
        <w:spacing w:line="360" w:lineRule="auto"/>
        <w:ind w:firstLine="840" w:firstLineChars="400"/>
        <w:rPr>
          <w:rFonts w:hint="eastAsia" w:ascii="宋体" w:hAnsi="宋体"/>
          <w:color w:val="auto"/>
          <w:szCs w:val="22"/>
          <w:highlight w:val="none"/>
        </w:rPr>
      </w:pPr>
      <w:r>
        <w:rPr>
          <w:rFonts w:hint="eastAsia" w:ascii="宋体" w:hAnsi="宋体"/>
          <w:color w:val="auto"/>
          <w:szCs w:val="22"/>
          <w:highlight w:val="none"/>
          <w:lang w:val="en-US" w:eastAsia="zh-CN"/>
        </w:rPr>
        <w:t>5.</w:t>
      </w:r>
      <w:r>
        <w:rPr>
          <w:rFonts w:hint="eastAsia" w:ascii="宋体" w:hAnsi="宋体"/>
          <w:color w:val="auto"/>
          <w:szCs w:val="22"/>
          <w:highlight w:val="none"/>
        </w:rPr>
        <w:t>补救方案：</w:t>
      </w:r>
    </w:p>
    <w:p w14:paraId="0EE8FCC7">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rPr>
        <w:t>（1）开评标时突发情况的补救方案</w:t>
      </w:r>
    </w:p>
    <w:p w14:paraId="4856354B">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rPr>
        <w:t>在开评标过程中，因主场或副场网络故障、电子设备或者评标系统故障，以及其他原因导致无法继续进行开评标活动时，在短时间内无法解除故障的，则转为线下评审。</w:t>
      </w:r>
    </w:p>
    <w:p w14:paraId="1422C011">
      <w:pPr>
        <w:spacing w:line="360" w:lineRule="auto"/>
        <w:ind w:firstLine="630" w:firstLineChars="300"/>
        <w:rPr>
          <w:rFonts w:hint="eastAsia" w:ascii="宋体" w:hAnsi="宋体"/>
          <w:color w:val="auto"/>
          <w:szCs w:val="22"/>
          <w:highlight w:val="none"/>
        </w:rPr>
      </w:pPr>
      <w:r>
        <w:rPr>
          <w:rFonts w:hint="eastAsia" w:ascii="宋体" w:hAnsi="宋体"/>
          <w:color w:val="auto"/>
          <w:szCs w:val="22"/>
          <w:highlight w:val="none"/>
        </w:rPr>
        <w:t>（2）本次招标实行电子投标，开标评标均以投标人通过交易平台上传的电子投标文件为准，若因系统故障转为线下评审，则以递交的纸质投标文件为准。</w:t>
      </w:r>
    </w:p>
    <w:p w14:paraId="60B19342">
      <w:pPr>
        <w:keepNext/>
        <w:spacing w:before="120" w:beforeLines="50" w:after="120" w:afterLines="50" w:line="360" w:lineRule="auto"/>
        <w:outlineLvl w:val="1"/>
        <w:rPr>
          <w:rFonts w:hint="eastAsia" w:ascii="宋体" w:hAnsi="宋体" w:cs="宋体"/>
          <w:b/>
          <w:color w:val="auto"/>
          <w:szCs w:val="21"/>
          <w:highlight w:val="none"/>
        </w:rPr>
      </w:pPr>
      <w:bookmarkStart w:id="38" w:name="_Toc8317"/>
      <w:r>
        <w:rPr>
          <w:rFonts w:hint="eastAsia" w:ascii="宋体" w:hAnsi="宋体" w:cs="宋体"/>
          <w:b/>
          <w:color w:val="auto"/>
          <w:szCs w:val="21"/>
          <w:highlight w:val="none"/>
        </w:rPr>
        <w:t>七、</w:t>
      </w:r>
      <w:bookmarkEnd w:id="38"/>
      <w:bookmarkStart w:id="39" w:name="_Toc28359085"/>
      <w:bookmarkStart w:id="40" w:name="_Toc35393796"/>
      <w:bookmarkStart w:id="41" w:name="_Toc35393627"/>
      <w:bookmarkStart w:id="42" w:name="_Toc28359008"/>
      <w:bookmarkStart w:id="43" w:name="_Toc9735"/>
      <w:r>
        <w:rPr>
          <w:rFonts w:hint="eastAsia" w:ascii="宋体" w:hAnsi="宋体" w:cs="宋体"/>
          <w:b/>
          <w:color w:val="auto"/>
          <w:szCs w:val="21"/>
          <w:highlight w:val="none"/>
        </w:rPr>
        <w:t>对本次招标提出询问，请按以下方式联系</w:t>
      </w:r>
      <w:bookmarkEnd w:id="39"/>
      <w:bookmarkEnd w:id="40"/>
      <w:bookmarkEnd w:id="41"/>
      <w:bookmarkEnd w:id="42"/>
      <w:bookmarkEnd w:id="43"/>
    </w:p>
    <w:p w14:paraId="05ADFD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招标人信息</w:t>
      </w:r>
    </w:p>
    <w:p w14:paraId="4A1193F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称：韶关学院　</w:t>
      </w:r>
    </w:p>
    <w:p w14:paraId="20E3A3E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 韶关市浈江区大学路288号</w:t>
      </w:r>
    </w:p>
    <w:p w14:paraId="7373E4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联系方式：0751-8120194</w:t>
      </w:r>
    </w:p>
    <w:p w14:paraId="00E9D1A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招标代理机构信息</w:t>
      </w:r>
    </w:p>
    <w:p w14:paraId="46AD415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称：广东远东招标代理有限公司　</w:t>
      </w:r>
    </w:p>
    <w:p w14:paraId="563E756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址：广州市越秀区越华路112号4301房（部位：自编04-1、05A-1单元），韶关市武江区西联镇小阳山沐芙路扬成名门综合楼三楼（韶关分公司）</w:t>
      </w:r>
    </w:p>
    <w:p w14:paraId="336AACB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联系方式： 0751-8115118 </w:t>
      </w:r>
    </w:p>
    <w:p w14:paraId="3CDCE96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项目联系方式</w:t>
      </w:r>
    </w:p>
    <w:p w14:paraId="7269F27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项目联系人：雷</w:t>
      </w:r>
      <w:r>
        <w:rPr>
          <w:rFonts w:hint="eastAsia" w:ascii="宋体" w:hAnsi="宋体" w:cs="宋体"/>
          <w:color w:val="auto"/>
          <w:szCs w:val="21"/>
          <w:highlight w:val="none"/>
          <w:lang w:val="en-US" w:eastAsia="zh-CN"/>
        </w:rPr>
        <w:t>佳</w:t>
      </w:r>
    </w:p>
    <w:p w14:paraId="5C913C6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 0751-8115118/0751-8120194</w:t>
      </w:r>
    </w:p>
    <w:p w14:paraId="2B7B88DF">
      <w:pPr>
        <w:spacing w:line="360" w:lineRule="auto"/>
        <w:rPr>
          <w:rFonts w:hint="eastAsia" w:ascii="宋体" w:hAnsi="宋体" w:cs="宋体"/>
          <w:color w:val="auto"/>
          <w:highlight w:val="none"/>
        </w:rPr>
      </w:pPr>
    </w:p>
    <w:p w14:paraId="7170592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w:t>
      </w:r>
      <w:r>
        <w:rPr>
          <w:rFonts w:hint="eastAsia" w:ascii="宋体" w:hAnsi="宋体" w:cs="宋体"/>
          <w:color w:val="auto"/>
          <w:highlight w:val="none"/>
        </w:rPr>
        <w:t>委托代理协议</w:t>
      </w:r>
    </w:p>
    <w:p w14:paraId="3227A8BF">
      <w:pPr>
        <w:numPr>
          <w:ilvl w:val="0"/>
          <w:numId w:val="0"/>
        </w:numPr>
        <w:spacing w:line="360" w:lineRule="auto"/>
        <w:ind w:firstLine="1050" w:firstLineChars="5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2.</w:t>
      </w:r>
      <w:r>
        <w:rPr>
          <w:rFonts w:hint="eastAsia" w:ascii="宋体" w:hAnsi="宋体" w:cs="宋体"/>
          <w:color w:val="auto"/>
          <w:highlight w:val="none"/>
        </w:rPr>
        <w:t>招标文件</w:t>
      </w:r>
    </w:p>
    <w:p w14:paraId="100CCDFE">
      <w:pPr>
        <w:numPr>
          <w:ilvl w:val="0"/>
          <w:numId w:val="0"/>
        </w:numPr>
        <w:spacing w:line="360" w:lineRule="auto"/>
        <w:ind w:firstLine="1050" w:firstLineChars="500"/>
        <w:rPr>
          <w:rFonts w:hint="eastAsia" w:ascii="宋体" w:hAnsi="宋体" w:cs="宋体"/>
          <w:color w:val="auto"/>
          <w:highlight w:val="none"/>
        </w:rPr>
      </w:pPr>
      <w:r>
        <w:rPr>
          <w:rFonts w:hint="default" w:ascii="宋体" w:hAnsi="宋体" w:eastAsia="宋体" w:cs="宋体"/>
          <w:color w:val="auto"/>
          <w:kern w:val="2"/>
          <w:sz w:val="21"/>
          <w:szCs w:val="24"/>
          <w:highlight w:val="none"/>
          <w:lang w:val="en-US" w:eastAsia="zh-CN" w:bidi="ar-SA"/>
        </w:rPr>
        <w:t>3.韶关市公共资源交易一体化平台产权招标交易（投标企业）</w:t>
      </w:r>
      <w:r>
        <w:rPr>
          <w:rFonts w:hint="eastAsia" w:ascii="宋体" w:hAnsi="宋体" w:cs="宋体"/>
          <w:color w:val="auto"/>
          <w:kern w:val="2"/>
          <w:sz w:val="21"/>
          <w:szCs w:val="24"/>
          <w:highlight w:val="none"/>
          <w:lang w:val="en-US" w:eastAsia="zh-CN" w:bidi="ar-SA"/>
        </w:rPr>
        <w:t>用户手册</w:t>
      </w:r>
    </w:p>
    <w:p w14:paraId="490BA39D">
      <w:pPr>
        <w:numPr>
          <w:ilvl w:val="0"/>
          <w:numId w:val="0"/>
        </w:numPr>
        <w:spacing w:line="360" w:lineRule="auto"/>
        <w:rPr>
          <w:rFonts w:hint="eastAsia" w:ascii="宋体" w:hAnsi="宋体" w:cs="宋体"/>
          <w:color w:val="auto"/>
          <w:highlight w:val="none"/>
        </w:rPr>
      </w:pPr>
    </w:p>
    <w:p w14:paraId="2DC43E40">
      <w:pPr>
        <w:numPr>
          <w:ilvl w:val="0"/>
          <w:numId w:val="0"/>
        </w:numPr>
        <w:spacing w:line="360" w:lineRule="auto"/>
        <w:ind w:left="1050" w:leftChars="0"/>
        <w:rPr>
          <w:rFonts w:hint="eastAsia"/>
          <w:color w:val="auto"/>
          <w:highlight w:val="none"/>
        </w:rPr>
      </w:pPr>
    </w:p>
    <w:p w14:paraId="258E9A7E">
      <w:pPr>
        <w:spacing w:line="360" w:lineRule="auto"/>
        <w:rPr>
          <w:rFonts w:hint="eastAsia" w:ascii="宋体" w:hAnsi="宋体" w:cs="宋体"/>
          <w:color w:val="auto"/>
          <w:highlight w:val="none"/>
        </w:rPr>
      </w:pPr>
    </w:p>
    <w:p w14:paraId="6AC9AA77">
      <w:pPr>
        <w:spacing w:line="360" w:lineRule="auto"/>
        <w:jc w:val="right"/>
        <w:rPr>
          <w:rFonts w:hint="eastAsia" w:ascii="宋体" w:hAnsi="宋体" w:cs="宋体"/>
          <w:color w:val="auto"/>
          <w:highlight w:val="none"/>
        </w:rPr>
      </w:pPr>
      <w:r>
        <w:rPr>
          <w:rFonts w:hint="eastAsia" w:ascii="宋体" w:hAnsi="宋体" w:cs="宋体"/>
          <w:color w:val="auto"/>
          <w:highlight w:val="none"/>
        </w:rPr>
        <w:t>发布人：广东远东招标代理有限公司</w:t>
      </w:r>
    </w:p>
    <w:p w14:paraId="559D7723">
      <w:pPr>
        <w:tabs>
          <w:tab w:val="left" w:pos="9040"/>
          <w:tab w:val="left" w:pos="9240"/>
        </w:tabs>
        <w:wordWrap w:val="0"/>
        <w:snapToGrid w:val="0"/>
        <w:spacing w:line="360" w:lineRule="auto"/>
        <w:ind w:right="33" w:firstLine="315" w:firstLineChars="150"/>
        <w:jc w:val="right"/>
        <w:rPr>
          <w:rFonts w:hint="eastAsia" w:ascii="宋体" w:hAnsi="宋体" w:cs="宋体"/>
          <w:b/>
          <w:color w:val="auto"/>
          <w:sz w:val="28"/>
          <w:szCs w:val="28"/>
          <w:highlight w:val="none"/>
        </w:rPr>
      </w:pPr>
      <w:r>
        <w:rPr>
          <w:rFonts w:hint="eastAsia" w:ascii="宋体" w:hAnsi="宋体" w:cs="宋体"/>
          <w:color w:val="auto"/>
          <w:highlight w:val="none"/>
        </w:rPr>
        <w:t xml:space="preserve">                发布时间：2026年</w:t>
      </w:r>
      <w:r>
        <w:rPr>
          <w:rFonts w:hint="eastAsia" w:ascii="宋体" w:hAnsi="宋体" w:cs="宋体"/>
          <w:color w:val="auto"/>
          <w:highlight w:val="none"/>
          <w:lang w:val="en-US" w:eastAsia="zh-CN"/>
        </w:rPr>
        <w:t>7</w:t>
      </w:r>
      <w:r>
        <w:rPr>
          <w:rFonts w:hint="eastAsia" w:ascii="宋体" w:hAnsi="宋体" w:cs="宋体"/>
          <w:color w:val="auto"/>
          <w:highlight w:val="none"/>
        </w:rPr>
        <w:t>月</w:t>
      </w:r>
      <w:r>
        <w:rPr>
          <w:rFonts w:hint="eastAsia" w:ascii="宋体" w:hAnsi="宋体" w:cs="宋体"/>
          <w:color w:val="auto"/>
          <w:highlight w:val="none"/>
          <w:lang w:val="en-US" w:eastAsia="zh-CN"/>
        </w:rPr>
        <w:t>7</w:t>
      </w:r>
      <w:r>
        <w:rPr>
          <w:rFonts w:hint="eastAsia" w:ascii="宋体" w:hAnsi="宋体" w:cs="宋体"/>
          <w:color w:val="auto"/>
          <w:highlight w:val="none"/>
        </w:rPr>
        <w:t>日</w:t>
      </w:r>
    </w:p>
    <w:p w14:paraId="13BE0618">
      <w:pPr>
        <w:pStyle w:val="193"/>
        <w:rPr>
          <w:rFonts w:hint="eastAsia" w:ascii="宋体" w:hAnsi="宋体" w:cs="宋体"/>
          <w:color w:val="auto"/>
          <w:highlight w:val="none"/>
        </w:rPr>
      </w:pPr>
    </w:p>
    <w:p w14:paraId="7BFC7F83">
      <w:pPr>
        <w:pStyle w:val="193"/>
        <w:rPr>
          <w:rFonts w:hint="eastAsia" w:ascii="宋体" w:hAnsi="宋体" w:cs="宋体"/>
          <w:color w:val="auto"/>
          <w:highlight w:val="none"/>
        </w:rPr>
      </w:pPr>
    </w:p>
    <w:p w14:paraId="20B4B8A8">
      <w:pPr>
        <w:pStyle w:val="193"/>
        <w:rPr>
          <w:rFonts w:hint="eastAsia" w:ascii="宋体" w:hAnsi="宋体" w:cs="宋体"/>
          <w:color w:val="auto"/>
          <w:highlight w:val="none"/>
        </w:rPr>
      </w:pPr>
    </w:p>
    <w:p w14:paraId="501CC671">
      <w:pPr>
        <w:pStyle w:val="193"/>
        <w:rPr>
          <w:rFonts w:hint="eastAsia" w:ascii="宋体" w:hAnsi="宋体" w:cs="宋体"/>
          <w:color w:val="auto"/>
          <w:highlight w:val="none"/>
        </w:rPr>
      </w:pPr>
    </w:p>
    <w:p w14:paraId="7AF5CCD7">
      <w:pPr>
        <w:pStyle w:val="193"/>
        <w:rPr>
          <w:rFonts w:hint="eastAsia" w:ascii="宋体" w:hAnsi="宋体" w:cs="宋体"/>
          <w:color w:val="auto"/>
          <w:highlight w:val="none"/>
        </w:rPr>
      </w:pPr>
    </w:p>
    <w:p w14:paraId="42C0549C">
      <w:pPr>
        <w:pStyle w:val="193"/>
        <w:rPr>
          <w:rFonts w:hint="eastAsia" w:ascii="宋体" w:hAnsi="宋体" w:cs="宋体"/>
          <w:color w:val="auto"/>
          <w:highlight w:val="none"/>
        </w:rPr>
      </w:pPr>
    </w:p>
    <w:p w14:paraId="677AABED">
      <w:pPr>
        <w:rPr>
          <w:rFonts w:hint="eastAsia" w:ascii="宋体" w:hAnsi="宋体" w:cs="宋体"/>
          <w:color w:val="auto"/>
          <w:highlight w:val="none"/>
        </w:rPr>
      </w:pPr>
    </w:p>
    <w:p w14:paraId="68229955">
      <w:pPr>
        <w:pStyle w:val="58"/>
        <w:rPr>
          <w:rFonts w:hint="eastAsia" w:ascii="宋体" w:hAnsi="宋体" w:cs="宋体"/>
          <w:color w:val="auto"/>
          <w:highlight w:val="none"/>
        </w:rPr>
      </w:pPr>
    </w:p>
    <w:p w14:paraId="672C5C3C">
      <w:pPr>
        <w:pStyle w:val="58"/>
        <w:rPr>
          <w:rFonts w:hint="eastAsia" w:ascii="宋体" w:hAnsi="宋体" w:cs="宋体"/>
          <w:color w:val="auto"/>
          <w:highlight w:val="none"/>
        </w:rPr>
      </w:pPr>
    </w:p>
    <w:p w14:paraId="0C456B79">
      <w:pPr>
        <w:pStyle w:val="58"/>
        <w:rPr>
          <w:rFonts w:hint="eastAsia" w:ascii="宋体" w:hAnsi="宋体" w:cs="宋体"/>
          <w:color w:val="auto"/>
          <w:highlight w:val="none"/>
        </w:rPr>
      </w:pPr>
    </w:p>
    <w:p w14:paraId="14B3EB99">
      <w:pPr>
        <w:pStyle w:val="58"/>
        <w:rPr>
          <w:rFonts w:hint="eastAsia" w:ascii="宋体" w:hAnsi="宋体" w:cs="宋体"/>
          <w:color w:val="auto"/>
          <w:highlight w:val="none"/>
        </w:rPr>
      </w:pPr>
    </w:p>
    <w:p w14:paraId="3EDA9935">
      <w:pPr>
        <w:pStyle w:val="58"/>
        <w:rPr>
          <w:rFonts w:hint="eastAsia" w:ascii="宋体" w:hAnsi="宋体" w:cs="宋体"/>
          <w:color w:val="auto"/>
          <w:highlight w:val="none"/>
        </w:rPr>
      </w:pPr>
    </w:p>
    <w:p w14:paraId="144C24FF">
      <w:pPr>
        <w:pStyle w:val="58"/>
        <w:rPr>
          <w:rFonts w:hint="eastAsia" w:ascii="宋体" w:hAnsi="宋体" w:cs="宋体"/>
          <w:color w:val="auto"/>
          <w:highlight w:val="none"/>
        </w:rPr>
      </w:pPr>
    </w:p>
    <w:p w14:paraId="5460865F">
      <w:pPr>
        <w:pStyle w:val="58"/>
        <w:rPr>
          <w:rFonts w:hint="eastAsia" w:ascii="宋体" w:hAnsi="宋体" w:cs="宋体"/>
          <w:color w:val="auto"/>
          <w:highlight w:val="none"/>
        </w:rPr>
      </w:pPr>
    </w:p>
    <w:p w14:paraId="779076AC">
      <w:pPr>
        <w:pStyle w:val="58"/>
        <w:rPr>
          <w:rFonts w:hint="eastAsia" w:ascii="宋体" w:hAnsi="宋体" w:cs="宋体"/>
          <w:color w:val="auto"/>
          <w:highlight w:val="none"/>
        </w:rPr>
      </w:pPr>
    </w:p>
    <w:p w14:paraId="666EC255">
      <w:pPr>
        <w:pStyle w:val="58"/>
        <w:rPr>
          <w:rFonts w:hint="eastAsia" w:ascii="宋体" w:hAnsi="宋体" w:cs="宋体"/>
          <w:color w:val="auto"/>
          <w:highlight w:val="none"/>
        </w:rPr>
      </w:pPr>
    </w:p>
    <w:p w14:paraId="2683F67C">
      <w:pPr>
        <w:pStyle w:val="58"/>
        <w:rPr>
          <w:rFonts w:hint="eastAsia" w:ascii="宋体" w:hAnsi="宋体" w:cs="宋体"/>
          <w:color w:val="auto"/>
          <w:highlight w:val="none"/>
        </w:rPr>
      </w:pPr>
    </w:p>
    <w:p w14:paraId="7943D796">
      <w:pPr>
        <w:pStyle w:val="58"/>
        <w:rPr>
          <w:rFonts w:hint="eastAsia" w:ascii="宋体" w:hAnsi="宋体" w:cs="宋体"/>
          <w:color w:val="auto"/>
          <w:highlight w:val="none"/>
        </w:rPr>
      </w:pPr>
    </w:p>
    <w:p w14:paraId="68B86831">
      <w:pPr>
        <w:pStyle w:val="58"/>
        <w:rPr>
          <w:rFonts w:hint="eastAsia" w:ascii="宋体" w:hAnsi="宋体" w:cs="宋体"/>
          <w:color w:val="auto"/>
          <w:highlight w:val="none"/>
        </w:rPr>
      </w:pPr>
    </w:p>
    <w:p w14:paraId="06ED0BF4">
      <w:pPr>
        <w:pStyle w:val="58"/>
        <w:rPr>
          <w:rFonts w:hint="eastAsia" w:ascii="宋体" w:hAnsi="宋体" w:cs="宋体"/>
          <w:color w:val="auto"/>
          <w:highlight w:val="none"/>
        </w:rPr>
      </w:pPr>
    </w:p>
    <w:p w14:paraId="1D1396F8">
      <w:pPr>
        <w:pStyle w:val="58"/>
        <w:rPr>
          <w:rFonts w:hint="eastAsia" w:ascii="宋体" w:hAnsi="宋体" w:cs="宋体"/>
          <w:color w:val="auto"/>
          <w:highlight w:val="none"/>
        </w:rPr>
      </w:pPr>
    </w:p>
    <w:p w14:paraId="4E5E6963">
      <w:pPr>
        <w:pStyle w:val="58"/>
        <w:rPr>
          <w:rFonts w:hint="eastAsia" w:ascii="宋体" w:hAnsi="宋体" w:cs="宋体"/>
          <w:color w:val="auto"/>
          <w:highlight w:val="none"/>
        </w:rPr>
      </w:pPr>
    </w:p>
    <w:p w14:paraId="32A17EF3">
      <w:pPr>
        <w:pStyle w:val="58"/>
        <w:rPr>
          <w:rFonts w:hint="eastAsia" w:ascii="宋体" w:hAnsi="宋体" w:cs="宋体"/>
          <w:color w:val="auto"/>
          <w:highlight w:val="none"/>
        </w:rPr>
      </w:pPr>
    </w:p>
    <w:p w14:paraId="6355915B">
      <w:pPr>
        <w:pStyle w:val="58"/>
        <w:rPr>
          <w:rFonts w:hint="eastAsia" w:ascii="宋体" w:hAnsi="宋体" w:cs="宋体"/>
          <w:color w:val="auto"/>
          <w:highlight w:val="none"/>
        </w:rPr>
      </w:pPr>
    </w:p>
    <w:p w14:paraId="1E651227">
      <w:pPr>
        <w:pStyle w:val="58"/>
        <w:rPr>
          <w:rFonts w:hint="eastAsia" w:ascii="宋体" w:hAnsi="宋体" w:cs="宋体"/>
          <w:color w:val="auto"/>
          <w:highlight w:val="none"/>
        </w:rPr>
      </w:pPr>
    </w:p>
    <w:p w14:paraId="6AA30F90">
      <w:pPr>
        <w:pStyle w:val="58"/>
        <w:rPr>
          <w:rFonts w:hint="eastAsia" w:ascii="宋体" w:hAnsi="宋体" w:cs="宋体"/>
          <w:color w:val="auto"/>
          <w:highlight w:val="none"/>
        </w:rPr>
      </w:pPr>
    </w:p>
    <w:p w14:paraId="7F1123F0">
      <w:pPr>
        <w:pStyle w:val="58"/>
        <w:rPr>
          <w:rFonts w:hint="eastAsia" w:ascii="宋体" w:hAnsi="宋体" w:cs="宋体"/>
          <w:color w:val="auto"/>
          <w:highlight w:val="none"/>
        </w:rPr>
      </w:pPr>
    </w:p>
    <w:p w14:paraId="2C66CFB8">
      <w:pPr>
        <w:pStyle w:val="58"/>
        <w:rPr>
          <w:rFonts w:hint="eastAsia" w:ascii="宋体" w:hAnsi="宋体" w:cs="宋体"/>
          <w:color w:val="auto"/>
          <w:highlight w:val="none"/>
        </w:rPr>
      </w:pPr>
    </w:p>
    <w:p w14:paraId="126143D9">
      <w:pPr>
        <w:rPr>
          <w:rFonts w:hint="eastAsia" w:ascii="宋体" w:hAnsi="宋体" w:cs="宋体"/>
          <w:color w:val="auto"/>
          <w:highlight w:val="none"/>
        </w:rPr>
      </w:pPr>
      <w:bookmarkStart w:id="44" w:name="_Toc449081276"/>
    </w:p>
    <w:p w14:paraId="6B80AFD6">
      <w:pPr>
        <w:rPr>
          <w:rFonts w:hint="eastAsia" w:ascii="宋体" w:hAnsi="宋体" w:cs="宋体"/>
          <w:color w:val="auto"/>
          <w:highlight w:val="none"/>
        </w:rPr>
      </w:pPr>
    </w:p>
    <w:p w14:paraId="3B7B231D">
      <w:pPr>
        <w:rPr>
          <w:rFonts w:hint="eastAsia" w:ascii="宋体" w:hAnsi="宋体" w:cs="宋体"/>
          <w:color w:val="auto"/>
          <w:highlight w:val="none"/>
        </w:rPr>
      </w:pPr>
    </w:p>
    <w:p w14:paraId="11C4B099">
      <w:pPr>
        <w:rPr>
          <w:rFonts w:hint="eastAsia" w:ascii="宋体" w:hAnsi="宋体" w:cs="宋体"/>
          <w:color w:val="auto"/>
          <w:highlight w:val="none"/>
        </w:rPr>
      </w:pPr>
    </w:p>
    <w:p w14:paraId="3BC1FBFB">
      <w:pPr>
        <w:rPr>
          <w:rFonts w:hint="eastAsia" w:ascii="宋体" w:hAnsi="宋体" w:cs="宋体"/>
          <w:color w:val="auto"/>
          <w:highlight w:val="none"/>
        </w:rPr>
      </w:pPr>
    </w:p>
    <w:p w14:paraId="387499E0">
      <w:pPr>
        <w:rPr>
          <w:rFonts w:hint="eastAsia" w:ascii="宋体" w:hAnsi="宋体" w:cs="宋体"/>
          <w:color w:val="auto"/>
          <w:highlight w:val="none"/>
        </w:rPr>
      </w:pPr>
    </w:p>
    <w:p w14:paraId="6C3FE922">
      <w:pPr>
        <w:rPr>
          <w:rFonts w:hint="eastAsia" w:ascii="宋体" w:hAnsi="宋体" w:cs="宋体"/>
          <w:color w:val="auto"/>
          <w:highlight w:val="none"/>
        </w:rPr>
      </w:pPr>
    </w:p>
    <w:p w14:paraId="54542A8F">
      <w:pPr>
        <w:rPr>
          <w:rFonts w:hint="eastAsia" w:ascii="宋体" w:hAnsi="宋体" w:cs="宋体"/>
          <w:color w:val="auto"/>
          <w:highlight w:val="none"/>
        </w:rPr>
      </w:pPr>
    </w:p>
    <w:p w14:paraId="36BCB122">
      <w:pPr>
        <w:rPr>
          <w:rFonts w:hint="eastAsia" w:ascii="宋体" w:hAnsi="宋体" w:cs="宋体"/>
          <w:color w:val="auto"/>
          <w:highlight w:val="none"/>
        </w:rPr>
      </w:pPr>
    </w:p>
    <w:p w14:paraId="6ADFB77B">
      <w:pPr>
        <w:pStyle w:val="5"/>
        <w:rPr>
          <w:rFonts w:hint="eastAsia" w:ascii="宋体" w:hAnsi="宋体" w:cs="宋体"/>
          <w:color w:val="auto"/>
          <w:highlight w:val="none"/>
        </w:rPr>
      </w:pPr>
    </w:p>
    <w:p w14:paraId="238EECE3">
      <w:pPr>
        <w:pStyle w:val="6"/>
        <w:rPr>
          <w:rFonts w:hint="eastAsia" w:ascii="宋体" w:hAnsi="宋体" w:cs="宋体"/>
          <w:color w:val="auto"/>
          <w:highlight w:val="none"/>
        </w:rPr>
      </w:pPr>
    </w:p>
    <w:p w14:paraId="3D22760A">
      <w:pPr>
        <w:spacing w:line="360" w:lineRule="auto"/>
        <w:jc w:val="center"/>
        <w:outlineLvl w:val="0"/>
        <w:rPr>
          <w:rFonts w:hint="eastAsia" w:ascii="宋体" w:hAnsi="宋体" w:cs="宋体"/>
          <w:b/>
          <w:color w:val="auto"/>
          <w:sz w:val="44"/>
          <w:szCs w:val="28"/>
          <w:highlight w:val="none"/>
        </w:rPr>
      </w:pPr>
      <w:bookmarkStart w:id="45" w:name="_Toc29031"/>
      <w:r>
        <w:rPr>
          <w:rFonts w:hint="eastAsia" w:ascii="宋体" w:hAnsi="宋体" w:cs="宋体"/>
          <w:b/>
          <w:color w:val="auto"/>
          <w:sz w:val="44"/>
          <w:szCs w:val="28"/>
          <w:highlight w:val="none"/>
        </w:rPr>
        <w:t>第二篇　</w:t>
      </w:r>
      <w:bookmarkEnd w:id="9"/>
      <w:bookmarkEnd w:id="10"/>
      <w:r>
        <w:rPr>
          <w:rFonts w:hint="eastAsia" w:ascii="宋体" w:hAnsi="宋体" w:cs="宋体"/>
          <w:b/>
          <w:color w:val="auto"/>
          <w:sz w:val="44"/>
          <w:szCs w:val="28"/>
          <w:highlight w:val="none"/>
        </w:rPr>
        <w:t>投标人须知</w:t>
      </w:r>
      <w:bookmarkEnd w:id="44"/>
      <w:bookmarkEnd w:id="45"/>
    </w:p>
    <w:p w14:paraId="6E173299">
      <w:pPr>
        <w:spacing w:line="360" w:lineRule="auto"/>
        <w:jc w:val="center"/>
        <w:outlineLvl w:val="1"/>
        <w:rPr>
          <w:rFonts w:hint="eastAsia" w:ascii="宋体" w:hAnsi="宋体" w:cs="宋体"/>
          <w:b/>
          <w:color w:val="auto"/>
          <w:sz w:val="24"/>
          <w:szCs w:val="28"/>
          <w:highlight w:val="none"/>
        </w:rPr>
      </w:pPr>
    </w:p>
    <w:p w14:paraId="0AFD170A">
      <w:pPr>
        <w:spacing w:line="360" w:lineRule="auto"/>
        <w:jc w:val="center"/>
        <w:outlineLvl w:val="1"/>
        <w:rPr>
          <w:rFonts w:hint="eastAsia" w:ascii="宋体" w:hAnsi="宋体" w:cs="宋体"/>
          <w:b/>
          <w:color w:val="auto"/>
          <w:sz w:val="24"/>
          <w:szCs w:val="28"/>
          <w:highlight w:val="none"/>
        </w:rPr>
      </w:pPr>
    </w:p>
    <w:p w14:paraId="2A698D10">
      <w:pPr>
        <w:spacing w:line="360" w:lineRule="auto"/>
        <w:jc w:val="center"/>
        <w:outlineLvl w:val="1"/>
        <w:rPr>
          <w:rFonts w:hint="eastAsia" w:ascii="宋体" w:hAnsi="宋体" w:cs="宋体"/>
          <w:b/>
          <w:color w:val="auto"/>
          <w:sz w:val="24"/>
          <w:szCs w:val="28"/>
          <w:highlight w:val="none"/>
        </w:rPr>
      </w:pPr>
    </w:p>
    <w:p w14:paraId="2E555BA8">
      <w:pPr>
        <w:spacing w:line="360" w:lineRule="auto"/>
        <w:jc w:val="center"/>
        <w:outlineLvl w:val="1"/>
        <w:rPr>
          <w:rFonts w:hint="eastAsia" w:ascii="宋体" w:hAnsi="宋体" w:cs="宋体"/>
          <w:b/>
          <w:color w:val="auto"/>
          <w:sz w:val="24"/>
          <w:szCs w:val="28"/>
          <w:highlight w:val="none"/>
        </w:rPr>
      </w:pPr>
    </w:p>
    <w:p w14:paraId="1BAA0264">
      <w:pPr>
        <w:pStyle w:val="2"/>
        <w:rPr>
          <w:rFonts w:hint="eastAsia" w:ascii="宋体" w:hAnsi="宋体" w:cs="宋体"/>
          <w:color w:val="auto"/>
          <w:highlight w:val="none"/>
        </w:rPr>
      </w:pPr>
    </w:p>
    <w:p w14:paraId="642A7F4E">
      <w:pPr>
        <w:rPr>
          <w:rFonts w:hint="eastAsia" w:ascii="宋体" w:hAnsi="宋体" w:cs="宋体"/>
          <w:color w:val="auto"/>
          <w:highlight w:val="none"/>
        </w:rPr>
      </w:pPr>
    </w:p>
    <w:p w14:paraId="4D62D064">
      <w:pPr>
        <w:rPr>
          <w:rFonts w:hint="eastAsia" w:ascii="宋体" w:hAnsi="宋体" w:cs="宋体"/>
          <w:color w:val="auto"/>
          <w:highlight w:val="none"/>
        </w:rPr>
      </w:pPr>
    </w:p>
    <w:p w14:paraId="62E16C3C">
      <w:pPr>
        <w:rPr>
          <w:rFonts w:hint="eastAsia" w:ascii="宋体" w:hAnsi="宋体" w:cs="宋体"/>
          <w:color w:val="auto"/>
          <w:highlight w:val="none"/>
        </w:rPr>
      </w:pPr>
    </w:p>
    <w:p w14:paraId="7D0226D0">
      <w:pPr>
        <w:rPr>
          <w:rFonts w:hint="eastAsia" w:ascii="宋体" w:hAnsi="宋体" w:cs="宋体"/>
          <w:color w:val="auto"/>
          <w:highlight w:val="none"/>
        </w:rPr>
      </w:pPr>
    </w:p>
    <w:p w14:paraId="569804C7">
      <w:pPr>
        <w:rPr>
          <w:rFonts w:hint="eastAsia" w:ascii="宋体" w:hAnsi="宋体" w:cs="宋体"/>
          <w:color w:val="auto"/>
          <w:highlight w:val="none"/>
        </w:rPr>
      </w:pPr>
    </w:p>
    <w:p w14:paraId="20FC3304">
      <w:pPr>
        <w:rPr>
          <w:rFonts w:hint="eastAsia" w:ascii="宋体" w:hAnsi="宋体" w:cs="宋体"/>
          <w:color w:val="auto"/>
          <w:highlight w:val="none"/>
        </w:rPr>
      </w:pPr>
    </w:p>
    <w:p w14:paraId="063DE970">
      <w:pPr>
        <w:rPr>
          <w:rFonts w:hint="eastAsia" w:ascii="宋体" w:hAnsi="宋体" w:cs="宋体"/>
          <w:color w:val="auto"/>
          <w:highlight w:val="none"/>
        </w:rPr>
      </w:pPr>
    </w:p>
    <w:p w14:paraId="10311E05">
      <w:pPr>
        <w:rPr>
          <w:rFonts w:hint="eastAsia" w:ascii="宋体" w:hAnsi="宋体" w:cs="宋体"/>
          <w:color w:val="auto"/>
          <w:highlight w:val="none"/>
        </w:rPr>
      </w:pPr>
    </w:p>
    <w:p w14:paraId="47595F5C">
      <w:pPr>
        <w:rPr>
          <w:rFonts w:hint="eastAsia" w:ascii="宋体" w:hAnsi="宋体" w:cs="宋体"/>
          <w:color w:val="auto"/>
          <w:highlight w:val="none"/>
        </w:rPr>
      </w:pPr>
    </w:p>
    <w:p w14:paraId="4AAC3971">
      <w:pPr>
        <w:rPr>
          <w:rFonts w:hint="eastAsia" w:ascii="宋体" w:hAnsi="宋体" w:cs="宋体"/>
          <w:color w:val="auto"/>
          <w:highlight w:val="none"/>
        </w:rPr>
      </w:pPr>
    </w:p>
    <w:p w14:paraId="4C2488E7">
      <w:pPr>
        <w:rPr>
          <w:rFonts w:hint="eastAsia" w:ascii="宋体" w:hAnsi="宋体" w:cs="宋体"/>
          <w:color w:val="auto"/>
          <w:highlight w:val="none"/>
        </w:rPr>
      </w:pPr>
    </w:p>
    <w:p w14:paraId="30A4F27E">
      <w:pPr>
        <w:rPr>
          <w:rFonts w:hint="eastAsia" w:ascii="宋体" w:hAnsi="宋体" w:cs="宋体"/>
          <w:color w:val="auto"/>
          <w:highlight w:val="none"/>
        </w:rPr>
      </w:pPr>
    </w:p>
    <w:p w14:paraId="2CFBDEDD">
      <w:pPr>
        <w:rPr>
          <w:rFonts w:hint="eastAsia" w:ascii="宋体" w:hAnsi="宋体" w:cs="宋体"/>
          <w:color w:val="auto"/>
          <w:highlight w:val="none"/>
        </w:rPr>
      </w:pPr>
      <w:bookmarkStart w:id="46" w:name="_Toc365817410"/>
      <w:bookmarkStart w:id="47" w:name="_Toc365631681"/>
      <w:bookmarkStart w:id="48" w:name="_Toc449081277"/>
    </w:p>
    <w:p w14:paraId="55A17D14">
      <w:pPr>
        <w:spacing w:line="360" w:lineRule="auto"/>
        <w:jc w:val="left"/>
        <w:outlineLvl w:val="1"/>
        <w:rPr>
          <w:rFonts w:hint="eastAsia" w:ascii="宋体" w:hAnsi="宋体" w:cs="宋体"/>
          <w:b/>
          <w:color w:val="auto"/>
          <w:sz w:val="24"/>
          <w:szCs w:val="28"/>
          <w:highlight w:val="none"/>
        </w:rPr>
      </w:pPr>
      <w:bookmarkStart w:id="49" w:name="_Toc14785"/>
      <w:r>
        <w:rPr>
          <w:rFonts w:hint="eastAsia" w:ascii="宋体" w:hAnsi="宋体" w:cs="宋体"/>
          <w:b/>
          <w:color w:val="auto"/>
          <w:sz w:val="24"/>
          <w:szCs w:val="28"/>
          <w:highlight w:val="none"/>
        </w:rPr>
        <w:t>一、投标须知前附表</w:t>
      </w:r>
      <w:bookmarkEnd w:id="46"/>
      <w:bookmarkEnd w:id="47"/>
      <w:bookmarkEnd w:id="48"/>
      <w:bookmarkEnd w:id="49"/>
    </w:p>
    <w:tbl>
      <w:tblPr>
        <w:tblStyle w:val="49"/>
        <w:tblW w:w="937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37"/>
        <w:gridCol w:w="7040"/>
      </w:tblGrid>
      <w:tr w14:paraId="78D24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99" w:type="dxa"/>
            <w:tcBorders>
              <w:top w:val="double" w:color="auto" w:sz="4" w:space="0"/>
            </w:tcBorders>
            <w:vAlign w:val="center"/>
          </w:tcPr>
          <w:p w14:paraId="2F485C55">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项目</w:t>
            </w:r>
          </w:p>
        </w:tc>
        <w:tc>
          <w:tcPr>
            <w:tcW w:w="1637" w:type="dxa"/>
            <w:tcBorders>
              <w:top w:val="double" w:color="auto" w:sz="4" w:space="0"/>
            </w:tcBorders>
            <w:vAlign w:val="center"/>
          </w:tcPr>
          <w:p w14:paraId="060AEA38">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c>
          <w:tcPr>
            <w:tcW w:w="7040" w:type="dxa"/>
            <w:tcBorders>
              <w:top w:val="double" w:color="auto" w:sz="4" w:space="0"/>
            </w:tcBorders>
            <w:vAlign w:val="center"/>
          </w:tcPr>
          <w:p w14:paraId="6BC828CE">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说明与要求</w:t>
            </w:r>
          </w:p>
        </w:tc>
      </w:tr>
      <w:tr w14:paraId="7C1164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35B1970A">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637" w:type="dxa"/>
            <w:vAlign w:val="center"/>
          </w:tcPr>
          <w:p w14:paraId="78FC3511">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7040" w:type="dxa"/>
            <w:vAlign w:val="center"/>
          </w:tcPr>
          <w:p w14:paraId="7E8CD697">
            <w:pPr>
              <w:keepNext w:val="0"/>
              <w:keepLines w:val="0"/>
              <w:pageBreakBefore w:val="0"/>
              <w:widowControl w:val="0"/>
              <w:kinsoku/>
              <w:wordWrap/>
              <w:overflowPunct/>
              <w:topLinePunct w:val="0"/>
              <w:autoSpaceDE/>
              <w:autoSpaceDN/>
              <w:bidi w:val="0"/>
              <w:adjustRightInd/>
              <w:snapToGrid/>
              <w:spacing w:line="396"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资金已落实。</w:t>
            </w:r>
          </w:p>
        </w:tc>
      </w:tr>
      <w:tr w14:paraId="6D6DE2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restart"/>
            <w:vAlign w:val="center"/>
          </w:tcPr>
          <w:p w14:paraId="423C0B67">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637" w:type="dxa"/>
            <w:vAlign w:val="center"/>
          </w:tcPr>
          <w:p w14:paraId="148E432A">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合格的投标人</w:t>
            </w:r>
          </w:p>
        </w:tc>
        <w:tc>
          <w:tcPr>
            <w:tcW w:w="7040" w:type="dxa"/>
            <w:vAlign w:val="center"/>
          </w:tcPr>
          <w:p w14:paraId="30B36672">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lang w:val="zh-CN"/>
              </w:rPr>
              <w:t>详见《第一篇投标邀请书》第二点“</w:t>
            </w:r>
            <w:r>
              <w:rPr>
                <w:rFonts w:hint="eastAsia" w:ascii="宋体" w:hAnsi="宋体" w:cs="宋体"/>
                <w:color w:val="auto"/>
                <w:szCs w:val="21"/>
                <w:highlight w:val="none"/>
              </w:rPr>
              <w:t>申请人的资格要求</w:t>
            </w:r>
            <w:r>
              <w:rPr>
                <w:rFonts w:hint="eastAsia" w:ascii="宋体" w:hAnsi="宋体" w:cs="宋体"/>
                <w:color w:val="auto"/>
                <w:szCs w:val="21"/>
                <w:highlight w:val="none"/>
                <w:lang w:val="zh-CN"/>
              </w:rPr>
              <w:t>”。</w:t>
            </w:r>
          </w:p>
        </w:tc>
      </w:tr>
      <w:tr w14:paraId="3934AC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vAlign w:val="center"/>
          </w:tcPr>
          <w:p w14:paraId="2B88E71A">
            <w:pPr>
              <w:keepNext w:val="0"/>
              <w:keepLines w:val="0"/>
              <w:pageBreakBefore w:val="0"/>
              <w:widowControl w:val="0"/>
              <w:kinsoku/>
              <w:wordWrap/>
              <w:overflowPunct/>
              <w:topLinePunct w:val="0"/>
              <w:autoSpaceDE/>
              <w:autoSpaceDN/>
              <w:bidi w:val="0"/>
              <w:adjustRightInd/>
              <w:snapToGrid/>
              <w:spacing w:line="396" w:lineRule="auto"/>
              <w:ind w:left="125"/>
              <w:jc w:val="center"/>
              <w:textAlignment w:val="auto"/>
              <w:rPr>
                <w:rFonts w:hint="eastAsia" w:ascii="宋体" w:hAnsi="宋体" w:cs="宋体"/>
                <w:b/>
                <w:color w:val="auto"/>
                <w:sz w:val="32"/>
                <w:szCs w:val="21"/>
                <w:highlight w:val="none"/>
              </w:rPr>
            </w:pPr>
          </w:p>
        </w:tc>
        <w:tc>
          <w:tcPr>
            <w:tcW w:w="1637" w:type="dxa"/>
            <w:vAlign w:val="center"/>
          </w:tcPr>
          <w:p w14:paraId="3E16A57D">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关于联合体</w:t>
            </w:r>
          </w:p>
        </w:tc>
        <w:tc>
          <w:tcPr>
            <w:tcW w:w="7040" w:type="dxa"/>
            <w:vAlign w:val="center"/>
          </w:tcPr>
          <w:p w14:paraId="05D78C79">
            <w:pPr>
              <w:keepNext w:val="0"/>
              <w:keepLines w:val="0"/>
              <w:pageBreakBefore w:val="0"/>
              <w:widowControl w:val="0"/>
              <w:kinsoku/>
              <w:wordWrap/>
              <w:overflowPunct/>
              <w:topLinePunct w:val="0"/>
              <w:autoSpaceDE/>
              <w:autoSpaceDN/>
              <w:bidi w:val="0"/>
              <w:adjustRightInd/>
              <w:snapToGrid/>
              <w:spacing w:line="396" w:lineRule="auto"/>
              <w:ind w:right="-195" w:rightChars="-93"/>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本项目不接受联合体投标。</w:t>
            </w:r>
          </w:p>
        </w:tc>
      </w:tr>
      <w:tr w14:paraId="0521E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34BE8A0D">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6.2</w:t>
            </w:r>
          </w:p>
        </w:tc>
        <w:tc>
          <w:tcPr>
            <w:tcW w:w="1637" w:type="dxa"/>
            <w:vAlign w:val="center"/>
          </w:tcPr>
          <w:p w14:paraId="0CC2DBAF">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7040" w:type="dxa"/>
            <w:vAlign w:val="center"/>
          </w:tcPr>
          <w:p w14:paraId="2A727C93">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招标人不集中组织。</w:t>
            </w:r>
          </w:p>
        </w:tc>
      </w:tr>
      <w:tr w14:paraId="059012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01ED7152">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7.3</w:t>
            </w:r>
          </w:p>
        </w:tc>
        <w:tc>
          <w:tcPr>
            <w:tcW w:w="1637" w:type="dxa"/>
            <w:vAlign w:val="center"/>
          </w:tcPr>
          <w:p w14:paraId="0D210147">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定义</w:t>
            </w:r>
          </w:p>
        </w:tc>
        <w:tc>
          <w:tcPr>
            <w:tcW w:w="7040" w:type="dxa"/>
            <w:vAlign w:val="center"/>
          </w:tcPr>
          <w:p w14:paraId="463AB3E5">
            <w:pPr>
              <w:keepNext w:val="0"/>
              <w:keepLines w:val="0"/>
              <w:pageBreakBefore w:val="0"/>
              <w:widowControl w:val="0"/>
              <w:tabs>
                <w:tab w:val="left" w:pos="19"/>
                <w:tab w:val="left" w:pos="586"/>
              </w:tabs>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招标人：本项目的招标人是</w:t>
            </w:r>
            <w:r>
              <w:rPr>
                <w:rFonts w:hint="eastAsia" w:ascii="宋体" w:hAnsi="宋体" w:cs="宋体"/>
                <w:color w:val="auto"/>
                <w:szCs w:val="21"/>
                <w:highlight w:val="none"/>
                <w:u w:val="single"/>
                <w:lang w:eastAsia="zh-CN"/>
              </w:rPr>
              <w:t>韶关学院</w:t>
            </w:r>
            <w:r>
              <w:rPr>
                <w:rFonts w:hint="eastAsia" w:ascii="宋体" w:hAnsi="宋体" w:cs="宋体"/>
                <w:color w:val="auto"/>
                <w:szCs w:val="21"/>
                <w:highlight w:val="none"/>
                <w:lang w:val="zh-CN"/>
              </w:rPr>
              <w:t>；</w:t>
            </w:r>
          </w:p>
          <w:p w14:paraId="55144461">
            <w:pPr>
              <w:keepNext w:val="0"/>
              <w:keepLines w:val="0"/>
              <w:pageBreakBefore w:val="0"/>
              <w:widowControl w:val="0"/>
              <w:tabs>
                <w:tab w:val="left" w:pos="19"/>
                <w:tab w:val="left" w:pos="586"/>
              </w:tabs>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2.招标代理机构：系指</w:t>
            </w:r>
            <w:r>
              <w:rPr>
                <w:rFonts w:hint="eastAsia" w:ascii="宋体" w:hAnsi="宋体" w:cs="宋体"/>
                <w:color w:val="auto"/>
                <w:szCs w:val="21"/>
                <w:highlight w:val="none"/>
                <w:u w:val="single"/>
                <w:lang w:val="zh-CN"/>
              </w:rPr>
              <w:t>广东远东招标代理有限公司</w:t>
            </w:r>
            <w:r>
              <w:rPr>
                <w:rFonts w:hint="eastAsia" w:ascii="宋体" w:hAnsi="宋体" w:cs="宋体"/>
                <w:color w:val="auto"/>
                <w:szCs w:val="21"/>
                <w:highlight w:val="none"/>
                <w:lang w:val="zh-CN"/>
              </w:rPr>
              <w:t>。</w:t>
            </w:r>
          </w:p>
        </w:tc>
      </w:tr>
      <w:tr w14:paraId="08F07D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0331332F">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637" w:type="dxa"/>
            <w:vAlign w:val="center"/>
          </w:tcPr>
          <w:p w14:paraId="118545B4">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招标文件的澄清</w:t>
            </w:r>
          </w:p>
        </w:tc>
        <w:tc>
          <w:tcPr>
            <w:tcW w:w="7040" w:type="dxa"/>
            <w:vAlign w:val="center"/>
          </w:tcPr>
          <w:p w14:paraId="2C882BE0">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1.招标人不统一组织答疑会。</w:t>
            </w:r>
          </w:p>
          <w:p w14:paraId="7813D1D8">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2.投标人质疑期限</w:t>
            </w:r>
            <w:r>
              <w:rPr>
                <w:rFonts w:hint="eastAsia" w:ascii="宋体" w:hAnsi="宋体" w:cs="宋体"/>
                <w:color w:val="auto"/>
                <w:szCs w:val="21"/>
                <w:highlight w:val="none"/>
                <w:lang w:eastAsia="zh-CN"/>
              </w:rPr>
              <w:t>：在</w:t>
            </w:r>
            <w:r>
              <w:rPr>
                <w:rFonts w:hint="eastAsia" w:ascii="宋体" w:hAnsi="宋体" w:cs="宋体"/>
                <w:color w:val="auto"/>
                <w:szCs w:val="21"/>
                <w:highlight w:val="none"/>
              </w:rPr>
              <w:t>招标文件公示期间或者自期满之日起7个工作日内以书面形式向招标人或招标代理机构提出质疑。</w:t>
            </w:r>
          </w:p>
          <w:p w14:paraId="72719883">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3.招标人澄清、修补或答疑期限：在投标截止日期前15日。不足15日的，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招标代理机构</w:t>
            </w:r>
            <w:r>
              <w:rPr>
                <w:rFonts w:hint="eastAsia" w:ascii="宋体" w:hAnsi="宋体" w:cs="宋体"/>
                <w:color w:val="auto"/>
                <w:szCs w:val="21"/>
                <w:highlight w:val="none"/>
              </w:rPr>
              <w:t xml:space="preserve">应当顺延提交投标文件的截止时间。                                      </w:t>
            </w:r>
          </w:p>
          <w:p w14:paraId="096C0DD0">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4.潜在投标人在收到上述通知或在全国公共资源交易平台（广东省·韶关市）（https://ygp.gdzwfw.gov.cn/ggzy-portal/#/440200/index）上查阅相关通知或公告后，应当立即以书面形式向招标代理机构确认，如在修改通知或公告发布之日起5天内没有以书面形式向招标代理机构确认的，视作同意修改内容。</w:t>
            </w:r>
          </w:p>
        </w:tc>
      </w:tr>
      <w:tr w14:paraId="01798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0CFA787A">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637" w:type="dxa"/>
            <w:vAlign w:val="center"/>
          </w:tcPr>
          <w:p w14:paraId="7FEC937E">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w:t>
            </w:r>
          </w:p>
        </w:tc>
        <w:tc>
          <w:tcPr>
            <w:tcW w:w="7040" w:type="dxa"/>
            <w:vAlign w:val="center"/>
          </w:tcPr>
          <w:p w14:paraId="31E34B4D">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1.投标文件由</w:t>
            </w:r>
            <w:r>
              <w:rPr>
                <w:rFonts w:hint="eastAsia" w:ascii="宋体" w:hAnsi="宋体" w:cs="宋体"/>
                <w:color w:val="auto"/>
                <w:szCs w:val="21"/>
                <w:highlight w:val="none"/>
                <w:lang w:val="zh-CN"/>
              </w:rPr>
              <w:t>自查表、经济部分、商务部分、技术部分四部分组成</w:t>
            </w:r>
            <w:r>
              <w:rPr>
                <w:rFonts w:hint="eastAsia" w:ascii="宋体" w:hAnsi="宋体" w:cs="宋体"/>
                <w:color w:val="auto"/>
                <w:szCs w:val="21"/>
                <w:highlight w:val="none"/>
              </w:rPr>
              <w:t>，合编成一本投标文件。投标文件一式五份，其中，一份正本，四份副本；</w:t>
            </w:r>
          </w:p>
          <w:p w14:paraId="76F0F5B1">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b/>
                <w:bCs/>
                <w:color w:val="auto"/>
                <w:szCs w:val="21"/>
                <w:highlight w:val="none"/>
              </w:rPr>
              <w:t>电子文件一份</w:t>
            </w:r>
            <w:r>
              <w:rPr>
                <w:rFonts w:ascii="宋体" w:hAnsi="宋体" w:cs="宋体"/>
                <w:color w:val="auto"/>
                <w:szCs w:val="21"/>
                <w:highlight w:val="none"/>
              </w:rPr>
              <w:t>（要求U盘介质，</w:t>
            </w:r>
            <w:r>
              <w:rPr>
                <w:rFonts w:hint="eastAsia" w:ascii="宋体" w:hAnsi="宋体" w:cs="宋体"/>
                <w:color w:val="auto"/>
                <w:szCs w:val="21"/>
                <w:highlight w:val="none"/>
              </w:rPr>
              <w:t>PDF格式，</w:t>
            </w:r>
            <w:r>
              <w:rPr>
                <w:rFonts w:ascii="宋体" w:hAnsi="宋体" w:cs="宋体"/>
                <w:b/>
                <w:bCs/>
                <w:color w:val="auto"/>
                <w:sz w:val="28"/>
                <w:szCs w:val="28"/>
                <w:highlight w:val="none"/>
                <w:u w:val="single"/>
              </w:rPr>
              <w:t>为</w:t>
            </w:r>
            <w:r>
              <w:rPr>
                <w:rFonts w:hint="eastAsia" w:ascii="宋体" w:hAnsi="宋体" w:cs="宋体"/>
                <w:b/>
                <w:bCs/>
                <w:color w:val="auto"/>
                <w:sz w:val="28"/>
                <w:szCs w:val="28"/>
                <w:highlight w:val="none"/>
                <w:u w:val="single"/>
              </w:rPr>
              <w:t>投标文件</w:t>
            </w:r>
            <w:r>
              <w:rPr>
                <w:rFonts w:ascii="宋体" w:hAnsi="宋体" w:cs="宋体"/>
                <w:b/>
                <w:bCs/>
                <w:color w:val="auto"/>
                <w:sz w:val="28"/>
                <w:szCs w:val="28"/>
                <w:highlight w:val="none"/>
                <w:u w:val="single"/>
              </w:rPr>
              <w:t>加盖公章的正本扫描件</w:t>
            </w:r>
            <w:r>
              <w:rPr>
                <w:rFonts w:ascii="宋体" w:hAnsi="宋体" w:cs="宋体"/>
                <w:color w:val="auto"/>
                <w:szCs w:val="21"/>
                <w:highlight w:val="none"/>
              </w:rPr>
              <w:t>，不留密码，无病毒，不压缩，内容应与</w:t>
            </w:r>
            <w:r>
              <w:rPr>
                <w:rFonts w:hint="eastAsia" w:ascii="宋体" w:hAnsi="宋体" w:cs="宋体"/>
                <w:color w:val="auto"/>
                <w:szCs w:val="21"/>
                <w:highlight w:val="none"/>
              </w:rPr>
              <w:t>投标人</w:t>
            </w:r>
            <w:r>
              <w:rPr>
                <w:rFonts w:ascii="宋体" w:hAnsi="宋体" w:cs="宋体"/>
                <w:color w:val="auto"/>
                <w:szCs w:val="21"/>
                <w:highlight w:val="none"/>
              </w:rPr>
              <w:t>打印产生的纸质</w:t>
            </w:r>
            <w:r>
              <w:rPr>
                <w:rFonts w:hint="eastAsia" w:ascii="宋体" w:hAnsi="宋体" w:cs="宋体"/>
                <w:color w:val="auto"/>
                <w:szCs w:val="21"/>
                <w:highlight w:val="none"/>
              </w:rPr>
              <w:t>投标文件</w:t>
            </w:r>
            <w:r>
              <w:rPr>
                <w:rFonts w:ascii="宋体" w:hAnsi="宋体" w:cs="宋体"/>
                <w:color w:val="auto"/>
                <w:szCs w:val="21"/>
                <w:highlight w:val="none"/>
              </w:rPr>
              <w:t>内容一致，如有不同，以纸质</w:t>
            </w:r>
            <w:r>
              <w:rPr>
                <w:rFonts w:hint="eastAsia" w:ascii="宋体" w:hAnsi="宋体" w:cs="宋体"/>
                <w:color w:val="auto"/>
                <w:szCs w:val="21"/>
                <w:highlight w:val="none"/>
              </w:rPr>
              <w:t>投标文件</w:t>
            </w:r>
            <w:r>
              <w:rPr>
                <w:rFonts w:ascii="宋体" w:hAnsi="宋体" w:cs="宋体"/>
                <w:color w:val="auto"/>
                <w:szCs w:val="21"/>
                <w:highlight w:val="none"/>
              </w:rPr>
              <w:t>为准）。</w:t>
            </w:r>
          </w:p>
          <w:p w14:paraId="7D3BFD83">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olor w:val="auto"/>
                <w:szCs w:val="21"/>
                <w:highlight w:val="none"/>
              </w:rPr>
              <w:t>3.特别注意事项：在投标文件提交截止时间前，投标人须在产权招标交易系统按要求完成授权、投标保证交纳及在线投标（</w:t>
            </w:r>
            <w:r>
              <w:rPr>
                <w:rFonts w:hint="eastAsia" w:ascii="宋体" w:hAnsi="宋体"/>
                <w:b/>
                <w:bCs/>
                <w:color w:val="auto"/>
                <w:kern w:val="0"/>
                <w:szCs w:val="21"/>
                <w:highlight w:val="none"/>
              </w:rPr>
              <w:t>投标人须于投标截止时间前将电子投标文件上传到产权招标交易系统并完成在线投标。</w:t>
            </w:r>
            <w:r>
              <w:rPr>
                <w:rFonts w:hint="eastAsia" w:ascii="宋体" w:hAnsi="宋体"/>
                <w:b/>
                <w:bCs/>
                <w:color w:val="auto"/>
                <w:kern w:val="0"/>
                <w:szCs w:val="21"/>
                <w:highlight w:val="none"/>
                <w:lang w:eastAsia="zh-CN"/>
              </w:rPr>
              <w:t>）</w:t>
            </w:r>
            <w:r>
              <w:rPr>
                <w:rFonts w:hint="eastAsia" w:ascii="宋体" w:hAnsi="宋体"/>
                <w:color w:val="auto"/>
                <w:szCs w:val="21"/>
                <w:highlight w:val="none"/>
              </w:rPr>
              <w:t>，相关操作流程详见全国公共资源交易平台（广东省·韶关市）的《韶关市公共资源交易平台产权招标系统投标人操作手册》。如遇系统问题请联系系统技术支持</w:t>
            </w:r>
            <w:r>
              <w:rPr>
                <w:rFonts w:hint="eastAsia" w:ascii="宋体" w:hAnsi="宋体"/>
                <w:color w:val="auto"/>
                <w:szCs w:val="21"/>
                <w:highlight w:val="none"/>
                <w:lang w:eastAsia="zh-CN"/>
              </w:rPr>
              <w:t>：</w:t>
            </w:r>
            <w:r>
              <w:rPr>
                <w:rFonts w:hint="eastAsia" w:ascii="宋体" w:hAnsi="宋体"/>
                <w:color w:val="auto"/>
                <w:szCs w:val="21"/>
                <w:highlight w:val="none"/>
              </w:rPr>
              <w:t>伍工电话：0751-8379671。</w:t>
            </w:r>
          </w:p>
        </w:tc>
      </w:tr>
      <w:tr w14:paraId="02889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2D97ED76">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637" w:type="dxa"/>
            <w:vAlign w:val="center"/>
          </w:tcPr>
          <w:p w14:paraId="387D98F1">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证明投标人的合格性的证明文件</w:t>
            </w:r>
          </w:p>
        </w:tc>
        <w:tc>
          <w:tcPr>
            <w:tcW w:w="7040" w:type="dxa"/>
            <w:vAlign w:val="center"/>
          </w:tcPr>
          <w:p w14:paraId="3CB2D697">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投标人具有履行合同所需的财务、技术和维护能力的资格证明文件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复印件加盖投标人公章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C35855">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1.具有独立承担民事责任的能力【提供在中华人民共和国境内注册的法人或其他组织的营业执照或事业单位法人证书或社会团体法人登记证书复印件；如国家另有规定的，则从其规定】。</w:t>
            </w:r>
          </w:p>
          <w:p w14:paraId="02662A0A">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有依法缴纳税收和社会保障资金的良好记录【提供投标截止日前6个月内任意1个月依法缴纳税收和社会保障资金的相关材料。如依法免税或不需要缴纳社会保障资金的，提供相应证明材料】。</w:t>
            </w:r>
          </w:p>
          <w:p w14:paraId="5C6D36FD">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具有良好的商业信誉和健全的财务会计制度【提供以下2种证明材料之一：①投标人必须提供2025年度经会计师事务所审计的财务状况报告，2026年新成立的则提供2026年至今任意1个月的财务状况报表；②同时提供a.基本开户行出具的资信证明，b.《基本存款账号信息》或《开户许可证》】。</w:t>
            </w:r>
          </w:p>
          <w:p w14:paraId="28503B31">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4.具有履行合同所必需的设备和专业技术能力【投标人必须提供《关于具有履行合同所必需的设备和专业技术能力的承诺》，格式参考本招标文件第五篇投标文件格式“5-1《关于具有履行合同所必需的设备和专业技术能力的承诺》】。</w:t>
            </w:r>
          </w:p>
          <w:p w14:paraId="49D4AD22">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5.参加招标活动前三年内，在经营活动中没有重大违法记录【投标人必须提供《守法经营声明书》，格式参考本招标文件第五篇投标文件格式“5-2《守法经营声明书》。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8F0DEA">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6.法律、行政法规规定的其他条件【投标人必须提供《守法经营声明书》，格式参考本招标文件第五篇投标文件格式“5-2《守法经营声明书》】。</w:t>
            </w:r>
          </w:p>
          <w:p w14:paraId="44CCB5D9">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与招标人存在利害关系可能影响招标公正性的法人、其他组织或者个人，不得参加投标。单位负责人为同一人或者存在控股、管理关系的不同单位，不得参加同一标段（包组）投标或者未划分标段（包组）的同一招标项目投标。</w:t>
            </w:r>
          </w:p>
          <w:p w14:paraId="11B43564">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8.投标人应具备有效的《食品生产许可证》《中华人民共和国取水许可证》。</w:t>
            </w:r>
          </w:p>
          <w:p w14:paraId="416ACCA6">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投标人未被列入“信用中国”网站（www.creditchina.gov.cn）发布的《法人和非法人组织公共信用信息报告》严重失信主体名单的。</w:t>
            </w:r>
          </w:p>
          <w:p w14:paraId="45B38C36">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10.本项目不接受联合体投标。</w:t>
            </w:r>
          </w:p>
          <w:p w14:paraId="4454C14E">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11.本项目不接受以任何方式进行转包或分包。</w:t>
            </w:r>
          </w:p>
        </w:tc>
      </w:tr>
      <w:tr w14:paraId="29BB24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4E0F6BB4">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637" w:type="dxa"/>
            <w:vAlign w:val="center"/>
          </w:tcPr>
          <w:p w14:paraId="40A3AC50">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投标保证</w:t>
            </w:r>
          </w:p>
        </w:tc>
        <w:tc>
          <w:tcPr>
            <w:tcW w:w="7040" w:type="dxa"/>
            <w:vAlign w:val="center"/>
          </w:tcPr>
          <w:p w14:paraId="012B53F4">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lang w:eastAsia="zh-CN"/>
              </w:rPr>
              <w:t>投标保证</w:t>
            </w:r>
            <w:r>
              <w:rPr>
                <w:rFonts w:hint="eastAsia" w:ascii="宋体" w:hAnsi="宋体"/>
                <w:color w:val="auto"/>
                <w:highlight w:val="none"/>
              </w:rPr>
              <w:t>金额：</w:t>
            </w:r>
            <w:r>
              <w:rPr>
                <w:rFonts w:hint="eastAsia" w:ascii="宋体" w:hAnsi="宋体"/>
                <w:color w:val="auto"/>
                <w:szCs w:val="22"/>
                <w:highlight w:val="none"/>
                <w:u w:val="single"/>
              </w:rPr>
              <w:t>人民币</w:t>
            </w:r>
            <w:r>
              <w:rPr>
                <w:rFonts w:hint="eastAsia" w:ascii="宋体" w:hAnsi="宋体"/>
                <w:color w:val="auto"/>
                <w:szCs w:val="22"/>
                <w:highlight w:val="none"/>
                <w:u w:val="single"/>
                <w:lang w:val="en-US" w:eastAsia="zh-CN"/>
              </w:rPr>
              <w:t>贰万元整</w:t>
            </w:r>
            <w:r>
              <w:rPr>
                <w:rFonts w:hint="eastAsia" w:ascii="宋体" w:hAnsi="宋体"/>
                <w:color w:val="auto"/>
                <w:szCs w:val="22"/>
                <w:highlight w:val="none"/>
                <w:u w:val="single"/>
              </w:rPr>
              <w:t>（¥</w:t>
            </w:r>
            <w:r>
              <w:rPr>
                <w:rFonts w:hint="eastAsia" w:ascii="宋体" w:hAnsi="宋体"/>
                <w:color w:val="auto"/>
                <w:szCs w:val="22"/>
                <w:highlight w:val="none"/>
                <w:u w:val="single"/>
                <w:lang w:val="en-US" w:eastAsia="zh-CN"/>
              </w:rPr>
              <w:t>2</w:t>
            </w:r>
            <w:r>
              <w:rPr>
                <w:rFonts w:hint="eastAsia" w:ascii="宋体" w:hAnsi="宋体"/>
                <w:color w:val="auto"/>
                <w:szCs w:val="22"/>
                <w:highlight w:val="none"/>
                <w:u w:val="single"/>
              </w:rPr>
              <w:t>0,000.00）</w:t>
            </w:r>
          </w:p>
          <w:p w14:paraId="0C9CC4D2">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w:t>
            </w:r>
            <w:r>
              <w:rPr>
                <w:rFonts w:hint="eastAsia" w:ascii="宋体" w:hAnsi="宋体"/>
                <w:color w:val="auto"/>
                <w:highlight w:val="none"/>
              </w:rPr>
              <w:t>投标保证交纳截止时间：详见</w:t>
            </w:r>
            <w:r>
              <w:rPr>
                <w:rFonts w:hint="eastAsia" w:ascii="宋体" w:hAnsi="宋体"/>
                <w:color w:val="auto"/>
                <w:highlight w:val="none"/>
                <w:lang w:val="en-US" w:eastAsia="zh-CN"/>
              </w:rPr>
              <w:t>投标邀请书</w:t>
            </w:r>
            <w:r>
              <w:rPr>
                <w:rFonts w:hint="eastAsia" w:ascii="宋体" w:hAnsi="宋体"/>
                <w:color w:val="auto"/>
                <w:highlight w:val="none"/>
              </w:rPr>
              <w:t>“六、其他补充事宜”。</w:t>
            </w:r>
          </w:p>
          <w:p w14:paraId="7BD80770">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bCs/>
                <w:color w:val="auto"/>
                <w:szCs w:val="21"/>
                <w:highlight w:val="none"/>
                <w:lang w:val="zh-CN" w:eastAsia="zh-CN"/>
              </w:rPr>
            </w:pPr>
            <w:r>
              <w:rPr>
                <w:rFonts w:hint="eastAsia" w:ascii="宋体" w:hAnsi="宋体"/>
                <w:color w:val="auto"/>
                <w:highlight w:val="none"/>
              </w:rPr>
              <w:t>3.缴纳投标保证方式：详见</w:t>
            </w:r>
            <w:r>
              <w:rPr>
                <w:rFonts w:hint="eastAsia" w:ascii="宋体" w:hAnsi="宋体"/>
                <w:color w:val="auto"/>
                <w:highlight w:val="none"/>
                <w:lang w:val="en-US" w:eastAsia="zh-CN"/>
              </w:rPr>
              <w:t>投标邀请书</w:t>
            </w:r>
            <w:r>
              <w:rPr>
                <w:rFonts w:hint="eastAsia" w:ascii="宋体" w:hAnsi="宋体"/>
                <w:color w:val="auto"/>
                <w:highlight w:val="none"/>
              </w:rPr>
              <w:t>“六、其他补充事宜”。</w:t>
            </w:r>
          </w:p>
        </w:tc>
      </w:tr>
      <w:tr w14:paraId="5966F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0B742BB4">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637" w:type="dxa"/>
            <w:vAlign w:val="center"/>
          </w:tcPr>
          <w:p w14:paraId="02BD4CC5">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投标有效期</w:t>
            </w:r>
          </w:p>
        </w:tc>
        <w:tc>
          <w:tcPr>
            <w:tcW w:w="7040" w:type="dxa"/>
            <w:vAlign w:val="center"/>
          </w:tcPr>
          <w:p w14:paraId="3336D3C5">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zh-CN"/>
              </w:rPr>
              <w:t>递交投标文件截止日后90天内有效</w:t>
            </w:r>
          </w:p>
        </w:tc>
      </w:tr>
      <w:tr w14:paraId="3F6D9B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5EB3005F">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w:t>
            </w:r>
          </w:p>
        </w:tc>
        <w:tc>
          <w:tcPr>
            <w:tcW w:w="1637" w:type="dxa"/>
            <w:vAlign w:val="center"/>
          </w:tcPr>
          <w:p w14:paraId="142221AB">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投标文件份数</w:t>
            </w:r>
          </w:p>
        </w:tc>
        <w:tc>
          <w:tcPr>
            <w:tcW w:w="7040" w:type="dxa"/>
            <w:vAlign w:val="center"/>
          </w:tcPr>
          <w:p w14:paraId="7C7258D6">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1.投标文件由</w:t>
            </w:r>
            <w:r>
              <w:rPr>
                <w:rFonts w:hint="eastAsia" w:ascii="宋体" w:hAnsi="宋体" w:cs="宋体"/>
                <w:color w:val="auto"/>
                <w:szCs w:val="21"/>
                <w:highlight w:val="none"/>
                <w:lang w:val="zh-CN"/>
              </w:rPr>
              <w:t>自查表、经济部分、商务部分、技术部分四部分组成</w:t>
            </w:r>
            <w:r>
              <w:rPr>
                <w:rFonts w:hint="eastAsia" w:ascii="宋体" w:hAnsi="宋体" w:cs="宋体"/>
                <w:color w:val="auto"/>
                <w:szCs w:val="21"/>
                <w:highlight w:val="none"/>
              </w:rPr>
              <w:t>，合编成一本投标文件。</w:t>
            </w:r>
            <w:r>
              <w:rPr>
                <w:rFonts w:hint="eastAsia" w:ascii="宋体" w:hAnsi="宋体" w:cs="宋体"/>
                <w:b/>
                <w:bCs/>
                <w:color w:val="auto"/>
                <w:sz w:val="22"/>
                <w:szCs w:val="22"/>
                <w:highlight w:val="none"/>
              </w:rPr>
              <w:t>（注：为减少纸张浪费，节约环保，投标文件（正本和副本）请双面打印）</w:t>
            </w:r>
          </w:p>
          <w:p w14:paraId="0E695F11">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电子文件一份</w:t>
            </w:r>
            <w:r>
              <w:rPr>
                <w:rFonts w:ascii="宋体" w:hAnsi="宋体" w:cs="宋体"/>
                <w:color w:val="auto"/>
                <w:szCs w:val="21"/>
                <w:highlight w:val="none"/>
              </w:rPr>
              <w:t>（要求U盘介质，</w:t>
            </w:r>
            <w:r>
              <w:rPr>
                <w:rFonts w:hint="eastAsia" w:ascii="宋体" w:hAnsi="宋体" w:cs="宋体"/>
                <w:color w:val="auto"/>
                <w:szCs w:val="21"/>
                <w:highlight w:val="none"/>
              </w:rPr>
              <w:t>PDF格式，</w:t>
            </w:r>
            <w:r>
              <w:rPr>
                <w:rFonts w:ascii="宋体" w:hAnsi="宋体" w:cs="宋体"/>
                <w:b/>
                <w:bCs/>
                <w:color w:val="auto"/>
                <w:sz w:val="28"/>
                <w:szCs w:val="28"/>
                <w:highlight w:val="none"/>
                <w:u w:val="single"/>
              </w:rPr>
              <w:t>为</w:t>
            </w:r>
            <w:r>
              <w:rPr>
                <w:rFonts w:hint="eastAsia" w:ascii="宋体" w:hAnsi="宋体" w:cs="宋体"/>
                <w:b/>
                <w:bCs/>
                <w:color w:val="auto"/>
                <w:sz w:val="28"/>
                <w:szCs w:val="28"/>
                <w:highlight w:val="none"/>
                <w:u w:val="single"/>
              </w:rPr>
              <w:t>投标文件</w:t>
            </w:r>
            <w:r>
              <w:rPr>
                <w:rFonts w:ascii="宋体" w:hAnsi="宋体" w:cs="宋体"/>
                <w:b/>
                <w:bCs/>
                <w:color w:val="auto"/>
                <w:sz w:val="28"/>
                <w:szCs w:val="28"/>
                <w:highlight w:val="none"/>
                <w:u w:val="single"/>
              </w:rPr>
              <w:t>加盖公章的正本扫描件</w:t>
            </w:r>
            <w:r>
              <w:rPr>
                <w:rFonts w:ascii="宋体" w:hAnsi="宋体" w:cs="宋体"/>
                <w:color w:val="auto"/>
                <w:szCs w:val="21"/>
                <w:highlight w:val="none"/>
              </w:rPr>
              <w:t>，不留密码，无病毒，不压缩，内容应与</w:t>
            </w:r>
            <w:r>
              <w:rPr>
                <w:rFonts w:hint="eastAsia" w:ascii="宋体" w:hAnsi="宋体" w:cs="宋体"/>
                <w:color w:val="auto"/>
                <w:szCs w:val="21"/>
                <w:highlight w:val="none"/>
              </w:rPr>
              <w:t>投标人</w:t>
            </w:r>
            <w:r>
              <w:rPr>
                <w:rFonts w:ascii="宋体" w:hAnsi="宋体" w:cs="宋体"/>
                <w:color w:val="auto"/>
                <w:szCs w:val="21"/>
                <w:highlight w:val="none"/>
              </w:rPr>
              <w:t>打印产生的纸质</w:t>
            </w:r>
            <w:r>
              <w:rPr>
                <w:rFonts w:hint="eastAsia" w:ascii="宋体" w:hAnsi="宋体" w:cs="宋体"/>
                <w:color w:val="auto"/>
                <w:szCs w:val="21"/>
                <w:highlight w:val="none"/>
              </w:rPr>
              <w:t>投标文件</w:t>
            </w:r>
            <w:r>
              <w:rPr>
                <w:rFonts w:ascii="宋体" w:hAnsi="宋体" w:cs="宋体"/>
                <w:color w:val="auto"/>
                <w:szCs w:val="21"/>
                <w:highlight w:val="none"/>
              </w:rPr>
              <w:t>内容一致，如有不同，以纸质</w:t>
            </w:r>
            <w:r>
              <w:rPr>
                <w:rFonts w:hint="eastAsia" w:ascii="宋体" w:hAnsi="宋体" w:cs="宋体"/>
                <w:color w:val="auto"/>
                <w:szCs w:val="21"/>
                <w:highlight w:val="none"/>
              </w:rPr>
              <w:t>投标文件</w:t>
            </w:r>
            <w:r>
              <w:rPr>
                <w:rFonts w:ascii="宋体" w:hAnsi="宋体" w:cs="宋体"/>
                <w:color w:val="auto"/>
                <w:szCs w:val="21"/>
                <w:highlight w:val="none"/>
              </w:rPr>
              <w:t>为准）。</w:t>
            </w:r>
          </w:p>
          <w:p w14:paraId="43556E19">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olor w:val="auto"/>
                <w:szCs w:val="21"/>
                <w:highlight w:val="none"/>
              </w:rPr>
              <w:t>3.特别注意事项：在投标文件提交截止时间前，投标人须在产权招标交易系统按要求完成授权、投标保证交纳及在线投标（</w:t>
            </w:r>
            <w:r>
              <w:rPr>
                <w:rFonts w:hint="eastAsia" w:ascii="宋体" w:hAnsi="宋体"/>
                <w:b/>
                <w:bCs/>
                <w:color w:val="auto"/>
                <w:kern w:val="0"/>
                <w:szCs w:val="21"/>
                <w:highlight w:val="none"/>
              </w:rPr>
              <w:t>投标人须于投标截止时间前将电子投标文件上传到产权招标交易系统并完成在线投标。</w:t>
            </w:r>
            <w:r>
              <w:rPr>
                <w:rFonts w:hint="eastAsia" w:ascii="宋体" w:hAnsi="宋体"/>
                <w:b/>
                <w:bCs/>
                <w:color w:val="auto"/>
                <w:kern w:val="0"/>
                <w:szCs w:val="21"/>
                <w:highlight w:val="none"/>
                <w:lang w:eastAsia="zh-CN"/>
              </w:rPr>
              <w:t>）</w:t>
            </w:r>
            <w:r>
              <w:rPr>
                <w:rFonts w:hint="eastAsia" w:ascii="宋体" w:hAnsi="宋体"/>
                <w:color w:val="auto"/>
                <w:szCs w:val="21"/>
                <w:highlight w:val="none"/>
              </w:rPr>
              <w:t>，相关操作流程详见全国公共资源交易平台（广东省·韶关市）的《韶关市公共资源交易平台产权招标系统投标人操作手册》。如遇系统问题请联系系统技术支持</w:t>
            </w:r>
            <w:r>
              <w:rPr>
                <w:rFonts w:hint="eastAsia" w:ascii="宋体" w:hAnsi="宋体"/>
                <w:color w:val="auto"/>
                <w:szCs w:val="21"/>
                <w:highlight w:val="none"/>
                <w:lang w:eastAsia="zh-CN"/>
              </w:rPr>
              <w:t>：</w:t>
            </w:r>
            <w:r>
              <w:rPr>
                <w:rFonts w:hint="eastAsia" w:ascii="宋体" w:hAnsi="宋体"/>
                <w:color w:val="auto"/>
                <w:szCs w:val="21"/>
                <w:highlight w:val="none"/>
              </w:rPr>
              <w:t>伍工电话：0751-8379671。</w:t>
            </w:r>
          </w:p>
        </w:tc>
      </w:tr>
      <w:tr w14:paraId="72634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6B04EEE7">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637" w:type="dxa"/>
            <w:vAlign w:val="center"/>
          </w:tcPr>
          <w:p w14:paraId="374DF926">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lang w:val="zh-CN"/>
              </w:rPr>
            </w:pPr>
            <w:r>
              <w:rPr>
                <w:rFonts w:hint="eastAsia" w:ascii="宋体" w:hAnsi="宋体" w:cs="宋体"/>
                <w:bCs/>
                <w:color w:val="auto"/>
                <w:szCs w:val="21"/>
                <w:highlight w:val="none"/>
              </w:rPr>
              <w:t>投标文件的递交、接收和密封</w:t>
            </w:r>
          </w:p>
        </w:tc>
        <w:tc>
          <w:tcPr>
            <w:tcW w:w="7040" w:type="dxa"/>
            <w:vAlign w:val="center"/>
          </w:tcPr>
          <w:p w14:paraId="04B03439">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1.投标文件递交时间：投标截止时间前30分钟内，投标人应当现场提交投标文件</w:t>
            </w:r>
            <w:r>
              <w:rPr>
                <w:rFonts w:hint="eastAsia" w:ascii="宋体" w:hAnsi="宋体" w:cs="宋体"/>
                <w:color w:val="auto"/>
                <w:szCs w:val="21"/>
                <w:highlight w:val="none"/>
                <w:lang w:eastAsia="zh-CN"/>
              </w:rPr>
              <w:t>。</w:t>
            </w:r>
          </w:p>
          <w:p w14:paraId="3F192742">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投标人应凭以下资料递交投标文件：</w:t>
            </w:r>
          </w:p>
          <w:p w14:paraId="59DB657A">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（1）法定代表人递交投标文件：携带本人身份证件及法定代表人证明书；</w:t>
            </w:r>
          </w:p>
          <w:p w14:paraId="5D0FD98A">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（2）授权代表递交投标文件：携带本人身份证件及法定代表人授权书。</w:t>
            </w:r>
          </w:p>
          <w:p w14:paraId="1EAD4A2A">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3.地点：详见《投标邀请书》。</w:t>
            </w:r>
          </w:p>
          <w:p w14:paraId="419B051A">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投标截止时间：</w:t>
            </w:r>
            <w:r>
              <w:rPr>
                <w:rFonts w:hint="eastAsia" w:ascii="宋体" w:hAnsi="宋体" w:cs="宋体"/>
                <w:color w:val="auto"/>
                <w:szCs w:val="21"/>
                <w:highlight w:val="none"/>
              </w:rPr>
              <w:t>详见《投标邀请书》。</w:t>
            </w:r>
          </w:p>
        </w:tc>
      </w:tr>
      <w:tr w14:paraId="08832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65F3F0FE">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637" w:type="dxa"/>
            <w:vAlign w:val="center"/>
          </w:tcPr>
          <w:p w14:paraId="5A712D71">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开标时间、地点</w:t>
            </w:r>
          </w:p>
        </w:tc>
        <w:tc>
          <w:tcPr>
            <w:tcW w:w="7040" w:type="dxa"/>
            <w:vAlign w:val="center"/>
          </w:tcPr>
          <w:p w14:paraId="42E93AD7">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详见《投标邀请书》</w:t>
            </w:r>
          </w:p>
        </w:tc>
      </w:tr>
      <w:tr w14:paraId="1E10C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2B993A7B">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1637" w:type="dxa"/>
            <w:vAlign w:val="center"/>
          </w:tcPr>
          <w:p w14:paraId="30655893">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评标委员会</w:t>
            </w:r>
          </w:p>
        </w:tc>
        <w:tc>
          <w:tcPr>
            <w:tcW w:w="7040" w:type="dxa"/>
            <w:vAlign w:val="center"/>
          </w:tcPr>
          <w:p w14:paraId="3B03DBB7">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color w:val="auto"/>
                <w:szCs w:val="21"/>
                <w:highlight w:val="none"/>
                <w:u w:val="single"/>
              </w:rPr>
              <w:t>5</w:t>
            </w:r>
            <w:r>
              <w:rPr>
                <w:rFonts w:hint="eastAsia" w:ascii="宋体" w:hAnsi="宋体" w:cs="宋体"/>
                <w:color w:val="auto"/>
                <w:szCs w:val="21"/>
                <w:highlight w:val="none"/>
              </w:rPr>
              <w:t>人：成员总数的三分之二以上为</w:t>
            </w:r>
            <w:r>
              <w:rPr>
                <w:rFonts w:hint="eastAsia" w:ascii="宋体" w:hAnsi="宋体" w:cs="宋体"/>
                <w:color w:val="auto"/>
                <w:szCs w:val="21"/>
                <w:highlight w:val="none"/>
                <w:lang w:val="zh-CN"/>
              </w:rPr>
              <w:t>技术、经济等方面的专家，由专家库</w:t>
            </w:r>
            <w:r>
              <w:rPr>
                <w:rFonts w:hint="eastAsia" w:ascii="宋体" w:hAnsi="宋体" w:cs="宋体"/>
                <w:color w:val="auto"/>
                <w:szCs w:val="21"/>
                <w:highlight w:val="none"/>
              </w:rPr>
              <w:t>中随机抽取确定。</w:t>
            </w:r>
          </w:p>
        </w:tc>
      </w:tr>
      <w:tr w14:paraId="0EC83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Align w:val="center"/>
          </w:tcPr>
          <w:p w14:paraId="05928AF3">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637" w:type="dxa"/>
            <w:vAlign w:val="center"/>
          </w:tcPr>
          <w:p w14:paraId="61E94080">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评标方法</w:t>
            </w:r>
          </w:p>
        </w:tc>
        <w:tc>
          <w:tcPr>
            <w:tcW w:w="7040" w:type="dxa"/>
            <w:vAlign w:val="center"/>
          </w:tcPr>
          <w:p w14:paraId="4C5C5F7E">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综合评估法</w:t>
            </w:r>
          </w:p>
        </w:tc>
      </w:tr>
      <w:tr w14:paraId="4C438E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9" w:type="dxa"/>
            <w:vAlign w:val="center"/>
          </w:tcPr>
          <w:p w14:paraId="32986466">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29.3</w:t>
            </w:r>
          </w:p>
        </w:tc>
        <w:tc>
          <w:tcPr>
            <w:tcW w:w="1637" w:type="dxa"/>
            <w:vAlign w:val="center"/>
          </w:tcPr>
          <w:p w14:paraId="1B506BF5">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信息发布媒体</w:t>
            </w:r>
          </w:p>
        </w:tc>
        <w:tc>
          <w:tcPr>
            <w:tcW w:w="7040" w:type="dxa"/>
            <w:vAlign w:val="center"/>
          </w:tcPr>
          <w:p w14:paraId="11DA271E">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1.全国公共资源交易平台（广东省·韶关市）（https://ygp.gdzwfw.gov.cn/ggzy-portal/#/440200/index）</w:t>
            </w:r>
            <w:r>
              <w:rPr>
                <w:rFonts w:hint="eastAsia" w:ascii="宋体" w:hAnsi="宋体" w:cs="宋体"/>
                <w:color w:val="auto"/>
                <w:szCs w:val="21"/>
                <w:highlight w:val="none"/>
                <w:lang w:eastAsia="zh-CN"/>
              </w:rPr>
              <w:t>。</w:t>
            </w:r>
          </w:p>
          <w:p w14:paraId="617B9EE5">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2.中国招标投标公共服务平台（http://www.cebpubservice.com）</w:t>
            </w:r>
            <w:r>
              <w:rPr>
                <w:rFonts w:hint="eastAsia" w:ascii="宋体" w:hAnsi="宋体" w:cs="宋体"/>
                <w:color w:val="auto"/>
                <w:szCs w:val="21"/>
                <w:highlight w:val="none"/>
                <w:lang w:eastAsia="zh-CN"/>
              </w:rPr>
              <w:t>。</w:t>
            </w:r>
          </w:p>
          <w:p w14:paraId="107AC0ED">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3.中国采购与招标网（http://www.chinabidding.com.cn）</w:t>
            </w:r>
            <w:r>
              <w:rPr>
                <w:rFonts w:hint="eastAsia" w:ascii="宋体" w:hAnsi="宋体" w:cs="宋体"/>
                <w:color w:val="auto"/>
                <w:szCs w:val="21"/>
                <w:highlight w:val="none"/>
                <w:lang w:eastAsia="zh-CN"/>
              </w:rPr>
              <w:t>。</w:t>
            </w:r>
          </w:p>
          <w:p w14:paraId="1190608F">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4.广东远东招标代理有限公司网（http://www.gdydzb.com/）。 </w:t>
            </w:r>
          </w:p>
        </w:tc>
      </w:tr>
      <w:tr w14:paraId="7A9FCE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99" w:type="dxa"/>
            <w:vAlign w:val="center"/>
          </w:tcPr>
          <w:p w14:paraId="56C7546E">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637" w:type="dxa"/>
            <w:vAlign w:val="center"/>
          </w:tcPr>
          <w:p w14:paraId="37FED827">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履约保证</w:t>
            </w:r>
          </w:p>
        </w:tc>
        <w:tc>
          <w:tcPr>
            <w:tcW w:w="7040" w:type="dxa"/>
            <w:vAlign w:val="center"/>
          </w:tcPr>
          <w:p w14:paraId="37C47DFB">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1.收取比例：按照最终中标缴纳场地资源使用费（即合同应缴纳总金额）的10%，收取合同履约保证金。</w:t>
            </w:r>
          </w:p>
          <w:p w14:paraId="65EF8C77">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2.以银行汇票、本票或金融机构、担保机构出具的保函等非现金形式提交。保证中标人遵守招标文件要求、投标文件的承诺及合同约定的一切条款、条件和承诺，该保证金在招标人的规定存续期间不计息。 </w:t>
            </w:r>
          </w:p>
          <w:p w14:paraId="4DFBD8C1">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3.退还说明：</w:t>
            </w:r>
          </w:p>
          <w:p w14:paraId="7D051A34">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若中标人没有违约行为，履约保证金在服务期满30日内无息退还，以银行汇票、本票形式提交的，按原提交渠道退还；以电子保函（保险）形式提交的，在保函有效期届满后自动失效、自动解除担保责任，招标人无需主动办理保函解除及释放相关手续。如遇招标人暑假、财务年度封账期等客观无法办理退款手续的情况，退还时间相应顺延，顺延期间不计入逾期退款时限。履约保证金不予退还的情形：</w:t>
            </w:r>
          </w:p>
          <w:p w14:paraId="72419290">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①拒绝履行合同义务的；</w:t>
            </w:r>
          </w:p>
          <w:p w14:paraId="6E1850DC">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②履约验收不合格的。</w:t>
            </w:r>
          </w:p>
        </w:tc>
      </w:tr>
      <w:tr w14:paraId="00F22D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Align w:val="center"/>
          </w:tcPr>
          <w:p w14:paraId="5FB7C024">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37</w:t>
            </w:r>
          </w:p>
        </w:tc>
        <w:tc>
          <w:tcPr>
            <w:tcW w:w="1637" w:type="dxa"/>
            <w:vAlign w:val="center"/>
          </w:tcPr>
          <w:p w14:paraId="27531818">
            <w:pPr>
              <w:keepNext w:val="0"/>
              <w:keepLines w:val="0"/>
              <w:pageBreakBefore w:val="0"/>
              <w:widowControl w:val="0"/>
              <w:kinsoku/>
              <w:wordWrap/>
              <w:overflowPunct/>
              <w:topLinePunct w:val="0"/>
              <w:autoSpaceDE/>
              <w:autoSpaceDN/>
              <w:bidi w:val="0"/>
              <w:adjustRightInd/>
              <w:snapToGrid/>
              <w:spacing w:line="396" w:lineRule="auto"/>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招标代理服务费</w:t>
            </w:r>
          </w:p>
        </w:tc>
        <w:tc>
          <w:tcPr>
            <w:tcW w:w="7040" w:type="dxa"/>
            <w:vAlign w:val="center"/>
          </w:tcPr>
          <w:p w14:paraId="6E2400D3">
            <w:pPr>
              <w:keepNext w:val="0"/>
              <w:keepLines w:val="0"/>
              <w:pageBreakBefore w:val="0"/>
              <w:widowControl w:val="0"/>
              <w:kinsoku/>
              <w:wordWrap/>
              <w:overflowPunct/>
              <w:topLinePunct w:val="0"/>
              <w:autoSpaceDE/>
              <w:autoSpaceDN/>
              <w:bidi w:val="0"/>
              <w:adjustRightInd/>
              <w:snapToGrid/>
              <w:spacing w:line="39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招标代理服务费由中标供应商向招标代理公司一次性支付，</w:t>
            </w:r>
            <w:r>
              <w:rPr>
                <w:rFonts w:hint="eastAsia" w:ascii="宋体" w:hAnsi="宋体" w:cs="宋体"/>
                <w:color w:val="auto"/>
                <w:szCs w:val="21"/>
                <w:highlight w:val="none"/>
                <w:lang w:eastAsia="zh-CN"/>
              </w:rPr>
              <w:t>参照</w:t>
            </w:r>
            <w:r>
              <w:rPr>
                <w:rFonts w:hint="eastAsia" w:ascii="宋体" w:hAnsi="宋体" w:cs="宋体"/>
                <w:color w:val="auto"/>
                <w:szCs w:val="21"/>
                <w:highlight w:val="none"/>
              </w:rPr>
              <w:t>中华人民共和国国家发展计划委员会颁发的计价格</w:t>
            </w:r>
            <w:r>
              <w:rPr>
                <w:rFonts w:hint="eastAsia" w:ascii="宋体" w:hAnsi="宋体" w:cs="宋体"/>
                <w:color w:val="auto"/>
                <w:szCs w:val="21"/>
                <w:highlight w:val="none"/>
                <w:lang w:eastAsia="zh-CN"/>
              </w:rPr>
              <w:t>〔2002〕1980号</w:t>
            </w:r>
            <w:r>
              <w:rPr>
                <w:rFonts w:hint="eastAsia" w:ascii="宋体" w:hAnsi="宋体" w:cs="宋体"/>
                <w:color w:val="auto"/>
                <w:szCs w:val="21"/>
                <w:highlight w:val="none"/>
              </w:rPr>
              <w:t>、国家发改委</w:t>
            </w:r>
            <w:r>
              <w:rPr>
                <w:rFonts w:hint="eastAsia" w:ascii="宋体" w:hAnsi="宋体" w:cs="宋体"/>
                <w:color w:val="auto"/>
                <w:szCs w:val="21"/>
                <w:highlight w:val="none"/>
                <w:lang w:eastAsia="zh-CN"/>
              </w:rPr>
              <w:t>〔2003〕857号</w:t>
            </w:r>
            <w:r>
              <w:rPr>
                <w:rFonts w:hint="eastAsia" w:ascii="宋体" w:hAnsi="宋体" w:cs="宋体"/>
                <w:color w:val="auto"/>
                <w:szCs w:val="21"/>
                <w:highlight w:val="none"/>
              </w:rPr>
              <w:t>及发改价格</w:t>
            </w:r>
            <w:r>
              <w:rPr>
                <w:rFonts w:hint="eastAsia" w:ascii="宋体" w:hAnsi="宋体" w:cs="宋体"/>
                <w:color w:val="auto"/>
                <w:szCs w:val="21"/>
                <w:highlight w:val="none"/>
                <w:lang w:eastAsia="zh-CN"/>
              </w:rPr>
              <w:t>〔2011〕534号</w:t>
            </w:r>
            <w:r>
              <w:rPr>
                <w:rFonts w:hint="eastAsia" w:ascii="宋体" w:hAnsi="宋体" w:cs="宋体"/>
                <w:color w:val="auto"/>
                <w:szCs w:val="21"/>
                <w:highlight w:val="none"/>
              </w:rPr>
              <w:t>文规定的“</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lang w:eastAsia="zh-CN"/>
              </w:rPr>
              <w:t>类</w:t>
            </w:r>
            <w:r>
              <w:rPr>
                <w:rFonts w:hint="eastAsia" w:ascii="宋体" w:hAnsi="宋体" w:cs="宋体"/>
                <w:color w:val="auto"/>
                <w:szCs w:val="21"/>
                <w:highlight w:val="none"/>
              </w:rPr>
              <w:t>”，以220万元（根据甲方前两年</w:t>
            </w:r>
            <w:r>
              <w:rPr>
                <w:rFonts w:hint="eastAsia" w:ascii="宋体" w:hAnsi="宋体" w:cs="宋体"/>
                <w:color w:val="auto"/>
                <w:szCs w:val="21"/>
                <w:highlight w:val="none"/>
                <w:lang w:val="en-US" w:eastAsia="zh-CN"/>
              </w:rPr>
              <w:t>历史</w:t>
            </w:r>
            <w:r>
              <w:rPr>
                <w:rFonts w:hint="eastAsia" w:ascii="宋体" w:hAnsi="宋体" w:cs="宋体"/>
                <w:color w:val="auto"/>
                <w:szCs w:val="21"/>
                <w:highlight w:val="none"/>
              </w:rPr>
              <w:t>数据预估）作为收费的计算基数，按差额定率累进法计算后，招标服务费下浮20%向中标人收取</w:t>
            </w:r>
            <w:r>
              <w:rPr>
                <w:rFonts w:hint="eastAsia" w:ascii="宋体" w:hAnsi="宋体" w:cs="宋体"/>
                <w:color w:val="auto"/>
                <w:szCs w:val="21"/>
                <w:highlight w:val="none"/>
                <w:lang w:eastAsia="zh-CN"/>
              </w:rPr>
              <w:t>。</w:t>
            </w:r>
          </w:p>
        </w:tc>
      </w:tr>
    </w:tbl>
    <w:p w14:paraId="2D586498">
      <w:pPr>
        <w:pStyle w:val="3"/>
        <w:numPr>
          <w:ilvl w:val="1"/>
          <w:numId w:val="0"/>
        </w:numPr>
        <w:spacing w:line="360" w:lineRule="auto"/>
        <w:rPr>
          <w:rFonts w:hint="eastAsia" w:ascii="宋体" w:hAnsi="宋体" w:cs="宋体"/>
          <w:b/>
          <w:bCs/>
          <w:color w:val="auto"/>
          <w:kern w:val="44"/>
          <w:highlight w:val="none"/>
          <w:lang w:val="zh-CN"/>
        </w:rPr>
      </w:pPr>
      <w:bookmarkStart w:id="50" w:name="_Toc367785358"/>
      <w:bookmarkStart w:id="51" w:name="_Toc449081278"/>
      <w:bookmarkStart w:id="52" w:name="_Toc26101"/>
      <w:bookmarkStart w:id="53" w:name="_Toc8944"/>
      <w:bookmarkStart w:id="54" w:name="_Toc334004009"/>
      <w:bookmarkStart w:id="55" w:name="_Toc334018655"/>
      <w:r>
        <w:rPr>
          <w:rFonts w:hint="eastAsia" w:ascii="宋体" w:hAnsi="宋体" w:cs="宋体"/>
          <w:b/>
          <w:bCs/>
          <w:color w:val="auto"/>
          <w:kern w:val="44"/>
          <w:highlight w:val="none"/>
          <w:lang w:val="zh-CN"/>
        </w:rPr>
        <w:t>二、投标须知</w:t>
      </w:r>
      <w:bookmarkEnd w:id="50"/>
      <w:bookmarkEnd w:id="51"/>
      <w:bookmarkEnd w:id="52"/>
      <w:bookmarkEnd w:id="53"/>
    </w:p>
    <w:p w14:paraId="3317DD4E">
      <w:pPr>
        <w:pStyle w:val="4"/>
        <w:spacing w:before="140" w:after="140" w:line="360" w:lineRule="auto"/>
        <w:rPr>
          <w:rFonts w:hint="eastAsia" w:ascii="宋体" w:hAnsi="宋体" w:cs="宋体"/>
          <w:color w:val="auto"/>
          <w:kern w:val="44"/>
          <w:sz w:val="24"/>
          <w:highlight w:val="none"/>
          <w:lang w:val="zh-CN"/>
        </w:rPr>
      </w:pPr>
      <w:bookmarkStart w:id="56" w:name="_Toc449081279"/>
      <w:bookmarkStart w:id="57" w:name="_Toc4847"/>
      <w:bookmarkStart w:id="58" w:name="_Toc367785359"/>
      <w:bookmarkStart w:id="59" w:name="_Toc894"/>
      <w:r>
        <w:rPr>
          <w:rFonts w:hint="eastAsia" w:ascii="宋体" w:hAnsi="宋体" w:cs="宋体"/>
          <w:color w:val="auto"/>
          <w:kern w:val="44"/>
          <w:sz w:val="24"/>
          <w:highlight w:val="none"/>
          <w:lang w:val="zh-CN"/>
        </w:rPr>
        <w:t>（一）总则</w:t>
      </w:r>
      <w:bookmarkEnd w:id="56"/>
      <w:bookmarkEnd w:id="57"/>
      <w:bookmarkEnd w:id="58"/>
      <w:bookmarkEnd w:id="59"/>
    </w:p>
    <w:p w14:paraId="3591DB1E">
      <w:pPr>
        <w:tabs>
          <w:tab w:val="left" w:pos="567"/>
        </w:tabs>
        <w:spacing w:line="360" w:lineRule="auto"/>
        <w:ind w:left="567" w:hanging="567"/>
        <w:rPr>
          <w:rFonts w:hint="eastAsia" w:ascii="宋体" w:hAnsi="宋体" w:cs="宋体"/>
          <w:color w:val="auto"/>
          <w:szCs w:val="21"/>
          <w:highlight w:val="none"/>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资金来源：详见</w:t>
      </w:r>
      <w:r>
        <w:rPr>
          <w:rFonts w:hint="eastAsia" w:ascii="宋体" w:hAnsi="宋体" w:cs="宋体"/>
          <w:color w:val="auto"/>
          <w:szCs w:val="21"/>
          <w:highlight w:val="none"/>
        </w:rPr>
        <w:t>《投标须知前附表》。</w:t>
      </w:r>
    </w:p>
    <w:p w14:paraId="378FE950">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 xml:space="preserve">2    </w:t>
      </w:r>
      <w:r>
        <w:rPr>
          <w:rFonts w:hint="eastAsia" w:ascii="宋体" w:hAnsi="宋体" w:cs="宋体"/>
          <w:color w:val="auto"/>
          <w:szCs w:val="21"/>
          <w:highlight w:val="none"/>
          <w:lang w:val="zh-CN"/>
        </w:rPr>
        <w:t>招标适用范围：本招标文件仅适用于本次投标邀请中所叙述的服务及货物招标。本次招标采用一次报价一次评标定标的方式，投标人的报价必须固定，且只能作一个最有竞争力的报价和方案，否则将作无效投标处理。</w:t>
      </w:r>
    </w:p>
    <w:p w14:paraId="26F66C9E">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w:t>
      </w:r>
      <w:r>
        <w:rPr>
          <w:rFonts w:hint="eastAsia" w:ascii="宋体" w:hAnsi="宋体" w:cs="宋体"/>
          <w:color w:val="auto"/>
          <w:szCs w:val="21"/>
          <w:highlight w:val="none"/>
          <w:lang w:val="zh-CN"/>
        </w:rPr>
        <w:t xml:space="preserve">    招标适用的法律：本次招标适用的主要法律法规为《中华人民共和国招标投标法》《中华人民共和国招标投标法实施条例》及国家和广东省招标相关法规。</w:t>
      </w:r>
    </w:p>
    <w:p w14:paraId="56B1B8F9">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合格的投标人</w:t>
      </w:r>
    </w:p>
    <w:p w14:paraId="7B11FE8C">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4.1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符合招标文件规定的资格要求及特殊条件要求，合格投标人的条件详见《投标须知前附表》的“证明投标人的合格性的证明文件”。</w:t>
      </w:r>
    </w:p>
    <w:p w14:paraId="7C5F35BF">
      <w:pPr>
        <w:tabs>
          <w:tab w:val="left" w:pos="567"/>
          <w:tab w:val="left" w:pos="720"/>
          <w:tab w:val="left" w:pos="3460"/>
        </w:tabs>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4.2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投标人必须按照《中华人民共和国招标投标法》《中华人民共和国招标投标法实施条例》以及国家和广东省招标投标相关法规的规定进行投标。</w:t>
      </w:r>
    </w:p>
    <w:p w14:paraId="6B9DC803">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4.3  投标人应在投标文件中主动填报投标之前三年内有无受到各级管理部门的处分或处罚（含其授权服务的子公司、分公司等），如果不主动填报而被发现的，将取消其投标资格，并按有关规定从重处理。</w:t>
      </w:r>
    </w:p>
    <w:p w14:paraId="1F0EFD06">
      <w:pPr>
        <w:tabs>
          <w:tab w:val="left" w:pos="12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4.4  单位负责人为同一人或者存在直接控股、管理关系的不同投标人，不得参加同一合同项下的招标投标活动。</w:t>
      </w:r>
    </w:p>
    <w:p w14:paraId="1D0D923E">
      <w:pPr>
        <w:tabs>
          <w:tab w:val="left" w:pos="12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4.5  为招标项目提供整体设计、规范编制或者项目管理、监理、检测等服务的投标人，不得再参加该招标项目的其他招标活动。</w:t>
      </w:r>
    </w:p>
    <w:p w14:paraId="2CB01DCE">
      <w:pPr>
        <w:tabs>
          <w:tab w:val="left" w:pos="567"/>
        </w:tabs>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4.6  本项目不接受联合体投标。</w:t>
      </w:r>
    </w:p>
    <w:p w14:paraId="7B743409">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5</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纪律与保密事项</w:t>
      </w:r>
    </w:p>
    <w:p w14:paraId="33FD330F">
      <w:pPr>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5.1  投标人不得相互串通投标报价，或以不正当的手段妨碍、排挤其他投标人，扰乱招标市场，破坏公平竞争原则，不得损害招标人或其他投标人的合法权益，投标人不得以向招标人、评标委员会成员行贿或者采取其他不正当手段谋取中标。</w:t>
      </w:r>
    </w:p>
    <w:p w14:paraId="139C8E9C">
      <w:pPr>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5.2  获得本招标文件者，应对文件进行保密，不得用作本次投标以外的任何用途。若有要求，开标后，投标人应归还招标文件中保密的文件和资料。</w:t>
      </w:r>
    </w:p>
    <w:p w14:paraId="7817A713">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5.3  由招标人向投标人提供的图纸、详细资料、样品、模型、模件和所有其他资料，被视为保密资料，仅被用于它所规定的用途。除非得到招标人的同意，不能向任何第三方透露。开标结束后，应招标人要求，投标人应归还所有从招标人处获得的保密资料。</w:t>
      </w:r>
    </w:p>
    <w:p w14:paraId="3E716AC8">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5.4  除投标人被要求对投标文件进行澄清外，在确定中标人之前，投标人不得与招标人就投标价格、投标方案等实质性内容进行谈判，也不得私下接触评标委员会成员。</w:t>
      </w:r>
    </w:p>
    <w:p w14:paraId="201A3D45">
      <w:pPr>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5.5  从递交投标文件截止之日起至授予合同期间，在投标文件的审查、澄清、比较和评价阶段，投标人试图对评标委员会和招标代理机构施加任何影响或对招标人的比较及授予合同的决定产生影响，都可能导致其投标文件被拒绝。</w:t>
      </w:r>
    </w:p>
    <w:p w14:paraId="29AD45E7">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6</w:t>
      </w:r>
      <w:r>
        <w:rPr>
          <w:rFonts w:hint="eastAsia" w:ascii="宋体" w:hAnsi="宋体" w:cs="宋体"/>
          <w:color w:val="auto"/>
          <w:szCs w:val="21"/>
          <w:highlight w:val="none"/>
          <w:lang w:val="zh-CN"/>
        </w:rPr>
        <w:t xml:space="preserve">    其他说明</w:t>
      </w:r>
    </w:p>
    <w:p w14:paraId="775F6D7B">
      <w:pPr>
        <w:tabs>
          <w:tab w:val="left" w:pos="567"/>
        </w:tabs>
        <w:spacing w:line="360" w:lineRule="auto"/>
        <w:ind w:left="567" w:hanging="567" w:hangingChars="270"/>
        <w:rPr>
          <w:rFonts w:hint="eastAsia" w:ascii="宋体" w:hAnsi="宋体" w:cs="宋体"/>
          <w:color w:val="auto"/>
          <w:szCs w:val="21"/>
          <w:highlight w:val="none"/>
          <w:lang w:val="zh-CN"/>
        </w:rPr>
      </w:pPr>
      <w:r>
        <w:rPr>
          <w:rFonts w:hint="eastAsia" w:ascii="宋体" w:hAnsi="宋体" w:cs="宋体"/>
          <w:color w:val="auto"/>
          <w:szCs w:val="21"/>
          <w:highlight w:val="none"/>
          <w:lang w:val="zh-CN"/>
        </w:rPr>
        <w:t>6.1  投标费用：不论投标结果如何，投标人应承担自身因投标文件编制、递交及其他参加本次招标活动所涉及的一切费用，招标人对上述费用不负任何责任。</w:t>
      </w:r>
    </w:p>
    <w:p w14:paraId="22F7FB3A">
      <w:pPr>
        <w:tabs>
          <w:tab w:val="left" w:pos="567"/>
          <w:tab w:val="left" w:pos="927"/>
        </w:tabs>
        <w:spacing w:line="360" w:lineRule="auto"/>
        <w:ind w:left="630" w:hanging="630" w:hangingChars="300"/>
        <w:rPr>
          <w:rFonts w:hint="eastAsia" w:ascii="宋体" w:hAnsi="宋体" w:cs="宋体"/>
          <w:color w:val="auto"/>
          <w:szCs w:val="21"/>
          <w:highlight w:val="none"/>
          <w:lang w:val="zh-CN"/>
        </w:rPr>
      </w:pPr>
      <w:r>
        <w:rPr>
          <w:rFonts w:hint="eastAsia" w:ascii="宋体" w:hAnsi="宋体" w:cs="宋体"/>
          <w:color w:val="auto"/>
          <w:szCs w:val="21"/>
          <w:highlight w:val="none"/>
          <w:lang w:val="zh-CN"/>
        </w:rPr>
        <w:t>6.2  踏勘现场</w:t>
      </w:r>
    </w:p>
    <w:p w14:paraId="1E6D9725">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人应按本《投标须知前附表》所述时间和要求对项目现场及周围环境进行踏勘，投标人应充分重视和仔细地进行这种考察，以便获取那些须投标人自己负责的有关编制投标文件和签署合同所涉及现场所有的资料。一旦中标，这种考察即被认为其结果已在中标文件中得到充分反映。考察现场的费用由投标人自己承担。</w:t>
      </w:r>
    </w:p>
    <w:p w14:paraId="6D4C2D52">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（2）招标人向投标人提供的有关现场的数据和资料，是招标人现有的能被投标人利用的资料，招标人对投标人做出的任何推论、理解和结论均不负责任。</w:t>
      </w:r>
    </w:p>
    <w:p w14:paraId="1E739C8D">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14:paraId="54498724">
      <w:pPr>
        <w:pStyle w:val="4"/>
        <w:spacing w:before="140" w:after="140" w:line="360" w:lineRule="auto"/>
        <w:rPr>
          <w:rFonts w:hint="eastAsia" w:ascii="宋体" w:hAnsi="宋体" w:cs="宋体"/>
          <w:color w:val="auto"/>
          <w:kern w:val="44"/>
          <w:sz w:val="24"/>
          <w:highlight w:val="none"/>
          <w:lang w:val="zh-CN"/>
        </w:rPr>
      </w:pPr>
      <w:bookmarkStart w:id="60" w:name="_Toc5890"/>
      <w:bookmarkStart w:id="61" w:name="_Toc28324"/>
      <w:bookmarkStart w:id="62" w:name="_Toc449081280"/>
      <w:bookmarkStart w:id="63" w:name="_Toc367785360"/>
      <w:r>
        <w:rPr>
          <w:rFonts w:hint="eastAsia" w:ascii="宋体" w:hAnsi="宋体" w:cs="宋体"/>
          <w:color w:val="auto"/>
          <w:kern w:val="44"/>
          <w:sz w:val="24"/>
          <w:highlight w:val="none"/>
          <w:lang w:val="zh-CN"/>
        </w:rPr>
        <w:t>（二）</w:t>
      </w:r>
      <w:r>
        <w:rPr>
          <w:rFonts w:hint="eastAsia" w:ascii="宋体" w:hAnsi="宋体" w:cs="宋体"/>
          <w:color w:val="auto"/>
          <w:kern w:val="44"/>
          <w:sz w:val="24"/>
          <w:highlight w:val="none"/>
          <w:lang w:val="zh-CN"/>
        </w:rPr>
        <w:tab/>
      </w:r>
      <w:r>
        <w:rPr>
          <w:rFonts w:hint="eastAsia" w:ascii="宋体" w:hAnsi="宋体" w:cs="宋体"/>
          <w:color w:val="auto"/>
          <w:kern w:val="44"/>
          <w:sz w:val="24"/>
          <w:highlight w:val="none"/>
          <w:lang w:val="zh-CN"/>
        </w:rPr>
        <w:t>招标文件</w:t>
      </w:r>
      <w:bookmarkEnd w:id="60"/>
      <w:bookmarkEnd w:id="61"/>
      <w:bookmarkEnd w:id="62"/>
      <w:bookmarkEnd w:id="63"/>
    </w:p>
    <w:p w14:paraId="23D25994">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7</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招标文件的构成</w:t>
      </w:r>
    </w:p>
    <w:p w14:paraId="57C35303">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招标文件包括：</w:t>
      </w:r>
    </w:p>
    <w:p w14:paraId="7B548888">
      <w:pPr>
        <w:tabs>
          <w:tab w:val="left" w:pos="567"/>
        </w:tabs>
        <w:spacing w:line="360" w:lineRule="auto"/>
        <w:ind w:left="567" w:leftChars="25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第一篇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投标邀请书</w:t>
      </w:r>
    </w:p>
    <w:p w14:paraId="7506BF91">
      <w:pPr>
        <w:tabs>
          <w:tab w:val="left" w:pos="567"/>
        </w:tabs>
        <w:spacing w:line="360" w:lineRule="auto"/>
        <w:ind w:left="567" w:leftChars="25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第二篇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投标人须知</w:t>
      </w:r>
    </w:p>
    <w:p w14:paraId="1EF008C0">
      <w:pPr>
        <w:tabs>
          <w:tab w:val="left" w:pos="567"/>
        </w:tabs>
        <w:spacing w:line="360" w:lineRule="auto"/>
        <w:ind w:left="567" w:leftChars="25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第三篇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用户需求书</w:t>
      </w:r>
    </w:p>
    <w:p w14:paraId="798C76F4">
      <w:pPr>
        <w:tabs>
          <w:tab w:val="left" w:pos="567"/>
        </w:tabs>
        <w:spacing w:line="360" w:lineRule="auto"/>
        <w:ind w:left="567" w:leftChars="25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第四篇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合同条款格式</w:t>
      </w:r>
    </w:p>
    <w:p w14:paraId="1CBC5A3D">
      <w:pPr>
        <w:tabs>
          <w:tab w:val="left" w:pos="567"/>
        </w:tabs>
        <w:spacing w:line="360" w:lineRule="auto"/>
        <w:ind w:left="567" w:leftChars="25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第五篇</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投标文件格式</w:t>
      </w:r>
    </w:p>
    <w:p w14:paraId="00DEA9B6">
      <w:pPr>
        <w:tabs>
          <w:tab w:val="left" w:pos="567"/>
        </w:tabs>
        <w:spacing w:line="360" w:lineRule="auto"/>
        <w:ind w:left="567" w:leftChars="25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附件：评标工作大纲</w:t>
      </w:r>
    </w:p>
    <w:p w14:paraId="79214C88">
      <w:pPr>
        <w:spacing w:line="360" w:lineRule="auto"/>
        <w:ind w:left="420" w:hanging="420" w:hanging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7.2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应认真阅读、并充分理解招标文件的全部内容（包括所有的补充、修改内容、重要事项、格式、条款和技术规范、参数及要求等）。投标人没有按照招标文件要求提交全部资料，或者投标人没有对招标文件在各方面都做出实质性响应是投标人的风险，有可能导致其投标被拒绝，或被认定为无效投标或被确定为投标无效。</w:t>
      </w:r>
    </w:p>
    <w:p w14:paraId="0D81FE10">
      <w:pPr>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7.3 本招标文件使用的词语有如下定义：</w:t>
      </w:r>
    </w:p>
    <w:p w14:paraId="4EFC662E">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）“招标人”系指韶关学院。</w:t>
      </w:r>
    </w:p>
    <w:p w14:paraId="43E8DFA8">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）“招标代理机构”系指广东远东招标代理有限公司。</w:t>
      </w:r>
    </w:p>
    <w:p w14:paraId="57D90DEA">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）“投标人”系指响应招标、参加投标竞争的在中华人民共和国境内注册登记的法人或其他组织的营业执照或事业单位法人证书或社会团体法人。</w:t>
      </w:r>
    </w:p>
    <w:p w14:paraId="3CF7BAB3">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4</w:t>
      </w:r>
      <w:r>
        <w:rPr>
          <w:rFonts w:hint="eastAsia" w:ascii="宋体" w:hAnsi="宋体" w:cs="宋体"/>
          <w:color w:val="auto"/>
          <w:szCs w:val="21"/>
          <w:highlight w:val="none"/>
          <w:lang w:val="zh-CN"/>
        </w:rPr>
        <w:t>）“中标人”系指由评标委员会评审推荐，经法定程序确定获得本项目中标资格的投标人。</w:t>
      </w:r>
    </w:p>
    <w:p w14:paraId="06C24610">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5</w:t>
      </w:r>
      <w:r>
        <w:rPr>
          <w:rFonts w:hint="eastAsia" w:ascii="宋体" w:hAnsi="宋体" w:cs="宋体"/>
          <w:color w:val="auto"/>
          <w:szCs w:val="21"/>
          <w:highlight w:val="none"/>
          <w:lang w:val="zh-CN"/>
        </w:rPr>
        <w:t>）“评标委员会”系指依法组建，负责本次招标的评标工作机构。</w:t>
      </w:r>
    </w:p>
    <w:p w14:paraId="66068FE7">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6</w:t>
      </w:r>
      <w:r>
        <w:rPr>
          <w:rFonts w:hint="eastAsia" w:ascii="宋体" w:hAnsi="宋体" w:cs="宋体"/>
          <w:color w:val="auto"/>
          <w:szCs w:val="21"/>
          <w:highlight w:val="none"/>
          <w:lang w:val="zh-CN"/>
        </w:rPr>
        <w:t>）“甲方”系指在合同条款中指明的招标人。</w:t>
      </w:r>
    </w:p>
    <w:p w14:paraId="24CB84AF">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7</w:t>
      </w:r>
      <w:r>
        <w:rPr>
          <w:rFonts w:hint="eastAsia" w:ascii="宋体" w:hAnsi="宋体" w:cs="宋体"/>
          <w:color w:val="auto"/>
          <w:szCs w:val="21"/>
          <w:highlight w:val="none"/>
          <w:lang w:val="zh-CN"/>
        </w:rPr>
        <w:t>）“乙方”系指在合同条款中指明的本合同项下提供货物和相关服务的公司或实体。</w:t>
      </w:r>
    </w:p>
    <w:p w14:paraId="2EADF967">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8</w:t>
      </w:r>
      <w:r>
        <w:rPr>
          <w:rFonts w:hint="eastAsia" w:ascii="宋体" w:hAnsi="宋体" w:cs="宋体"/>
          <w:color w:val="auto"/>
          <w:szCs w:val="21"/>
          <w:highlight w:val="none"/>
          <w:lang w:val="zh-CN"/>
        </w:rPr>
        <w:t>）“招标文件”系指由招标代理机构发出的本招标文件，包括全部章节和附件。</w:t>
      </w:r>
    </w:p>
    <w:p w14:paraId="6345B75D">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9</w:t>
      </w:r>
      <w:r>
        <w:rPr>
          <w:rFonts w:hint="eastAsia" w:ascii="宋体" w:hAnsi="宋体" w:cs="宋体"/>
          <w:color w:val="auto"/>
          <w:szCs w:val="21"/>
          <w:highlight w:val="none"/>
          <w:lang w:val="zh-CN"/>
        </w:rPr>
        <w:t>）“投标文件”系指投标人根据本招标文件向招标代理机构提交的全部文件。</w:t>
      </w:r>
    </w:p>
    <w:p w14:paraId="0498478D">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10</w:t>
      </w:r>
      <w:r>
        <w:rPr>
          <w:rFonts w:hint="eastAsia" w:ascii="宋体" w:hAnsi="宋体" w:cs="宋体"/>
          <w:color w:val="auto"/>
          <w:szCs w:val="21"/>
          <w:highlight w:val="none"/>
          <w:lang w:val="zh-CN"/>
        </w:rPr>
        <w:t>）“书面函件”系指手写、打字或印刷的函件，包括电传、电报和传真。</w:t>
      </w:r>
    </w:p>
    <w:p w14:paraId="60FD9AC0">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11</w:t>
      </w:r>
      <w:r>
        <w:rPr>
          <w:rFonts w:hint="eastAsia" w:ascii="宋体" w:hAnsi="宋体" w:cs="宋体"/>
          <w:color w:val="auto"/>
          <w:szCs w:val="21"/>
          <w:highlight w:val="none"/>
          <w:lang w:val="zh-CN"/>
        </w:rPr>
        <w:t>）“合同”系指由本次招标所产生的合同或合约文件。</w:t>
      </w:r>
    </w:p>
    <w:p w14:paraId="7C26B03B">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12</w:t>
      </w:r>
      <w:r>
        <w:rPr>
          <w:rFonts w:hint="eastAsia" w:ascii="宋体" w:hAnsi="宋体" w:cs="宋体"/>
          <w:color w:val="auto"/>
          <w:szCs w:val="21"/>
          <w:highlight w:val="none"/>
          <w:lang w:val="zh-CN"/>
        </w:rPr>
        <w:t>）“日期”系指公历日。</w:t>
      </w:r>
    </w:p>
    <w:p w14:paraId="7343CAA1">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13</w:t>
      </w:r>
      <w:r>
        <w:rPr>
          <w:rFonts w:hint="eastAsia" w:ascii="宋体" w:hAnsi="宋体" w:cs="宋体"/>
          <w:color w:val="auto"/>
          <w:szCs w:val="21"/>
          <w:highlight w:val="none"/>
          <w:lang w:val="zh-CN"/>
        </w:rPr>
        <w:t>）“时间”系指北京时间。</w:t>
      </w:r>
    </w:p>
    <w:p w14:paraId="0AC184CB">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14</w:t>
      </w:r>
      <w:r>
        <w:rPr>
          <w:rFonts w:hint="eastAsia" w:ascii="宋体" w:hAnsi="宋体" w:cs="宋体"/>
          <w:color w:val="auto"/>
          <w:szCs w:val="21"/>
          <w:highlight w:val="none"/>
          <w:lang w:val="zh-CN"/>
        </w:rPr>
        <w:t>）“货物”是指投标人制造或组织符合招标文件要求的货物等。投标的货物必须是其合法生产、合法来源的符合国家有关标准要求的货物，并满足招标文件规定的规格、参数、质量、价格、有效期、售后服务等要求。</w:t>
      </w:r>
    </w:p>
    <w:p w14:paraId="3D100E6D">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15</w:t>
      </w:r>
      <w:r>
        <w:rPr>
          <w:rFonts w:hint="eastAsia" w:ascii="宋体" w:hAnsi="宋体" w:cs="宋体"/>
          <w:color w:val="auto"/>
          <w:szCs w:val="21"/>
          <w:highlight w:val="none"/>
          <w:lang w:val="zh-CN"/>
        </w:rPr>
        <w:t>）“服务”是指投标人按招标文件规定完成的全部服务内容，其中包括完成服务所需的货物，及须承担的技术支持、培训和其他伴随服务。</w:t>
      </w:r>
    </w:p>
    <w:p w14:paraId="2C064BA8">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（16）“工程”系指招标文件的图纸、工程量清单、用户需求所要求的卖方必须承担的工程项目及相关服务。</w:t>
      </w:r>
    </w:p>
    <w:p w14:paraId="089140A1">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17</w:t>
      </w:r>
      <w:r>
        <w:rPr>
          <w:rFonts w:hint="eastAsia" w:ascii="宋体" w:hAnsi="宋体" w:cs="宋体"/>
          <w:color w:val="auto"/>
          <w:szCs w:val="21"/>
          <w:highlight w:val="none"/>
          <w:lang w:val="zh-CN"/>
        </w:rPr>
        <w:t>）“实质性响应”系指符合招标文件的所有要求、条款、条件和规定，且没有不利于项目实施质量效果和服务保障的重大偏离或保留。</w:t>
      </w:r>
    </w:p>
    <w:p w14:paraId="476916BC">
      <w:pPr>
        <w:tabs>
          <w:tab w:val="left" w:pos="993"/>
        </w:tabs>
        <w:autoSpaceDE w:val="0"/>
        <w:autoSpaceDN w:val="0"/>
        <w:adjustRightInd w:val="0"/>
        <w:spacing w:line="360" w:lineRule="auto"/>
        <w:ind w:left="426"/>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18</w:t>
      </w:r>
      <w:r>
        <w:rPr>
          <w:rFonts w:hint="eastAsia" w:ascii="宋体" w:hAnsi="宋体" w:cs="宋体"/>
          <w:color w:val="auto"/>
          <w:szCs w:val="21"/>
          <w:highlight w:val="none"/>
          <w:lang w:val="zh-CN"/>
        </w:rPr>
        <w:t>）“重大偏离或保留”系指影响到招标文件规定的范围、质量和性能或限制了招标人的权力和投标人义务的规定，而纠正这些偏离将影响到其他投标人的公平竞争地位。</w:t>
      </w:r>
    </w:p>
    <w:p w14:paraId="259A179F">
      <w:pPr>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7.4 知识产权</w:t>
      </w:r>
    </w:p>
    <w:p w14:paraId="2388E2C4">
      <w:pPr>
        <w:spacing w:line="360" w:lineRule="auto"/>
        <w:ind w:left="462" w:leftChars="220" w:firstLine="315" w:firstLineChars="150"/>
        <w:rPr>
          <w:rFonts w:hint="eastAsia" w:ascii="宋体" w:hAnsi="宋体" w:cs="宋体"/>
          <w:color w:val="auto"/>
          <w:szCs w:val="21"/>
          <w:highlight w:val="none"/>
          <w:lang w:val="en-GB"/>
        </w:rPr>
      </w:pPr>
      <w:r>
        <w:rPr>
          <w:rFonts w:hint="eastAsia" w:ascii="宋体" w:hAnsi="宋体" w:cs="宋体"/>
          <w:color w:val="auto"/>
          <w:szCs w:val="21"/>
          <w:highlight w:val="none"/>
          <w:lang w:val="en-GB"/>
        </w:rPr>
        <w:t>投标人必须保证，招标人在中华人民共和国境内使用投标货物、资料、技术、服务或其任何一部分时，享有不受限制的无偿使用权，不会产生因第三方提出侵犯其专利权、商标权或其他知识产权而引起的法律或经济纠纷。如投标人不拥有相应的知识产权，则在投标报价中必须包括合法获取该知识产权的一切相关费用。</w:t>
      </w:r>
    </w:p>
    <w:p w14:paraId="55702EED">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8</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招标文件的澄清</w:t>
      </w:r>
    </w:p>
    <w:p w14:paraId="4BC51D01">
      <w:pPr>
        <w:tabs>
          <w:tab w:val="left" w:pos="567"/>
        </w:tabs>
        <w:spacing w:line="360" w:lineRule="auto"/>
        <w:ind w:left="567" w:hanging="567"/>
        <w:rPr>
          <w:rFonts w:hint="eastAsia" w:ascii="宋体" w:hAnsi="宋体" w:cs="宋体"/>
          <w:bCs/>
          <w:color w:val="auto"/>
          <w:szCs w:val="21"/>
          <w:highlight w:val="none"/>
          <w:lang w:val="zh-CN"/>
        </w:rPr>
      </w:pPr>
      <w:r>
        <w:rPr>
          <w:rFonts w:hint="eastAsia" w:ascii="宋体" w:hAnsi="宋体" w:cs="宋体"/>
          <w:color w:val="auto"/>
          <w:szCs w:val="21"/>
          <w:highlight w:val="none"/>
          <w:lang w:val="zh-CN"/>
        </w:rPr>
        <w:t>8.1</w:t>
      </w:r>
      <w:r>
        <w:rPr>
          <w:rFonts w:hint="eastAsia" w:ascii="宋体" w:hAnsi="宋体" w:cs="宋体"/>
          <w:color w:val="auto"/>
          <w:szCs w:val="21"/>
          <w:highlight w:val="none"/>
          <w:lang w:val="zh-CN"/>
        </w:rPr>
        <w:tab/>
      </w:r>
      <w:r>
        <w:rPr>
          <w:rFonts w:hint="eastAsia" w:ascii="宋体" w:hAnsi="宋体" w:cs="宋体"/>
          <w:bCs/>
          <w:color w:val="auto"/>
          <w:szCs w:val="21"/>
          <w:highlight w:val="none"/>
          <w:lang w:val="zh-CN"/>
        </w:rPr>
        <w:t>投标人对本招标文件如有技术和商务的疑问，请以书面形式（包括信函或传真等（应加盖公章），下同）向招标代理机构提出询问， 招标代理机构在三个工作日内对投标人提出的询问作出答复。</w:t>
      </w:r>
    </w:p>
    <w:p w14:paraId="63F68036">
      <w:pPr>
        <w:tabs>
          <w:tab w:val="left" w:pos="567"/>
        </w:tabs>
        <w:spacing w:line="360" w:lineRule="auto"/>
        <w:ind w:left="567" w:hanging="567"/>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8.2</w:t>
      </w:r>
      <w:r>
        <w:rPr>
          <w:rFonts w:hint="eastAsia" w:ascii="宋体" w:hAnsi="宋体" w:cs="宋体"/>
          <w:bCs/>
          <w:color w:val="auto"/>
          <w:szCs w:val="21"/>
          <w:highlight w:val="none"/>
          <w:lang w:val="zh-CN"/>
        </w:rPr>
        <w:tab/>
      </w:r>
      <w:r>
        <w:rPr>
          <w:rFonts w:hint="eastAsia" w:ascii="宋体" w:hAnsi="宋体" w:cs="宋体"/>
          <w:bCs/>
          <w:color w:val="auto"/>
          <w:szCs w:val="21"/>
          <w:highlight w:val="none"/>
          <w:lang w:val="zh-CN"/>
        </w:rPr>
        <w:t>根据需要，招标代理机构和招标人可组织相关专家在《投标须知前附表》规定的时间和地点召开投标答疑会，解答投标人在此之前以书面或当场提出的对招标文件的澄清要求，随后以书面形式通知本招标文件的所有收受人。答疑或澄清文件作为招标文件的组成部分，如与招标文件的内容不一致的，以答疑或澄清文件的内容为准。</w:t>
      </w:r>
    </w:p>
    <w:p w14:paraId="02A17116">
      <w:pPr>
        <w:tabs>
          <w:tab w:val="left" w:pos="567"/>
        </w:tabs>
        <w:spacing w:line="360" w:lineRule="auto"/>
        <w:ind w:left="567" w:hanging="567"/>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8.3  投标人在规定的时间内未对招标文件澄清或提出疑问的，招标代理机构和招标人将视其为无异议。对招标文件中描述有歧义或前后不一致的地方，评标委员会有权进行评判，但对同一条款的评判应适用于每个投标人。</w:t>
      </w:r>
    </w:p>
    <w:p w14:paraId="067C07D4">
      <w:pPr>
        <w:tabs>
          <w:tab w:val="left" w:pos="567"/>
        </w:tabs>
        <w:spacing w:line="360" w:lineRule="auto"/>
        <w:ind w:left="567" w:hanging="567"/>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8.4  招标过程中的一切修改文件或补充文件一旦确认后与招标文件具有同等法律效力，投标人有责任履行相应的义务。</w:t>
      </w:r>
    </w:p>
    <w:p w14:paraId="5F44F149">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9</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招标文件的修改</w:t>
      </w:r>
    </w:p>
    <w:p w14:paraId="72E960DD">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9.1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在递交投标文件截止日期前的任何时候，无论何故，招标代理机构可主动地或在答复投标人提出澄清的问题时对招标文件进行修改。</w:t>
      </w:r>
    </w:p>
    <w:p w14:paraId="7E35E9A7">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9.2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招标文件的修改将以书面函件形式通知所有购买招标文件的投标人，并对其具有约束力。投标人在收到上述通知后</w:t>
      </w:r>
      <w:r>
        <w:rPr>
          <w:rFonts w:hint="eastAsia" w:ascii="宋体" w:hAnsi="宋体" w:cs="宋体"/>
          <w:bCs/>
          <w:color w:val="auto"/>
          <w:szCs w:val="21"/>
          <w:highlight w:val="none"/>
          <w:lang w:val="zh-CN"/>
        </w:rPr>
        <w:t>24小时内</w:t>
      </w:r>
      <w:r>
        <w:rPr>
          <w:rFonts w:hint="eastAsia" w:ascii="宋体" w:hAnsi="宋体" w:cs="宋体"/>
          <w:color w:val="auto"/>
          <w:szCs w:val="21"/>
          <w:highlight w:val="none"/>
          <w:lang w:val="zh-CN"/>
        </w:rPr>
        <w:t>应立即以书面</w:t>
      </w:r>
      <w:r>
        <w:rPr>
          <w:rFonts w:hint="eastAsia" w:ascii="宋体" w:hAnsi="宋体" w:cs="宋体"/>
          <w:bCs/>
          <w:color w:val="auto"/>
          <w:szCs w:val="21"/>
          <w:highlight w:val="none"/>
          <w:lang w:val="zh-CN"/>
        </w:rPr>
        <w:t>形式（应加盖公章）</w:t>
      </w:r>
      <w:r>
        <w:rPr>
          <w:rFonts w:hint="eastAsia" w:ascii="宋体" w:hAnsi="宋体" w:cs="宋体"/>
          <w:color w:val="auto"/>
          <w:szCs w:val="21"/>
          <w:highlight w:val="none"/>
          <w:lang w:val="zh-CN"/>
        </w:rPr>
        <w:t>向招标代理机构确认</w:t>
      </w:r>
      <w:r>
        <w:rPr>
          <w:rFonts w:hint="eastAsia" w:ascii="宋体" w:hAnsi="宋体" w:cs="宋体"/>
          <w:bCs/>
          <w:color w:val="auto"/>
          <w:szCs w:val="21"/>
          <w:highlight w:val="none"/>
          <w:lang w:val="zh-CN"/>
        </w:rPr>
        <w:t>，逾期不提交书面确认的，视为已确认。</w:t>
      </w:r>
    </w:p>
    <w:p w14:paraId="7551B71B">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9.3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为使投标人在准备投标文件时有合理的时间考虑招标文件的修改，招标代理机构可酌情推迟本项目递交投标文件截止日期，但应发布公告并书面通知所有购买招标文件的潜在投标人。</w:t>
      </w:r>
    </w:p>
    <w:p w14:paraId="5AEA885C">
      <w:pPr>
        <w:pStyle w:val="4"/>
        <w:spacing w:before="140" w:after="140" w:line="360" w:lineRule="auto"/>
        <w:rPr>
          <w:rFonts w:hint="eastAsia" w:ascii="宋体" w:hAnsi="宋体" w:cs="宋体"/>
          <w:color w:val="auto"/>
          <w:kern w:val="44"/>
          <w:sz w:val="24"/>
          <w:highlight w:val="none"/>
          <w:lang w:val="zh-CN"/>
        </w:rPr>
      </w:pPr>
      <w:bookmarkStart w:id="64" w:name="_Toc367785361"/>
      <w:bookmarkStart w:id="65" w:name="_Toc9055"/>
      <w:bookmarkStart w:id="66" w:name="_Toc449081281"/>
      <w:bookmarkStart w:id="67" w:name="_Toc26823"/>
      <w:r>
        <w:rPr>
          <w:rFonts w:hint="eastAsia" w:ascii="宋体" w:hAnsi="宋体" w:cs="宋体"/>
          <w:color w:val="auto"/>
          <w:kern w:val="44"/>
          <w:sz w:val="24"/>
          <w:highlight w:val="none"/>
          <w:lang w:val="zh-CN"/>
        </w:rPr>
        <w:t>（三）</w:t>
      </w:r>
      <w:r>
        <w:rPr>
          <w:rFonts w:hint="eastAsia" w:ascii="宋体" w:hAnsi="宋体" w:cs="宋体"/>
          <w:color w:val="auto"/>
          <w:kern w:val="44"/>
          <w:sz w:val="24"/>
          <w:highlight w:val="none"/>
          <w:lang w:val="zh-CN"/>
        </w:rPr>
        <w:tab/>
      </w:r>
      <w:r>
        <w:rPr>
          <w:rFonts w:hint="eastAsia" w:ascii="宋体" w:hAnsi="宋体" w:cs="宋体"/>
          <w:color w:val="auto"/>
          <w:kern w:val="44"/>
          <w:sz w:val="24"/>
          <w:highlight w:val="none"/>
          <w:lang w:val="zh-CN"/>
        </w:rPr>
        <w:t>投标文件的编制</w:t>
      </w:r>
      <w:bookmarkEnd w:id="64"/>
      <w:bookmarkEnd w:id="65"/>
      <w:bookmarkEnd w:id="66"/>
      <w:bookmarkEnd w:id="67"/>
    </w:p>
    <w:p w14:paraId="727E0D82">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10</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投标使用的文字及度量衡单位。</w:t>
      </w:r>
    </w:p>
    <w:p w14:paraId="68D91721">
      <w:pPr>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10.1投标人应仔细阅读招标文件的所有内容，并按招标文件的规定及附件要求的内容和格式，提交完整的投标文件，并保证所提供全部资料的真实性，所有不完整的投标将被拒绝。</w:t>
      </w:r>
    </w:p>
    <w:p w14:paraId="6B594432">
      <w:pPr>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10.2投标文件使用的度量衡单位采用中华人民共和国法定计量单位。</w:t>
      </w:r>
    </w:p>
    <w:p w14:paraId="5A9A31FE">
      <w:pPr>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10.3  投标人提交的投标文件以及投标人与招标代理机构就有关投标的所有来往函电均应使用中文。投标人提交的支持文件或印刷的资料可以用另一种语言，但相应内容应附有中文翻译本，对不同文字文本投标文件的解释发生异议的，以中文文本为准。对中文翻译有异议的，以权威机构的译本为准。</w:t>
      </w:r>
    </w:p>
    <w:p w14:paraId="687CB29D">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10.4  招标文件中，如标有“★”的条款均为必须完全满足指标，投标人须进行实质性响应，投标人若有一项带“★”的条款未响应或不满足，将按无效投标处理。</w:t>
      </w:r>
    </w:p>
    <w:p w14:paraId="12DD2CF8">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10.5  招标文件中，如标有“</w:t>
      </w:r>
      <w:r>
        <w:rPr>
          <w:rFonts w:hint="eastAsia" w:ascii="宋体" w:hAnsi="宋体" w:cs="宋体"/>
          <w:color w:val="auto"/>
          <w:szCs w:val="21"/>
          <w:highlight w:val="none"/>
        </w:rPr>
        <w:t>▲</w:t>
      </w:r>
      <w:r>
        <w:rPr>
          <w:rFonts w:hint="eastAsia" w:ascii="宋体" w:hAnsi="宋体" w:cs="宋体"/>
          <w:color w:val="auto"/>
          <w:szCs w:val="21"/>
          <w:highlight w:val="none"/>
          <w:lang w:val="zh-CN"/>
        </w:rPr>
        <w:t>”的条款均为评审的重要评分指标，投标人若有部分“</w:t>
      </w:r>
      <w:r>
        <w:rPr>
          <w:rFonts w:hint="eastAsia" w:ascii="宋体" w:hAnsi="宋体" w:cs="宋体"/>
          <w:color w:val="auto"/>
          <w:szCs w:val="21"/>
          <w:highlight w:val="none"/>
        </w:rPr>
        <w:t>▲</w:t>
      </w:r>
      <w:r>
        <w:rPr>
          <w:rFonts w:hint="eastAsia" w:ascii="宋体" w:hAnsi="宋体" w:cs="宋体"/>
          <w:color w:val="auto"/>
          <w:szCs w:val="21"/>
          <w:highlight w:val="none"/>
          <w:lang w:val="zh-CN"/>
        </w:rPr>
        <w:t>”条款未响应或不满足，将导致其响应性评审严重扣分。</w:t>
      </w:r>
    </w:p>
    <w:p w14:paraId="4A12EA34">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10.6  投标人应对投标内容提供完整的、详细的、清晰的技术说明，如投标人对指定的技术要求建议做任何改动，应在投标文件中清楚地注明；投标人对招标文件的对应要求应当给予唯一的实质性响应，否则将视为不响应。</w:t>
      </w:r>
    </w:p>
    <w:p w14:paraId="52AFAB00">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10.7  投标人对招标文件的商务合同不允许实质性偏离，否则将视为不响应。</w:t>
      </w:r>
    </w:p>
    <w:p w14:paraId="383FFE3C">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10.8  招标人将进一步核查投标人在投标文件中提供的材料，若在评标期间发现投标人提供了虚假资料，招标人有权对投标人的投标文件作废标处理，并不予返还其投标保证（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）；若在评标结果公示期间发现作为中标候选人的投标人提供了虚假资料，招标人有权取消其中标资格并不予返还其投标保证（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）；若在合同实施期间发现投标人提供了虚假资料，招标人有权解除合同并不予返还其履约保证金。同时招标人将投标人以上弄虚作假行为上报有关监督部门。</w:t>
      </w:r>
    </w:p>
    <w:p w14:paraId="0A091878">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10.9  投标文件按规定加盖的投标人公章必须为企业法人公章，且与投标人名称一致，不能以其他业务章或附属机构章代替。需签名之处必须由当事人签署或盖私章。</w:t>
      </w:r>
    </w:p>
    <w:p w14:paraId="19FC70D0">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11</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投标文件的组成</w:t>
      </w:r>
    </w:p>
    <w:p w14:paraId="04809E67">
      <w:pPr>
        <w:spacing w:line="360" w:lineRule="auto"/>
        <w:ind w:left="630" w:hanging="630" w:hangingChars="300"/>
        <w:rPr>
          <w:rFonts w:hint="eastAsia" w:ascii="宋体" w:hAnsi="宋体" w:cs="宋体"/>
          <w:color w:val="auto"/>
          <w:szCs w:val="21"/>
          <w:highlight w:val="none"/>
          <w:lang w:val="zh-CN"/>
        </w:rPr>
      </w:pPr>
      <w:r>
        <w:rPr>
          <w:rFonts w:hint="eastAsia" w:ascii="宋体" w:hAnsi="宋体" w:cs="宋体"/>
          <w:color w:val="auto"/>
          <w:szCs w:val="21"/>
          <w:highlight w:val="none"/>
          <w:lang w:val="zh-CN"/>
        </w:rPr>
        <w:t>11.1 投标文件由自查表、经济部分、商务部分、技术部分组成，四部分合编成一本文件（格式见第五篇投标文件格式）。</w:t>
      </w:r>
    </w:p>
    <w:p w14:paraId="554989CB">
      <w:pPr>
        <w:spacing w:line="360" w:lineRule="auto"/>
        <w:ind w:left="630" w:leftChars="250" w:hanging="105" w:hangingChars="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（一）自查表</w:t>
      </w:r>
    </w:p>
    <w:p w14:paraId="01380951">
      <w:pPr>
        <w:spacing w:line="360" w:lineRule="auto"/>
        <w:ind w:left="630" w:leftChars="250" w:hanging="105" w:hangingChars="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（二）经济部分的投标文件格式</w:t>
      </w:r>
    </w:p>
    <w:p w14:paraId="5DCA105C">
      <w:pPr>
        <w:spacing w:line="360" w:lineRule="auto"/>
        <w:ind w:left="630" w:leftChars="250" w:hanging="105" w:hangingChars="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（三）商务部分的投标文件格式</w:t>
      </w:r>
    </w:p>
    <w:p w14:paraId="2BE29282">
      <w:pPr>
        <w:spacing w:line="360" w:lineRule="auto"/>
        <w:ind w:firstLine="525" w:firstLineChars="2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（四）技术部分的投标文件格式</w:t>
      </w:r>
    </w:p>
    <w:p w14:paraId="2E1B588C">
      <w:pPr>
        <w:spacing w:line="360" w:lineRule="auto"/>
        <w:rPr>
          <w:rFonts w:hint="eastAsia" w:ascii="宋体" w:hAnsi="宋体" w:cs="宋体"/>
          <w:bCs/>
          <w:color w:val="auto"/>
          <w:szCs w:val="21"/>
          <w:highlight w:val="none"/>
          <w:lang w:val="zh-CN"/>
        </w:rPr>
      </w:pPr>
      <w:r>
        <w:rPr>
          <w:rFonts w:hint="eastAsia" w:ascii="宋体" w:hAnsi="宋体" w:cs="宋体"/>
          <w:color w:val="auto"/>
          <w:szCs w:val="21"/>
          <w:highlight w:val="none"/>
        </w:rPr>
        <w:t>11</w:t>
      </w:r>
      <w:r>
        <w:rPr>
          <w:rFonts w:hint="eastAsia" w:ascii="宋体" w:hAnsi="宋体" w:cs="宋体"/>
          <w:bCs/>
          <w:color w:val="auto"/>
          <w:szCs w:val="21"/>
          <w:highlight w:val="none"/>
          <w:lang w:val="zh-CN"/>
        </w:rPr>
        <w:t>.2</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zh-CN"/>
        </w:rPr>
        <w:t>电子文件信封（</w:t>
      </w:r>
      <w:r>
        <w:rPr>
          <w:rFonts w:hint="eastAsia" w:ascii="宋体" w:hAnsi="宋体" w:cs="宋体"/>
          <w:color w:val="auto"/>
          <w:szCs w:val="21"/>
          <w:highlight w:val="none"/>
          <w:lang w:val="zh-CN"/>
        </w:rPr>
        <w:t>内容见第五篇投标文件格式）</w:t>
      </w:r>
    </w:p>
    <w:p w14:paraId="6A20CC1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11.3 投标人编制投标文件必须包括但不限于上述内容。</w:t>
      </w:r>
    </w:p>
    <w:p w14:paraId="0742C1BD">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12</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投标报价</w:t>
      </w:r>
    </w:p>
    <w:p w14:paraId="270F1D4B">
      <w:pPr>
        <w:spacing w:line="360" w:lineRule="auto"/>
        <w:ind w:left="630" w:hanging="630" w:hangingChars="300"/>
        <w:rPr>
          <w:rFonts w:hint="eastAsia" w:ascii="宋体" w:hAnsi="宋体" w:cs="宋体"/>
          <w:color w:val="auto"/>
          <w:szCs w:val="21"/>
          <w:highlight w:val="none"/>
          <w:lang w:val="zh-CN"/>
        </w:rPr>
      </w:pPr>
      <w:r>
        <w:rPr>
          <w:rFonts w:hint="eastAsia" w:ascii="宋体" w:hAnsi="宋体" w:cs="宋体"/>
          <w:color w:val="auto"/>
          <w:szCs w:val="21"/>
          <w:highlight w:val="none"/>
          <w:lang w:val="zh-CN"/>
        </w:rPr>
        <w:t>12.1</w:t>
      </w:r>
      <w:r>
        <w:rPr>
          <w:rFonts w:hint="eastAsia" w:ascii="宋体" w:hAnsi="宋体" w:cs="宋体"/>
          <w:color w:val="auto"/>
          <w:szCs w:val="21"/>
          <w:highlight w:val="none"/>
          <w:lang w:val="zh-CN"/>
        </w:rPr>
        <w:tab/>
      </w:r>
      <w:r>
        <w:rPr>
          <w:rFonts w:hint="eastAsia" w:ascii="宋体" w:hAnsi="宋体" w:cs="宋体"/>
          <w:color w:val="auto"/>
          <w:szCs w:val="21"/>
          <w:highlight w:val="none"/>
        </w:rPr>
        <w:t>本次招标必须对该项目的全部内容进行报价，少报漏报将导致其无效。</w:t>
      </w:r>
    </w:p>
    <w:p w14:paraId="09E3917A">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12.2  投标人投标总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总价之内。投标人应自行增加项目正常、合法、安全运行及使用所必需但招标文件没有列明或包含的内容及费用，并在投标文件中加以详细说明，如果投标人在中标并签署合同后，在提供招标范围内的服务工作中出现的任何遗漏，均由中标人免费提供，招标人将不再支付任何费用。对超出常规、具有特别意义或会引起竞争非议的报价须作出特别说明。</w:t>
      </w:r>
    </w:p>
    <w:p w14:paraId="7A50B6E1">
      <w:pPr>
        <w:tabs>
          <w:tab w:val="left" w:pos="567"/>
        </w:tabs>
        <w:spacing w:line="360" w:lineRule="auto"/>
        <w:ind w:left="567" w:hanging="567"/>
        <w:rPr>
          <w:rFonts w:hint="eastAsia" w:ascii="宋体" w:hAnsi="宋体" w:cs="宋体"/>
          <w:color w:val="auto"/>
          <w:szCs w:val="21"/>
          <w:highlight w:val="none"/>
        </w:rPr>
      </w:pPr>
      <w:r>
        <w:rPr>
          <w:rFonts w:hint="eastAsia" w:ascii="宋体" w:hAnsi="宋体" w:cs="宋体"/>
          <w:color w:val="auto"/>
          <w:szCs w:val="21"/>
          <w:highlight w:val="none"/>
          <w:lang w:val="zh-CN"/>
        </w:rPr>
        <w:t>12.3</w:t>
      </w:r>
      <w:r>
        <w:rPr>
          <w:rFonts w:hint="eastAsia" w:ascii="宋体" w:hAnsi="宋体" w:cs="宋体"/>
          <w:color w:val="auto"/>
          <w:szCs w:val="21"/>
          <w:highlight w:val="none"/>
          <w:lang w:val="zh-CN"/>
        </w:rPr>
        <w:tab/>
      </w:r>
      <w:r>
        <w:rPr>
          <w:rFonts w:hint="eastAsia" w:ascii="宋体" w:hAnsi="宋体" w:cs="宋体"/>
          <w:color w:val="auto"/>
          <w:szCs w:val="21"/>
          <w:highlight w:val="none"/>
        </w:rPr>
        <w:t>投标报价不是唯一的或不是固定不变的投标文件将被作为非响应性投标而予以拒绝。投标人所报的投标价在合同执行期间是固定不变的，投标人不得以任何理由予以变更。</w:t>
      </w:r>
    </w:p>
    <w:p w14:paraId="0584D379">
      <w:pPr>
        <w:spacing w:line="360" w:lineRule="auto"/>
        <w:ind w:left="630" w:hanging="630" w:hangingChars="300"/>
        <w:rPr>
          <w:rFonts w:hint="eastAsia" w:ascii="宋体" w:hAnsi="宋体" w:cs="宋体"/>
          <w:color w:val="auto"/>
          <w:szCs w:val="21"/>
          <w:highlight w:val="none"/>
        </w:rPr>
      </w:pPr>
      <w:r>
        <w:rPr>
          <w:rFonts w:hint="eastAsia" w:ascii="宋体" w:hAnsi="宋体" w:cs="宋体"/>
          <w:color w:val="auto"/>
          <w:szCs w:val="21"/>
          <w:highlight w:val="none"/>
          <w:lang w:val="zh-CN"/>
        </w:rPr>
        <w:t>12.4</w:t>
      </w:r>
      <w:r>
        <w:rPr>
          <w:rFonts w:hint="eastAsia" w:ascii="宋体" w:hAnsi="宋体" w:cs="宋体"/>
          <w:color w:val="auto"/>
          <w:szCs w:val="21"/>
          <w:highlight w:val="none"/>
          <w:lang w:val="zh-CN"/>
        </w:rPr>
        <w:tab/>
      </w:r>
      <w:r>
        <w:rPr>
          <w:rFonts w:hint="eastAsia" w:ascii="宋体" w:hAnsi="宋体" w:cs="宋体"/>
          <w:color w:val="auto"/>
          <w:szCs w:val="21"/>
          <w:highlight w:val="none"/>
        </w:rPr>
        <w:t>合同项下，买方需要的服务和附带备品、配件所需的费用，如果投标人是另外单独报价的，评分时计入投标总价。确定中标人后，在合同规定的承包范围内中标人不得以任何理由追加设备费用、辅材费用或其他费用。</w:t>
      </w:r>
    </w:p>
    <w:p w14:paraId="53B174A4">
      <w:pPr>
        <w:spacing w:line="360" w:lineRule="auto"/>
        <w:ind w:left="567" w:hanging="567"/>
        <w:rPr>
          <w:rFonts w:hint="eastAsia" w:ascii="宋体" w:hAnsi="宋体" w:cs="宋体"/>
          <w:bCs/>
          <w:color w:val="auto"/>
          <w:szCs w:val="21"/>
          <w:highlight w:val="none"/>
        </w:rPr>
      </w:pPr>
      <w:r>
        <w:rPr>
          <w:rFonts w:hint="eastAsia" w:ascii="宋体" w:hAnsi="宋体" w:cs="宋体"/>
          <w:color w:val="auto"/>
          <w:szCs w:val="21"/>
          <w:highlight w:val="none"/>
          <w:lang w:val="zh-CN"/>
        </w:rPr>
        <w:t>12.5</w:t>
      </w:r>
      <w:r>
        <w:rPr>
          <w:rFonts w:hint="eastAsia" w:ascii="宋体" w:hAnsi="宋体" w:cs="宋体"/>
          <w:color w:val="auto"/>
          <w:szCs w:val="21"/>
          <w:highlight w:val="none"/>
          <w:lang w:val="zh-CN"/>
        </w:rPr>
        <w:tab/>
      </w:r>
      <w:r>
        <w:rPr>
          <w:rFonts w:hint="eastAsia" w:ascii="宋体" w:hAnsi="宋体" w:cs="宋体"/>
          <w:bCs/>
          <w:color w:val="auto"/>
          <w:szCs w:val="21"/>
          <w:highlight w:val="none"/>
        </w:rPr>
        <w:t>本次招标实行“</w:t>
      </w:r>
      <w:r>
        <w:rPr>
          <w:rFonts w:hint="eastAsia" w:ascii="宋体" w:hAnsi="宋体" w:cs="宋体"/>
          <w:bCs/>
          <w:color w:val="auto"/>
          <w:szCs w:val="21"/>
          <w:highlight w:val="none"/>
          <w:lang w:eastAsia="zh-CN"/>
        </w:rPr>
        <w:t>最高限价</w:t>
      </w:r>
      <w:r>
        <w:rPr>
          <w:rFonts w:hint="eastAsia" w:ascii="宋体" w:hAnsi="宋体" w:cs="宋体"/>
          <w:bCs/>
          <w:color w:val="auto"/>
          <w:szCs w:val="21"/>
          <w:highlight w:val="none"/>
        </w:rPr>
        <w:t>”制度。投标人的投标报价单价高于</w:t>
      </w:r>
      <w:r>
        <w:rPr>
          <w:rFonts w:hint="eastAsia" w:ascii="宋体" w:hAnsi="宋体" w:cs="宋体"/>
          <w:bCs/>
          <w:color w:val="auto"/>
          <w:szCs w:val="21"/>
          <w:highlight w:val="none"/>
          <w:lang w:eastAsia="zh-CN"/>
        </w:rPr>
        <w:t>最高限价</w:t>
      </w:r>
      <w:r>
        <w:rPr>
          <w:rFonts w:hint="eastAsia" w:ascii="宋体" w:hAnsi="宋体" w:cs="宋体"/>
          <w:bCs/>
          <w:color w:val="auto"/>
          <w:szCs w:val="21"/>
          <w:highlight w:val="none"/>
        </w:rPr>
        <w:t>的，该投标人的投标文件将被视为非响应性报价予以废标。</w:t>
      </w:r>
    </w:p>
    <w:p w14:paraId="59D48D72">
      <w:pPr>
        <w:tabs>
          <w:tab w:val="left" w:pos="720"/>
          <w:tab w:val="left" w:pos="346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12.6  投标人必须以人民币</w:t>
      </w:r>
      <w:r>
        <w:rPr>
          <w:rFonts w:hint="eastAsia" w:ascii="宋体" w:hAnsi="宋体" w:cs="宋体"/>
          <w:color w:val="auto"/>
          <w:szCs w:val="21"/>
          <w:highlight w:val="none"/>
        </w:rPr>
        <w:t>/百分比</w:t>
      </w:r>
      <w:r>
        <w:rPr>
          <w:rFonts w:hint="eastAsia" w:ascii="宋体" w:hAnsi="宋体" w:cs="宋体"/>
          <w:color w:val="auto"/>
          <w:szCs w:val="21"/>
          <w:highlight w:val="none"/>
          <w:lang w:val="zh-CN"/>
        </w:rPr>
        <w:t>报价，以其他货币报价的投标将予以拒绝。投标文件的大写金额和小写金额不一致的，以大写金额为准；总价金额与按单价汇总金额不一致的，以单价金额计算结果为准；单价金额小数点有明显错位的，应以总价为准，并修改单价。</w:t>
      </w:r>
    </w:p>
    <w:p w14:paraId="4A432E66">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13</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证明投标人的合格性的证明文件</w:t>
      </w:r>
    </w:p>
    <w:p w14:paraId="0E57CCAF">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13.1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根据</w:t>
      </w:r>
      <w:r>
        <w:rPr>
          <w:color w:val="auto"/>
          <w:highlight w:val="none"/>
        </w:rPr>
        <w:fldChar w:fldCharType="begin"/>
      </w:r>
      <w:r>
        <w:rPr>
          <w:color w:val="auto"/>
          <w:highlight w:val="none"/>
        </w:rPr>
        <w:instrText xml:space="preserve"> HYPERLINK "file:///D:\\微信记录\\WeChat%20Files\\tony1860\\FileStorage\\Documents\\WeChat%20Files\\zjx362287060\\documents\\tencent%20files\\2209482728\\AppData\\Local\\Temp\\Rar$DIa0.918\\l" </w:instrText>
      </w:r>
      <w:r>
        <w:rPr>
          <w:color w:val="auto"/>
          <w:highlight w:val="none"/>
        </w:rPr>
        <w:fldChar w:fldCharType="separate"/>
      </w:r>
      <w:r>
        <w:rPr>
          <w:rFonts w:hint="eastAsia" w:ascii="宋体" w:hAnsi="宋体" w:cs="宋体"/>
          <w:color w:val="auto"/>
          <w:szCs w:val="21"/>
          <w:highlight w:val="none"/>
          <w:lang w:val="zh-CN"/>
        </w:rPr>
        <w:t>第13.2款</w:t>
      </w:r>
      <w:r>
        <w:rPr>
          <w:rFonts w:hint="eastAsia" w:ascii="宋体" w:hAnsi="宋体" w:cs="宋体"/>
          <w:color w:val="auto"/>
          <w:szCs w:val="21"/>
          <w:highlight w:val="none"/>
          <w:lang w:val="zh-CN"/>
        </w:rPr>
        <w:fldChar w:fldCharType="end"/>
      </w:r>
      <w:r>
        <w:rPr>
          <w:rFonts w:hint="eastAsia" w:ascii="宋体" w:hAnsi="宋体" w:cs="宋体"/>
          <w:color w:val="auto"/>
          <w:szCs w:val="21"/>
          <w:highlight w:val="none"/>
          <w:lang w:val="zh-CN"/>
        </w:rPr>
        <w:t>规定，投标人须提交证明其有资格进行投标和有能力履行合同的文件，作为投标文件的一部分。</w:t>
      </w:r>
    </w:p>
    <w:p w14:paraId="59540FF1">
      <w:pPr>
        <w:spacing w:line="360" w:lineRule="auto"/>
        <w:ind w:left="567" w:hanging="567"/>
        <w:rPr>
          <w:rFonts w:hint="eastAsia" w:ascii="宋体" w:hAnsi="宋体" w:cs="宋体"/>
          <w:color w:val="auto"/>
          <w:szCs w:val="21"/>
          <w:highlight w:val="none"/>
          <w:vertAlign w:val="superscript"/>
          <w:lang w:val="zh-CN"/>
        </w:rPr>
      </w:pPr>
      <w:r>
        <w:rPr>
          <w:rFonts w:hint="eastAsia" w:ascii="宋体" w:hAnsi="宋体" w:cs="宋体"/>
          <w:color w:val="auto"/>
          <w:szCs w:val="21"/>
          <w:highlight w:val="none"/>
          <w:lang w:val="zh-CN"/>
        </w:rPr>
        <w:t>13.2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投标人提供的履行合同的资格证明文件</w:t>
      </w:r>
      <w:r>
        <w:rPr>
          <w:rFonts w:hint="eastAsia" w:ascii="宋体" w:hAnsi="宋体" w:cs="宋体"/>
          <w:color w:val="auto"/>
          <w:szCs w:val="21"/>
          <w:highlight w:val="none"/>
        </w:rPr>
        <w:t>：详</w:t>
      </w:r>
      <w:r>
        <w:rPr>
          <w:rFonts w:hint="eastAsia" w:ascii="宋体" w:hAnsi="宋体" w:cs="宋体"/>
          <w:color w:val="auto"/>
          <w:szCs w:val="21"/>
          <w:highlight w:val="none"/>
          <w:lang w:val="zh-CN"/>
        </w:rPr>
        <w:t>见</w:t>
      </w:r>
      <w:r>
        <w:rPr>
          <w:rFonts w:hint="eastAsia" w:ascii="宋体" w:hAnsi="宋体" w:cs="宋体"/>
          <w:color w:val="auto"/>
          <w:szCs w:val="21"/>
          <w:highlight w:val="none"/>
        </w:rPr>
        <w:t>《投标须知前附表》</w:t>
      </w:r>
      <w:r>
        <w:rPr>
          <w:rFonts w:hint="eastAsia" w:ascii="宋体" w:hAnsi="宋体" w:cs="宋体"/>
          <w:color w:val="auto"/>
          <w:szCs w:val="21"/>
          <w:highlight w:val="none"/>
          <w:lang w:val="zh-CN"/>
        </w:rPr>
        <w:t>的“证明投标人的合格性的证明文件”</w:t>
      </w:r>
      <w:r>
        <w:rPr>
          <w:rFonts w:hint="eastAsia" w:ascii="宋体" w:hAnsi="宋体" w:cs="宋体"/>
          <w:color w:val="auto"/>
          <w:szCs w:val="21"/>
          <w:highlight w:val="none"/>
        </w:rPr>
        <w:t>。</w:t>
      </w:r>
    </w:p>
    <w:p w14:paraId="08F47D80">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14</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证明货物和服务的合格性并符合招标文件规定的声明文件</w:t>
      </w:r>
    </w:p>
    <w:p w14:paraId="267F4F06">
      <w:pPr>
        <w:tabs>
          <w:tab w:val="left" w:pos="675"/>
        </w:tabs>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14.1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投标人须提交证明其所提供的服务和货物的合格性并符合招标文件规定的声明文件，作为投标文件的一部分。</w:t>
      </w:r>
    </w:p>
    <w:p w14:paraId="7D076381">
      <w:pPr>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14.2  证明货物和服务与招标文件的要求相一致的文件可以是文字资料、图纸和数据资料。</w:t>
      </w:r>
    </w:p>
    <w:p w14:paraId="1F815343">
      <w:pPr>
        <w:spacing w:line="360" w:lineRule="auto"/>
        <w:ind w:left="630" w:hanging="630" w:hangingChars="300"/>
        <w:rPr>
          <w:rFonts w:hint="eastAsia" w:ascii="宋体" w:hAnsi="宋体" w:cs="宋体"/>
          <w:color w:val="auto"/>
          <w:szCs w:val="21"/>
          <w:highlight w:val="none"/>
          <w:lang w:val="zh-CN"/>
        </w:rPr>
      </w:pPr>
      <w:r>
        <w:rPr>
          <w:rFonts w:hint="eastAsia" w:ascii="宋体" w:hAnsi="宋体" w:cs="宋体"/>
          <w:color w:val="auto"/>
          <w:szCs w:val="21"/>
          <w:highlight w:val="none"/>
          <w:lang w:val="zh-CN"/>
        </w:rPr>
        <w:t>14.3  为说明第14.1款的规定，投标人应注意本招标文件在《用户需求书》中</w:t>
      </w:r>
      <w:r>
        <w:rPr>
          <w:rFonts w:hint="eastAsia" w:ascii="宋体" w:hAnsi="宋体" w:cs="宋体"/>
          <w:color w:val="auto"/>
          <w:szCs w:val="21"/>
          <w:highlight w:val="none"/>
        </w:rPr>
        <w:t>对服务、技术要求所描述的特征或说明</w:t>
      </w:r>
      <w:r>
        <w:rPr>
          <w:rFonts w:hint="eastAsia" w:ascii="宋体" w:hAnsi="宋体" w:cs="宋体"/>
          <w:color w:val="auto"/>
          <w:szCs w:val="21"/>
          <w:highlight w:val="none"/>
          <w:lang w:val="zh-CN"/>
        </w:rPr>
        <w:t>等仅系说明并非进行限制，投标人按行业技术和以往的服务经验，投标人可提出替代方案，但该替代方案应相当于或优胜于《用户需求书》中的规定，合格优质地完成招标内容和包含的全部实际工序及服务，以使招标人满意。</w:t>
      </w:r>
    </w:p>
    <w:p w14:paraId="3F63ED82">
      <w:pPr>
        <w:tabs>
          <w:tab w:val="left" w:pos="567"/>
        </w:tabs>
        <w:spacing w:line="360" w:lineRule="auto"/>
        <w:ind w:left="567" w:hanging="567"/>
        <w:rPr>
          <w:rFonts w:hint="default" w:ascii="宋体" w:hAnsi="宋体" w:eastAsia="宋体" w:cs="宋体"/>
          <w:color w:val="auto"/>
          <w:szCs w:val="21"/>
          <w:highlight w:val="none"/>
          <w:lang w:val="en-US" w:eastAsia="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15</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投标保证</w:t>
      </w:r>
    </w:p>
    <w:p w14:paraId="779B6898">
      <w:pPr>
        <w:tabs>
          <w:tab w:val="left" w:pos="567"/>
        </w:tabs>
        <w:spacing w:line="360" w:lineRule="auto"/>
        <w:ind w:left="567" w:hanging="567"/>
        <w:rPr>
          <w:rFonts w:hint="eastAsia" w:ascii="宋体" w:hAnsi="宋体" w:cs="宋体"/>
          <w:color w:val="auto"/>
          <w:szCs w:val="21"/>
          <w:highlight w:val="none"/>
        </w:rPr>
      </w:pPr>
      <w:r>
        <w:rPr>
          <w:rFonts w:hint="eastAsia" w:ascii="宋体" w:hAnsi="宋体" w:cs="宋体"/>
          <w:bCs/>
          <w:color w:val="auto"/>
          <w:szCs w:val="21"/>
          <w:highlight w:val="none"/>
          <w:lang w:val="zh-CN"/>
        </w:rPr>
        <w:t>15.1</w:t>
      </w:r>
      <w:r>
        <w:rPr>
          <w:rFonts w:hint="eastAsia" w:ascii="宋体" w:hAnsi="宋体" w:cs="宋体"/>
          <w:color w:val="auto"/>
          <w:szCs w:val="21"/>
          <w:highlight w:val="none"/>
          <w:lang w:eastAsia="zh-CN"/>
        </w:rPr>
        <w:t>投标保证</w:t>
      </w:r>
      <w:r>
        <w:rPr>
          <w:rFonts w:hint="eastAsia" w:ascii="宋体" w:hAnsi="宋体" w:cs="宋体"/>
          <w:color w:val="auto"/>
          <w:szCs w:val="21"/>
          <w:highlight w:val="none"/>
        </w:rPr>
        <w:t>金额和缴纳方式：详</w:t>
      </w:r>
      <w:r>
        <w:rPr>
          <w:rFonts w:hint="eastAsia" w:ascii="宋体" w:hAnsi="宋体" w:cs="宋体"/>
          <w:color w:val="auto"/>
          <w:szCs w:val="21"/>
          <w:highlight w:val="none"/>
          <w:lang w:val="zh-CN"/>
        </w:rPr>
        <w:t>见</w:t>
      </w:r>
      <w:r>
        <w:rPr>
          <w:rFonts w:hint="eastAsia" w:ascii="宋体" w:hAnsi="宋体" w:cs="宋体"/>
          <w:color w:val="auto"/>
          <w:szCs w:val="21"/>
          <w:highlight w:val="none"/>
        </w:rPr>
        <w:t>《投标须知前附表》。</w:t>
      </w:r>
    </w:p>
    <w:p w14:paraId="20087D4A">
      <w:pPr>
        <w:tabs>
          <w:tab w:val="left" w:pos="567"/>
        </w:tabs>
        <w:spacing w:line="360" w:lineRule="auto"/>
        <w:ind w:left="672" w:hanging="672" w:hangingChars="320"/>
        <w:rPr>
          <w:rFonts w:hint="eastAsia" w:ascii="宋体" w:hAnsi="宋体" w:cs="宋体"/>
          <w:color w:val="auto"/>
          <w:szCs w:val="21"/>
          <w:highlight w:val="none"/>
        </w:rPr>
      </w:pPr>
      <w:r>
        <w:rPr>
          <w:rFonts w:hint="eastAsia" w:ascii="宋体" w:hAnsi="宋体" w:cs="宋体"/>
          <w:bCs/>
          <w:color w:val="auto"/>
          <w:szCs w:val="21"/>
          <w:highlight w:val="none"/>
          <w:lang w:val="zh-CN"/>
        </w:rPr>
        <w:t>15.2</w:t>
      </w:r>
      <w:r>
        <w:rPr>
          <w:rFonts w:hint="eastAsia" w:ascii="宋体" w:hAnsi="宋体" w:cs="宋体"/>
          <w:color w:val="auto"/>
          <w:szCs w:val="21"/>
          <w:highlight w:val="none"/>
          <w:lang w:eastAsia="zh-CN"/>
        </w:rPr>
        <w:t>投标保证</w:t>
      </w:r>
      <w:r>
        <w:rPr>
          <w:rFonts w:hint="eastAsia" w:ascii="宋体" w:hAnsi="宋体" w:cs="宋体"/>
          <w:color w:val="auto"/>
          <w:szCs w:val="21"/>
          <w:highlight w:val="none"/>
        </w:rPr>
        <w:t>是用于保护本次招标免受投标人的行为而引起的风险，根据第15.7款规定，予以没收</w:t>
      </w:r>
      <w:r>
        <w:rPr>
          <w:rFonts w:hint="eastAsia" w:ascii="宋体" w:hAnsi="宋体" w:cs="宋体"/>
          <w:color w:val="auto"/>
          <w:szCs w:val="21"/>
          <w:highlight w:val="none"/>
          <w:lang w:eastAsia="zh-CN"/>
        </w:rPr>
        <w:t>投标保证</w:t>
      </w:r>
      <w:r>
        <w:rPr>
          <w:rFonts w:hint="eastAsia" w:ascii="宋体" w:hAnsi="宋体" w:cs="宋体"/>
          <w:color w:val="auto"/>
          <w:szCs w:val="21"/>
          <w:highlight w:val="none"/>
        </w:rPr>
        <w:t>。</w:t>
      </w:r>
    </w:p>
    <w:p w14:paraId="00BB5348">
      <w:pPr>
        <w:tabs>
          <w:tab w:val="left" w:pos="567"/>
        </w:tabs>
        <w:spacing w:line="360" w:lineRule="auto"/>
        <w:ind w:left="567" w:hanging="567"/>
        <w:rPr>
          <w:rFonts w:hint="eastAsia" w:ascii="宋体" w:hAnsi="宋体" w:cs="宋体"/>
          <w:b/>
          <w:bCs/>
          <w:color w:val="auto"/>
          <w:szCs w:val="21"/>
          <w:highlight w:val="none"/>
        </w:rPr>
      </w:pPr>
      <w:r>
        <w:rPr>
          <w:rFonts w:hint="eastAsia" w:ascii="宋体" w:hAnsi="宋体" w:cs="宋体"/>
          <w:bCs/>
          <w:color w:val="auto"/>
          <w:szCs w:val="21"/>
          <w:highlight w:val="none"/>
          <w:lang w:val="zh-CN"/>
        </w:rPr>
        <w:t xml:space="preserve">15.3 </w:t>
      </w:r>
      <w:r>
        <w:rPr>
          <w:rFonts w:hint="eastAsia" w:ascii="宋体" w:hAnsi="宋体" w:cs="宋体"/>
          <w:b/>
          <w:bCs/>
          <w:color w:val="auto"/>
          <w:szCs w:val="21"/>
          <w:highlight w:val="none"/>
          <w:u w:val="single"/>
          <w:lang w:eastAsia="zh-CN"/>
        </w:rPr>
        <w:t>投标保证</w:t>
      </w:r>
      <w:r>
        <w:rPr>
          <w:rFonts w:hint="eastAsia" w:ascii="宋体" w:hAnsi="宋体" w:cs="宋体"/>
          <w:b/>
          <w:bCs/>
          <w:color w:val="auto"/>
          <w:szCs w:val="21"/>
          <w:highlight w:val="none"/>
          <w:u w:val="single"/>
        </w:rPr>
        <w:t>以银行转账、电汇方式或者法律规定的方式（支票、汇票、本票或者金融机构、担保机构出具的保函等非现金形式）（招标代理机构不接受现金方式，同时不接受以现金、个人账户、分支机构账户转入保证金账户的方式）提交，支付人必须为本项目投标人。若以银行转账、电汇方式提交时应在用途栏注明本项目的项目编号、分包编号及名称（如有），并且确保于《投标须知前附表》规定的保证金缴纳截止时间前到达指定的银行账户（以银行到账时间为准，汇错账号作废标处理）。</w:t>
      </w:r>
      <w:r>
        <w:rPr>
          <w:rFonts w:hint="eastAsia" w:ascii="宋体" w:hAnsi="宋体" w:cs="宋体"/>
          <w:b/>
          <w:bCs/>
          <w:color w:val="auto"/>
          <w:szCs w:val="21"/>
          <w:highlight w:val="none"/>
          <w:u w:val="single"/>
          <w:lang w:eastAsia="zh-CN"/>
        </w:rPr>
        <w:t>采用</w:t>
      </w:r>
      <w:r>
        <w:rPr>
          <w:rFonts w:hint="eastAsia" w:ascii="宋体" w:hAnsi="宋体" w:cs="宋体"/>
          <w:b/>
          <w:bCs/>
          <w:color w:val="auto"/>
          <w:szCs w:val="21"/>
          <w:highlight w:val="none"/>
          <w:u w:val="single"/>
        </w:rPr>
        <w:t>保函方式</w:t>
      </w:r>
      <w:r>
        <w:rPr>
          <w:rFonts w:hint="eastAsia" w:ascii="宋体" w:hAnsi="宋体" w:cs="宋体"/>
          <w:b/>
          <w:bCs/>
          <w:color w:val="auto"/>
          <w:szCs w:val="21"/>
          <w:highlight w:val="none"/>
          <w:u w:val="single"/>
          <w:lang w:eastAsia="zh-CN"/>
        </w:rPr>
        <w:t>方式具体要求</w:t>
      </w:r>
      <w:r>
        <w:rPr>
          <w:rFonts w:hint="eastAsia" w:ascii="宋体" w:hAnsi="宋体" w:cs="宋体"/>
          <w:b/>
          <w:bCs/>
          <w:color w:val="auto"/>
          <w:szCs w:val="21"/>
          <w:highlight w:val="none"/>
          <w:u w:val="single"/>
        </w:rPr>
        <w:t>详</w:t>
      </w:r>
      <w:r>
        <w:rPr>
          <w:rFonts w:hint="eastAsia" w:ascii="宋体" w:hAnsi="宋体" w:cs="宋体"/>
          <w:b/>
          <w:bCs/>
          <w:color w:val="auto"/>
          <w:szCs w:val="21"/>
          <w:highlight w:val="none"/>
          <w:u w:val="single"/>
          <w:lang w:val="zh-CN"/>
        </w:rPr>
        <w:t>见</w:t>
      </w:r>
      <w:r>
        <w:rPr>
          <w:rFonts w:hint="eastAsia" w:ascii="宋体" w:hAnsi="宋体" w:cs="宋体"/>
          <w:b/>
          <w:bCs/>
          <w:color w:val="auto"/>
          <w:szCs w:val="21"/>
          <w:highlight w:val="none"/>
          <w:u w:val="single"/>
        </w:rPr>
        <w:t>《投标须知前附表》</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rPr>
        <w:t>未按照上述方式提交</w:t>
      </w:r>
      <w:r>
        <w:rPr>
          <w:rFonts w:hint="eastAsia" w:ascii="宋体" w:hAnsi="宋体" w:cs="宋体"/>
          <w:b/>
          <w:bCs/>
          <w:color w:val="auto"/>
          <w:szCs w:val="21"/>
          <w:highlight w:val="none"/>
          <w:u w:val="single"/>
          <w:lang w:eastAsia="zh-CN"/>
        </w:rPr>
        <w:t>投标保证</w:t>
      </w:r>
      <w:r>
        <w:rPr>
          <w:rFonts w:hint="eastAsia" w:ascii="宋体" w:hAnsi="宋体" w:cs="宋体"/>
          <w:b/>
          <w:bCs/>
          <w:color w:val="auto"/>
          <w:szCs w:val="21"/>
          <w:highlight w:val="none"/>
          <w:u w:val="single"/>
        </w:rPr>
        <w:t>的，其投标文件将作为无效予以拒绝</w:t>
      </w:r>
      <w:r>
        <w:rPr>
          <w:rFonts w:hint="eastAsia" w:ascii="宋体" w:hAnsi="宋体" w:cs="宋体"/>
          <w:b/>
          <w:bCs/>
          <w:color w:val="auto"/>
          <w:szCs w:val="21"/>
          <w:highlight w:val="none"/>
        </w:rPr>
        <w:t>。</w:t>
      </w:r>
    </w:p>
    <w:p w14:paraId="2D76AB01">
      <w:pPr>
        <w:tabs>
          <w:tab w:val="left" w:pos="567"/>
        </w:tabs>
        <w:spacing w:line="360" w:lineRule="auto"/>
        <w:ind w:left="567" w:hanging="567"/>
        <w:rPr>
          <w:rFonts w:hint="eastAsia" w:ascii="宋体" w:hAnsi="宋体" w:cs="宋体"/>
          <w:color w:val="auto"/>
          <w:szCs w:val="21"/>
          <w:highlight w:val="none"/>
        </w:rPr>
      </w:pPr>
      <w:r>
        <w:rPr>
          <w:rFonts w:hint="eastAsia" w:ascii="宋体" w:hAnsi="宋体" w:cs="宋体"/>
          <w:bCs/>
          <w:color w:val="auto"/>
          <w:szCs w:val="21"/>
          <w:highlight w:val="none"/>
          <w:lang w:val="zh-CN"/>
        </w:rPr>
        <w:t xml:space="preserve">15.4 </w:t>
      </w:r>
      <w:r>
        <w:rPr>
          <w:rFonts w:hint="eastAsia" w:ascii="宋体" w:hAnsi="宋体" w:cs="宋体"/>
          <w:color w:val="auto"/>
          <w:szCs w:val="21"/>
          <w:highlight w:val="none"/>
        </w:rPr>
        <w:t>凡没有根据本须知的规定提交</w:t>
      </w:r>
      <w:r>
        <w:rPr>
          <w:rFonts w:hint="eastAsia" w:ascii="宋体" w:hAnsi="宋体" w:cs="宋体"/>
          <w:color w:val="auto"/>
          <w:szCs w:val="21"/>
          <w:highlight w:val="none"/>
          <w:lang w:eastAsia="zh-CN"/>
        </w:rPr>
        <w:t>投标保证</w:t>
      </w:r>
      <w:r>
        <w:rPr>
          <w:rFonts w:hint="eastAsia" w:ascii="宋体" w:hAnsi="宋体" w:cs="宋体"/>
          <w:color w:val="auto"/>
          <w:szCs w:val="21"/>
          <w:highlight w:val="none"/>
        </w:rPr>
        <w:t>的投标，将被视为非响应性投标予以拒绝。</w:t>
      </w:r>
    </w:p>
    <w:p w14:paraId="3C8B0188">
      <w:pPr>
        <w:tabs>
          <w:tab w:val="left" w:pos="567"/>
        </w:tabs>
        <w:spacing w:line="360" w:lineRule="auto"/>
        <w:ind w:left="567" w:hanging="567"/>
        <w:rPr>
          <w:rFonts w:hint="eastAsia" w:ascii="宋体" w:hAnsi="宋体" w:cs="宋体"/>
          <w:color w:val="auto"/>
          <w:szCs w:val="21"/>
          <w:highlight w:val="none"/>
        </w:rPr>
      </w:pPr>
      <w:r>
        <w:rPr>
          <w:rFonts w:hint="eastAsia" w:ascii="宋体" w:hAnsi="宋体" w:cs="宋体"/>
          <w:bCs/>
          <w:color w:val="auto"/>
          <w:szCs w:val="21"/>
          <w:highlight w:val="none"/>
          <w:lang w:val="zh-CN"/>
        </w:rPr>
        <w:t xml:space="preserve">15.5 </w:t>
      </w:r>
      <w:r>
        <w:rPr>
          <w:rFonts w:hint="eastAsia" w:ascii="宋体" w:hAnsi="宋体" w:cs="宋体"/>
          <w:color w:val="auto"/>
          <w:szCs w:val="21"/>
          <w:highlight w:val="none"/>
        </w:rPr>
        <w:t>未中标人的</w:t>
      </w:r>
      <w:r>
        <w:rPr>
          <w:rFonts w:hint="eastAsia" w:ascii="宋体" w:hAnsi="宋体" w:cs="宋体"/>
          <w:color w:val="auto"/>
          <w:szCs w:val="21"/>
          <w:highlight w:val="none"/>
          <w:lang w:eastAsia="zh-CN"/>
        </w:rPr>
        <w:t>投标保证</w:t>
      </w:r>
      <w:r>
        <w:rPr>
          <w:rFonts w:hint="eastAsia" w:ascii="宋体" w:hAnsi="宋体" w:cs="宋体"/>
          <w:color w:val="auto"/>
          <w:szCs w:val="21"/>
          <w:highlight w:val="none"/>
        </w:rPr>
        <w:t>（保函、保险形式除外），将按投标人须知规定的投标有效期满后三十天内或在发出《中标通知书》之日后五个工作日内原路原额退还（保证金不计利息）。</w:t>
      </w:r>
    </w:p>
    <w:p w14:paraId="3BC69E47">
      <w:pPr>
        <w:tabs>
          <w:tab w:val="left" w:pos="567"/>
        </w:tabs>
        <w:spacing w:line="360" w:lineRule="auto"/>
        <w:ind w:left="672" w:hanging="672" w:hangingChars="320"/>
        <w:rPr>
          <w:rFonts w:hint="eastAsia" w:ascii="宋体" w:hAnsi="宋体" w:cs="宋体"/>
          <w:color w:val="auto"/>
          <w:szCs w:val="21"/>
          <w:highlight w:val="none"/>
        </w:rPr>
      </w:pPr>
      <w:r>
        <w:rPr>
          <w:rFonts w:hint="eastAsia" w:ascii="宋体" w:hAnsi="宋体" w:cs="宋体"/>
          <w:bCs/>
          <w:color w:val="auto"/>
          <w:szCs w:val="21"/>
          <w:highlight w:val="none"/>
          <w:lang w:val="zh-CN"/>
        </w:rPr>
        <w:t>15.6</w:t>
      </w:r>
      <w:r>
        <w:rPr>
          <w:rFonts w:hint="eastAsia" w:ascii="宋体" w:hAnsi="宋体" w:cs="宋体"/>
          <w:color w:val="auto"/>
          <w:szCs w:val="21"/>
          <w:highlight w:val="none"/>
        </w:rPr>
        <w:t>中标人的</w:t>
      </w:r>
      <w:r>
        <w:rPr>
          <w:rFonts w:hint="eastAsia" w:ascii="宋体" w:hAnsi="宋体" w:cs="宋体"/>
          <w:color w:val="auto"/>
          <w:szCs w:val="21"/>
          <w:highlight w:val="none"/>
          <w:lang w:eastAsia="zh-CN"/>
        </w:rPr>
        <w:t>投标保证</w:t>
      </w:r>
      <w:r>
        <w:rPr>
          <w:rFonts w:hint="eastAsia" w:ascii="宋体" w:hAnsi="宋体" w:cs="宋体"/>
          <w:color w:val="auto"/>
          <w:szCs w:val="21"/>
          <w:highlight w:val="none"/>
        </w:rPr>
        <w:t>的退还必须同时满足以下要求，并提供合同、履约保证金到招标代理机构办理退还手续（无息退还），中标人逾期办理的，招标代理机构不承担迟延退款责任。</w:t>
      </w:r>
    </w:p>
    <w:p w14:paraId="4DB2E01C">
      <w:pPr>
        <w:tabs>
          <w:tab w:val="left" w:pos="567"/>
        </w:tabs>
        <w:spacing w:line="360" w:lineRule="auto"/>
        <w:ind w:left="500" w:leftChars="238"/>
        <w:rPr>
          <w:rFonts w:hint="eastAsia" w:ascii="宋体" w:hAnsi="宋体" w:cs="宋体"/>
          <w:color w:val="auto"/>
          <w:szCs w:val="21"/>
          <w:highlight w:val="none"/>
        </w:rPr>
      </w:pPr>
      <w:r>
        <w:rPr>
          <w:rFonts w:hint="eastAsia" w:ascii="宋体" w:hAnsi="宋体" w:cs="宋体"/>
          <w:color w:val="auto"/>
          <w:szCs w:val="21"/>
          <w:highlight w:val="none"/>
        </w:rPr>
        <w:t>（1） 中标人按本须知的规定签订了中标合同；</w:t>
      </w:r>
    </w:p>
    <w:p w14:paraId="624C759A">
      <w:pPr>
        <w:tabs>
          <w:tab w:val="left" w:pos="567"/>
        </w:tabs>
        <w:spacing w:line="360" w:lineRule="auto"/>
        <w:ind w:left="500" w:leftChars="238"/>
        <w:rPr>
          <w:rFonts w:hint="eastAsia" w:ascii="宋体" w:hAnsi="宋体" w:cs="宋体"/>
          <w:color w:val="auto"/>
          <w:szCs w:val="21"/>
          <w:highlight w:val="none"/>
        </w:rPr>
      </w:pPr>
      <w:r>
        <w:rPr>
          <w:rFonts w:hint="eastAsia" w:ascii="宋体" w:hAnsi="宋体" w:cs="宋体"/>
          <w:color w:val="auto"/>
          <w:szCs w:val="21"/>
          <w:highlight w:val="none"/>
        </w:rPr>
        <w:t>（2） 中标人按本须知的规定交纳了履约保证金；</w:t>
      </w:r>
    </w:p>
    <w:p w14:paraId="2A487036">
      <w:pPr>
        <w:tabs>
          <w:tab w:val="left" w:pos="567"/>
        </w:tabs>
        <w:spacing w:line="360" w:lineRule="auto"/>
        <w:ind w:left="500" w:leftChars="238"/>
        <w:rPr>
          <w:rFonts w:hint="eastAsia" w:ascii="宋体" w:hAnsi="宋体" w:cs="宋体"/>
          <w:color w:val="auto"/>
          <w:szCs w:val="21"/>
          <w:highlight w:val="none"/>
        </w:rPr>
      </w:pPr>
      <w:r>
        <w:rPr>
          <w:rFonts w:hint="eastAsia" w:ascii="宋体" w:hAnsi="宋体" w:cs="宋体"/>
          <w:color w:val="auto"/>
          <w:szCs w:val="21"/>
          <w:highlight w:val="none"/>
        </w:rPr>
        <w:t>（3） 中标人按本须知的规定支付了招标代理服务费（招标人支付除外）。</w:t>
      </w:r>
    </w:p>
    <w:p w14:paraId="3805843C">
      <w:pPr>
        <w:tabs>
          <w:tab w:val="left" w:pos="567"/>
        </w:tabs>
        <w:spacing w:line="360" w:lineRule="auto"/>
        <w:ind w:left="567" w:hanging="567"/>
        <w:rPr>
          <w:rFonts w:hint="eastAsia" w:ascii="宋体" w:hAnsi="宋体" w:cs="宋体"/>
          <w:color w:val="auto"/>
          <w:szCs w:val="21"/>
          <w:highlight w:val="none"/>
        </w:rPr>
      </w:pPr>
      <w:r>
        <w:rPr>
          <w:rFonts w:hint="eastAsia" w:ascii="宋体" w:hAnsi="宋体" w:cs="宋体"/>
          <w:bCs/>
          <w:color w:val="auto"/>
          <w:szCs w:val="21"/>
          <w:highlight w:val="none"/>
          <w:lang w:val="zh-CN"/>
        </w:rPr>
        <w:t xml:space="preserve">15.7 </w:t>
      </w:r>
      <w:r>
        <w:rPr>
          <w:rFonts w:hint="eastAsia" w:ascii="宋体" w:hAnsi="宋体" w:cs="宋体"/>
          <w:color w:val="auto"/>
          <w:szCs w:val="21"/>
          <w:highlight w:val="none"/>
        </w:rPr>
        <w:t>下列任何一种情况发生时，</w:t>
      </w:r>
      <w:r>
        <w:rPr>
          <w:rFonts w:hint="eastAsia" w:ascii="宋体" w:hAnsi="宋体" w:cs="宋体"/>
          <w:color w:val="auto"/>
          <w:szCs w:val="21"/>
          <w:highlight w:val="none"/>
          <w:lang w:eastAsia="zh-CN"/>
        </w:rPr>
        <w:t>投标保证</w:t>
      </w:r>
      <w:r>
        <w:rPr>
          <w:rFonts w:hint="eastAsia" w:ascii="宋体" w:hAnsi="宋体" w:cs="宋体"/>
          <w:color w:val="auto"/>
          <w:szCs w:val="21"/>
          <w:highlight w:val="none"/>
        </w:rPr>
        <w:t>将被没收，因此而造成招标人的损失须由投标人承担：</w:t>
      </w:r>
    </w:p>
    <w:p w14:paraId="46AEC99D">
      <w:pPr>
        <w:tabs>
          <w:tab w:val="left" w:pos="567"/>
        </w:tabs>
        <w:spacing w:line="360" w:lineRule="auto"/>
        <w:ind w:left="500" w:leftChars="238"/>
        <w:rPr>
          <w:rFonts w:hint="eastAsia" w:ascii="宋体" w:hAnsi="宋体" w:cs="宋体"/>
          <w:color w:val="auto"/>
          <w:szCs w:val="21"/>
          <w:highlight w:val="none"/>
        </w:rPr>
      </w:pPr>
      <w:r>
        <w:rPr>
          <w:rFonts w:hint="eastAsia" w:ascii="宋体" w:hAnsi="宋体" w:cs="宋体"/>
          <w:color w:val="auto"/>
          <w:szCs w:val="21"/>
          <w:highlight w:val="none"/>
        </w:rPr>
        <w:t>（1） 投标人在招标文件规定的投标有效期内撤回其投标；</w:t>
      </w:r>
    </w:p>
    <w:p w14:paraId="3A796161">
      <w:pPr>
        <w:tabs>
          <w:tab w:val="left" w:pos="567"/>
        </w:tabs>
        <w:spacing w:line="360" w:lineRule="auto"/>
        <w:ind w:left="500" w:leftChars="238"/>
        <w:rPr>
          <w:rFonts w:hint="eastAsia" w:ascii="宋体" w:hAnsi="宋体" w:cs="宋体"/>
          <w:color w:val="auto"/>
          <w:szCs w:val="21"/>
          <w:highlight w:val="none"/>
        </w:rPr>
      </w:pPr>
      <w:r>
        <w:rPr>
          <w:rFonts w:hint="eastAsia" w:ascii="宋体" w:hAnsi="宋体" w:cs="宋体"/>
          <w:color w:val="auto"/>
          <w:szCs w:val="21"/>
          <w:highlight w:val="none"/>
        </w:rPr>
        <w:t>（2） 中标人在规定期限内未能根据投标人须知的规定签订合同；</w:t>
      </w:r>
    </w:p>
    <w:p w14:paraId="5D999BCE">
      <w:pPr>
        <w:tabs>
          <w:tab w:val="left" w:pos="567"/>
        </w:tabs>
        <w:spacing w:line="360" w:lineRule="auto"/>
        <w:ind w:left="500" w:leftChars="238"/>
        <w:rPr>
          <w:rFonts w:hint="eastAsia" w:ascii="宋体" w:hAnsi="宋体" w:cs="宋体"/>
          <w:color w:val="auto"/>
          <w:szCs w:val="21"/>
          <w:highlight w:val="none"/>
        </w:rPr>
      </w:pPr>
      <w:r>
        <w:rPr>
          <w:rFonts w:hint="eastAsia" w:ascii="宋体" w:hAnsi="宋体" w:cs="宋体"/>
          <w:color w:val="auto"/>
          <w:szCs w:val="21"/>
          <w:highlight w:val="none"/>
        </w:rPr>
        <w:t>（3） 中标人在规定期限内未能按本须知的规定提交履约保证金；</w:t>
      </w:r>
    </w:p>
    <w:p w14:paraId="68FB184F">
      <w:pPr>
        <w:tabs>
          <w:tab w:val="left" w:pos="567"/>
        </w:tabs>
        <w:spacing w:line="360" w:lineRule="auto"/>
        <w:ind w:left="500" w:leftChars="238"/>
        <w:rPr>
          <w:rFonts w:hint="eastAsia" w:ascii="宋体" w:hAnsi="宋体" w:cs="宋体"/>
          <w:color w:val="auto"/>
          <w:szCs w:val="21"/>
          <w:highlight w:val="none"/>
        </w:rPr>
      </w:pPr>
      <w:r>
        <w:rPr>
          <w:rFonts w:hint="eastAsia" w:ascii="宋体" w:hAnsi="宋体" w:cs="宋体"/>
          <w:color w:val="auto"/>
          <w:szCs w:val="21"/>
          <w:highlight w:val="none"/>
        </w:rPr>
        <w:t>（4） 中标后未按招标文件中的规定缴付招标代理服务费（招标人支付除外）；</w:t>
      </w:r>
    </w:p>
    <w:p w14:paraId="03E06CD0">
      <w:pPr>
        <w:tabs>
          <w:tab w:val="left" w:pos="567"/>
        </w:tabs>
        <w:spacing w:line="360" w:lineRule="auto"/>
        <w:ind w:left="500" w:leftChars="238"/>
        <w:rPr>
          <w:rFonts w:hint="eastAsia" w:ascii="宋体" w:hAnsi="宋体" w:cs="宋体"/>
          <w:color w:val="auto"/>
          <w:szCs w:val="21"/>
          <w:highlight w:val="none"/>
        </w:rPr>
      </w:pPr>
      <w:r>
        <w:rPr>
          <w:rFonts w:hint="eastAsia" w:ascii="宋体" w:hAnsi="宋体" w:cs="宋体"/>
          <w:color w:val="auto"/>
          <w:szCs w:val="21"/>
          <w:highlight w:val="none"/>
        </w:rPr>
        <w:t>（5） 有违反国家有关法律法规的行为。</w:t>
      </w:r>
    </w:p>
    <w:p w14:paraId="53BB206F">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16</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投标有效期</w:t>
      </w:r>
    </w:p>
    <w:p w14:paraId="4CD816FE">
      <w:pPr>
        <w:tabs>
          <w:tab w:val="left" w:pos="567"/>
        </w:tabs>
        <w:spacing w:line="360" w:lineRule="auto"/>
        <w:ind w:left="567" w:hanging="567"/>
        <w:rPr>
          <w:rFonts w:hint="eastAsia" w:ascii="宋体" w:hAnsi="宋体" w:cs="宋体"/>
          <w:b/>
          <w:bCs/>
          <w:color w:val="auto"/>
          <w:szCs w:val="21"/>
          <w:highlight w:val="none"/>
          <w:lang w:val="zh-CN"/>
        </w:rPr>
      </w:pPr>
      <w:r>
        <w:rPr>
          <w:rFonts w:hint="eastAsia" w:ascii="宋体" w:hAnsi="宋体" w:cs="宋体"/>
          <w:color w:val="auto"/>
          <w:szCs w:val="21"/>
          <w:highlight w:val="none"/>
          <w:lang w:val="zh-CN"/>
        </w:rPr>
        <w:t>16.1</w:t>
      </w:r>
      <w:r>
        <w:rPr>
          <w:rFonts w:hint="eastAsia" w:ascii="宋体" w:hAnsi="宋体" w:cs="宋体"/>
          <w:color w:val="auto"/>
          <w:szCs w:val="21"/>
          <w:highlight w:val="none"/>
          <w:lang w:val="zh-CN"/>
        </w:rPr>
        <w:tab/>
      </w:r>
      <w:r>
        <w:rPr>
          <w:rFonts w:hint="eastAsia" w:ascii="宋体" w:hAnsi="宋体" w:cs="宋体"/>
          <w:b/>
          <w:color w:val="auto"/>
          <w:szCs w:val="21"/>
          <w:highlight w:val="none"/>
          <w:lang w:val="zh-CN"/>
        </w:rPr>
        <w:t>投标文件应在</w:t>
      </w:r>
      <w:r>
        <w:rPr>
          <w:rFonts w:hint="eastAsia" w:ascii="宋体" w:hAnsi="宋体" w:cs="宋体"/>
          <w:b/>
          <w:color w:val="auto"/>
          <w:szCs w:val="21"/>
          <w:highlight w:val="none"/>
        </w:rPr>
        <w:t>《投标须知前附表》</w:t>
      </w:r>
      <w:r>
        <w:rPr>
          <w:rFonts w:hint="eastAsia" w:ascii="宋体" w:hAnsi="宋体" w:cs="宋体"/>
          <w:b/>
          <w:color w:val="auto"/>
          <w:szCs w:val="21"/>
          <w:highlight w:val="none"/>
          <w:lang w:val="zh-CN"/>
        </w:rPr>
        <w:t>规定的时间内保持有效。投标有效期比规定时间短的将被视为非响应性投标而予以拒绝。</w:t>
      </w:r>
    </w:p>
    <w:p w14:paraId="18F6F1DB">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16.2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中标人的投标文件作为合同附件，合同失效时同时失效。</w:t>
      </w:r>
    </w:p>
    <w:p w14:paraId="54A92165">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16.3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在特殊情况下，招标代理机构可于投标有效期满之前要求投标人同意延长有效期。要求与答复均应为书面形式往来。投标人可以拒绝上述要求而其投标保证（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）不被没收。对于同意该要求的投标人，既不要求也不允许其修改投标文件，但将要求其相应延长投标保证（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）的有效期。第15款投标保证（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）的有关规定在投标保证（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）延长期内仍适用。</w:t>
      </w:r>
    </w:p>
    <w:p w14:paraId="7772FA6D">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17</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投标文件的式样和签署</w:t>
      </w:r>
    </w:p>
    <w:p w14:paraId="10FE2688">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投标人应准备投标文件一份正本和</w:t>
      </w:r>
      <w:r>
        <w:rPr>
          <w:rFonts w:hint="eastAsia" w:ascii="宋体" w:hAnsi="宋体" w:cs="宋体"/>
          <w:color w:val="auto"/>
          <w:szCs w:val="21"/>
          <w:highlight w:val="none"/>
        </w:rPr>
        <w:t>《投标须知前附表》</w:t>
      </w:r>
      <w:r>
        <w:rPr>
          <w:rFonts w:hint="eastAsia" w:ascii="宋体" w:hAnsi="宋体" w:cs="宋体"/>
          <w:color w:val="auto"/>
          <w:szCs w:val="21"/>
          <w:highlight w:val="none"/>
          <w:lang w:val="zh-CN"/>
        </w:rPr>
        <w:t>规定的副本份数，</w:t>
      </w:r>
      <w:r>
        <w:rPr>
          <w:rFonts w:hint="eastAsia" w:ascii="宋体" w:hAnsi="宋体" w:cs="宋体"/>
          <w:color w:val="auto"/>
          <w:szCs w:val="21"/>
          <w:highlight w:val="none"/>
        </w:rPr>
        <w:t>每一份投标文件均需编上页次，装订成册（不允许使用活页夹），并要明确注明“正本”或“副本”字样，一旦正本和副本发现差异，以正本为准。</w:t>
      </w:r>
      <w:r>
        <w:rPr>
          <w:rFonts w:hint="eastAsia" w:ascii="宋体" w:hAnsi="宋体" w:cs="宋体"/>
          <w:color w:val="auto"/>
          <w:szCs w:val="21"/>
          <w:highlight w:val="none"/>
          <w:lang w:val="zh-CN"/>
        </w:rPr>
        <w:t>所有投标文件必须封入密封完好的信封或包装，封口加盖投标人公章。</w:t>
      </w:r>
    </w:p>
    <w:p w14:paraId="0118D77F">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17.2</w:t>
      </w:r>
      <w:r>
        <w:rPr>
          <w:rFonts w:hint="eastAsia" w:ascii="宋体" w:hAnsi="宋体" w:cs="宋体"/>
          <w:color w:val="auto"/>
          <w:szCs w:val="21"/>
          <w:highlight w:val="none"/>
          <w:lang w:val="zh-CN"/>
        </w:rPr>
        <w:tab/>
      </w:r>
      <w:r>
        <w:rPr>
          <w:rFonts w:hint="eastAsia" w:ascii="宋体" w:hAnsi="宋体" w:cs="宋体"/>
          <w:bCs/>
          <w:color w:val="auto"/>
          <w:szCs w:val="21"/>
          <w:highlight w:val="none"/>
          <w:lang w:val="zh-CN"/>
        </w:rPr>
        <w:t>投标文件正本和副本须打印或用不褪色墨水书写，由投标人法定代表人签名或盖章</w:t>
      </w:r>
      <w:r>
        <w:rPr>
          <w:rFonts w:hint="eastAsia" w:ascii="宋体" w:hAnsi="宋体" w:cs="宋体"/>
          <w:b/>
          <w:color w:val="auto"/>
          <w:szCs w:val="21"/>
          <w:highlight w:val="none"/>
        </w:rPr>
        <w:t>（若法人代表授权委托他人代理的可由被委托人签名或盖章）。</w:t>
      </w:r>
      <w:r>
        <w:rPr>
          <w:rFonts w:hint="eastAsia" w:ascii="宋体" w:hAnsi="宋体" w:cs="宋体"/>
          <w:color w:val="auto"/>
          <w:szCs w:val="21"/>
          <w:highlight w:val="none"/>
        </w:rPr>
        <w:t>法人代表授权委托他人代理的，</w:t>
      </w:r>
      <w:r>
        <w:rPr>
          <w:rFonts w:hint="eastAsia" w:ascii="宋体" w:hAnsi="宋体" w:cs="宋体"/>
          <w:bCs/>
          <w:color w:val="auto"/>
          <w:szCs w:val="21"/>
          <w:highlight w:val="none"/>
          <w:lang w:val="zh-CN"/>
        </w:rPr>
        <w:t>须将“法人授权委托证明书”以书面形式附在投标文件中。</w:t>
      </w:r>
      <w:r>
        <w:rPr>
          <w:rFonts w:hint="eastAsia" w:ascii="宋体" w:hAnsi="宋体" w:cs="宋体"/>
          <w:color w:val="auto"/>
          <w:szCs w:val="21"/>
          <w:highlight w:val="none"/>
          <w:lang w:val="zh-CN"/>
        </w:rPr>
        <w:t>副本文件可由正本文件复印而成。</w:t>
      </w:r>
    </w:p>
    <w:p w14:paraId="310FDD6F">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17.3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投标文件须由投标人的合法授权代表正式签署，投标人除可对投标文件的错处做必要修改外，投标文件中不许有加行、涂抹或改写。</w:t>
      </w:r>
      <w:r>
        <w:rPr>
          <w:rFonts w:hint="eastAsia" w:ascii="宋体" w:hAnsi="宋体" w:cs="宋体"/>
          <w:b/>
          <w:color w:val="auto"/>
          <w:szCs w:val="21"/>
          <w:highlight w:val="none"/>
          <w:lang w:val="zh-CN"/>
        </w:rPr>
        <w:t>任何涂改或修正（如有）须由原签署人签字确认</w:t>
      </w:r>
      <w:r>
        <w:rPr>
          <w:rFonts w:hint="eastAsia" w:ascii="宋体" w:hAnsi="宋体" w:cs="宋体"/>
          <w:b/>
          <w:bCs/>
          <w:color w:val="auto"/>
          <w:szCs w:val="21"/>
          <w:highlight w:val="none"/>
          <w:lang w:val="zh-CN"/>
        </w:rPr>
        <w:t>，并加盖投标人公章。</w:t>
      </w:r>
    </w:p>
    <w:p w14:paraId="48AEAAF0">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17.4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投标文件的[正本]及所有[副本]的</w:t>
      </w:r>
      <w:r>
        <w:rPr>
          <w:rFonts w:hint="eastAsia" w:ascii="宋体" w:hAnsi="宋体" w:cs="宋体"/>
          <w:b/>
          <w:color w:val="auto"/>
          <w:szCs w:val="21"/>
          <w:highlight w:val="none"/>
          <w:lang w:val="zh-CN"/>
        </w:rPr>
        <w:t>封面</w:t>
      </w:r>
      <w:r>
        <w:rPr>
          <w:rFonts w:hint="eastAsia" w:ascii="宋体" w:hAnsi="宋体" w:cs="宋体"/>
          <w:color w:val="auto"/>
          <w:szCs w:val="21"/>
          <w:highlight w:val="none"/>
          <w:lang w:val="zh-CN"/>
        </w:rPr>
        <w:t>均须由投标人加盖投标人公章。</w:t>
      </w:r>
    </w:p>
    <w:p w14:paraId="6FE0A6B1">
      <w:pPr>
        <w:spacing w:line="360" w:lineRule="auto"/>
        <w:ind w:left="567" w:hanging="567"/>
        <w:rPr>
          <w:rFonts w:hint="eastAsia" w:ascii="宋体" w:hAnsi="宋体" w:cs="宋体"/>
          <w:b/>
          <w:bCs/>
          <w:color w:val="auto"/>
          <w:szCs w:val="21"/>
          <w:highlight w:val="none"/>
          <w:u w:val="single"/>
          <w:lang w:val="zh-CN"/>
        </w:rPr>
      </w:pPr>
      <w:r>
        <w:rPr>
          <w:rFonts w:hint="eastAsia" w:ascii="宋体" w:hAnsi="宋体" w:cs="宋体"/>
          <w:color w:val="auto"/>
          <w:szCs w:val="21"/>
          <w:highlight w:val="none"/>
          <w:lang w:val="zh-CN"/>
        </w:rPr>
        <w:t>17.5</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投标文件的封面应注明“项目名称、项目编号、投标人名称、投标日期”等。</w:t>
      </w:r>
    </w:p>
    <w:p w14:paraId="1867D33B">
      <w:pPr>
        <w:spacing w:line="360" w:lineRule="auto"/>
        <w:ind w:left="567" w:hanging="567"/>
        <w:rPr>
          <w:rFonts w:hint="eastAsia" w:ascii="宋体" w:hAnsi="宋体" w:cs="宋体"/>
          <w:b/>
          <w:bCs/>
          <w:color w:val="auto"/>
          <w:szCs w:val="21"/>
          <w:highlight w:val="none"/>
          <w:lang w:val="zh-CN"/>
        </w:rPr>
      </w:pPr>
      <w:r>
        <w:rPr>
          <w:rFonts w:hint="eastAsia" w:ascii="宋体" w:hAnsi="宋体" w:cs="宋体"/>
          <w:color w:val="auto"/>
          <w:szCs w:val="21"/>
          <w:highlight w:val="none"/>
          <w:lang w:val="zh-CN"/>
        </w:rPr>
        <w:t>17.6</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电子文件用U盘</w:t>
      </w:r>
      <w:r>
        <w:rPr>
          <w:rFonts w:hint="eastAsia" w:ascii="宋体" w:hAnsi="宋体" w:cs="宋体"/>
          <w:color w:val="auto"/>
          <w:szCs w:val="21"/>
          <w:highlight w:val="none"/>
        </w:rPr>
        <w:t>介质</w:t>
      </w:r>
      <w:r>
        <w:rPr>
          <w:rFonts w:hint="eastAsia" w:ascii="宋体" w:hAnsi="宋体" w:cs="宋体"/>
          <w:color w:val="auto"/>
          <w:szCs w:val="21"/>
          <w:highlight w:val="none"/>
          <w:lang w:val="zh-CN"/>
        </w:rPr>
        <w:t>储存，并密封于“电子文件信封”内。</w:t>
      </w:r>
    </w:p>
    <w:p w14:paraId="621F4CE2">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17.7</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电报、电传、传真的投标概不接受。</w:t>
      </w:r>
    </w:p>
    <w:p w14:paraId="65D55AC2">
      <w:pPr>
        <w:pStyle w:val="4"/>
        <w:spacing w:before="140" w:after="140" w:line="360" w:lineRule="auto"/>
        <w:rPr>
          <w:rFonts w:hint="eastAsia" w:ascii="宋体" w:hAnsi="宋体" w:cs="宋体"/>
          <w:color w:val="auto"/>
          <w:kern w:val="44"/>
          <w:sz w:val="24"/>
          <w:highlight w:val="none"/>
          <w:lang w:val="zh-CN"/>
        </w:rPr>
      </w:pPr>
      <w:bookmarkStart w:id="68" w:name="_Toc367785362"/>
      <w:bookmarkStart w:id="69" w:name="_Toc449081282"/>
      <w:bookmarkStart w:id="70" w:name="_Toc2798"/>
      <w:bookmarkStart w:id="71" w:name="_Toc7772"/>
      <w:r>
        <w:rPr>
          <w:rFonts w:hint="eastAsia" w:ascii="宋体" w:hAnsi="宋体" w:cs="宋体"/>
          <w:color w:val="auto"/>
          <w:kern w:val="44"/>
          <w:sz w:val="24"/>
          <w:highlight w:val="none"/>
          <w:lang w:val="zh-CN"/>
        </w:rPr>
        <w:t>（四）</w:t>
      </w:r>
      <w:r>
        <w:rPr>
          <w:rFonts w:hint="eastAsia" w:ascii="宋体" w:hAnsi="宋体" w:cs="宋体"/>
          <w:color w:val="auto"/>
          <w:kern w:val="44"/>
          <w:sz w:val="24"/>
          <w:highlight w:val="none"/>
          <w:lang w:val="zh-CN"/>
        </w:rPr>
        <w:tab/>
      </w:r>
      <w:r>
        <w:rPr>
          <w:rFonts w:hint="eastAsia" w:ascii="宋体" w:hAnsi="宋体" w:cs="宋体"/>
          <w:color w:val="auto"/>
          <w:kern w:val="44"/>
          <w:sz w:val="24"/>
          <w:highlight w:val="none"/>
          <w:lang w:val="zh-CN"/>
        </w:rPr>
        <w:t>投标文件的递交</w:t>
      </w:r>
      <w:bookmarkEnd w:id="68"/>
      <w:bookmarkEnd w:id="69"/>
      <w:bookmarkEnd w:id="70"/>
      <w:bookmarkEnd w:id="71"/>
    </w:p>
    <w:p w14:paraId="4507AA74">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18</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投标文件的密封和标记：</w:t>
      </w:r>
    </w:p>
    <w:p w14:paraId="52230625">
      <w:pPr>
        <w:tabs>
          <w:tab w:val="left" w:pos="567"/>
        </w:tabs>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18.1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投标人应将投标文件（不含电子文件信封）一起密封在一个不透明的外层封装中。</w:t>
      </w:r>
    </w:p>
    <w:p w14:paraId="24AFA9C3">
      <w:pPr>
        <w:tabs>
          <w:tab w:val="left" w:pos="567"/>
        </w:tabs>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18.2</w:t>
      </w:r>
      <w:r>
        <w:rPr>
          <w:rFonts w:hint="eastAsia" w:ascii="宋体" w:hAnsi="宋体" w:cs="宋体"/>
          <w:color w:val="auto"/>
          <w:szCs w:val="21"/>
          <w:highlight w:val="none"/>
          <w:lang w:val="zh-CN"/>
        </w:rPr>
        <w:tab/>
      </w:r>
      <w:r>
        <w:rPr>
          <w:rFonts w:hint="eastAsia" w:ascii="宋体" w:hAnsi="宋体" w:cs="宋体"/>
          <w:b/>
          <w:bCs/>
          <w:color w:val="auto"/>
          <w:szCs w:val="21"/>
          <w:highlight w:val="none"/>
          <w:lang w:val="zh-CN"/>
        </w:rPr>
        <w:t>电子文件信封应单独密封并加盖投标人公章，与投标文件一同提交。</w:t>
      </w:r>
    </w:p>
    <w:p w14:paraId="02105C09">
      <w:pPr>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18.3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密封封装标记：外层密封封装表面应正确标明投标人名称、地址、项目名称、包号（如有）、投标文件名称、并注明投标文件递交截止时间之前不得开封（在封口位置的封条上标注注明），封口位置须加盖投标人公章。</w:t>
      </w:r>
    </w:p>
    <w:p w14:paraId="48A76F9B">
      <w:pPr>
        <w:tabs>
          <w:tab w:val="left" w:pos="567"/>
        </w:tabs>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18.4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如果因密封封装未按本款规定密封和标记，导致招标代理机构对投标文件误投、提前拆封或错放的，由投标人承担责任。对由此造成提前开封的投标文件，招标代理机构予以拒绝，并退回投标人。</w:t>
      </w:r>
    </w:p>
    <w:p w14:paraId="5A7158D6">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19</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bCs/>
          <w:color w:val="auto"/>
          <w:szCs w:val="21"/>
          <w:highlight w:val="none"/>
        </w:rPr>
        <w:t>投标文件的递交、接收和密封</w:t>
      </w:r>
    </w:p>
    <w:p w14:paraId="4969FE2E">
      <w:pPr>
        <w:tabs>
          <w:tab w:val="left" w:pos="0"/>
        </w:tabs>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19.1 投标人代表应按《投标须知前附表》所规定的时间和地点向招标人递交投标文件。</w:t>
      </w:r>
    </w:p>
    <w:p w14:paraId="02490EE5">
      <w:pPr>
        <w:tabs>
          <w:tab w:val="left" w:pos="567"/>
        </w:tabs>
        <w:spacing w:line="360" w:lineRule="auto"/>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19.2 投标人应凭以下资料递交投标文件：</w:t>
      </w:r>
    </w:p>
    <w:p w14:paraId="47CD150C">
      <w:pPr>
        <w:tabs>
          <w:tab w:val="left" w:pos="567"/>
        </w:tabs>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19.2.1 法定代表人递交投标文件：携带本人身份证件及法定代表人证明书；</w:t>
      </w:r>
    </w:p>
    <w:p w14:paraId="21AD4D7F">
      <w:pPr>
        <w:tabs>
          <w:tab w:val="left" w:pos="567"/>
        </w:tabs>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bCs/>
          <w:color w:val="auto"/>
          <w:szCs w:val="21"/>
          <w:highlight w:val="none"/>
        </w:rPr>
        <w:t>19.2.2 授权代表递交投标文件：</w:t>
      </w:r>
      <w:r>
        <w:rPr>
          <w:rFonts w:hint="eastAsia" w:ascii="宋体" w:hAnsi="宋体"/>
          <w:b/>
          <w:color w:val="auto"/>
          <w:szCs w:val="21"/>
          <w:highlight w:val="none"/>
        </w:rPr>
        <w:t>授权代表递交投标文件：携带本人身份证件及法定代表人授权书</w:t>
      </w:r>
      <w:r>
        <w:rPr>
          <w:rFonts w:hint="eastAsia" w:ascii="宋体" w:hAnsi="宋体" w:cs="宋体"/>
          <w:b/>
          <w:bCs/>
          <w:color w:val="auto"/>
          <w:szCs w:val="21"/>
          <w:highlight w:val="none"/>
          <w:lang w:val="zh-CN"/>
        </w:rPr>
        <w:t>。</w:t>
      </w:r>
    </w:p>
    <w:p w14:paraId="1082CD58">
      <w:pPr>
        <w:tabs>
          <w:tab w:val="left" w:pos="0"/>
        </w:tabs>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19.3 若出现以下情况，招标人将拒绝接收投标文件：</w:t>
      </w:r>
    </w:p>
    <w:p w14:paraId="050C5209">
      <w:pPr>
        <w:tabs>
          <w:tab w:val="left" w:pos="0"/>
        </w:tabs>
        <w:spacing w:line="360" w:lineRule="auto"/>
        <w:ind w:firstLine="525" w:firstLine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19.3.1 在投标截止时间后逾期或未在指定地点递交投标文件的；</w:t>
      </w:r>
    </w:p>
    <w:p w14:paraId="44B3C510">
      <w:pPr>
        <w:tabs>
          <w:tab w:val="left" w:pos="0"/>
        </w:tabs>
        <w:spacing w:line="360" w:lineRule="auto"/>
        <w:ind w:firstLine="525" w:firstLine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19.3.2 投标文件未密封的（投标文件必须符合以下密封要求：在不对包装进行破坏的情况下，投标文件无法从包装内掉出或被取出，且他人无法看到投标文件的内文内容。）；</w:t>
      </w:r>
    </w:p>
    <w:p w14:paraId="3F9BCD94">
      <w:pPr>
        <w:tabs>
          <w:tab w:val="left" w:pos="0"/>
        </w:tabs>
        <w:spacing w:line="360" w:lineRule="auto"/>
        <w:ind w:firstLine="525" w:firstLine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19.3.3 投标人代表未按要求签到的；</w:t>
      </w:r>
    </w:p>
    <w:p w14:paraId="572A8DA4">
      <w:pPr>
        <w:tabs>
          <w:tab w:val="left" w:pos="0"/>
        </w:tabs>
        <w:spacing w:line="360" w:lineRule="auto"/>
        <w:ind w:firstLine="525" w:firstLineChars="2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19.3.4 在投标截止时，投标人未按第</w:t>
      </w:r>
      <w:r>
        <w:rPr>
          <w:rFonts w:hint="eastAsia" w:ascii="宋体" w:hAnsi="宋体" w:cs="宋体"/>
          <w:bCs/>
          <w:color w:val="auto"/>
          <w:szCs w:val="21"/>
          <w:highlight w:val="none"/>
        </w:rPr>
        <w:t>19.2款</w:t>
      </w:r>
      <w:r>
        <w:rPr>
          <w:rFonts w:hint="eastAsia" w:ascii="宋体" w:hAnsi="宋体" w:cs="宋体"/>
          <w:bCs/>
          <w:color w:val="auto"/>
          <w:szCs w:val="21"/>
          <w:highlight w:val="none"/>
          <w:lang w:val="zh-CN"/>
        </w:rPr>
        <w:t>递交投标文件的。</w:t>
      </w:r>
    </w:p>
    <w:p w14:paraId="1688B57B">
      <w:pPr>
        <w:tabs>
          <w:tab w:val="left" w:pos="0"/>
        </w:tabs>
        <w:spacing w:line="360" w:lineRule="auto"/>
        <w:ind w:left="420" w:hanging="420" w:hanging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19.4 如投标文件不能在接收标书当天开启时，须按密件集中封存在指定的地点，并由投标人全体见证密封，开标前再从封标室解封、取出。</w:t>
      </w:r>
    </w:p>
    <w:p w14:paraId="15A6EE8D">
      <w:pPr>
        <w:tabs>
          <w:tab w:val="left" w:pos="0"/>
        </w:tabs>
        <w:spacing w:line="360" w:lineRule="auto"/>
        <w:ind w:left="420" w:hanging="420" w:hanging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19.5 全体投标人应见证封标及标书的解封、取出过程，如投标人不参加见证封标及标书的解封、取出过程，视同认可投标文件的封存的解封、取出过程与结果。</w:t>
      </w:r>
    </w:p>
    <w:p w14:paraId="401A59E9">
      <w:pPr>
        <w:tabs>
          <w:tab w:val="left" w:pos="0"/>
        </w:tabs>
        <w:spacing w:line="360" w:lineRule="auto"/>
        <w:ind w:left="525" w:hanging="525" w:hangingChars="250"/>
        <w:rPr>
          <w:rFonts w:hint="eastAsia" w:ascii="宋体" w:hAnsi="宋体" w:cs="宋体"/>
          <w:color w:val="auto"/>
          <w:szCs w:val="21"/>
          <w:highlight w:val="none"/>
          <w:lang w:val="zh-CN"/>
        </w:rPr>
      </w:pPr>
      <w:r>
        <w:rPr>
          <w:rFonts w:hint="eastAsia" w:ascii="宋体" w:hAnsi="宋体" w:cs="宋体"/>
          <w:color w:val="auto"/>
          <w:szCs w:val="21"/>
          <w:highlight w:val="none"/>
          <w:lang w:val="zh-CN"/>
        </w:rPr>
        <w:t>19.6 招标人可按照第7款的规定修改招标文件并酌情延长递交投标文件的截止时间，因此，业已规定的招标代理机构和投标人的一切权利和义务将按延期后的递交投标文件截止时间履行。</w:t>
      </w:r>
    </w:p>
    <w:p w14:paraId="4DF80C72">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20</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迟交的投标文件</w:t>
      </w:r>
    </w:p>
    <w:p w14:paraId="40025239">
      <w:pPr>
        <w:spacing w:line="360" w:lineRule="auto"/>
        <w:ind w:firstLine="567"/>
        <w:rPr>
          <w:rFonts w:hint="eastAsia" w:ascii="宋体" w:hAnsi="宋体" w:cs="宋体"/>
          <w:color w:val="auto"/>
          <w:szCs w:val="21"/>
          <w:highlight w:val="none"/>
          <w:lang w:val="zh-CN"/>
        </w:rPr>
      </w:pPr>
      <w:r>
        <w:rPr>
          <w:rFonts w:hint="eastAsia" w:ascii="宋体" w:hAnsi="宋体" w:cs="宋体"/>
          <w:color w:val="auto"/>
          <w:szCs w:val="21"/>
          <w:highlight w:val="none"/>
          <w:lang w:val="zh-CN"/>
        </w:rPr>
        <w:t>根据第19款规定，招标代理机构将拒绝任何晚于递交投标文件截止时间交到的投标文件。</w:t>
      </w:r>
    </w:p>
    <w:p w14:paraId="34192242">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21</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投标文件的修改和撤回</w:t>
      </w:r>
    </w:p>
    <w:p w14:paraId="434417BE">
      <w:pPr>
        <w:tabs>
          <w:tab w:val="left" w:pos="567"/>
        </w:tabs>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21.1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投标人可在递交投标文件截止时间前对其递交的投标文件进行修改或撤回，但须在递交投标文件截止时间前向招标代理机构提出修改或撤回的书面通知。</w:t>
      </w:r>
    </w:p>
    <w:p w14:paraId="264F9EBB">
      <w:pPr>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21.2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投标人对投标文件的修改或撤回的通知应按第17款和第18款规定进行准备、密封、标注和递送。</w:t>
      </w:r>
    </w:p>
    <w:p w14:paraId="57892314">
      <w:pPr>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21.3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递交投标文件截止时间后，投标人不得修改投标文件。</w:t>
      </w:r>
    </w:p>
    <w:p w14:paraId="4313AA7B">
      <w:pPr>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21.4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投标人不得在递交投标文件截止时间起至第16款规定的投标有效期期满前撤回其投标文件。否则招标代理机构将按第15.7款规定没收其投标保证（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w:t>
      </w:r>
    </w:p>
    <w:p w14:paraId="647FFFF5">
      <w:pPr>
        <w:pStyle w:val="4"/>
        <w:spacing w:before="140" w:after="140" w:line="360" w:lineRule="auto"/>
        <w:rPr>
          <w:rFonts w:hint="eastAsia" w:ascii="宋体" w:hAnsi="宋体" w:cs="宋体"/>
          <w:color w:val="auto"/>
          <w:kern w:val="44"/>
          <w:sz w:val="24"/>
          <w:highlight w:val="none"/>
          <w:lang w:val="zh-CN"/>
        </w:rPr>
      </w:pPr>
      <w:bookmarkStart w:id="72" w:name="_Toc2498"/>
      <w:bookmarkStart w:id="73" w:name="_Toc367785363"/>
      <w:bookmarkStart w:id="74" w:name="_Toc449081283"/>
      <w:bookmarkStart w:id="75" w:name="_Toc11977"/>
      <w:r>
        <w:rPr>
          <w:rFonts w:hint="eastAsia" w:ascii="宋体" w:hAnsi="宋体" w:cs="宋体"/>
          <w:color w:val="auto"/>
          <w:kern w:val="44"/>
          <w:sz w:val="24"/>
          <w:highlight w:val="none"/>
          <w:lang w:val="zh-CN"/>
        </w:rPr>
        <w:t>（五）</w:t>
      </w:r>
      <w:r>
        <w:rPr>
          <w:rFonts w:hint="eastAsia" w:ascii="宋体" w:hAnsi="宋体" w:cs="宋体"/>
          <w:color w:val="auto"/>
          <w:kern w:val="44"/>
          <w:sz w:val="24"/>
          <w:highlight w:val="none"/>
          <w:lang w:val="zh-CN"/>
        </w:rPr>
        <w:tab/>
      </w:r>
      <w:r>
        <w:rPr>
          <w:rFonts w:hint="eastAsia" w:ascii="宋体" w:hAnsi="宋体" w:cs="宋体"/>
          <w:color w:val="auto"/>
          <w:kern w:val="44"/>
          <w:sz w:val="24"/>
          <w:highlight w:val="none"/>
          <w:lang w:val="zh-CN"/>
        </w:rPr>
        <w:t>开标、评标与定标</w:t>
      </w:r>
      <w:bookmarkEnd w:id="72"/>
      <w:bookmarkEnd w:id="73"/>
      <w:bookmarkEnd w:id="74"/>
      <w:bookmarkEnd w:id="75"/>
    </w:p>
    <w:p w14:paraId="1D8B3A97">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22</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开标</w:t>
      </w:r>
    </w:p>
    <w:p w14:paraId="01536B81">
      <w:pPr>
        <w:tabs>
          <w:tab w:val="left" w:pos="567"/>
        </w:tabs>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22.1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招标代理机构在投标人代表自愿出席的情况下，在</w:t>
      </w:r>
      <w:r>
        <w:rPr>
          <w:rFonts w:hint="eastAsia" w:ascii="宋体" w:hAnsi="宋体" w:cs="宋体"/>
          <w:color w:val="auto"/>
          <w:szCs w:val="21"/>
          <w:highlight w:val="none"/>
        </w:rPr>
        <w:t>《投标须知前附表》</w:t>
      </w:r>
      <w:r>
        <w:rPr>
          <w:rFonts w:hint="eastAsia" w:ascii="宋体" w:hAnsi="宋体" w:cs="宋体"/>
          <w:color w:val="auto"/>
          <w:szCs w:val="21"/>
          <w:highlight w:val="none"/>
          <w:lang w:val="zh-CN"/>
        </w:rPr>
        <w:t>规定的地点和时间开标， 出席代表需登记以示出席。如投标人代表（法定代表人或其授权代表）不到开标现场，</w:t>
      </w:r>
      <w:r>
        <w:rPr>
          <w:rFonts w:hint="eastAsia" w:ascii="宋体" w:hAnsi="宋体" w:cs="宋体"/>
          <w:color w:val="auto"/>
          <w:szCs w:val="21"/>
          <w:highlight w:val="none"/>
        </w:rPr>
        <w:t>视同认可开标结果</w:t>
      </w:r>
      <w:r>
        <w:rPr>
          <w:rFonts w:hint="eastAsia" w:ascii="宋体" w:hAnsi="宋体" w:cs="宋体"/>
          <w:color w:val="auto"/>
          <w:szCs w:val="21"/>
          <w:highlight w:val="none"/>
          <w:lang w:val="zh-CN"/>
        </w:rPr>
        <w:t>。</w:t>
      </w:r>
    </w:p>
    <w:p w14:paraId="784FF3A0">
      <w:pPr>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22.2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按照第21款规定，提交了可接受的“撤回”通知的投标文件将不予开封。</w:t>
      </w:r>
    </w:p>
    <w:p w14:paraId="2E423112">
      <w:pPr>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22.3  递交投标文件截止时间后，监督人员和投标人代表将对所有的投标文件的密封性进行检查。招标代理机构将当众宣读投标人名称、投标报价、折扣声明，以及招标代理机构认为合适的其他内容。若招标代理机构宣读的结果与投标文件不符时，投标人有权在开标现场提出异议，经有关监督人员或公证人员当场核查确认之后，可重新宣读其投标文件。若投标人现场未提出异议，则视为投标人确认宣读的结果。</w:t>
      </w:r>
    </w:p>
    <w:p w14:paraId="3C614CCA">
      <w:pPr>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22.4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中开标一览表内容与投标文件中相应内容不一致的，以开标一览表为准；大写金额和小写金额不一致的，以大写金额为准；单价金额小数点或者百分比（或千分比）有明显错位的，以开标一览表的总价为准，并修改单价；总价金额与按单价汇总金额不一致的，以单价金额计算结果为准。</w:t>
      </w:r>
    </w:p>
    <w:p w14:paraId="7BCBC5A2">
      <w:pPr>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22.5  </w:t>
      </w:r>
      <w:r>
        <w:rPr>
          <w:rFonts w:hint="eastAsia" w:ascii="宋体" w:hAnsi="宋体" w:cs="宋体"/>
          <w:color w:val="auto"/>
          <w:szCs w:val="21"/>
          <w:highlight w:val="none"/>
        </w:rPr>
        <w:t>招标代理机构做好开标记录，开标记录由各投标人代表签字确认。投标人代表对开标过程和开标记录有疑义，以及认为招标人、招标代理机构相关工作人员有需要回避的情形的，应当场提出询问或者回避申请。投标人未参加开标的，视同认可开标结果。</w:t>
      </w:r>
    </w:p>
    <w:p w14:paraId="5369D967">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23</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rPr>
        <w:t>评标过程的保密性</w:t>
      </w:r>
    </w:p>
    <w:p w14:paraId="1EC62082">
      <w:pPr>
        <w:tabs>
          <w:tab w:val="left" w:pos="567"/>
        </w:tabs>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23.1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递交投标文件后，直至向中标人授予合同时止，凡与审查、澄清、评估和比较投标报价的有关资料以及</w:t>
      </w:r>
      <w:r>
        <w:rPr>
          <w:rFonts w:hint="eastAsia" w:ascii="宋体" w:hAnsi="宋体" w:cs="宋体"/>
          <w:color w:val="auto"/>
          <w:szCs w:val="21"/>
          <w:highlight w:val="none"/>
        </w:rPr>
        <w:t>投标</w:t>
      </w:r>
      <w:r>
        <w:rPr>
          <w:rFonts w:hint="eastAsia" w:ascii="宋体" w:hAnsi="宋体" w:cs="宋体"/>
          <w:color w:val="auto"/>
          <w:szCs w:val="21"/>
          <w:highlight w:val="none"/>
          <w:lang w:val="zh-CN"/>
        </w:rPr>
        <w:t>意见等，</w:t>
      </w:r>
      <w:r>
        <w:rPr>
          <w:rFonts w:hint="eastAsia" w:ascii="宋体" w:hAnsi="宋体" w:cs="宋体"/>
          <w:color w:val="auto"/>
          <w:szCs w:val="21"/>
          <w:highlight w:val="none"/>
        </w:rPr>
        <w:t>参与评标工作的有关人员</w:t>
      </w:r>
      <w:r>
        <w:rPr>
          <w:rFonts w:hint="eastAsia" w:ascii="宋体" w:hAnsi="宋体" w:cs="宋体"/>
          <w:color w:val="auto"/>
          <w:szCs w:val="21"/>
          <w:highlight w:val="none"/>
          <w:lang w:val="zh-CN"/>
        </w:rPr>
        <w:t>均不得向投标人及与评审无关的其他人透露，否则追究有关当事人的法律责任。</w:t>
      </w:r>
    </w:p>
    <w:p w14:paraId="31D9D7C5">
      <w:pPr>
        <w:tabs>
          <w:tab w:val="left" w:pos="567"/>
        </w:tabs>
        <w:spacing w:line="360" w:lineRule="auto"/>
        <w:ind w:left="567" w:right="18"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23.2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D37716B">
      <w:pPr>
        <w:spacing w:line="360" w:lineRule="auto"/>
        <w:ind w:left="525" w:hanging="525" w:hangingChars="250"/>
        <w:rPr>
          <w:rFonts w:hint="eastAsia" w:ascii="宋体" w:hAnsi="宋体" w:cs="宋体"/>
          <w:color w:val="auto"/>
          <w:szCs w:val="21"/>
          <w:highlight w:val="none"/>
        </w:rPr>
      </w:pPr>
      <w:r>
        <w:rPr>
          <w:rFonts w:hint="eastAsia" w:ascii="宋体" w:hAnsi="宋体" w:cs="宋体"/>
          <w:color w:val="auto"/>
          <w:szCs w:val="21"/>
          <w:highlight w:val="none"/>
          <w:lang w:val="zh-CN"/>
        </w:rPr>
        <w:t xml:space="preserve">23.3  </w:t>
      </w:r>
      <w:r>
        <w:rPr>
          <w:rFonts w:hint="eastAsia" w:ascii="宋体" w:hAnsi="宋体" w:cs="宋体"/>
          <w:color w:val="auto"/>
          <w:szCs w:val="21"/>
          <w:highlight w:val="none"/>
        </w:rPr>
        <w:t>凡参与评标工作的有关人员均应自觉接受相关招标主管部门的监督，不得向他人透露已获得招标文件的潜在投标人的名称、数量以及可能影响公平竞争的有关投标报价的其他情况。</w:t>
      </w:r>
    </w:p>
    <w:p w14:paraId="2306C8F9">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24</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评标委员会</w:t>
      </w:r>
    </w:p>
    <w:p w14:paraId="5658CDA6">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24.1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招标代理机构依法组建评标委员会。评标委员会成员共5人：成员总数的三分之二以上为技术、经济等方面的专家，由专家库中随机抽取确定。评标委员会的成员在评标过程中必须严格遵守相关招标投标规定。</w:t>
      </w:r>
    </w:p>
    <w:p w14:paraId="27D6474D">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24.2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评标委员会将只对确定为实质上响应招标文件要求的投标，即通过初审的投标进行评价和比较，响应的依据是招标文件本身的内容，而不寻求其他证据。实质上响应的投标应该是与招标文件要求的全部主要条款、条件和规格相符的投标。</w:t>
      </w:r>
    </w:p>
    <w:p w14:paraId="627A2153">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24.3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评标委员会依法根据招标文件的规定，进行投标文件的评审、得出评审结果，评标委员会递交评标报告并依法向招标人推荐中标候选人。</w:t>
      </w:r>
    </w:p>
    <w:p w14:paraId="025D4A84">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24.4 所有参加评标人员必须遵守国家、地方政府制定的有关招标投标的法则、规定，遵守有关招标投标的保密制度；如有违反者，给予行政处分；情节严重，构成犯罪的，由司法机关依法追究其刑事责任。</w:t>
      </w:r>
    </w:p>
    <w:p w14:paraId="500069DE">
      <w:pPr>
        <w:spacing w:line="360" w:lineRule="auto"/>
        <w:ind w:left="567" w:hanging="567"/>
        <w:rPr>
          <w:rFonts w:hint="eastAsia" w:ascii="宋体" w:hAnsi="宋体" w:cs="宋体"/>
          <w:color w:val="auto"/>
          <w:szCs w:val="21"/>
          <w:highlight w:val="none"/>
          <w:lang w:val="zh-CN"/>
        </w:rPr>
      </w:pPr>
      <w:r>
        <w:rPr>
          <w:rFonts w:hint="eastAsia" w:ascii="宋体" w:hAnsi="宋体" w:cs="宋体"/>
          <w:color w:val="auto"/>
          <w:szCs w:val="21"/>
          <w:highlight w:val="none"/>
          <w:lang w:val="zh-CN"/>
        </w:rPr>
        <w:t>24.5 全体参与评标人员：</w:t>
      </w:r>
    </w:p>
    <w:p w14:paraId="3AEA412B">
      <w:pPr>
        <w:spacing w:line="360" w:lineRule="auto"/>
        <w:ind w:left="504" w:leftChars="22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24.5.1 必须遵守评标纪律、不得泄密；</w:t>
      </w:r>
    </w:p>
    <w:p w14:paraId="47D2DF18">
      <w:pPr>
        <w:spacing w:line="360" w:lineRule="auto"/>
        <w:ind w:left="504" w:leftChars="22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24.5.2 必须公正、不得徇私；</w:t>
      </w:r>
    </w:p>
    <w:p w14:paraId="7FC578B4">
      <w:pPr>
        <w:spacing w:line="360" w:lineRule="auto"/>
        <w:ind w:left="504" w:leftChars="22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24.5.3 必须科学、不得草率；</w:t>
      </w:r>
    </w:p>
    <w:p w14:paraId="55B47B30">
      <w:pPr>
        <w:spacing w:line="360" w:lineRule="auto"/>
        <w:ind w:left="504" w:leftChars="22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24.5.4 必须客观、不得带有成见；</w:t>
      </w:r>
    </w:p>
    <w:p w14:paraId="07E6CC90">
      <w:pPr>
        <w:spacing w:line="360" w:lineRule="auto"/>
        <w:ind w:left="504" w:leftChars="22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24.5.5 必须平等、不得强加于人；</w:t>
      </w:r>
    </w:p>
    <w:p w14:paraId="3C4267E9">
      <w:pPr>
        <w:spacing w:line="360" w:lineRule="auto"/>
        <w:ind w:left="504" w:leftChars="220" w:hanging="42" w:hangingChars="20"/>
        <w:rPr>
          <w:rFonts w:hint="eastAsia" w:ascii="宋体" w:hAnsi="宋体" w:cs="宋体"/>
          <w:color w:val="auto"/>
          <w:szCs w:val="21"/>
          <w:highlight w:val="none"/>
          <w:lang w:val="zh-CN"/>
        </w:rPr>
      </w:pPr>
      <w:r>
        <w:rPr>
          <w:rFonts w:hint="eastAsia" w:ascii="宋体" w:hAnsi="宋体" w:cs="宋体"/>
          <w:color w:val="auto"/>
          <w:szCs w:val="21"/>
          <w:highlight w:val="none"/>
          <w:lang w:val="zh-CN"/>
        </w:rPr>
        <w:t>24.5.6 必须严谨、不得随意马虎。</w:t>
      </w:r>
    </w:p>
    <w:p w14:paraId="5A9926F1">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25</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投标文件的初审</w:t>
      </w:r>
    </w:p>
    <w:p w14:paraId="4077C876">
      <w:pPr>
        <w:spacing w:line="360" w:lineRule="auto"/>
        <w:ind w:left="540"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25.1 由评标委员会根据《资格性检查表》《符合性检查表》对所有投标文件进行响应性检查，未能响应招标文件要求的投标文件作无效投标处理，通过资格性、符合性审查的投标人才能进入商务、技术及价格评比阶段。（具体内容详见评标工作大纲）</w:t>
      </w:r>
    </w:p>
    <w:p w14:paraId="4E5239B2">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26</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投标文件的澄清</w:t>
      </w:r>
    </w:p>
    <w:p w14:paraId="437C51E8">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26.1 为有助于投标文件的审查、评价和比较，评标期间，经评标委员会以书面形式提出动议，评标委员会书面发出澄清通知，要求投标人对投标文件含义不明确、同类问题表述不一致或者有明显文字和计算错误的内容作出澄清。</w:t>
      </w:r>
    </w:p>
    <w:p w14:paraId="135F0EDF">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26.2 投标人应以书面形式进行澄清、说明或补正，澄清、说明或补正的内容属于投标文件的组成部分，澄清中的承诺性意思表示在投标文件有效期内均对投标人有约束力。除评标委员会对评标中发现的算术错误进行修正后要求投标人以澄清形式进行核实和确认外，澄清不得超出投标文件的范围或改变投标文件的实质性内容，超出部分不作为评标委员会评审的依据。除上述规定的情形之外，评标委员会在评审过程中，不得接收来自评审现场以外的任何形式的文件资料。除评标委员会主动要求澄清、说明或者纠正外，评标定标期间，任何投标人均不得就与其投标相关的任何问题与评标委员会联系。</w:t>
      </w:r>
    </w:p>
    <w:p w14:paraId="40CA2F78">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26.3 评标委员会成员均应当阅读投标人的澄清，但应独立参考澄清对投标文件进行评审。整个澄清的过程不得存在排斥潜在投标人的现象。</w:t>
      </w:r>
    </w:p>
    <w:p w14:paraId="278BD9C0">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26.4 如果投标文件实质上不响应招标文件的各项要求，评标委员会将按照符合性审查标准予以拒绝，不接受投标人通过修改或撤销其不符合要求的差异或保留，使之成为具有响应性的投标。</w:t>
      </w:r>
    </w:p>
    <w:p w14:paraId="3B2D5558">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27</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对投标文件的比较和评价</w:t>
      </w:r>
    </w:p>
    <w:p w14:paraId="552FEC75">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评标委员会将对符合性检查合格的投标文件进行比较和评价，包括技术、商务的详细评审。（</w:t>
      </w:r>
      <w:r>
        <w:rPr>
          <w:rFonts w:hint="eastAsia" w:ascii="宋体" w:hAnsi="宋体" w:cs="宋体"/>
          <w:color w:val="auto"/>
          <w:szCs w:val="21"/>
          <w:highlight w:val="none"/>
        </w:rPr>
        <w:t>详见评标工作大纲）</w:t>
      </w:r>
    </w:p>
    <w:p w14:paraId="2A8F1607">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28</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评标原则及方法</w:t>
      </w:r>
    </w:p>
    <w:p w14:paraId="4E4CD5FF">
      <w:pPr>
        <w:tabs>
          <w:tab w:val="left" w:pos="360"/>
        </w:tabs>
        <w:spacing w:line="360" w:lineRule="auto"/>
        <w:ind w:left="540" w:right="51" w:hanging="540"/>
        <w:rPr>
          <w:rFonts w:hint="eastAsia" w:ascii="宋体" w:hAnsi="宋体" w:cs="宋体"/>
          <w:color w:val="auto"/>
          <w:szCs w:val="21"/>
          <w:highlight w:val="none"/>
        </w:rPr>
      </w:pPr>
      <w:r>
        <w:rPr>
          <w:rFonts w:hint="eastAsia" w:ascii="宋体" w:hAnsi="宋体" w:cs="宋体"/>
          <w:color w:val="auto"/>
          <w:szCs w:val="21"/>
          <w:highlight w:val="none"/>
          <w:lang w:val="zh-CN"/>
        </w:rPr>
        <w:t>28.1</w:t>
      </w:r>
      <w:r>
        <w:rPr>
          <w:rFonts w:hint="eastAsia" w:ascii="宋体" w:hAnsi="宋体" w:cs="宋体"/>
          <w:color w:val="auto"/>
          <w:szCs w:val="21"/>
          <w:highlight w:val="none"/>
          <w:lang w:val="zh-CN"/>
        </w:rPr>
        <w:tab/>
      </w:r>
      <w:r>
        <w:rPr>
          <w:rFonts w:hint="eastAsia" w:ascii="宋体" w:hAnsi="宋体" w:cs="宋体"/>
          <w:color w:val="auto"/>
          <w:szCs w:val="21"/>
          <w:highlight w:val="none"/>
        </w:rPr>
        <w:t>坚持“公开、公平、公正、科学、择优”的评标原则，严格评审。</w:t>
      </w:r>
    </w:p>
    <w:p w14:paraId="74BA6E1A">
      <w:pPr>
        <w:tabs>
          <w:tab w:val="left" w:pos="360"/>
        </w:tabs>
        <w:spacing w:line="360" w:lineRule="auto"/>
        <w:ind w:left="540" w:right="51"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28.2 确定中标人的评标准则是：能够最大限度满足招标文件中规定的各项综合评价标准。评标委员会没有义务必须接受最低报价的投标。</w:t>
      </w:r>
    </w:p>
    <w:p w14:paraId="2F1ECCD0">
      <w:pPr>
        <w:tabs>
          <w:tab w:val="left" w:pos="360"/>
        </w:tabs>
        <w:spacing w:line="360" w:lineRule="auto"/>
        <w:ind w:left="540" w:right="51"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28.3 具体评标方法</w:t>
      </w:r>
      <w:r>
        <w:rPr>
          <w:rFonts w:hint="eastAsia" w:ascii="宋体" w:hAnsi="宋体" w:cs="宋体"/>
          <w:color w:val="auto"/>
          <w:szCs w:val="21"/>
          <w:highlight w:val="none"/>
        </w:rPr>
        <w:t>详见评标工作大纲。</w:t>
      </w:r>
    </w:p>
    <w:p w14:paraId="4BA41AA8">
      <w:pPr>
        <w:tabs>
          <w:tab w:val="left" w:pos="567"/>
          <w:tab w:val="left" w:pos="720"/>
          <w:tab w:val="left" w:pos="3460"/>
        </w:tabs>
        <w:spacing w:line="360" w:lineRule="auto"/>
        <w:ind w:left="567" w:hanging="567"/>
        <w:rPr>
          <w:rFonts w:hint="eastAsia" w:ascii="宋体" w:hAnsi="宋体" w:cs="宋体"/>
          <w:color w:val="auto"/>
          <w:szCs w:val="21"/>
          <w:highlight w:val="none"/>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29</w:t>
      </w:r>
      <w:r>
        <w:rPr>
          <w:rFonts w:hint="eastAsia" w:ascii="宋体" w:hAnsi="宋体" w:cs="宋体"/>
          <w:color w:val="auto"/>
          <w:szCs w:val="21"/>
          <w:highlight w:val="none"/>
        </w:rPr>
        <w:t xml:space="preserve">  定标</w:t>
      </w:r>
    </w:p>
    <w:p w14:paraId="719F89BA">
      <w:pPr>
        <w:tabs>
          <w:tab w:val="left" w:pos="540"/>
          <w:tab w:val="left" w:pos="720"/>
          <w:tab w:val="left" w:pos="346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29.1 招标人确认评标委员会推荐的评标结果后，由招标人对中标候选投标人的资格和履约能力进行再次审查，凡发现中标候选投标人有下列情形之一的，将移交招标监督管理部门依法处理：</w:t>
      </w:r>
    </w:p>
    <w:p w14:paraId="10739797">
      <w:pPr>
        <w:tabs>
          <w:tab w:val="left" w:pos="540"/>
          <w:tab w:val="left" w:pos="1134"/>
        </w:tabs>
        <w:autoSpaceDE w:val="0"/>
        <w:autoSpaceDN w:val="0"/>
        <w:adjustRightInd w:val="0"/>
        <w:spacing w:line="360" w:lineRule="auto"/>
        <w:ind w:left="540" w:right="15" w:rightChars="7"/>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）提供虚假材料谋取中标的；</w:t>
      </w:r>
    </w:p>
    <w:p w14:paraId="3D8B2870">
      <w:pPr>
        <w:tabs>
          <w:tab w:val="left" w:pos="540"/>
          <w:tab w:val="left" w:pos="1134"/>
        </w:tabs>
        <w:autoSpaceDE w:val="0"/>
        <w:autoSpaceDN w:val="0"/>
        <w:adjustRightInd w:val="0"/>
        <w:spacing w:line="360" w:lineRule="auto"/>
        <w:ind w:left="540" w:right="15" w:rightChars="7"/>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）采取不正当手段诋毁、排挤其他投标人的；</w:t>
      </w:r>
    </w:p>
    <w:p w14:paraId="1E9B2D73">
      <w:pPr>
        <w:tabs>
          <w:tab w:val="left" w:pos="540"/>
          <w:tab w:val="left" w:pos="1134"/>
        </w:tabs>
        <w:autoSpaceDE w:val="0"/>
        <w:autoSpaceDN w:val="0"/>
        <w:adjustRightInd w:val="0"/>
        <w:spacing w:line="360" w:lineRule="auto"/>
        <w:ind w:left="540" w:right="15" w:rightChars="7"/>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）与招标人、其他投标人恶意串通的；</w:t>
      </w:r>
    </w:p>
    <w:p w14:paraId="422B69AC">
      <w:pPr>
        <w:tabs>
          <w:tab w:val="left" w:pos="540"/>
          <w:tab w:val="left" w:pos="1134"/>
        </w:tabs>
        <w:autoSpaceDE w:val="0"/>
        <w:autoSpaceDN w:val="0"/>
        <w:adjustRightInd w:val="0"/>
        <w:spacing w:line="360" w:lineRule="auto"/>
        <w:ind w:left="540" w:right="15" w:rightChars="7"/>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4</w:t>
      </w:r>
      <w:r>
        <w:rPr>
          <w:rFonts w:hint="eastAsia" w:ascii="宋体" w:hAnsi="宋体" w:cs="宋体"/>
          <w:color w:val="auto"/>
          <w:szCs w:val="21"/>
          <w:highlight w:val="none"/>
          <w:lang w:val="zh-CN"/>
        </w:rPr>
        <w:t>）向招标人行贿或者提供其他不正当利益的；</w:t>
      </w:r>
    </w:p>
    <w:p w14:paraId="1681BD9C">
      <w:pPr>
        <w:tabs>
          <w:tab w:val="left" w:pos="540"/>
          <w:tab w:val="left" w:pos="1134"/>
        </w:tabs>
        <w:autoSpaceDE w:val="0"/>
        <w:autoSpaceDN w:val="0"/>
        <w:adjustRightInd w:val="0"/>
        <w:spacing w:line="360" w:lineRule="auto"/>
        <w:ind w:left="540" w:right="15" w:rightChars="7"/>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5</w:t>
      </w:r>
      <w:r>
        <w:rPr>
          <w:rFonts w:hint="eastAsia" w:ascii="宋体" w:hAnsi="宋体" w:cs="宋体"/>
          <w:color w:val="auto"/>
          <w:szCs w:val="21"/>
          <w:highlight w:val="none"/>
          <w:lang w:val="zh-CN"/>
        </w:rPr>
        <w:t>）在招标过程中与招标人进行协商谈判、不按照招标文件和中标人的投标文件订立合同，或者与招标人另行订立背离合同实质性内容的协议的；</w:t>
      </w:r>
    </w:p>
    <w:p w14:paraId="0A53C026">
      <w:pPr>
        <w:tabs>
          <w:tab w:val="left" w:pos="540"/>
          <w:tab w:val="left" w:pos="1134"/>
        </w:tabs>
        <w:autoSpaceDE w:val="0"/>
        <w:autoSpaceDN w:val="0"/>
        <w:adjustRightInd w:val="0"/>
        <w:spacing w:line="360" w:lineRule="auto"/>
        <w:ind w:left="540" w:right="15" w:rightChars="7"/>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6</w:t>
      </w:r>
      <w:r>
        <w:rPr>
          <w:rFonts w:hint="eastAsia" w:ascii="宋体" w:hAnsi="宋体" w:cs="宋体"/>
          <w:color w:val="auto"/>
          <w:szCs w:val="21"/>
          <w:highlight w:val="none"/>
          <w:lang w:val="zh-CN"/>
        </w:rPr>
        <w:t>）拒绝有关部门监督检查或者提供虚假情况的。</w:t>
      </w:r>
    </w:p>
    <w:p w14:paraId="49FF274E">
      <w:pPr>
        <w:tabs>
          <w:tab w:val="left" w:pos="540"/>
          <w:tab w:val="left" w:pos="720"/>
          <w:tab w:val="left" w:pos="346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29.2 投标人有前款（1）至（5）项情形之一的，中标无效。</w:t>
      </w:r>
    </w:p>
    <w:p w14:paraId="5C93A956">
      <w:pPr>
        <w:tabs>
          <w:tab w:val="left" w:pos="540"/>
          <w:tab w:val="left" w:pos="720"/>
          <w:tab w:val="left" w:pos="346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29.3 招标代理机构在评标结束后将评标推荐意见及招标结果确认书送达招标人。招标人依法确定中标人。招标代理机构将中标结果在《投标须知前附表》规定的信息发布媒体公告。</w:t>
      </w:r>
    </w:p>
    <w:p w14:paraId="27D42574">
      <w:pPr>
        <w:tabs>
          <w:tab w:val="left" w:pos="567"/>
          <w:tab w:val="left" w:pos="720"/>
          <w:tab w:val="left" w:pos="3460"/>
        </w:tabs>
        <w:spacing w:line="360" w:lineRule="auto"/>
        <w:ind w:left="567" w:hanging="567"/>
        <w:rPr>
          <w:rFonts w:hint="eastAsia" w:ascii="宋体" w:hAnsi="宋体" w:cs="宋体"/>
          <w:color w:val="auto"/>
          <w:szCs w:val="21"/>
          <w:highlight w:val="none"/>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30</w:t>
      </w:r>
      <w:r>
        <w:rPr>
          <w:rFonts w:hint="eastAsia" w:ascii="宋体" w:hAnsi="宋体" w:cs="宋体"/>
          <w:color w:val="auto"/>
          <w:szCs w:val="21"/>
          <w:highlight w:val="none"/>
        </w:rPr>
        <w:tab/>
      </w:r>
      <w:r>
        <w:rPr>
          <w:rFonts w:hint="eastAsia" w:ascii="宋体" w:hAnsi="宋体" w:cs="宋体"/>
          <w:color w:val="auto"/>
          <w:szCs w:val="21"/>
          <w:highlight w:val="none"/>
        </w:rPr>
        <w:t>资格后审</w:t>
      </w:r>
    </w:p>
    <w:p w14:paraId="10ADAB7C">
      <w:pPr>
        <w:spacing w:line="360" w:lineRule="auto"/>
        <w:ind w:left="540" w:right="18" w:hanging="540"/>
        <w:rPr>
          <w:rFonts w:hint="eastAsia" w:ascii="宋体" w:hAnsi="宋体" w:cs="宋体"/>
          <w:color w:val="auto"/>
          <w:szCs w:val="21"/>
          <w:highlight w:val="none"/>
        </w:rPr>
      </w:pPr>
      <w:r>
        <w:rPr>
          <w:rFonts w:hint="eastAsia" w:ascii="宋体" w:hAnsi="宋体" w:cs="宋体"/>
          <w:color w:val="auto"/>
          <w:szCs w:val="21"/>
          <w:highlight w:val="none"/>
        </w:rPr>
        <w:t>30.1</w:t>
      </w:r>
      <w:r>
        <w:rPr>
          <w:rFonts w:hint="eastAsia" w:ascii="宋体" w:hAnsi="宋体" w:cs="宋体"/>
          <w:color w:val="auto"/>
          <w:szCs w:val="21"/>
          <w:highlight w:val="none"/>
        </w:rPr>
        <w:tab/>
      </w:r>
      <w:r>
        <w:rPr>
          <w:rFonts w:hint="eastAsia" w:ascii="宋体" w:hAnsi="宋体" w:cs="宋体"/>
          <w:color w:val="auto"/>
          <w:szCs w:val="21"/>
          <w:highlight w:val="none"/>
        </w:rPr>
        <w:t>招标代理机构可应招标人的要求，组织资格后审，对所选择的提交了响应性的综合评分最高的投标人是否有资格能圆满地履行合同作出资格后审确认。</w:t>
      </w:r>
    </w:p>
    <w:p w14:paraId="71986D70">
      <w:pPr>
        <w:spacing w:line="360" w:lineRule="auto"/>
        <w:ind w:left="540" w:right="18" w:hanging="540"/>
        <w:rPr>
          <w:rFonts w:hint="eastAsia" w:ascii="宋体" w:hAnsi="宋体" w:cs="宋体"/>
          <w:color w:val="auto"/>
          <w:szCs w:val="21"/>
          <w:highlight w:val="none"/>
        </w:rPr>
      </w:pPr>
      <w:r>
        <w:rPr>
          <w:rFonts w:hint="eastAsia" w:ascii="宋体" w:hAnsi="宋体" w:cs="宋体"/>
          <w:color w:val="auto"/>
          <w:szCs w:val="21"/>
          <w:highlight w:val="none"/>
        </w:rPr>
        <w:t>30.2</w:t>
      </w:r>
      <w:r>
        <w:rPr>
          <w:rFonts w:hint="eastAsia" w:ascii="宋体" w:hAnsi="宋体" w:cs="宋体"/>
          <w:color w:val="auto"/>
          <w:szCs w:val="21"/>
          <w:highlight w:val="none"/>
        </w:rPr>
        <w:tab/>
      </w:r>
      <w:r>
        <w:rPr>
          <w:rFonts w:hint="eastAsia" w:ascii="宋体" w:hAnsi="宋体" w:cs="宋体"/>
          <w:color w:val="auto"/>
          <w:szCs w:val="21"/>
          <w:highlight w:val="none"/>
        </w:rPr>
        <w:t>审查将根据投标人提交的投标文件和资格后审认为其他必要的、合适的资料，包括有关验收报告、业绩合同的真实性等进行审查。如发现投标人存在弄虚作假行为，将追究其责任。</w:t>
      </w:r>
    </w:p>
    <w:p w14:paraId="7FAB6722">
      <w:pPr>
        <w:spacing w:line="360" w:lineRule="auto"/>
        <w:ind w:left="540" w:right="18" w:hanging="540"/>
        <w:rPr>
          <w:rFonts w:hint="eastAsia" w:ascii="宋体" w:hAnsi="宋体" w:cs="宋体"/>
          <w:color w:val="auto"/>
          <w:szCs w:val="21"/>
          <w:highlight w:val="none"/>
        </w:rPr>
      </w:pPr>
      <w:r>
        <w:rPr>
          <w:rFonts w:hint="eastAsia" w:ascii="宋体" w:hAnsi="宋体" w:cs="宋体"/>
          <w:color w:val="auto"/>
          <w:szCs w:val="21"/>
          <w:highlight w:val="none"/>
        </w:rPr>
        <w:t>30.3</w:t>
      </w:r>
      <w:r>
        <w:rPr>
          <w:rFonts w:hint="eastAsia" w:ascii="宋体" w:hAnsi="宋体" w:cs="宋体"/>
          <w:color w:val="auto"/>
          <w:szCs w:val="21"/>
          <w:highlight w:val="none"/>
        </w:rPr>
        <w:tab/>
      </w:r>
      <w:r>
        <w:rPr>
          <w:rFonts w:hint="eastAsia" w:ascii="宋体" w:hAnsi="宋体" w:cs="宋体"/>
          <w:color w:val="auto"/>
          <w:szCs w:val="21"/>
          <w:highlight w:val="none"/>
        </w:rPr>
        <w:t>如果审查通过，则将合同授予该投标人；如果审查没有通过，则其投标文件被拒绝。在此情况下，将对下一个综合评分最高的投标人的能力做类似的审查或重新招标。</w:t>
      </w:r>
    </w:p>
    <w:p w14:paraId="6DA07085">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31</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评标委员会和招标人接受或拒绝任何投标或所有投标的权利</w:t>
      </w:r>
    </w:p>
    <w:p w14:paraId="3F09912F">
      <w:pPr>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rPr>
        <w:t>31.1</w:t>
      </w:r>
      <w:r>
        <w:rPr>
          <w:rFonts w:hint="eastAsia" w:ascii="宋体" w:hAnsi="宋体" w:cs="宋体"/>
          <w:color w:val="auto"/>
          <w:szCs w:val="21"/>
          <w:highlight w:val="none"/>
        </w:rPr>
        <w:tab/>
      </w:r>
      <w:r>
        <w:rPr>
          <w:rFonts w:hint="eastAsia" w:ascii="宋体" w:hAnsi="宋体" w:cs="宋体"/>
          <w:color w:val="auto"/>
          <w:szCs w:val="21"/>
          <w:highlight w:val="none"/>
          <w:lang w:val="zh-CN"/>
        </w:rPr>
        <w:t>在授予合同前的任何时候，</w:t>
      </w:r>
      <w:r>
        <w:rPr>
          <w:rFonts w:hint="eastAsia" w:ascii="宋体" w:hAnsi="宋体" w:cs="宋体"/>
          <w:color w:val="auto"/>
          <w:szCs w:val="21"/>
          <w:highlight w:val="none"/>
        </w:rPr>
        <w:t>评标委员会和招标人仍保留接受或拒绝任何投标</w:t>
      </w:r>
      <w:r>
        <w:rPr>
          <w:rFonts w:hint="eastAsia" w:ascii="宋体" w:hAnsi="宋体" w:cs="宋体"/>
          <w:color w:val="auto"/>
          <w:szCs w:val="21"/>
          <w:highlight w:val="none"/>
          <w:lang w:val="zh-CN"/>
        </w:rPr>
        <w:t>，宣布招标程序无效或拒绝所有投标的权利，无需向受影响的投标人承担任何责任。</w:t>
      </w:r>
    </w:p>
    <w:p w14:paraId="6D137D15">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32</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中标通知</w:t>
      </w:r>
    </w:p>
    <w:p w14:paraId="1FB273A2">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32.1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投标文件有效期期满前，招标代理机构将以书面形式通知中标人其投标文件被接收。</w:t>
      </w:r>
    </w:p>
    <w:p w14:paraId="1C0AE200">
      <w:pPr>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32.2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招标代理机构向中标人发出书面通知的同时，招标代理机构通知落选的投标人其投标文件未被接受而不提原因。</w:t>
      </w:r>
    </w:p>
    <w:p w14:paraId="688CCCCD">
      <w:pPr>
        <w:tabs>
          <w:tab w:val="left" w:pos="540"/>
        </w:tabs>
        <w:spacing w:line="360" w:lineRule="auto"/>
        <w:ind w:left="540" w:right="18" w:hanging="540"/>
        <w:rPr>
          <w:rFonts w:hint="eastAsia" w:ascii="宋体" w:hAnsi="宋体" w:cs="宋体"/>
          <w:color w:val="auto"/>
          <w:szCs w:val="21"/>
          <w:highlight w:val="none"/>
          <w:u w:val="single"/>
          <w:lang w:val="zh-CN"/>
        </w:rPr>
      </w:pPr>
      <w:r>
        <w:rPr>
          <w:rFonts w:hint="eastAsia" w:ascii="宋体" w:hAnsi="宋体" w:cs="宋体"/>
          <w:color w:val="auto"/>
          <w:szCs w:val="21"/>
          <w:highlight w:val="none"/>
          <w:lang w:val="zh-CN"/>
        </w:rPr>
        <w:t>32.3 中标通知书是合同的一个组成部分。</w:t>
      </w:r>
    </w:p>
    <w:p w14:paraId="7C99B427">
      <w:pPr>
        <w:tabs>
          <w:tab w:val="left" w:pos="540"/>
        </w:tabs>
        <w:spacing w:line="360" w:lineRule="auto"/>
        <w:ind w:left="540" w:right="18" w:hanging="540"/>
        <w:rPr>
          <w:rFonts w:hint="eastAsia" w:ascii="宋体" w:hAnsi="宋体" w:cs="宋体"/>
          <w:color w:val="auto"/>
          <w:szCs w:val="21"/>
          <w:highlight w:val="none"/>
        </w:rPr>
      </w:pPr>
      <w:r>
        <w:rPr>
          <w:rFonts w:hint="eastAsia" w:ascii="宋体" w:hAnsi="宋体" w:cs="宋体"/>
          <w:color w:val="auto"/>
          <w:szCs w:val="21"/>
          <w:highlight w:val="none"/>
          <w:lang w:val="zh-CN"/>
        </w:rPr>
        <w:t xml:space="preserve">32.4 </w:t>
      </w:r>
      <w:r>
        <w:rPr>
          <w:rFonts w:hint="eastAsia" w:ascii="宋体" w:hAnsi="宋体" w:cs="宋体"/>
          <w:bCs/>
          <w:color w:val="auto"/>
          <w:szCs w:val="21"/>
          <w:highlight w:val="none"/>
        </w:rPr>
        <w:t>中标人如在收到招标结果通知后15日内不按规定领取中标通知书，则视为自动放弃中标资格，并按招标投标相关法律法规追究其相关责任。</w:t>
      </w:r>
    </w:p>
    <w:p w14:paraId="2FA13AA6">
      <w:pPr>
        <w:tabs>
          <w:tab w:val="left" w:pos="567"/>
          <w:tab w:val="left" w:pos="720"/>
          <w:tab w:val="left" w:pos="3460"/>
        </w:tabs>
        <w:spacing w:line="360" w:lineRule="auto"/>
        <w:ind w:left="567" w:hanging="567"/>
        <w:rPr>
          <w:rFonts w:hint="eastAsia" w:ascii="宋体" w:hAnsi="宋体" w:cs="宋体"/>
          <w:color w:val="auto"/>
          <w:szCs w:val="21"/>
          <w:highlight w:val="none"/>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33</w:t>
      </w:r>
      <w:r>
        <w:rPr>
          <w:rFonts w:hint="eastAsia" w:ascii="宋体" w:hAnsi="宋体" w:cs="宋体"/>
          <w:color w:val="auto"/>
          <w:szCs w:val="21"/>
          <w:highlight w:val="none"/>
        </w:rPr>
        <w:t xml:space="preserve">  废标的认定</w:t>
      </w:r>
    </w:p>
    <w:p w14:paraId="5753BD28">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33.1 符合专业条件的投标人或者对招标文件作实质响应的投标人不足三家的；</w:t>
      </w:r>
    </w:p>
    <w:p w14:paraId="428C92FB">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33.2 出现影响招标公正的违法、违规行为的；</w:t>
      </w:r>
    </w:p>
    <w:p w14:paraId="25EF6CCB">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33.3 投标人的报价均超过了招标预算，招标人不能支付的或均超过了最高限额；</w:t>
      </w:r>
    </w:p>
    <w:p w14:paraId="6D2D77C4">
      <w:pPr>
        <w:tabs>
          <w:tab w:val="left" w:pos="540"/>
        </w:tabs>
        <w:spacing w:line="360" w:lineRule="auto"/>
        <w:ind w:left="540" w:right="18" w:hanging="540"/>
        <w:rPr>
          <w:rFonts w:hint="eastAsia" w:ascii="宋体" w:hAnsi="宋体" w:cs="宋体"/>
          <w:color w:val="auto"/>
          <w:szCs w:val="21"/>
          <w:highlight w:val="none"/>
        </w:rPr>
      </w:pPr>
      <w:r>
        <w:rPr>
          <w:rFonts w:hint="eastAsia" w:ascii="宋体" w:hAnsi="宋体" w:cs="宋体"/>
          <w:color w:val="auto"/>
          <w:szCs w:val="21"/>
          <w:highlight w:val="none"/>
          <w:lang w:val="zh-CN"/>
        </w:rPr>
        <w:t>33.4 因重大变故，招标任务取消的。</w:t>
      </w:r>
    </w:p>
    <w:p w14:paraId="04589A1C">
      <w:pPr>
        <w:pStyle w:val="4"/>
        <w:spacing w:before="140" w:after="140" w:line="360" w:lineRule="auto"/>
        <w:rPr>
          <w:rFonts w:hint="eastAsia" w:ascii="宋体" w:hAnsi="宋体" w:cs="宋体"/>
          <w:color w:val="auto"/>
          <w:kern w:val="44"/>
          <w:sz w:val="24"/>
          <w:highlight w:val="none"/>
          <w:lang w:val="zh-CN"/>
        </w:rPr>
      </w:pPr>
      <w:bookmarkStart w:id="76" w:name="_Toc449081284"/>
      <w:bookmarkStart w:id="77" w:name="_Toc367785364"/>
      <w:bookmarkStart w:id="78" w:name="_Toc21124"/>
      <w:bookmarkStart w:id="79" w:name="_Toc6743"/>
      <w:r>
        <w:rPr>
          <w:rFonts w:hint="eastAsia" w:ascii="宋体" w:hAnsi="宋体" w:cs="宋体"/>
          <w:color w:val="auto"/>
          <w:kern w:val="44"/>
          <w:sz w:val="24"/>
          <w:highlight w:val="none"/>
          <w:lang w:val="zh-CN"/>
        </w:rPr>
        <w:t>（六）</w:t>
      </w:r>
      <w:r>
        <w:rPr>
          <w:rFonts w:hint="eastAsia" w:ascii="宋体" w:hAnsi="宋体" w:cs="宋体"/>
          <w:color w:val="auto"/>
          <w:kern w:val="44"/>
          <w:sz w:val="24"/>
          <w:highlight w:val="none"/>
          <w:lang w:val="zh-CN"/>
        </w:rPr>
        <w:tab/>
      </w:r>
      <w:r>
        <w:rPr>
          <w:rFonts w:hint="eastAsia" w:ascii="宋体" w:hAnsi="宋体" w:cs="宋体"/>
          <w:color w:val="auto"/>
          <w:kern w:val="44"/>
          <w:sz w:val="24"/>
          <w:highlight w:val="none"/>
          <w:lang w:val="zh-CN"/>
        </w:rPr>
        <w:t>授予合同</w:t>
      </w:r>
      <w:bookmarkEnd w:id="76"/>
      <w:bookmarkEnd w:id="77"/>
      <w:bookmarkEnd w:id="78"/>
      <w:bookmarkEnd w:id="79"/>
    </w:p>
    <w:p w14:paraId="561CDA0B">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34</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授予合同的准则</w:t>
      </w:r>
    </w:p>
    <w:p w14:paraId="2BE5C8D7">
      <w:pPr>
        <w:tabs>
          <w:tab w:val="left" w:pos="540"/>
        </w:tabs>
        <w:spacing w:line="360" w:lineRule="auto"/>
        <w:ind w:left="540" w:right="51"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34.1 除</w:t>
      </w:r>
      <w:r>
        <w:rPr>
          <w:color w:val="auto"/>
          <w:highlight w:val="none"/>
        </w:rPr>
        <w:fldChar w:fldCharType="begin"/>
      </w:r>
      <w:r>
        <w:rPr>
          <w:color w:val="auto"/>
          <w:highlight w:val="none"/>
        </w:rPr>
        <w:instrText xml:space="preserve"> HYPERLINK "file:///D:\\微信记录\\WeChat%20Files\\tony1860\\FileStorage\\Documents\\WeChat%20Files\\zjx362287060\\documents\\tencent%20files\\2209482728\\AppData\\Local\\Temp\\Rar$DIa0.918\\l" </w:instrText>
      </w:r>
      <w:r>
        <w:rPr>
          <w:color w:val="auto"/>
          <w:highlight w:val="none"/>
        </w:rPr>
        <w:fldChar w:fldCharType="separate"/>
      </w:r>
      <w:r>
        <w:rPr>
          <w:rFonts w:hint="eastAsia" w:ascii="宋体" w:hAnsi="宋体" w:cs="宋体"/>
          <w:color w:val="auto"/>
          <w:szCs w:val="21"/>
          <w:highlight w:val="none"/>
          <w:lang w:val="zh-CN"/>
        </w:rPr>
        <w:t>第30款</w:t>
      </w:r>
      <w:r>
        <w:rPr>
          <w:rFonts w:hint="eastAsia" w:ascii="宋体" w:hAnsi="宋体" w:cs="宋体"/>
          <w:color w:val="auto"/>
          <w:szCs w:val="21"/>
          <w:highlight w:val="none"/>
          <w:lang w:val="zh-CN"/>
        </w:rPr>
        <w:fldChar w:fldCharType="end"/>
      </w:r>
      <w:r>
        <w:rPr>
          <w:rFonts w:hint="eastAsia" w:ascii="宋体" w:hAnsi="宋体" w:cs="宋体"/>
          <w:color w:val="auto"/>
          <w:szCs w:val="21"/>
          <w:highlight w:val="none"/>
          <w:lang w:val="zh-CN"/>
        </w:rPr>
        <w:t>规定外，招标人将合同授予其投标文件符合招标文件要求，并且能承诺履行合同，对招标人最为有利的投标人。</w:t>
      </w:r>
    </w:p>
    <w:p w14:paraId="2956A8B6">
      <w:pPr>
        <w:tabs>
          <w:tab w:val="left" w:pos="540"/>
        </w:tabs>
        <w:spacing w:line="360" w:lineRule="auto"/>
        <w:ind w:left="540" w:right="51"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34.2 招标人依法</w:t>
      </w:r>
      <w:r>
        <w:rPr>
          <w:rFonts w:hint="eastAsia" w:ascii="宋体" w:hAnsi="宋体" w:cs="宋体"/>
          <w:color w:val="auto"/>
          <w:szCs w:val="21"/>
          <w:highlight w:val="none"/>
        </w:rPr>
        <w:t>按照评标报告中推荐的中标候选人顺序</w:t>
      </w:r>
      <w:r>
        <w:rPr>
          <w:rFonts w:hint="eastAsia" w:ascii="宋体" w:hAnsi="宋体" w:cs="宋体"/>
          <w:color w:val="auto"/>
          <w:szCs w:val="21"/>
          <w:highlight w:val="none"/>
          <w:lang w:val="zh-CN"/>
        </w:rPr>
        <w:t>确定中标人。</w:t>
      </w:r>
    </w:p>
    <w:p w14:paraId="7C932854">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35</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合同的订立和履行</w:t>
      </w:r>
    </w:p>
    <w:p w14:paraId="347F1308">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35.1 招标代理机构通知中标人中标时，将提供招标文件中的合同格式（包括双方之间的有关协议）给中标人。</w:t>
      </w:r>
    </w:p>
    <w:p w14:paraId="0A09DEC5">
      <w:pPr>
        <w:tabs>
          <w:tab w:val="left" w:pos="540"/>
        </w:tabs>
        <w:spacing w:line="360" w:lineRule="auto"/>
        <w:ind w:left="567" w:hanging="567" w:hangingChars="270"/>
        <w:rPr>
          <w:rFonts w:hint="eastAsia" w:ascii="宋体" w:hAnsi="宋体" w:cs="宋体"/>
          <w:color w:val="auto"/>
          <w:szCs w:val="21"/>
          <w:highlight w:val="none"/>
          <w:lang w:val="zh-CN"/>
        </w:rPr>
      </w:pPr>
      <w:r>
        <w:rPr>
          <w:rFonts w:hint="eastAsia" w:ascii="宋体" w:hAnsi="宋体" w:cs="宋体"/>
          <w:color w:val="auto"/>
          <w:szCs w:val="21"/>
          <w:highlight w:val="none"/>
          <w:lang w:val="zh-CN"/>
        </w:rPr>
        <w:t>35.2招标人应当自中标通知书发出之日起三十日内，按照招标文件、中标人的投标文件与中标人订立书面合同。合同的标的、质量、履行期限条款和合同的价款、单价、比例条款等主要条款，应当与招标文件、中标人的投标文件的内容一致。</w:t>
      </w:r>
    </w:p>
    <w:p w14:paraId="37B3DC45">
      <w:pPr>
        <w:tabs>
          <w:tab w:val="left" w:pos="540"/>
        </w:tabs>
        <w:spacing w:line="360" w:lineRule="auto"/>
        <w:ind w:left="567" w:right="17" w:hanging="567" w:hangingChars="270"/>
        <w:rPr>
          <w:rFonts w:hint="eastAsia" w:ascii="宋体" w:hAnsi="宋体" w:cs="宋体"/>
          <w:color w:val="auto"/>
          <w:szCs w:val="21"/>
          <w:highlight w:val="none"/>
          <w:lang w:val="zh-CN"/>
        </w:rPr>
      </w:pPr>
      <w:r>
        <w:rPr>
          <w:rFonts w:hint="eastAsia" w:ascii="宋体" w:hAnsi="宋体" w:cs="宋体"/>
          <w:color w:val="auto"/>
          <w:szCs w:val="21"/>
          <w:highlight w:val="none"/>
          <w:lang w:val="zh-CN"/>
        </w:rPr>
        <w:t>35.3 招标合同订立后，合同各方不得擅自变更、中止或者终止合同。招标合同需要变更的，招标人应将有关合同变更内容，以书面形式报招标监督管理部门备案；因特殊情况需要中止或终止合同的，招标人应将中止或终止合同的理由以及相应措施，以书面形式报招标监督管理部门备案。</w:t>
      </w:r>
    </w:p>
    <w:p w14:paraId="0A161F75">
      <w:pPr>
        <w:tabs>
          <w:tab w:val="left" w:pos="540"/>
        </w:tabs>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35.4 招标合同履行中，招标人需追加与合同标的相同的货物、工程或者服务的，在不改变合同其他条款的前提下，可以与投标人签订补充合同，但所补充合同的招标金额不得超过原招标金额的百分之十。签订补充合同的必须按照35.3条的规定备案。</w:t>
      </w:r>
    </w:p>
    <w:p w14:paraId="0DC17D8F">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36</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履约</w:t>
      </w:r>
      <w:r>
        <w:rPr>
          <w:rFonts w:hint="eastAsia" w:ascii="宋体" w:hAnsi="宋体" w:cs="宋体"/>
          <w:bCs/>
          <w:color w:val="auto"/>
          <w:szCs w:val="21"/>
          <w:highlight w:val="none"/>
        </w:rPr>
        <w:t>保证</w:t>
      </w:r>
    </w:p>
    <w:p w14:paraId="52FA9750">
      <w:pPr>
        <w:spacing w:line="360" w:lineRule="auto"/>
        <w:ind w:left="636" w:hanging="636" w:hangingChars="303"/>
        <w:rPr>
          <w:rFonts w:hint="eastAsia" w:ascii="宋体" w:hAnsi="宋体" w:cs="宋体"/>
          <w:color w:val="auto"/>
          <w:szCs w:val="21"/>
          <w:highlight w:val="none"/>
          <w:lang w:val="zh-CN"/>
        </w:rPr>
      </w:pPr>
      <w:r>
        <w:rPr>
          <w:rFonts w:hint="eastAsia" w:ascii="宋体" w:hAnsi="宋体" w:cs="宋体"/>
          <w:bCs/>
          <w:color w:val="auto"/>
          <w:szCs w:val="21"/>
          <w:highlight w:val="none"/>
          <w:lang w:val="zh-CN"/>
        </w:rPr>
        <w:t>36.1  投标人</w:t>
      </w:r>
      <w:r>
        <w:rPr>
          <w:rFonts w:hint="eastAsia" w:ascii="宋体" w:hAnsi="宋体" w:cs="宋体"/>
          <w:bCs/>
          <w:color w:val="auto"/>
          <w:szCs w:val="21"/>
          <w:highlight w:val="none"/>
        </w:rPr>
        <w:t>应按用户需求书中规定的方式及金额提交履约保证。</w:t>
      </w:r>
    </w:p>
    <w:p w14:paraId="728BB306">
      <w:pPr>
        <w:spacing w:line="360" w:lineRule="auto"/>
        <w:ind w:left="636" w:hanging="636" w:hangingChars="303"/>
        <w:rPr>
          <w:rFonts w:hint="eastAsia" w:ascii="宋体" w:hAnsi="宋体" w:cs="宋体"/>
          <w:color w:val="auto"/>
          <w:szCs w:val="21"/>
          <w:highlight w:val="none"/>
          <w:lang w:val="zh-CN"/>
        </w:rPr>
      </w:pPr>
      <w:r>
        <w:rPr>
          <w:rFonts w:hint="eastAsia" w:ascii="宋体" w:hAnsi="宋体" w:cs="宋体"/>
          <w:bCs/>
          <w:color w:val="auto"/>
          <w:szCs w:val="21"/>
          <w:highlight w:val="none"/>
          <w:lang w:val="zh-CN"/>
        </w:rPr>
        <w:t xml:space="preserve">36.2  </w:t>
      </w:r>
      <w:r>
        <w:rPr>
          <w:rFonts w:hint="eastAsia" w:ascii="宋体" w:hAnsi="宋体" w:cs="宋体"/>
          <w:color w:val="auto"/>
          <w:szCs w:val="21"/>
          <w:highlight w:val="none"/>
          <w:lang w:val="zh-CN"/>
        </w:rPr>
        <w:t>如果中标人没有按照上述第</w:t>
      </w:r>
      <w:r>
        <w:rPr>
          <w:rFonts w:hint="eastAsia" w:ascii="宋体" w:hAnsi="宋体" w:cs="宋体"/>
          <w:color w:val="auto"/>
          <w:szCs w:val="21"/>
          <w:highlight w:val="none"/>
        </w:rPr>
        <w:t>36.1</w:t>
      </w:r>
      <w:r>
        <w:rPr>
          <w:rFonts w:hint="eastAsia" w:ascii="宋体" w:hAnsi="宋体" w:cs="宋体"/>
          <w:color w:val="auto"/>
          <w:szCs w:val="21"/>
          <w:highlight w:val="none"/>
          <w:lang w:val="zh-CN"/>
        </w:rPr>
        <w:t>款规定执行，招标人和招标代理机构将有充分理由取消该中标决定，并没收其投标保证（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w:t>
      </w:r>
      <w:r>
        <w:rPr>
          <w:rFonts w:hint="eastAsia" w:ascii="宋体" w:hAnsi="宋体" w:cs="宋体"/>
          <w:color w:val="auto"/>
          <w:szCs w:val="21"/>
          <w:highlight w:val="none"/>
        </w:rPr>
        <w:t>在此情况下招标人可将中标资格授予下一个综合评分最高的中标人或重新招标</w:t>
      </w:r>
      <w:r>
        <w:rPr>
          <w:rFonts w:hint="eastAsia" w:ascii="宋体" w:hAnsi="宋体" w:cs="宋体"/>
          <w:color w:val="auto"/>
          <w:szCs w:val="21"/>
          <w:highlight w:val="none"/>
          <w:lang w:val="zh-CN"/>
        </w:rPr>
        <w:t>。</w:t>
      </w:r>
    </w:p>
    <w:p w14:paraId="745FDAA6">
      <w:pPr>
        <w:tabs>
          <w:tab w:val="left" w:pos="567"/>
        </w:tabs>
        <w:spacing w:line="360" w:lineRule="auto"/>
        <w:ind w:left="567" w:hanging="567"/>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37</w:t>
      </w: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ab/>
      </w:r>
      <w:r>
        <w:rPr>
          <w:rFonts w:hint="eastAsia" w:ascii="宋体" w:hAnsi="宋体" w:cs="宋体"/>
          <w:color w:val="auto"/>
          <w:szCs w:val="21"/>
          <w:highlight w:val="none"/>
          <w:lang w:val="zh-CN"/>
        </w:rPr>
        <w:t>招标代理服务费</w:t>
      </w:r>
    </w:p>
    <w:p w14:paraId="1C53FAAF">
      <w:pPr>
        <w:tabs>
          <w:tab w:val="left" w:pos="540"/>
        </w:tabs>
        <w:spacing w:line="360" w:lineRule="auto"/>
        <w:ind w:left="540" w:right="18" w:hanging="540"/>
        <w:rPr>
          <w:rFonts w:hint="eastAsia" w:ascii="宋体" w:hAnsi="宋体" w:cs="宋体"/>
          <w:color w:val="auto"/>
          <w:szCs w:val="21"/>
          <w:highlight w:val="none"/>
          <w:lang w:val="zh-CN"/>
        </w:rPr>
      </w:pPr>
      <w:bookmarkStart w:id="80" w:name="_Toc367785365"/>
      <w:bookmarkStart w:id="81" w:name="_Toc449081285"/>
      <w:r>
        <w:rPr>
          <w:rFonts w:hint="eastAsia" w:ascii="宋体" w:hAnsi="宋体" w:cs="宋体"/>
          <w:color w:val="auto"/>
          <w:szCs w:val="21"/>
          <w:highlight w:val="none"/>
          <w:lang w:val="zh-CN"/>
        </w:rPr>
        <w:t>37.1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中标人应向招标代理机构一次性支付招标代理服务费。收费标准详见</w:t>
      </w:r>
      <w:r>
        <w:rPr>
          <w:rFonts w:hint="eastAsia" w:ascii="宋体" w:hAnsi="宋体" w:cs="宋体"/>
          <w:color w:val="auto"/>
          <w:szCs w:val="21"/>
          <w:highlight w:val="none"/>
        </w:rPr>
        <w:t>《投标须知前附表》</w:t>
      </w:r>
      <w:r>
        <w:rPr>
          <w:rFonts w:hint="eastAsia" w:ascii="宋体" w:hAnsi="宋体" w:cs="宋体"/>
          <w:color w:val="auto"/>
          <w:szCs w:val="21"/>
          <w:highlight w:val="none"/>
          <w:lang w:val="zh-CN"/>
        </w:rPr>
        <w:t>。</w:t>
      </w:r>
    </w:p>
    <w:p w14:paraId="5CC4C019">
      <w:pPr>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37.2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中标人收到中标通知后，须在15日内向招标代理机构缴纳招标代理服务费用及领取《中标通知书》原件，否则视为放弃中标权利和义务，招标代理机构将没收其投标保证（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w:t>
      </w:r>
    </w:p>
    <w:p w14:paraId="030A6597">
      <w:pPr>
        <w:spacing w:line="360" w:lineRule="auto"/>
        <w:ind w:left="540" w:right="18"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37.3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招标代理服务费只收现金、银行转账或电汇。</w:t>
      </w:r>
    </w:p>
    <w:p w14:paraId="40E7F18D">
      <w:pPr>
        <w:ind w:left="540" w:right="18" w:hanging="540"/>
        <w:rPr>
          <w:rFonts w:hint="eastAsia" w:ascii="宋体" w:hAnsi="宋体" w:cs="宋体"/>
          <w:color w:val="auto"/>
          <w:szCs w:val="21"/>
          <w:highlight w:val="none"/>
          <w:lang w:val="zh-CN"/>
        </w:rPr>
      </w:pPr>
      <w:bookmarkStart w:id="82" w:name="_Toc19096"/>
      <w:r>
        <w:rPr>
          <w:rFonts w:hint="eastAsia" w:ascii="宋体" w:hAnsi="宋体" w:cs="宋体"/>
          <w:color w:val="auto"/>
          <w:szCs w:val="21"/>
          <w:highlight w:val="none"/>
          <w:lang w:val="zh-CN"/>
        </w:rPr>
        <w:t>37.4中标人如未按第36.1款、第37.2款规定办理，招标代理机构将没收其投标保证（</w:t>
      </w:r>
      <w:r>
        <w:rPr>
          <w:rFonts w:hint="eastAsia" w:ascii="宋体" w:hAnsi="宋体" w:cs="宋体"/>
          <w:color w:val="auto"/>
          <w:szCs w:val="21"/>
          <w:highlight w:val="none"/>
        </w:rPr>
        <w:t>如有</w:t>
      </w:r>
      <w:r>
        <w:rPr>
          <w:rFonts w:hint="eastAsia" w:ascii="宋体" w:hAnsi="宋体" w:cs="宋体"/>
          <w:color w:val="auto"/>
          <w:szCs w:val="21"/>
          <w:highlight w:val="none"/>
          <w:lang w:val="zh-CN"/>
        </w:rPr>
        <w:t>）。</w:t>
      </w:r>
      <w:bookmarkEnd w:id="82"/>
    </w:p>
    <w:p w14:paraId="1D2A81B3">
      <w:pPr>
        <w:pStyle w:val="4"/>
        <w:spacing w:before="140" w:after="140" w:line="360" w:lineRule="auto"/>
        <w:rPr>
          <w:rFonts w:hint="eastAsia" w:ascii="宋体" w:hAnsi="宋体" w:cs="宋体"/>
          <w:color w:val="auto"/>
          <w:kern w:val="44"/>
          <w:sz w:val="24"/>
          <w:highlight w:val="none"/>
          <w:lang w:val="zh-CN"/>
        </w:rPr>
      </w:pPr>
      <w:bookmarkStart w:id="83" w:name="_Toc7357"/>
      <w:bookmarkStart w:id="84" w:name="_Toc14409"/>
      <w:r>
        <w:rPr>
          <w:rFonts w:hint="eastAsia" w:ascii="宋体" w:hAnsi="宋体" w:cs="宋体"/>
          <w:color w:val="auto"/>
          <w:kern w:val="44"/>
          <w:sz w:val="24"/>
          <w:highlight w:val="none"/>
          <w:lang w:val="zh-CN"/>
        </w:rPr>
        <w:t>（七）异议与回复</w:t>
      </w:r>
      <w:bookmarkEnd w:id="83"/>
    </w:p>
    <w:p w14:paraId="02BE617C">
      <w:pPr>
        <w:spacing w:line="360" w:lineRule="auto"/>
        <w:ind w:left="539" w:right="17" w:hanging="539"/>
        <w:rPr>
          <w:rFonts w:hint="eastAsia" w:ascii="宋体" w:hAnsi="宋体" w:cs="宋体"/>
          <w:color w:val="auto"/>
          <w:szCs w:val="21"/>
          <w:highlight w:val="none"/>
          <w:lang w:val="zh-CN"/>
        </w:rPr>
      </w:pPr>
      <w:r>
        <w:rPr>
          <w:rFonts w:hint="eastAsia" w:ascii="宋体" w:hAnsi="宋体" w:cs="宋体"/>
          <w:outline/>
          <w:color w:val="auto"/>
          <w:szCs w:val="21"/>
          <w:highlight w:val="none"/>
          <w:lang w:val="zh-CN"/>
          <w14:textOutline w14:w="9525" w14:cap="flat" w14:cmpd="sng">
            <w14:solidFill>
              <w14:srgbClr w14:val="000000"/>
            </w14:solidFill>
            <w14:prstDash w14:val="solid"/>
            <w14:round/>
          </w14:textOutline>
        </w:rPr>
        <w:t>38</w:t>
      </w:r>
      <w:r>
        <w:rPr>
          <w:rFonts w:hint="eastAsia" w:ascii="宋体" w:hAnsi="宋体" w:cs="宋体"/>
          <w:color w:val="auto"/>
          <w:szCs w:val="21"/>
          <w:highlight w:val="none"/>
          <w:lang w:val="zh-CN"/>
        </w:rPr>
        <w:t xml:space="preserve">   异议与回复</w:t>
      </w:r>
    </w:p>
    <w:p w14:paraId="5CAE8107">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38.1 如果投标人对此次招标活动有异议，可依法向招标代理机构提出异议，提出异议的投标人应当是参与所异议项目招标活动的投标人。潜在投标人已依法获取其可异议的招标文件的，可以对该文件提出异议。投标人必须按招标文件的约定提交投标或响应文件后，才能对中标或者成交结果提出异议。</w:t>
      </w:r>
    </w:p>
    <w:p w14:paraId="2D98BF1D">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38.2投标人应当在法定异议期内一次性提出针对同一招标程序环节的异议。投标人在法定提出异议期限内二次或多次针对同一招标程序环节提出异议的，招标代理机构均不予受理。</w:t>
      </w:r>
    </w:p>
    <w:p w14:paraId="57E896A6">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38.3招标人或招标代理机构应当在规定的时限内完成异议处理。对招标文件、评标报告、定标结果的异议，招标人应当自异议受理之日起3日内作出书面答复，答复内容不得涉及商业秘密；对开标有异议的，异议提起人应当在开标现场提出，招标人应当当场作出答复并制作记录。招标人或招标代理机构应当将书面答复或答复记录自作出之日起2个工作日内抄送招标监督管理部门。招标人或招标代理机构处理异议需要进行调查核实、检验、检测、鉴定、组织专家评审的，所需时间不计入前款规定时限，但招标人或招标代理机构应当在前款规定时限内明确告知异议提起人最终答复期限。</w:t>
      </w:r>
    </w:p>
    <w:p w14:paraId="10E8335A">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38.4 异议提出的期限规定如下：</w:t>
      </w:r>
    </w:p>
    <w:p w14:paraId="3706BD64">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　38.4.1对资格预审文件有异议的，潜在投标人或者其他利害关系人应当在提交资格预审申请文件截止时间2日前提出；</w:t>
      </w:r>
    </w:p>
    <w:p w14:paraId="189C79ED">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　38.4.2对招标文件有异议的，潜在投标人或者其他利害关系人应当在提交投标文件截止时间10日前提出；</w:t>
      </w:r>
    </w:p>
    <w:p w14:paraId="45FE2F59">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　38.4.3对提交投标文件的截标时间、开标程序、投标文件密封检查和开封、唱标内容、开标记录、唱标次序等开标有异议的，投标人应当在开标期间提出。</w:t>
      </w:r>
    </w:p>
    <w:p w14:paraId="436B304A">
      <w:pPr>
        <w:spacing w:line="360" w:lineRule="auto"/>
        <w:ind w:left="105" w:leftChars="50" w:right="17" w:firstLine="105" w:firstLineChars="50"/>
        <w:rPr>
          <w:rFonts w:hint="eastAsia" w:ascii="宋体" w:hAnsi="宋体" w:cs="宋体"/>
          <w:color w:val="auto"/>
          <w:szCs w:val="21"/>
          <w:highlight w:val="none"/>
          <w:lang w:val="zh-CN"/>
        </w:rPr>
      </w:pPr>
      <w:r>
        <w:rPr>
          <w:rFonts w:hint="eastAsia" w:ascii="宋体" w:hAnsi="宋体" w:cs="宋体"/>
          <w:color w:val="auto"/>
          <w:szCs w:val="21"/>
          <w:highlight w:val="none"/>
          <w:lang w:val="zh-CN"/>
        </w:rPr>
        <w:t>38.4.4对评标报告、定标结果有异议的，投标人或者其他利害关系人应当分别在评标报告和中标候选人的公示期间提出</w:t>
      </w:r>
    </w:p>
    <w:p w14:paraId="02286140">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38.5 异议事项可能影响中标结果的，招标人应当暂停签订合同，已经签订合同的，应当中止履行合同。</w:t>
      </w:r>
    </w:p>
    <w:p w14:paraId="622789F9">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38.6投标人有异议时，应当以书面形式（加盖投标人公章）在异议有效期限内向招标代理机构现场提交异议书原件，逾期异议无效。投标人以电话、传真或电邮形式提交的异议属于无效异议。异议内容不得含有虚假、恶意成分。依据“谁主张谁举证”的原则，异议者提供的异议书应当包括下列主要内容：具体的异议事项、事实依据及相关确凿的证明材料和注明事实的确切来源、投标人名称、联系人与联系电话、异议时间。投标人为自然人的，应当由本人签字；投标人为法人或者其他组织的，应当由法定代表人、主要负责人，或者其授权代表签字或者盖章，并加盖公章（授权代表签署的，应当提供法定代表人授权委托书）。异议书应当署名并由法定代表人\负责人签字盖章并加盖公章。招标代理机构受理书面异议书原件之日起，在规定的期限内作出答复。对于捏造事实、滥用职权扰乱招标秩序的恶意异议或者举证不全查无实据被驳回次数在一年内达三次以上，将纳入不良行为记录名单并承担相应的法律责任，投标人投诉的事项不得超出已异议事项的范围。</w:t>
      </w:r>
    </w:p>
    <w:p w14:paraId="21E4F85E">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38.7　招标监督管理部门处理投诉事项采用书面审查的方式，必要时可以进行调查取证或者组织质证。对招标监督管理部门依法进行的调查取证，投诉人和与投诉事项有关的当事人应当如实反映情况，并提供相关材料。</w:t>
      </w:r>
    </w:p>
    <w:p w14:paraId="6818EFA2">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38.8 投诉人捏造事实、提供虚假材料或者以非法手段取得证明材料进行投诉的，招标监督管理部门应当予以驳回。招标监督管理部门受理投诉后，投诉人书面申请撤回投诉的，招标监督管理部门应当终止投诉处理程序。</w:t>
      </w:r>
    </w:p>
    <w:p w14:paraId="1FAE109D">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38.9 招标监督管理部门处理投诉事项，需要检验、检测、鉴定、专家评审以及需要投诉人补正材料的，所需时间不计算在投诉处理期限内。</w:t>
      </w:r>
    </w:p>
    <w:p w14:paraId="73C02D0D">
      <w:pPr>
        <w:spacing w:line="360" w:lineRule="auto"/>
        <w:ind w:left="539" w:right="17" w:hanging="539"/>
        <w:rPr>
          <w:rFonts w:hint="eastAsia" w:ascii="宋体" w:hAnsi="宋体" w:cs="宋体"/>
          <w:color w:val="auto"/>
          <w:szCs w:val="21"/>
          <w:highlight w:val="none"/>
        </w:rPr>
      </w:pPr>
      <w:r>
        <w:rPr>
          <w:rFonts w:hint="eastAsia" w:ascii="宋体" w:hAnsi="宋体" w:cs="宋体"/>
          <w:color w:val="auto"/>
          <w:szCs w:val="21"/>
          <w:highlight w:val="none"/>
        </w:rPr>
        <w:t>39  招标文件的解释权及法律效力层次</w:t>
      </w:r>
    </w:p>
    <w:p w14:paraId="2E8D39A5">
      <w:pPr>
        <w:spacing w:line="360" w:lineRule="auto"/>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 </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招标适用的法律：本招标文件适用于本投标邀请中所述项目的招标。招标文件的解释权及法律效力层次本招标文件的解释权归广东远东招标代理有限公司所有，招标文件条款与法规不一致的，解释适用的法律效力层次依次为《招标文件》《中华人民共和国招标投标法》《中华人民共和国招标投标法实施条例》、广东省招标相关法规。</w:t>
      </w:r>
    </w:p>
    <w:p w14:paraId="7AE93466">
      <w:pPr>
        <w:spacing w:line="360" w:lineRule="auto"/>
        <w:ind w:left="539" w:right="17" w:hanging="539"/>
        <w:rPr>
          <w:rFonts w:hint="eastAsia" w:ascii="宋体" w:hAnsi="宋体" w:cs="宋体"/>
          <w:color w:val="auto"/>
          <w:szCs w:val="21"/>
          <w:highlight w:val="none"/>
          <w:lang w:val="zh-CN"/>
        </w:rPr>
      </w:pPr>
    </w:p>
    <w:p w14:paraId="5F8C1581">
      <w:pPr>
        <w:spacing w:line="360" w:lineRule="auto"/>
        <w:ind w:left="539" w:right="17" w:hanging="539"/>
        <w:rPr>
          <w:rFonts w:hint="eastAsia" w:ascii="宋体" w:hAnsi="宋体" w:cs="宋体"/>
          <w:b/>
          <w:bCs/>
          <w:color w:val="auto"/>
          <w:szCs w:val="21"/>
          <w:highlight w:val="none"/>
          <w:lang w:val="zh-CN"/>
        </w:rPr>
      </w:pPr>
    </w:p>
    <w:p w14:paraId="1C21D7CC">
      <w:pPr>
        <w:spacing w:line="360" w:lineRule="auto"/>
        <w:ind w:left="539" w:right="17" w:hanging="539"/>
        <w:rPr>
          <w:rFonts w:hint="eastAsia" w:ascii="宋体" w:hAnsi="宋体" w:cs="宋体"/>
          <w:b/>
          <w:bCs/>
          <w:color w:val="auto"/>
          <w:szCs w:val="21"/>
          <w:highlight w:val="none"/>
          <w:lang w:val="zh-CN"/>
        </w:rPr>
      </w:pPr>
    </w:p>
    <w:p w14:paraId="59607018">
      <w:pPr>
        <w:spacing w:line="360" w:lineRule="auto"/>
        <w:ind w:left="539" w:right="17" w:hanging="539"/>
        <w:rPr>
          <w:rFonts w:hint="eastAsia" w:ascii="宋体" w:hAnsi="宋体" w:cs="宋体"/>
          <w:b/>
          <w:bCs/>
          <w:color w:val="auto"/>
          <w:szCs w:val="21"/>
          <w:highlight w:val="none"/>
          <w:lang w:val="zh-CN"/>
        </w:rPr>
      </w:pPr>
    </w:p>
    <w:p w14:paraId="63B93164">
      <w:pPr>
        <w:spacing w:line="360" w:lineRule="auto"/>
        <w:ind w:left="539" w:right="17" w:hanging="539"/>
        <w:rPr>
          <w:rFonts w:hint="eastAsia" w:ascii="宋体" w:hAnsi="宋体" w:cs="宋体"/>
          <w:b/>
          <w:bCs/>
          <w:color w:val="auto"/>
          <w:szCs w:val="21"/>
          <w:highlight w:val="none"/>
          <w:lang w:val="zh-CN"/>
        </w:rPr>
      </w:pPr>
    </w:p>
    <w:p w14:paraId="52A8C004">
      <w:pPr>
        <w:spacing w:line="360" w:lineRule="auto"/>
        <w:ind w:left="539" w:right="17" w:hanging="539"/>
        <w:rPr>
          <w:rFonts w:hint="eastAsia" w:ascii="宋体" w:hAnsi="宋体" w:cs="宋体"/>
          <w:b/>
          <w:bCs/>
          <w:color w:val="auto"/>
          <w:szCs w:val="21"/>
          <w:highlight w:val="none"/>
          <w:lang w:val="zh-CN"/>
        </w:rPr>
      </w:pPr>
    </w:p>
    <w:p w14:paraId="2EDB2881">
      <w:pPr>
        <w:spacing w:line="360" w:lineRule="auto"/>
        <w:ind w:left="539" w:right="17" w:hanging="539"/>
        <w:rPr>
          <w:rFonts w:hint="eastAsia" w:ascii="宋体" w:hAnsi="宋体" w:cs="宋体"/>
          <w:b/>
          <w:bCs/>
          <w:color w:val="auto"/>
          <w:szCs w:val="21"/>
          <w:highlight w:val="none"/>
          <w:lang w:val="zh-CN"/>
        </w:rPr>
      </w:pPr>
    </w:p>
    <w:p w14:paraId="28ADA88B">
      <w:pPr>
        <w:spacing w:line="360" w:lineRule="auto"/>
        <w:ind w:left="539" w:right="17" w:hanging="539"/>
        <w:rPr>
          <w:rFonts w:hint="eastAsia" w:ascii="宋体" w:hAnsi="宋体" w:cs="宋体"/>
          <w:b/>
          <w:bCs/>
          <w:color w:val="auto"/>
          <w:szCs w:val="21"/>
          <w:highlight w:val="none"/>
          <w:lang w:val="zh-CN"/>
        </w:rPr>
      </w:pPr>
    </w:p>
    <w:p w14:paraId="2927A182">
      <w:pPr>
        <w:spacing w:line="360" w:lineRule="auto"/>
        <w:ind w:left="539" w:right="17" w:hanging="539"/>
        <w:rPr>
          <w:rFonts w:hint="eastAsia" w:ascii="宋体" w:hAnsi="宋体" w:cs="宋体"/>
          <w:b/>
          <w:bCs/>
          <w:color w:val="auto"/>
          <w:szCs w:val="21"/>
          <w:highlight w:val="none"/>
          <w:lang w:val="zh-CN"/>
        </w:rPr>
      </w:pPr>
    </w:p>
    <w:p w14:paraId="706BB6DD">
      <w:pPr>
        <w:spacing w:line="360" w:lineRule="auto"/>
        <w:ind w:left="539" w:right="17" w:hanging="539"/>
        <w:rPr>
          <w:rFonts w:hint="eastAsia" w:ascii="宋体" w:hAnsi="宋体" w:cs="宋体"/>
          <w:b/>
          <w:bCs/>
          <w:color w:val="auto"/>
          <w:szCs w:val="21"/>
          <w:highlight w:val="none"/>
          <w:lang w:val="zh-CN"/>
        </w:rPr>
      </w:pPr>
    </w:p>
    <w:p w14:paraId="6F5336CA">
      <w:pPr>
        <w:spacing w:line="360" w:lineRule="auto"/>
        <w:ind w:left="539" w:right="17" w:hanging="539"/>
        <w:rPr>
          <w:rFonts w:hint="eastAsia" w:ascii="宋体" w:hAnsi="宋体" w:cs="宋体"/>
          <w:b/>
          <w:bCs/>
          <w:color w:val="auto"/>
          <w:szCs w:val="21"/>
          <w:highlight w:val="none"/>
          <w:lang w:val="zh-CN"/>
        </w:rPr>
      </w:pPr>
    </w:p>
    <w:p w14:paraId="6669E2FC">
      <w:pPr>
        <w:spacing w:line="360" w:lineRule="auto"/>
        <w:ind w:left="539" w:right="17" w:hanging="539"/>
        <w:rPr>
          <w:rFonts w:hint="eastAsia" w:ascii="宋体" w:hAnsi="宋体" w:cs="宋体"/>
          <w:b/>
          <w:bCs/>
          <w:color w:val="auto"/>
          <w:szCs w:val="21"/>
          <w:highlight w:val="none"/>
          <w:lang w:val="zh-CN"/>
        </w:rPr>
      </w:pPr>
    </w:p>
    <w:p w14:paraId="0735C447">
      <w:pPr>
        <w:pStyle w:val="7"/>
        <w:rPr>
          <w:rFonts w:hint="eastAsia" w:ascii="宋体" w:hAnsi="宋体" w:cs="宋体"/>
          <w:color w:val="auto"/>
          <w:highlight w:val="none"/>
          <w:lang w:val="zh-CN"/>
        </w:rPr>
      </w:pPr>
    </w:p>
    <w:p w14:paraId="79F2D538">
      <w:pPr>
        <w:rPr>
          <w:rFonts w:hint="eastAsia"/>
          <w:color w:val="auto"/>
          <w:highlight w:val="none"/>
          <w:lang w:val="zh-CN"/>
        </w:rPr>
      </w:pPr>
    </w:p>
    <w:p w14:paraId="34B78C65">
      <w:pPr>
        <w:spacing w:line="360" w:lineRule="auto"/>
        <w:ind w:left="539" w:right="17" w:hanging="539"/>
        <w:rPr>
          <w:rFonts w:hint="eastAsia" w:ascii="宋体" w:hAnsi="宋体" w:cs="宋体"/>
          <w:b/>
          <w:bCs/>
          <w:color w:val="auto"/>
          <w:szCs w:val="21"/>
          <w:highlight w:val="none"/>
          <w:lang w:val="zh-CN"/>
        </w:rPr>
      </w:pPr>
    </w:p>
    <w:p w14:paraId="0091C5CD">
      <w:pPr>
        <w:spacing w:line="360" w:lineRule="auto"/>
        <w:ind w:left="539" w:right="17" w:hanging="539"/>
        <w:rPr>
          <w:rFonts w:hint="eastAsia" w:ascii="宋体" w:hAnsi="宋体" w:cs="宋体"/>
          <w:b/>
          <w:bCs/>
          <w:color w:val="auto"/>
          <w:w w:val="80"/>
          <w:kern w:val="16"/>
          <w:szCs w:val="21"/>
          <w:highlight w:val="none"/>
        </w:rPr>
      </w:pPr>
      <w:r>
        <w:rPr>
          <w:rFonts w:hint="eastAsia" w:ascii="宋体" w:hAnsi="宋体" w:cs="宋体"/>
          <w:b/>
          <w:bCs/>
          <w:color w:val="auto"/>
          <w:szCs w:val="21"/>
          <w:highlight w:val="none"/>
          <w:lang w:val="zh-CN"/>
        </w:rPr>
        <w:t>附件 异议书格式</w:t>
      </w:r>
    </w:p>
    <w:p w14:paraId="735E0B68">
      <w:pPr>
        <w:spacing w:line="360" w:lineRule="auto"/>
        <w:ind w:left="539" w:right="17" w:hanging="539"/>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异议书</w:t>
      </w:r>
    </w:p>
    <w:p w14:paraId="79E88EFD">
      <w:pPr>
        <w:spacing w:line="400" w:lineRule="exact"/>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一、异议人基本信息</w:t>
      </w:r>
    </w:p>
    <w:p w14:paraId="69C26F2D">
      <w:pPr>
        <w:spacing w:line="400" w:lineRule="exact"/>
        <w:ind w:left="539" w:right="17" w:hanging="539"/>
        <w:rPr>
          <w:rFonts w:hint="eastAsia" w:ascii="宋体" w:hAnsi="宋体" w:cs="宋体"/>
          <w:color w:val="auto"/>
          <w:w w:val="90"/>
          <w:szCs w:val="21"/>
          <w:highlight w:val="none"/>
          <w:u w:val="dotted"/>
        </w:rPr>
      </w:pPr>
      <w:r>
        <w:rPr>
          <w:rFonts w:hint="eastAsia" w:ascii="宋体" w:hAnsi="宋体" w:cs="宋体"/>
          <w:color w:val="auto"/>
          <w:szCs w:val="21"/>
          <w:highlight w:val="none"/>
          <w:lang w:val="zh-CN"/>
        </w:rPr>
        <w:t>异议人：</w:t>
      </w:r>
      <w:r>
        <w:rPr>
          <w:rFonts w:hint="eastAsia" w:ascii="宋体" w:hAnsi="宋体" w:cs="宋体"/>
          <w:color w:val="auto"/>
          <w:w w:val="90"/>
          <w:szCs w:val="21"/>
          <w:highlight w:val="none"/>
          <w:u w:val="single"/>
        </w:rPr>
        <w:t xml:space="preserve">                                        </w:t>
      </w:r>
    </w:p>
    <w:p w14:paraId="63300782">
      <w:pPr>
        <w:pStyle w:val="231"/>
        <w:adjustRightInd w:val="0"/>
        <w:snapToGrid w:val="0"/>
        <w:spacing w:line="400" w:lineRule="exact"/>
        <w:jc w:val="left"/>
        <w:rPr>
          <w:rFonts w:hint="eastAsia" w:ascii="宋体" w:hAnsi="宋体" w:cs="宋体"/>
          <w:color w:val="auto"/>
          <w:w w:val="90"/>
          <w:szCs w:val="21"/>
          <w:highlight w:val="none"/>
        </w:rPr>
      </w:pPr>
      <w:r>
        <w:rPr>
          <w:rFonts w:hint="eastAsia" w:ascii="宋体" w:hAnsi="宋体" w:cs="宋体"/>
          <w:color w:val="auto"/>
          <w:szCs w:val="21"/>
          <w:highlight w:val="none"/>
          <w:lang w:val="zh-CN"/>
        </w:rPr>
        <w:t>地址：</w:t>
      </w:r>
      <w:r>
        <w:rPr>
          <w:rFonts w:hint="eastAsia" w:ascii="宋体" w:hAnsi="宋体" w:cs="宋体"/>
          <w:color w:val="auto"/>
          <w:w w:val="90"/>
          <w:szCs w:val="21"/>
          <w:highlight w:val="none"/>
          <w:u w:val="single"/>
        </w:rPr>
        <w:t xml:space="preserve">                                      </w:t>
      </w:r>
      <w:r>
        <w:rPr>
          <w:rFonts w:hint="eastAsia" w:ascii="宋体" w:hAnsi="宋体" w:cs="宋体"/>
          <w:color w:val="auto"/>
          <w:szCs w:val="21"/>
          <w:highlight w:val="none"/>
          <w:lang w:val="zh-CN"/>
        </w:rPr>
        <w:t>邮编：</w:t>
      </w:r>
      <w:r>
        <w:rPr>
          <w:rFonts w:hint="eastAsia" w:ascii="宋体" w:hAnsi="宋体" w:cs="宋体"/>
          <w:color w:val="auto"/>
          <w:w w:val="90"/>
          <w:szCs w:val="21"/>
          <w:highlight w:val="none"/>
          <w:u w:val="single"/>
        </w:rPr>
        <w:t xml:space="preserve">                     </w:t>
      </w:r>
    </w:p>
    <w:p w14:paraId="449CF139">
      <w:pPr>
        <w:pStyle w:val="231"/>
        <w:adjustRightInd w:val="0"/>
        <w:snapToGrid w:val="0"/>
        <w:spacing w:line="400" w:lineRule="exact"/>
        <w:rPr>
          <w:rFonts w:hint="eastAsia" w:ascii="宋体" w:hAnsi="宋体" w:cs="宋体"/>
          <w:color w:val="auto"/>
          <w:w w:val="90"/>
          <w:szCs w:val="21"/>
          <w:highlight w:val="none"/>
        </w:rPr>
      </w:pPr>
      <w:r>
        <w:rPr>
          <w:rFonts w:hint="eastAsia" w:ascii="宋体" w:hAnsi="宋体" w:cs="宋体"/>
          <w:color w:val="auto"/>
          <w:szCs w:val="21"/>
          <w:highlight w:val="none"/>
          <w:lang w:val="zh-CN"/>
        </w:rPr>
        <w:t>联系人：</w:t>
      </w:r>
      <w:r>
        <w:rPr>
          <w:rFonts w:hint="eastAsia" w:ascii="宋体" w:hAnsi="宋体" w:cs="宋体"/>
          <w:color w:val="auto"/>
          <w:w w:val="90"/>
          <w:szCs w:val="21"/>
          <w:highlight w:val="none"/>
          <w:u w:val="single"/>
        </w:rPr>
        <w:t xml:space="preserve">                      </w:t>
      </w:r>
      <w:r>
        <w:rPr>
          <w:rFonts w:hint="eastAsia" w:ascii="宋体" w:hAnsi="宋体" w:cs="宋体"/>
          <w:color w:val="auto"/>
          <w:szCs w:val="21"/>
          <w:highlight w:val="none"/>
          <w:lang w:val="zh-CN"/>
        </w:rPr>
        <w:t>联系电话：</w:t>
      </w:r>
      <w:r>
        <w:rPr>
          <w:rFonts w:hint="eastAsia" w:ascii="宋体" w:hAnsi="宋体" w:cs="宋体"/>
          <w:color w:val="auto"/>
          <w:w w:val="90"/>
          <w:szCs w:val="21"/>
          <w:highlight w:val="none"/>
          <w:u w:val="single"/>
        </w:rPr>
        <w:t xml:space="preserve">                              </w:t>
      </w:r>
    </w:p>
    <w:p w14:paraId="53DF003B">
      <w:pPr>
        <w:spacing w:line="400" w:lineRule="exact"/>
        <w:ind w:left="539" w:right="17" w:hanging="539"/>
        <w:rPr>
          <w:rFonts w:hint="eastAsia" w:ascii="宋体" w:hAnsi="宋体" w:cs="宋体"/>
          <w:color w:val="auto"/>
          <w:w w:val="90"/>
          <w:szCs w:val="21"/>
          <w:highlight w:val="none"/>
          <w:u w:val="dotted"/>
        </w:rPr>
      </w:pPr>
      <w:r>
        <w:rPr>
          <w:rFonts w:hint="eastAsia" w:ascii="宋体" w:hAnsi="宋体" w:cs="宋体"/>
          <w:color w:val="auto"/>
          <w:szCs w:val="21"/>
          <w:highlight w:val="none"/>
          <w:lang w:val="zh-CN"/>
        </w:rPr>
        <w:t>授权代表：</w:t>
      </w:r>
      <w:r>
        <w:rPr>
          <w:rFonts w:hint="eastAsia" w:ascii="宋体" w:hAnsi="宋体" w:cs="宋体"/>
          <w:color w:val="auto"/>
          <w:w w:val="90"/>
          <w:szCs w:val="21"/>
          <w:highlight w:val="none"/>
          <w:u w:val="single"/>
        </w:rPr>
        <w:t xml:space="preserve">                                          </w:t>
      </w:r>
    </w:p>
    <w:p w14:paraId="2D18C02F">
      <w:pPr>
        <w:spacing w:line="400" w:lineRule="exact"/>
        <w:ind w:left="539" w:right="17" w:hanging="539"/>
        <w:rPr>
          <w:rFonts w:hint="eastAsia" w:ascii="宋体" w:hAnsi="宋体" w:cs="宋体"/>
          <w:color w:val="auto"/>
          <w:w w:val="90"/>
          <w:szCs w:val="21"/>
          <w:highlight w:val="none"/>
        </w:rPr>
      </w:pPr>
      <w:r>
        <w:rPr>
          <w:rFonts w:hint="eastAsia" w:ascii="宋体" w:hAnsi="宋体" w:cs="宋体"/>
          <w:color w:val="auto"/>
          <w:szCs w:val="21"/>
          <w:highlight w:val="none"/>
          <w:lang w:val="zh-CN"/>
        </w:rPr>
        <w:t>联系电话：</w:t>
      </w:r>
      <w:r>
        <w:rPr>
          <w:rFonts w:hint="eastAsia" w:ascii="宋体" w:hAnsi="宋体" w:cs="宋体"/>
          <w:color w:val="auto"/>
          <w:w w:val="90"/>
          <w:szCs w:val="21"/>
          <w:highlight w:val="none"/>
          <w:u w:val="single"/>
        </w:rPr>
        <w:t xml:space="preserve">                                           </w:t>
      </w:r>
      <w:r>
        <w:rPr>
          <w:rFonts w:hint="eastAsia" w:ascii="宋体" w:hAnsi="宋体" w:cs="宋体"/>
          <w:color w:val="auto"/>
          <w:w w:val="90"/>
          <w:szCs w:val="21"/>
          <w:highlight w:val="none"/>
        </w:rPr>
        <w:t xml:space="preserve"> </w:t>
      </w:r>
    </w:p>
    <w:p w14:paraId="2991A25E">
      <w:pPr>
        <w:pStyle w:val="231"/>
        <w:adjustRightInd w:val="0"/>
        <w:snapToGrid w:val="0"/>
        <w:spacing w:line="400" w:lineRule="exact"/>
        <w:jc w:val="left"/>
        <w:rPr>
          <w:rFonts w:hint="eastAsia" w:ascii="宋体" w:hAnsi="宋体" w:cs="宋体"/>
          <w:color w:val="auto"/>
          <w:w w:val="90"/>
          <w:szCs w:val="21"/>
          <w:highlight w:val="none"/>
        </w:rPr>
      </w:pPr>
      <w:r>
        <w:rPr>
          <w:rFonts w:hint="eastAsia" w:ascii="宋体" w:hAnsi="宋体" w:cs="宋体"/>
          <w:color w:val="auto"/>
          <w:szCs w:val="21"/>
          <w:highlight w:val="none"/>
          <w:lang w:val="zh-CN"/>
        </w:rPr>
        <w:t>地址：</w:t>
      </w:r>
      <w:r>
        <w:rPr>
          <w:rFonts w:hint="eastAsia" w:ascii="宋体" w:hAnsi="宋体" w:cs="宋体"/>
          <w:color w:val="auto"/>
          <w:w w:val="90"/>
          <w:szCs w:val="21"/>
          <w:highlight w:val="none"/>
          <w:u w:val="single"/>
        </w:rPr>
        <w:t xml:space="preserve">                                     </w:t>
      </w:r>
      <w:r>
        <w:rPr>
          <w:rFonts w:hint="eastAsia" w:ascii="宋体" w:hAnsi="宋体" w:cs="宋体"/>
          <w:color w:val="auto"/>
          <w:szCs w:val="21"/>
          <w:highlight w:val="none"/>
          <w:lang w:val="zh-CN"/>
        </w:rPr>
        <w:t xml:space="preserve"> 邮编：</w:t>
      </w:r>
      <w:r>
        <w:rPr>
          <w:rFonts w:hint="eastAsia" w:ascii="宋体" w:hAnsi="宋体" w:cs="宋体"/>
          <w:color w:val="auto"/>
          <w:w w:val="90"/>
          <w:szCs w:val="21"/>
          <w:highlight w:val="none"/>
          <w:u w:val="single"/>
        </w:rPr>
        <w:t xml:space="preserve">                     </w:t>
      </w:r>
    </w:p>
    <w:p w14:paraId="530EBB13">
      <w:pPr>
        <w:spacing w:line="400" w:lineRule="exact"/>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二、异议项目基本情况</w:t>
      </w:r>
    </w:p>
    <w:p w14:paraId="772BBA51">
      <w:pPr>
        <w:spacing w:line="400" w:lineRule="exact"/>
        <w:ind w:left="539" w:right="17" w:hanging="539"/>
        <w:rPr>
          <w:rFonts w:hint="eastAsia" w:ascii="宋体" w:hAnsi="宋体" w:cs="宋体"/>
          <w:color w:val="auto"/>
          <w:w w:val="90"/>
          <w:szCs w:val="21"/>
          <w:highlight w:val="none"/>
        </w:rPr>
      </w:pPr>
      <w:r>
        <w:rPr>
          <w:rFonts w:hint="eastAsia" w:ascii="宋体" w:hAnsi="宋体" w:cs="宋体"/>
          <w:color w:val="auto"/>
          <w:szCs w:val="21"/>
          <w:highlight w:val="none"/>
          <w:lang w:val="zh-CN"/>
        </w:rPr>
        <w:t>异议项目的招标项目名称：</w:t>
      </w:r>
      <w:r>
        <w:rPr>
          <w:rFonts w:hint="eastAsia" w:ascii="宋体" w:hAnsi="宋体" w:cs="宋体"/>
          <w:color w:val="auto"/>
          <w:w w:val="90"/>
          <w:szCs w:val="21"/>
          <w:highlight w:val="none"/>
          <w:u w:val="single"/>
        </w:rPr>
        <w:t xml:space="preserve">                          </w:t>
      </w:r>
    </w:p>
    <w:p w14:paraId="63979D46">
      <w:pPr>
        <w:spacing w:line="400" w:lineRule="exact"/>
        <w:ind w:left="539" w:right="17" w:hanging="539"/>
        <w:rPr>
          <w:rFonts w:hint="eastAsia" w:ascii="宋体" w:hAnsi="宋体" w:cs="宋体"/>
          <w:color w:val="auto"/>
          <w:w w:val="90"/>
          <w:szCs w:val="21"/>
          <w:highlight w:val="none"/>
          <w:u w:val="dotted"/>
        </w:rPr>
      </w:pPr>
      <w:r>
        <w:rPr>
          <w:rFonts w:hint="eastAsia" w:ascii="宋体" w:hAnsi="宋体" w:cs="宋体"/>
          <w:color w:val="auto"/>
          <w:szCs w:val="21"/>
          <w:highlight w:val="none"/>
          <w:lang w:val="zh-CN"/>
        </w:rPr>
        <w:t>异议项目的招标项目编号：</w:t>
      </w:r>
      <w:r>
        <w:rPr>
          <w:rFonts w:hint="eastAsia" w:ascii="宋体" w:hAnsi="宋体" w:cs="宋体"/>
          <w:color w:val="auto"/>
          <w:w w:val="90"/>
          <w:szCs w:val="21"/>
          <w:highlight w:val="none"/>
          <w:u w:val="single"/>
        </w:rPr>
        <w:t xml:space="preserve">                          </w:t>
      </w:r>
    </w:p>
    <w:p w14:paraId="4A797D57">
      <w:pPr>
        <w:pStyle w:val="231"/>
        <w:adjustRightInd w:val="0"/>
        <w:snapToGrid w:val="0"/>
        <w:spacing w:line="400" w:lineRule="exact"/>
        <w:rPr>
          <w:rFonts w:hint="eastAsia" w:ascii="宋体" w:hAnsi="宋体" w:cs="宋体"/>
          <w:color w:val="auto"/>
          <w:w w:val="90"/>
          <w:szCs w:val="21"/>
          <w:highlight w:val="none"/>
        </w:rPr>
      </w:pPr>
      <w:r>
        <w:rPr>
          <w:rFonts w:hint="eastAsia" w:ascii="宋体" w:hAnsi="宋体" w:cs="宋体"/>
          <w:color w:val="auto"/>
          <w:szCs w:val="21"/>
          <w:highlight w:val="none"/>
          <w:lang w:val="zh-CN"/>
        </w:rPr>
        <w:t>项目编号：</w:t>
      </w:r>
      <w:r>
        <w:rPr>
          <w:rFonts w:hint="eastAsia" w:ascii="宋体" w:hAnsi="宋体" w:cs="宋体"/>
          <w:color w:val="auto"/>
          <w:w w:val="90"/>
          <w:szCs w:val="21"/>
          <w:highlight w:val="none"/>
          <w:u w:val="single"/>
        </w:rPr>
        <w:t xml:space="preserve">                          </w:t>
      </w:r>
      <w:r>
        <w:rPr>
          <w:rFonts w:hint="eastAsia" w:ascii="宋体" w:hAnsi="宋体" w:cs="宋体"/>
          <w:color w:val="auto"/>
          <w:szCs w:val="21"/>
          <w:highlight w:val="none"/>
          <w:lang w:val="zh-CN"/>
        </w:rPr>
        <w:t>分包号：</w:t>
      </w:r>
      <w:r>
        <w:rPr>
          <w:rFonts w:hint="eastAsia" w:ascii="宋体" w:hAnsi="宋体" w:cs="宋体"/>
          <w:color w:val="auto"/>
          <w:w w:val="90"/>
          <w:szCs w:val="21"/>
          <w:highlight w:val="none"/>
          <w:u w:val="single"/>
        </w:rPr>
        <w:t xml:space="preserve">                 </w:t>
      </w:r>
    </w:p>
    <w:p w14:paraId="31CA5690">
      <w:pPr>
        <w:spacing w:line="400" w:lineRule="exact"/>
        <w:ind w:left="539" w:right="17" w:hanging="539"/>
        <w:rPr>
          <w:rFonts w:hint="eastAsia" w:ascii="宋体" w:hAnsi="宋体" w:cs="宋体"/>
          <w:color w:val="auto"/>
          <w:w w:val="90"/>
          <w:szCs w:val="21"/>
          <w:highlight w:val="none"/>
          <w:u w:val="dotted"/>
        </w:rPr>
      </w:pPr>
      <w:r>
        <w:rPr>
          <w:rFonts w:hint="eastAsia" w:ascii="宋体" w:hAnsi="宋体" w:cs="宋体"/>
          <w:color w:val="auto"/>
          <w:szCs w:val="21"/>
          <w:highlight w:val="none"/>
          <w:lang w:val="zh-CN"/>
        </w:rPr>
        <w:t>招标人名称：</w:t>
      </w:r>
      <w:r>
        <w:rPr>
          <w:rFonts w:hint="eastAsia" w:ascii="宋体" w:hAnsi="宋体" w:cs="宋体"/>
          <w:color w:val="auto"/>
          <w:w w:val="90"/>
          <w:szCs w:val="21"/>
          <w:highlight w:val="none"/>
          <w:u w:val="single"/>
        </w:rPr>
        <w:t xml:space="preserve">                                         </w:t>
      </w:r>
    </w:p>
    <w:p w14:paraId="3A6791A1">
      <w:pPr>
        <w:spacing w:line="400" w:lineRule="exact"/>
        <w:ind w:left="539" w:right="17" w:hanging="539"/>
        <w:rPr>
          <w:rFonts w:hint="eastAsia" w:ascii="宋体" w:hAnsi="宋体" w:cs="宋体"/>
          <w:color w:val="auto"/>
          <w:w w:val="90"/>
          <w:szCs w:val="21"/>
          <w:highlight w:val="none"/>
        </w:rPr>
      </w:pPr>
      <w:r>
        <w:rPr>
          <w:rFonts w:hint="eastAsia" w:ascii="宋体" w:hAnsi="宋体" w:cs="宋体"/>
          <w:color w:val="auto"/>
          <w:szCs w:val="21"/>
          <w:highlight w:val="none"/>
          <w:lang w:val="zh-CN"/>
        </w:rPr>
        <w:t>招标文件获取日期：</w:t>
      </w:r>
      <w:r>
        <w:rPr>
          <w:rFonts w:hint="eastAsia" w:ascii="宋体" w:hAnsi="宋体" w:cs="宋体"/>
          <w:color w:val="auto"/>
          <w:w w:val="90"/>
          <w:szCs w:val="21"/>
          <w:highlight w:val="none"/>
          <w:u w:val="single"/>
        </w:rPr>
        <w:t xml:space="preserve">                                           </w:t>
      </w:r>
    </w:p>
    <w:p w14:paraId="324A939F">
      <w:pPr>
        <w:spacing w:line="400" w:lineRule="exact"/>
        <w:ind w:left="539" w:right="17" w:hanging="539"/>
        <w:rPr>
          <w:rFonts w:hint="eastAsia" w:ascii="宋体" w:hAnsi="宋体" w:cs="宋体"/>
          <w:bCs/>
          <w:color w:val="auto"/>
          <w:w w:val="90"/>
          <w:szCs w:val="21"/>
          <w:highlight w:val="none"/>
        </w:rPr>
      </w:pPr>
      <w:r>
        <w:rPr>
          <w:rFonts w:hint="eastAsia" w:ascii="宋体" w:hAnsi="宋体" w:cs="宋体"/>
          <w:color w:val="auto"/>
          <w:szCs w:val="21"/>
          <w:highlight w:val="none"/>
          <w:lang w:val="zh-CN"/>
        </w:rPr>
        <w:t>三、异议事项具体内容</w:t>
      </w:r>
    </w:p>
    <w:p w14:paraId="720E1533">
      <w:pPr>
        <w:spacing w:line="400" w:lineRule="exact"/>
        <w:ind w:left="539" w:right="17" w:hanging="539"/>
        <w:rPr>
          <w:rFonts w:hint="eastAsia" w:ascii="宋体" w:hAnsi="宋体" w:cs="宋体"/>
          <w:color w:val="auto"/>
          <w:w w:val="90"/>
          <w:szCs w:val="21"/>
          <w:highlight w:val="none"/>
          <w:u w:val="dotted"/>
        </w:rPr>
      </w:pPr>
      <w:r>
        <w:rPr>
          <w:rFonts w:hint="eastAsia" w:ascii="宋体" w:hAnsi="宋体" w:cs="宋体"/>
          <w:color w:val="auto"/>
          <w:szCs w:val="21"/>
          <w:highlight w:val="none"/>
          <w:lang w:val="zh-CN"/>
        </w:rPr>
        <w:t>异议事项1：</w:t>
      </w:r>
      <w:r>
        <w:rPr>
          <w:rFonts w:hint="eastAsia" w:ascii="宋体" w:hAnsi="宋体" w:cs="宋体"/>
          <w:color w:val="auto"/>
          <w:w w:val="90"/>
          <w:szCs w:val="21"/>
          <w:highlight w:val="none"/>
          <w:u w:val="single"/>
        </w:rPr>
        <w:t xml:space="preserve">                                         </w:t>
      </w:r>
    </w:p>
    <w:p w14:paraId="21502896">
      <w:pPr>
        <w:spacing w:line="400" w:lineRule="exact"/>
        <w:ind w:left="539" w:right="17" w:hanging="539"/>
        <w:rPr>
          <w:rFonts w:hint="eastAsia" w:ascii="宋体" w:hAnsi="宋体" w:cs="宋体"/>
          <w:color w:val="auto"/>
          <w:w w:val="90"/>
          <w:szCs w:val="21"/>
          <w:highlight w:val="none"/>
          <w:u w:val="dotted"/>
        </w:rPr>
      </w:pPr>
      <w:r>
        <w:rPr>
          <w:rFonts w:hint="eastAsia" w:ascii="宋体" w:hAnsi="宋体" w:cs="宋体"/>
          <w:color w:val="auto"/>
          <w:szCs w:val="21"/>
          <w:highlight w:val="none"/>
          <w:lang w:val="zh-CN"/>
        </w:rPr>
        <w:t>事实依据：</w:t>
      </w:r>
      <w:r>
        <w:rPr>
          <w:rFonts w:hint="eastAsia" w:ascii="宋体" w:hAnsi="宋体" w:cs="宋体"/>
          <w:color w:val="auto"/>
          <w:w w:val="90"/>
          <w:szCs w:val="21"/>
          <w:highlight w:val="none"/>
          <w:u w:val="single"/>
        </w:rPr>
        <w:t xml:space="preserve">                                          </w:t>
      </w:r>
    </w:p>
    <w:p w14:paraId="1B31BB11">
      <w:pPr>
        <w:spacing w:line="400" w:lineRule="exact"/>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法律依据：                                          </w:t>
      </w:r>
    </w:p>
    <w:p w14:paraId="5DE233F8">
      <w:pPr>
        <w:spacing w:line="400" w:lineRule="exact"/>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异议事项2</w:t>
      </w:r>
    </w:p>
    <w:p w14:paraId="49F0A528">
      <w:pPr>
        <w:spacing w:line="400" w:lineRule="exact"/>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p>
    <w:p w14:paraId="2FFCD73C">
      <w:pPr>
        <w:spacing w:line="400" w:lineRule="exact"/>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四、与异议事项相关的异议请求</w:t>
      </w:r>
    </w:p>
    <w:p w14:paraId="11D9DB43">
      <w:pPr>
        <w:spacing w:line="400" w:lineRule="exact"/>
        <w:ind w:left="539" w:right="17" w:hanging="539"/>
        <w:rPr>
          <w:rFonts w:hint="eastAsia" w:ascii="宋体" w:hAnsi="宋体" w:cs="宋体"/>
          <w:color w:val="auto"/>
          <w:w w:val="90"/>
          <w:szCs w:val="21"/>
          <w:highlight w:val="none"/>
          <w:u w:val="dotted"/>
        </w:rPr>
      </w:pPr>
      <w:r>
        <w:rPr>
          <w:rFonts w:hint="eastAsia" w:ascii="宋体" w:hAnsi="宋体" w:cs="宋体"/>
          <w:color w:val="auto"/>
          <w:szCs w:val="21"/>
          <w:highlight w:val="none"/>
          <w:lang w:val="zh-CN"/>
        </w:rPr>
        <w:t>请求：</w:t>
      </w:r>
      <w:r>
        <w:rPr>
          <w:rFonts w:hint="eastAsia" w:ascii="宋体" w:hAnsi="宋体" w:cs="宋体"/>
          <w:color w:val="auto"/>
          <w:w w:val="90"/>
          <w:szCs w:val="21"/>
          <w:highlight w:val="none"/>
          <w:u w:val="single"/>
        </w:rPr>
        <w:t xml:space="preserve">                                               </w:t>
      </w:r>
    </w:p>
    <w:p w14:paraId="6DBD513C">
      <w:pPr>
        <w:pStyle w:val="231"/>
        <w:adjustRightInd w:val="0"/>
        <w:snapToGrid w:val="0"/>
        <w:spacing w:line="400" w:lineRule="exact"/>
        <w:rPr>
          <w:rFonts w:hint="eastAsia" w:ascii="宋体" w:hAnsi="宋体" w:cs="宋体"/>
          <w:color w:val="auto"/>
          <w:w w:val="90"/>
          <w:szCs w:val="21"/>
          <w:highlight w:val="none"/>
        </w:rPr>
      </w:pPr>
      <w:r>
        <w:rPr>
          <w:rFonts w:hint="eastAsia" w:ascii="宋体" w:hAnsi="宋体" w:cs="宋体"/>
          <w:color w:val="auto"/>
          <w:szCs w:val="21"/>
          <w:highlight w:val="none"/>
          <w:lang w:val="zh-CN"/>
        </w:rPr>
        <w:t>签字（签章）：</w:t>
      </w:r>
      <w:r>
        <w:rPr>
          <w:rFonts w:hint="eastAsia" w:ascii="宋体" w:hAnsi="宋体" w:cs="宋体"/>
          <w:color w:val="auto"/>
          <w:w w:val="90"/>
          <w:szCs w:val="21"/>
          <w:highlight w:val="none"/>
        </w:rPr>
        <w:t xml:space="preserve">                   </w:t>
      </w:r>
      <w:r>
        <w:rPr>
          <w:rFonts w:hint="eastAsia" w:ascii="宋体" w:hAnsi="宋体" w:cs="宋体"/>
          <w:color w:val="auto"/>
          <w:szCs w:val="21"/>
          <w:highlight w:val="none"/>
          <w:lang w:val="zh-CN"/>
        </w:rPr>
        <w:t>公章：</w:t>
      </w:r>
      <w:r>
        <w:rPr>
          <w:rFonts w:hint="eastAsia" w:ascii="宋体" w:hAnsi="宋体" w:cs="宋体"/>
          <w:color w:val="auto"/>
          <w:w w:val="90"/>
          <w:szCs w:val="21"/>
          <w:highlight w:val="none"/>
        </w:rPr>
        <w:t xml:space="preserve">                      </w:t>
      </w:r>
    </w:p>
    <w:p w14:paraId="12E257F8">
      <w:pPr>
        <w:spacing w:line="400" w:lineRule="exact"/>
        <w:ind w:left="539" w:right="17" w:hanging="539"/>
        <w:rPr>
          <w:rFonts w:hint="eastAsia" w:ascii="宋体" w:hAnsi="宋体" w:cs="宋体"/>
          <w:color w:val="auto"/>
          <w:w w:val="90"/>
          <w:szCs w:val="21"/>
          <w:highlight w:val="none"/>
        </w:rPr>
      </w:pPr>
      <w:r>
        <w:rPr>
          <w:rFonts w:hint="eastAsia" w:ascii="宋体" w:hAnsi="宋体" w:cs="宋体"/>
          <w:color w:val="auto"/>
          <w:szCs w:val="21"/>
          <w:highlight w:val="none"/>
          <w:lang w:val="zh-CN"/>
        </w:rPr>
        <w:t>日期：</w:t>
      </w:r>
      <w:r>
        <w:rPr>
          <w:rFonts w:hint="eastAsia" w:ascii="宋体" w:hAnsi="宋体" w:cs="宋体"/>
          <w:color w:val="auto"/>
          <w:w w:val="90"/>
          <w:szCs w:val="21"/>
          <w:highlight w:val="none"/>
        </w:rPr>
        <w:t xml:space="preserve">    </w:t>
      </w:r>
    </w:p>
    <w:p w14:paraId="10559199">
      <w:pPr>
        <w:spacing w:line="400" w:lineRule="exact"/>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异议书制作说明：</w:t>
      </w:r>
    </w:p>
    <w:p w14:paraId="3DBF5F84">
      <w:pPr>
        <w:spacing w:line="400" w:lineRule="exact"/>
        <w:ind w:left="539" w:right="17" w:hanging="539"/>
        <w:rPr>
          <w:rFonts w:hint="eastAsia" w:ascii="宋体" w:hAnsi="宋体" w:cs="宋体"/>
          <w:color w:val="auto"/>
          <w:szCs w:val="21"/>
          <w:highlight w:val="none"/>
          <w:lang w:val="zh-CN"/>
        </w:rPr>
      </w:pPr>
      <w:r>
        <w:rPr>
          <w:rFonts w:hint="eastAsia" w:ascii="宋体" w:hAnsi="宋体" w:cs="宋体"/>
          <w:color w:val="auto"/>
          <w:szCs w:val="21"/>
          <w:highlight w:val="none"/>
          <w:lang w:val="zh-CN"/>
        </w:rPr>
        <w:t>1.异议人提出异议时，应提交异议书和必要的证明材料。</w:t>
      </w:r>
    </w:p>
    <w:p w14:paraId="71C028FC">
      <w:pPr>
        <w:spacing w:line="400" w:lineRule="exact"/>
        <w:ind w:right="17"/>
        <w:rPr>
          <w:rFonts w:hint="eastAsia" w:ascii="宋体" w:hAnsi="宋体" w:cs="宋体"/>
          <w:color w:val="auto"/>
          <w:szCs w:val="21"/>
          <w:highlight w:val="none"/>
          <w:lang w:val="zh-CN"/>
        </w:rPr>
      </w:pPr>
      <w:r>
        <w:rPr>
          <w:rFonts w:hint="eastAsia" w:ascii="宋体" w:hAnsi="宋体" w:cs="宋体"/>
          <w:color w:val="auto"/>
          <w:szCs w:val="21"/>
          <w:highlight w:val="none"/>
          <w:lang w:val="zh-CN"/>
        </w:rPr>
        <w:t>2.异议人若委托代理人提出异议的，异议书应按要求列明“授权代表”的有关内容，并在附件中提交由异议人签署的授权委托书。授权委托书应载明代理人的姓名或者名称、代理事项、具体权限、期限和相关事项。</w:t>
      </w:r>
    </w:p>
    <w:p w14:paraId="73F14A2C">
      <w:pPr>
        <w:spacing w:line="400" w:lineRule="exact"/>
        <w:ind w:right="17"/>
        <w:rPr>
          <w:rFonts w:hint="eastAsia" w:ascii="宋体" w:hAnsi="宋体" w:cs="宋体"/>
          <w:color w:val="auto"/>
          <w:szCs w:val="21"/>
          <w:highlight w:val="none"/>
          <w:lang w:val="zh-CN"/>
        </w:rPr>
      </w:pPr>
      <w:r>
        <w:rPr>
          <w:rFonts w:hint="eastAsia" w:ascii="宋体" w:hAnsi="宋体" w:cs="宋体"/>
          <w:color w:val="auto"/>
          <w:szCs w:val="21"/>
          <w:highlight w:val="none"/>
          <w:lang w:val="zh-CN"/>
        </w:rPr>
        <w:t>3.异议书的异议事项应具体、明确，并有必要的事实依据和法律依据。</w:t>
      </w:r>
    </w:p>
    <w:p w14:paraId="0AB7794B">
      <w:pPr>
        <w:spacing w:line="400" w:lineRule="exact"/>
        <w:ind w:right="17"/>
        <w:rPr>
          <w:rFonts w:hint="eastAsia"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.异议书的异议请求应与异议事项相关。</w:t>
      </w:r>
    </w:p>
    <w:p w14:paraId="3BB4D6BD">
      <w:pPr>
        <w:spacing w:line="400" w:lineRule="exact"/>
        <w:ind w:right="17"/>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.异议人为自然人的，异议书应由本人签字；异议人为法人或者其他组织的，异议书应由法定代表人、主要负责人，或者其授权代表签字或者盖章，并加盖公章。</w:t>
      </w:r>
    </w:p>
    <w:bookmarkEnd w:id="80"/>
    <w:bookmarkEnd w:id="81"/>
    <w:bookmarkEnd w:id="84"/>
    <w:p w14:paraId="239ED5BF">
      <w:pPr>
        <w:pStyle w:val="20"/>
        <w:rPr>
          <w:rFonts w:hint="eastAsia" w:ascii="宋体" w:hAnsi="宋体" w:cs="宋体"/>
          <w:color w:val="auto"/>
          <w:highlight w:val="none"/>
        </w:rPr>
      </w:pPr>
    </w:p>
    <w:p w14:paraId="12356FD6">
      <w:pPr>
        <w:pStyle w:val="6"/>
        <w:rPr>
          <w:rFonts w:hint="eastAsia" w:ascii="宋体" w:hAnsi="宋体" w:cs="宋体"/>
          <w:color w:val="auto"/>
          <w:highlight w:val="none"/>
          <w:lang w:val="zh-CN"/>
        </w:rPr>
      </w:pPr>
    </w:p>
    <w:p w14:paraId="6F2665B3">
      <w:pPr>
        <w:pStyle w:val="6"/>
        <w:rPr>
          <w:rFonts w:hint="eastAsia" w:ascii="宋体" w:hAnsi="宋体" w:cs="宋体"/>
          <w:color w:val="auto"/>
          <w:highlight w:val="none"/>
          <w:lang w:val="zh-CN"/>
        </w:rPr>
      </w:pPr>
    </w:p>
    <w:p w14:paraId="100577CB">
      <w:pPr>
        <w:pStyle w:val="6"/>
        <w:rPr>
          <w:rFonts w:hint="eastAsia" w:ascii="宋体" w:hAnsi="宋体" w:cs="宋体"/>
          <w:color w:val="auto"/>
          <w:highlight w:val="none"/>
          <w:lang w:val="zh-CN"/>
        </w:rPr>
      </w:pPr>
    </w:p>
    <w:p w14:paraId="101CA4EA">
      <w:pPr>
        <w:pStyle w:val="6"/>
        <w:rPr>
          <w:rFonts w:hint="eastAsia" w:ascii="宋体" w:hAnsi="宋体" w:cs="宋体"/>
          <w:color w:val="auto"/>
          <w:highlight w:val="none"/>
          <w:lang w:val="zh-CN"/>
        </w:rPr>
      </w:pPr>
    </w:p>
    <w:p w14:paraId="446E06A3">
      <w:pPr>
        <w:pStyle w:val="6"/>
        <w:rPr>
          <w:rFonts w:hint="eastAsia" w:ascii="宋体" w:hAnsi="宋体" w:cs="宋体"/>
          <w:color w:val="auto"/>
          <w:highlight w:val="none"/>
          <w:lang w:val="zh-CN"/>
        </w:rPr>
      </w:pPr>
    </w:p>
    <w:p w14:paraId="26657F38">
      <w:pPr>
        <w:pStyle w:val="6"/>
        <w:rPr>
          <w:rFonts w:hint="eastAsia" w:ascii="宋体" w:hAnsi="宋体" w:cs="宋体"/>
          <w:color w:val="auto"/>
          <w:highlight w:val="none"/>
          <w:lang w:val="zh-CN"/>
        </w:rPr>
      </w:pPr>
    </w:p>
    <w:p w14:paraId="180AA86C">
      <w:pPr>
        <w:pStyle w:val="6"/>
        <w:rPr>
          <w:rFonts w:hint="eastAsia" w:ascii="宋体" w:hAnsi="宋体" w:cs="宋体"/>
          <w:color w:val="auto"/>
          <w:highlight w:val="none"/>
          <w:lang w:val="zh-CN"/>
        </w:rPr>
      </w:pPr>
    </w:p>
    <w:p w14:paraId="6BEC03F5">
      <w:pPr>
        <w:pStyle w:val="6"/>
        <w:rPr>
          <w:rFonts w:hint="eastAsia" w:ascii="宋体" w:hAnsi="宋体" w:cs="宋体"/>
          <w:color w:val="auto"/>
          <w:highlight w:val="none"/>
          <w:lang w:val="zh-CN"/>
        </w:rPr>
      </w:pPr>
    </w:p>
    <w:p w14:paraId="4E9AD010">
      <w:pPr>
        <w:pStyle w:val="6"/>
        <w:rPr>
          <w:rFonts w:hint="eastAsia" w:ascii="宋体" w:hAnsi="宋体" w:cs="宋体"/>
          <w:color w:val="auto"/>
          <w:highlight w:val="none"/>
          <w:lang w:val="zh-CN"/>
        </w:rPr>
      </w:pPr>
    </w:p>
    <w:p w14:paraId="5860CE34">
      <w:pPr>
        <w:pStyle w:val="6"/>
        <w:rPr>
          <w:rFonts w:hint="eastAsia" w:ascii="宋体" w:hAnsi="宋体" w:cs="宋体"/>
          <w:color w:val="auto"/>
          <w:highlight w:val="none"/>
          <w:lang w:val="zh-CN"/>
        </w:rPr>
      </w:pPr>
    </w:p>
    <w:p w14:paraId="14D39901">
      <w:pPr>
        <w:pStyle w:val="6"/>
        <w:rPr>
          <w:rFonts w:hint="eastAsia" w:ascii="宋体" w:hAnsi="宋体" w:cs="宋体"/>
          <w:color w:val="auto"/>
          <w:highlight w:val="none"/>
          <w:lang w:val="zh-CN"/>
        </w:rPr>
      </w:pPr>
    </w:p>
    <w:p w14:paraId="14A1755C">
      <w:pPr>
        <w:pStyle w:val="26"/>
        <w:adjustRightInd w:val="0"/>
        <w:snapToGrid w:val="0"/>
        <w:spacing w:line="360" w:lineRule="auto"/>
        <w:jc w:val="center"/>
        <w:outlineLvl w:val="0"/>
        <w:rPr>
          <w:rFonts w:hint="eastAsia" w:hAnsi="宋体" w:cs="宋体"/>
          <w:b/>
          <w:color w:val="auto"/>
          <w:sz w:val="28"/>
          <w:szCs w:val="28"/>
          <w:highlight w:val="none"/>
          <w:lang w:val="zh-CN"/>
        </w:rPr>
      </w:pPr>
    </w:p>
    <w:p w14:paraId="11201487">
      <w:pPr>
        <w:pStyle w:val="26"/>
        <w:adjustRightInd w:val="0"/>
        <w:snapToGrid w:val="0"/>
        <w:spacing w:line="360" w:lineRule="auto"/>
        <w:jc w:val="center"/>
        <w:outlineLvl w:val="0"/>
        <w:rPr>
          <w:rFonts w:hint="eastAsia" w:hAnsi="宋体" w:cs="宋体"/>
          <w:b/>
          <w:color w:val="auto"/>
          <w:sz w:val="44"/>
          <w:szCs w:val="28"/>
          <w:highlight w:val="none"/>
        </w:rPr>
      </w:pPr>
      <w:bookmarkStart w:id="85" w:name="_Toc16519"/>
      <w:bookmarkStart w:id="86" w:name="_Toc449081286"/>
      <w:r>
        <w:rPr>
          <w:rFonts w:hint="eastAsia" w:hAnsi="宋体" w:cs="宋体"/>
          <w:b/>
          <w:color w:val="auto"/>
          <w:sz w:val="44"/>
          <w:szCs w:val="28"/>
          <w:highlight w:val="none"/>
          <w:lang w:val="zh-CN"/>
        </w:rPr>
        <w:t>第三篇　</w:t>
      </w:r>
      <w:bookmarkEnd w:id="54"/>
      <w:bookmarkEnd w:id="55"/>
      <w:r>
        <w:rPr>
          <w:rFonts w:hint="eastAsia" w:hAnsi="宋体" w:cs="宋体"/>
          <w:b/>
          <w:color w:val="auto"/>
          <w:sz w:val="44"/>
          <w:szCs w:val="28"/>
          <w:highlight w:val="none"/>
        </w:rPr>
        <w:t>用户需求书</w:t>
      </w:r>
      <w:bookmarkEnd w:id="85"/>
      <w:bookmarkEnd w:id="86"/>
    </w:p>
    <w:p w14:paraId="16C04B2C">
      <w:pPr>
        <w:pStyle w:val="26"/>
        <w:adjustRightInd w:val="0"/>
        <w:snapToGrid w:val="0"/>
        <w:spacing w:line="360" w:lineRule="auto"/>
        <w:jc w:val="center"/>
        <w:rPr>
          <w:rFonts w:hint="eastAsia" w:hAnsi="宋体" w:cs="宋体"/>
          <w:b/>
          <w:color w:val="auto"/>
          <w:sz w:val="28"/>
          <w:szCs w:val="28"/>
          <w:highlight w:val="none"/>
        </w:rPr>
      </w:pPr>
      <w:bookmarkStart w:id="87" w:name="_Toc365817414"/>
      <w:bookmarkStart w:id="88" w:name="_Toc365631685"/>
    </w:p>
    <w:p w14:paraId="6A109F70">
      <w:pPr>
        <w:pStyle w:val="26"/>
        <w:adjustRightInd w:val="0"/>
        <w:snapToGrid w:val="0"/>
        <w:spacing w:line="360" w:lineRule="auto"/>
        <w:jc w:val="center"/>
        <w:rPr>
          <w:rFonts w:hint="eastAsia" w:hAnsi="宋体" w:cs="宋体"/>
          <w:b/>
          <w:color w:val="auto"/>
          <w:sz w:val="28"/>
          <w:szCs w:val="28"/>
          <w:highlight w:val="none"/>
        </w:rPr>
      </w:pPr>
    </w:p>
    <w:p w14:paraId="1AC17E55">
      <w:pPr>
        <w:pStyle w:val="26"/>
        <w:adjustRightInd w:val="0"/>
        <w:snapToGrid w:val="0"/>
        <w:spacing w:line="360" w:lineRule="auto"/>
        <w:jc w:val="center"/>
        <w:rPr>
          <w:rFonts w:hint="eastAsia" w:hAnsi="宋体" w:cs="宋体"/>
          <w:b/>
          <w:color w:val="auto"/>
          <w:sz w:val="28"/>
          <w:szCs w:val="28"/>
          <w:highlight w:val="none"/>
        </w:rPr>
      </w:pPr>
    </w:p>
    <w:p w14:paraId="0C1832E9">
      <w:pPr>
        <w:pStyle w:val="26"/>
        <w:adjustRightInd w:val="0"/>
        <w:snapToGrid w:val="0"/>
        <w:spacing w:line="360" w:lineRule="auto"/>
        <w:jc w:val="center"/>
        <w:rPr>
          <w:rFonts w:hint="eastAsia" w:hAnsi="宋体" w:cs="宋体"/>
          <w:b/>
          <w:color w:val="auto"/>
          <w:sz w:val="28"/>
          <w:szCs w:val="28"/>
          <w:highlight w:val="none"/>
        </w:rPr>
      </w:pPr>
    </w:p>
    <w:p w14:paraId="1765D8AF">
      <w:pPr>
        <w:pStyle w:val="26"/>
        <w:adjustRightInd w:val="0"/>
        <w:snapToGrid w:val="0"/>
        <w:spacing w:line="360" w:lineRule="auto"/>
        <w:jc w:val="center"/>
        <w:rPr>
          <w:rFonts w:hint="eastAsia" w:hAnsi="宋体" w:cs="宋体"/>
          <w:b/>
          <w:color w:val="auto"/>
          <w:sz w:val="28"/>
          <w:szCs w:val="28"/>
          <w:highlight w:val="none"/>
        </w:rPr>
      </w:pPr>
    </w:p>
    <w:p w14:paraId="3936625A">
      <w:pPr>
        <w:pStyle w:val="26"/>
        <w:adjustRightInd w:val="0"/>
        <w:snapToGrid w:val="0"/>
        <w:spacing w:line="360" w:lineRule="auto"/>
        <w:jc w:val="center"/>
        <w:rPr>
          <w:rFonts w:hint="eastAsia" w:hAnsi="宋体" w:cs="宋体"/>
          <w:b/>
          <w:color w:val="auto"/>
          <w:sz w:val="28"/>
          <w:szCs w:val="28"/>
          <w:highlight w:val="none"/>
        </w:rPr>
      </w:pPr>
    </w:p>
    <w:p w14:paraId="7667FA0C">
      <w:pPr>
        <w:pStyle w:val="26"/>
        <w:adjustRightInd w:val="0"/>
        <w:snapToGrid w:val="0"/>
        <w:spacing w:line="360" w:lineRule="auto"/>
        <w:jc w:val="center"/>
        <w:rPr>
          <w:rFonts w:hint="eastAsia" w:hAnsi="宋体" w:cs="宋体"/>
          <w:b/>
          <w:color w:val="auto"/>
          <w:sz w:val="28"/>
          <w:szCs w:val="28"/>
          <w:highlight w:val="none"/>
        </w:rPr>
      </w:pPr>
    </w:p>
    <w:p w14:paraId="0DF09905">
      <w:pPr>
        <w:pStyle w:val="26"/>
        <w:adjustRightInd w:val="0"/>
        <w:snapToGrid w:val="0"/>
        <w:spacing w:line="360" w:lineRule="auto"/>
        <w:jc w:val="center"/>
        <w:rPr>
          <w:rFonts w:hint="eastAsia" w:hAnsi="宋体" w:cs="宋体"/>
          <w:b/>
          <w:color w:val="auto"/>
          <w:sz w:val="28"/>
          <w:szCs w:val="28"/>
          <w:highlight w:val="none"/>
        </w:rPr>
      </w:pPr>
    </w:p>
    <w:p w14:paraId="622B15A1">
      <w:pPr>
        <w:pStyle w:val="26"/>
        <w:adjustRightInd w:val="0"/>
        <w:snapToGrid w:val="0"/>
        <w:spacing w:line="360" w:lineRule="auto"/>
        <w:jc w:val="center"/>
        <w:rPr>
          <w:rFonts w:hint="eastAsia" w:hAnsi="宋体" w:cs="宋体"/>
          <w:b/>
          <w:color w:val="auto"/>
          <w:sz w:val="28"/>
          <w:szCs w:val="28"/>
          <w:highlight w:val="none"/>
        </w:rPr>
      </w:pPr>
    </w:p>
    <w:p w14:paraId="29E99FE6">
      <w:pPr>
        <w:pStyle w:val="59"/>
        <w:rPr>
          <w:color w:val="auto"/>
          <w:highlight w:val="none"/>
        </w:rPr>
      </w:pPr>
    </w:p>
    <w:bookmarkEnd w:id="87"/>
    <w:bookmarkEnd w:id="88"/>
    <w:p w14:paraId="02A80F4D">
      <w:pPr>
        <w:pStyle w:val="26"/>
        <w:adjustRightInd w:val="0"/>
        <w:snapToGrid w:val="0"/>
        <w:spacing w:line="360" w:lineRule="auto"/>
        <w:jc w:val="center"/>
        <w:rPr>
          <w:rFonts w:hint="eastAsia" w:hAnsi="宋体" w:cs="宋体"/>
          <w:b/>
          <w:color w:val="auto"/>
          <w:sz w:val="28"/>
          <w:szCs w:val="28"/>
          <w:highlight w:val="none"/>
        </w:rPr>
      </w:pPr>
    </w:p>
    <w:p w14:paraId="045FC129">
      <w:pPr>
        <w:pStyle w:val="26"/>
        <w:adjustRightInd w:val="0"/>
        <w:snapToGrid w:val="0"/>
        <w:spacing w:line="360" w:lineRule="auto"/>
        <w:jc w:val="center"/>
        <w:rPr>
          <w:rFonts w:hint="eastAsia" w:hAnsi="宋体" w:cs="宋体"/>
          <w:b/>
          <w:color w:val="auto"/>
          <w:sz w:val="28"/>
          <w:szCs w:val="28"/>
          <w:highlight w:val="none"/>
        </w:rPr>
      </w:pPr>
    </w:p>
    <w:p w14:paraId="639A7F59">
      <w:pPr>
        <w:pStyle w:val="26"/>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用户需求书</w:t>
      </w:r>
    </w:p>
    <w:p w14:paraId="43691C44">
      <w:pPr>
        <w:pStyle w:val="26"/>
        <w:adjustRightInd w:val="0"/>
        <w:snapToGrid w:val="0"/>
        <w:spacing w:line="360" w:lineRule="auto"/>
        <w:ind w:firstLine="422" w:firstLineChars="200"/>
        <w:outlineLvl w:val="1"/>
        <w:rPr>
          <w:rFonts w:hint="eastAsia" w:ascii="宋体" w:hAnsi="宋体" w:eastAsia="宋体" w:cs="宋体"/>
          <w:b/>
          <w:bCs w:val="0"/>
          <w:color w:val="auto"/>
          <w:sz w:val="21"/>
          <w:szCs w:val="21"/>
          <w:highlight w:val="none"/>
        </w:rPr>
      </w:pPr>
      <w:bookmarkStart w:id="89" w:name="_Toc14"/>
      <w:bookmarkStart w:id="90" w:name="_Toc449081294"/>
      <w:r>
        <w:rPr>
          <w:rFonts w:hint="eastAsia" w:ascii="宋体" w:hAnsi="宋体" w:eastAsia="宋体" w:cs="宋体"/>
          <w:b/>
          <w:bCs w:val="0"/>
          <w:color w:val="auto"/>
          <w:sz w:val="21"/>
          <w:szCs w:val="21"/>
          <w:highlight w:val="none"/>
        </w:rPr>
        <w:t>一、项目概况</w:t>
      </w:r>
      <w:bookmarkEnd w:id="89"/>
    </w:p>
    <w:p w14:paraId="4557DA50">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（一）项目名称：征集2026年—2028年校园桶装饮用水服务商</w:t>
      </w:r>
      <w:r>
        <w:rPr>
          <w:rFonts w:hint="eastAsia" w:ascii="宋体" w:hAnsi="宋体" w:eastAsia="宋体" w:cs="宋体"/>
          <w:bCs/>
          <w:color w:val="auto"/>
          <w:sz w:val="21"/>
          <w:szCs w:val="21"/>
          <w:highlight w:val="none"/>
          <w:lang w:eastAsia="zh-CN"/>
        </w:rPr>
        <w:t>。</w:t>
      </w:r>
    </w:p>
    <w:p w14:paraId="510B68DF">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（二）合同期限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服务期为</w:t>
      </w:r>
      <w:r>
        <w:rPr>
          <w:rFonts w:hint="eastAsia" w:ascii="宋体" w:hAnsi="宋体" w:eastAsia="宋体" w:cs="宋体"/>
          <w:bCs/>
          <w:color w:val="auto"/>
          <w:sz w:val="21"/>
          <w:szCs w:val="21"/>
          <w:highlight w:val="none"/>
          <w:lang w:val="en-US" w:eastAsia="zh-CN"/>
        </w:rPr>
        <w:t>两</w:t>
      </w:r>
      <w:r>
        <w:rPr>
          <w:rFonts w:hint="eastAsia" w:ascii="宋体" w:hAnsi="宋体" w:eastAsia="宋体" w:cs="宋体"/>
          <w:bCs/>
          <w:color w:val="auto"/>
          <w:sz w:val="21"/>
          <w:szCs w:val="21"/>
          <w:highlight w:val="none"/>
        </w:rPr>
        <w:t>年，自2026年8月1日起至2028年7月31日止。</w:t>
      </w:r>
    </w:p>
    <w:p w14:paraId="16D024B2">
      <w:pPr>
        <w:pStyle w:val="26"/>
        <w:adjustRightInd w:val="0"/>
        <w:snapToGrid w:val="0"/>
        <w:spacing w:line="360" w:lineRule="auto"/>
        <w:ind w:firstLine="422" w:firstLineChars="200"/>
        <w:outlineLvl w:val="1"/>
        <w:rPr>
          <w:rFonts w:hint="eastAsia" w:ascii="宋体" w:hAnsi="宋体" w:eastAsia="宋体" w:cs="宋体"/>
          <w:b/>
          <w:bCs w:val="0"/>
          <w:color w:val="auto"/>
          <w:sz w:val="21"/>
          <w:szCs w:val="21"/>
          <w:highlight w:val="none"/>
        </w:rPr>
      </w:pPr>
      <w:bookmarkStart w:id="91" w:name="_Toc19022"/>
      <w:r>
        <w:rPr>
          <w:rFonts w:hint="eastAsia" w:ascii="宋体" w:hAnsi="宋体" w:eastAsia="宋体" w:cs="宋体"/>
          <w:b/>
          <w:bCs w:val="0"/>
          <w:color w:val="auto"/>
          <w:sz w:val="21"/>
          <w:szCs w:val="21"/>
          <w:highlight w:val="none"/>
        </w:rPr>
        <w:t>二、</w:t>
      </w:r>
      <w:bookmarkStart w:id="92" w:name="_Toc103087549"/>
      <w:bookmarkStart w:id="93" w:name="_Toc20637"/>
      <w:bookmarkStart w:id="94" w:name="_Toc5856"/>
      <w:bookmarkStart w:id="95" w:name="_Toc103087318"/>
      <w:bookmarkStart w:id="96" w:name="_Toc103072952"/>
      <w:bookmarkStart w:id="97" w:name="_Toc32231"/>
      <w:bookmarkStart w:id="98" w:name="_Toc24118"/>
      <w:bookmarkStart w:id="99" w:name="_Toc3897"/>
      <w:r>
        <w:rPr>
          <w:rFonts w:hint="eastAsia" w:ascii="宋体" w:hAnsi="宋体" w:eastAsia="宋体" w:cs="宋体"/>
          <w:b/>
          <w:bCs w:val="0"/>
          <w:color w:val="auto"/>
          <w:sz w:val="21"/>
          <w:szCs w:val="21"/>
          <w:highlight w:val="none"/>
        </w:rPr>
        <w:t>项目需求一览表</w:t>
      </w:r>
      <w:bookmarkEnd w:id="91"/>
      <w:bookmarkEnd w:id="92"/>
      <w:bookmarkEnd w:id="93"/>
      <w:bookmarkEnd w:id="94"/>
      <w:bookmarkEnd w:id="95"/>
      <w:bookmarkEnd w:id="96"/>
      <w:bookmarkEnd w:id="97"/>
      <w:bookmarkEnd w:id="98"/>
      <w:bookmarkEnd w:id="99"/>
    </w:p>
    <w:tbl>
      <w:tblPr>
        <w:tblStyle w:val="49"/>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577"/>
        <w:gridCol w:w="1422"/>
        <w:gridCol w:w="1768"/>
        <w:gridCol w:w="1388"/>
        <w:gridCol w:w="1786"/>
      </w:tblGrid>
      <w:tr w14:paraId="3CE7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14:paraId="10E802A3">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577" w:type="dxa"/>
            <w:noWrap w:val="0"/>
            <w:vAlign w:val="center"/>
          </w:tcPr>
          <w:p w14:paraId="68F24C3D">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1422" w:type="dxa"/>
            <w:noWrap w:val="0"/>
            <w:vAlign w:val="center"/>
          </w:tcPr>
          <w:p w14:paraId="1CF936D0">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规格</w:t>
            </w:r>
          </w:p>
        </w:tc>
        <w:tc>
          <w:tcPr>
            <w:tcW w:w="1768" w:type="dxa"/>
            <w:noWrap w:val="0"/>
            <w:vAlign w:val="center"/>
          </w:tcPr>
          <w:p w14:paraId="2BA3B13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单价最高限价</w:t>
            </w:r>
          </w:p>
        </w:tc>
        <w:tc>
          <w:tcPr>
            <w:tcW w:w="1388" w:type="dxa"/>
            <w:noWrap w:val="0"/>
            <w:vAlign w:val="center"/>
          </w:tcPr>
          <w:p w14:paraId="6B2725E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预算数量</w:t>
            </w:r>
          </w:p>
        </w:tc>
        <w:tc>
          <w:tcPr>
            <w:tcW w:w="1786" w:type="dxa"/>
            <w:noWrap w:val="0"/>
            <w:vAlign w:val="center"/>
          </w:tcPr>
          <w:p w14:paraId="24419D8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10B8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3" w:type="dxa"/>
            <w:noWrap w:val="0"/>
            <w:vAlign w:val="center"/>
          </w:tcPr>
          <w:p w14:paraId="27A2E14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577" w:type="dxa"/>
            <w:noWrap w:val="0"/>
            <w:vAlign w:val="center"/>
          </w:tcPr>
          <w:p w14:paraId="7AF22A4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A类桶装饮用水</w:t>
            </w:r>
          </w:p>
        </w:tc>
        <w:tc>
          <w:tcPr>
            <w:tcW w:w="1422" w:type="dxa"/>
            <w:noWrap w:val="0"/>
            <w:vAlign w:val="center"/>
          </w:tcPr>
          <w:p w14:paraId="2E04268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18L/桶</w:t>
            </w:r>
          </w:p>
        </w:tc>
        <w:tc>
          <w:tcPr>
            <w:tcW w:w="1768" w:type="dxa"/>
            <w:noWrap w:val="0"/>
            <w:vAlign w:val="center"/>
          </w:tcPr>
          <w:p w14:paraId="55C4E09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8.00元</w:t>
            </w:r>
            <w:r>
              <w:rPr>
                <w:rFonts w:hint="eastAsia" w:ascii="宋体" w:hAnsi="宋体" w:eastAsia="宋体" w:cs="宋体"/>
                <w:color w:val="auto"/>
                <w:sz w:val="21"/>
                <w:szCs w:val="21"/>
                <w:highlight w:val="none"/>
              </w:rPr>
              <w:t>/桶</w:t>
            </w:r>
          </w:p>
        </w:tc>
        <w:tc>
          <w:tcPr>
            <w:tcW w:w="1388" w:type="dxa"/>
            <w:noWrap w:val="0"/>
            <w:vAlign w:val="center"/>
          </w:tcPr>
          <w:p w14:paraId="203ECA1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按需</w:t>
            </w:r>
          </w:p>
        </w:tc>
        <w:tc>
          <w:tcPr>
            <w:tcW w:w="1786" w:type="dxa"/>
            <w:noWrap w:val="0"/>
            <w:vAlign w:val="center"/>
          </w:tcPr>
          <w:p w14:paraId="6C5A55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含配送价格等</w:t>
            </w:r>
          </w:p>
        </w:tc>
      </w:tr>
      <w:tr w14:paraId="2707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3" w:type="dxa"/>
            <w:noWrap w:val="0"/>
            <w:vAlign w:val="center"/>
          </w:tcPr>
          <w:p w14:paraId="6155641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77" w:type="dxa"/>
            <w:noWrap w:val="0"/>
            <w:vAlign w:val="center"/>
          </w:tcPr>
          <w:p w14:paraId="2C2D63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B类饮用水</w:t>
            </w:r>
          </w:p>
        </w:tc>
        <w:tc>
          <w:tcPr>
            <w:tcW w:w="1422" w:type="dxa"/>
            <w:noWrap w:val="0"/>
            <w:vAlign w:val="center"/>
          </w:tcPr>
          <w:p w14:paraId="7A8882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6—18L/桶</w:t>
            </w:r>
          </w:p>
        </w:tc>
        <w:tc>
          <w:tcPr>
            <w:tcW w:w="1768" w:type="dxa"/>
            <w:noWrap w:val="0"/>
            <w:vAlign w:val="center"/>
          </w:tcPr>
          <w:p w14:paraId="6FEDBCE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/桶</w:t>
            </w:r>
          </w:p>
        </w:tc>
        <w:tc>
          <w:tcPr>
            <w:tcW w:w="1388" w:type="dxa"/>
            <w:noWrap w:val="0"/>
            <w:vAlign w:val="center"/>
          </w:tcPr>
          <w:p w14:paraId="5BD563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按需</w:t>
            </w:r>
          </w:p>
        </w:tc>
        <w:tc>
          <w:tcPr>
            <w:tcW w:w="1786" w:type="dxa"/>
            <w:noWrap w:val="0"/>
            <w:vAlign w:val="center"/>
          </w:tcPr>
          <w:p w14:paraId="6912872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含配送价格等</w:t>
            </w:r>
          </w:p>
        </w:tc>
      </w:tr>
    </w:tbl>
    <w:p w14:paraId="05C847ED">
      <w:pPr>
        <w:pStyle w:val="26"/>
        <w:adjustRightInd w:val="0"/>
        <w:snapToGrid w:val="0"/>
        <w:spacing w:line="360" w:lineRule="auto"/>
        <w:ind w:firstLine="420" w:firstLineChars="200"/>
        <w:rPr>
          <w:rFonts w:hint="eastAsia"/>
          <w:color w:val="auto"/>
          <w:sz w:val="21"/>
          <w:szCs w:val="21"/>
          <w:highlight w:val="none"/>
        </w:rPr>
      </w:pPr>
      <w:r>
        <w:rPr>
          <w:rFonts w:hint="eastAsia" w:ascii="宋体" w:hAnsi="宋体" w:eastAsia="宋体" w:cs="宋体"/>
          <w:bCs/>
          <w:color w:val="auto"/>
          <w:sz w:val="21"/>
          <w:szCs w:val="21"/>
          <w:highlight w:val="none"/>
          <w:lang w:val="en-US" w:eastAsia="zh-CN"/>
        </w:rPr>
        <w:t>注：（1）</w:t>
      </w:r>
      <w:r>
        <w:rPr>
          <w:rFonts w:hint="eastAsia" w:ascii="宋体" w:hAnsi="宋体" w:eastAsia="宋体" w:cs="宋体"/>
          <w:bCs/>
          <w:color w:val="auto"/>
          <w:sz w:val="21"/>
          <w:szCs w:val="21"/>
          <w:highlight w:val="none"/>
        </w:rPr>
        <w:t>投标人必须对本项目的全部内容进行报价，如有缺漏，其投标文件</w:t>
      </w:r>
      <w:r>
        <w:rPr>
          <w:rFonts w:hint="eastAsia" w:ascii="宋体" w:hAnsi="宋体" w:eastAsia="宋体" w:cs="宋体"/>
          <w:bCs/>
          <w:color w:val="auto"/>
          <w:sz w:val="21"/>
          <w:szCs w:val="21"/>
          <w:highlight w:val="none"/>
          <w:lang w:val="en-US" w:eastAsia="zh-CN"/>
        </w:rPr>
        <w:t>按</w:t>
      </w:r>
      <w:r>
        <w:rPr>
          <w:rFonts w:hint="eastAsia" w:ascii="宋体" w:hAnsi="宋体" w:eastAsia="宋体" w:cs="宋体"/>
          <w:bCs/>
          <w:color w:val="auto"/>
          <w:sz w:val="21"/>
          <w:szCs w:val="21"/>
          <w:highlight w:val="none"/>
        </w:rPr>
        <w:t>无效投标处理。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同一供水服务商供应的B类饮用水品质须优于其A类桶装饮用水，包括但不限于其水源产地、水质品质、包装规格、品牌层级、市场定位、饮用口感等须优于A类桶装饮用水。</w:t>
      </w:r>
    </w:p>
    <w:p w14:paraId="10139C2C">
      <w:pPr>
        <w:pStyle w:val="26"/>
        <w:adjustRightInd w:val="0"/>
        <w:snapToGrid w:val="0"/>
        <w:spacing w:line="360" w:lineRule="auto"/>
        <w:ind w:firstLine="422" w:firstLineChars="200"/>
        <w:outlineLvl w:val="1"/>
        <w:rPr>
          <w:rFonts w:hint="eastAsia" w:ascii="宋体" w:hAnsi="宋体" w:eastAsia="宋体" w:cs="宋体"/>
          <w:b/>
          <w:bCs w:val="0"/>
          <w:color w:val="auto"/>
          <w:sz w:val="21"/>
          <w:szCs w:val="21"/>
          <w:highlight w:val="none"/>
        </w:rPr>
      </w:pPr>
      <w:bookmarkStart w:id="100" w:name="_Toc27186"/>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服务要求</w:t>
      </w:r>
      <w:bookmarkEnd w:id="100"/>
    </w:p>
    <w:p w14:paraId="2929DDC1">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（一）为学校提供桶装饮用水水桶并免收押金。</w:t>
      </w:r>
    </w:p>
    <w:p w14:paraId="13D3F1CD">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）为对饮水机有需求的学校教师公寓住户、办公室用户提供饮水机，并免收押金。</w:t>
      </w:r>
    </w:p>
    <w:p w14:paraId="584E94A9">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）每学期至少免费为每台饮水机清洗、消毒一次。饮水机清洗消毒有偿服务需要明码标价并予以公布，且价格不得高于市场价，并需取得学校同意。</w:t>
      </w:r>
    </w:p>
    <w:p w14:paraId="351212D6">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四</w:t>
      </w:r>
      <w:r>
        <w:rPr>
          <w:rFonts w:hint="eastAsia" w:ascii="宋体" w:hAnsi="宋体" w:eastAsia="宋体" w:cs="宋体"/>
          <w:bCs/>
          <w:color w:val="auto"/>
          <w:sz w:val="21"/>
          <w:szCs w:val="21"/>
          <w:highlight w:val="none"/>
        </w:rPr>
        <w:t>）免费为学校维修饮水机。</w:t>
      </w:r>
    </w:p>
    <w:p w14:paraId="6BFFF3E0">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五</w:t>
      </w:r>
      <w:r>
        <w:rPr>
          <w:rFonts w:hint="eastAsia" w:ascii="宋体" w:hAnsi="宋体" w:eastAsia="宋体" w:cs="宋体"/>
          <w:bCs/>
          <w:color w:val="auto"/>
          <w:sz w:val="21"/>
          <w:szCs w:val="21"/>
          <w:highlight w:val="none"/>
        </w:rPr>
        <w:t>）以租赁或售卖形式为学校学生宿舍用户提供饮水机。饮水机租金不超过10</w:t>
      </w:r>
      <w:r>
        <w:rPr>
          <w:rFonts w:hint="eastAsia" w:ascii="宋体" w:hAnsi="宋体" w:eastAsia="宋体" w:cs="宋体"/>
          <w:bCs/>
          <w:color w:val="auto"/>
          <w:sz w:val="21"/>
          <w:szCs w:val="21"/>
          <w:highlight w:val="none"/>
          <w:lang w:val="en-US" w:eastAsia="zh-CN"/>
        </w:rPr>
        <w:t>.00</w:t>
      </w:r>
      <w:r>
        <w:rPr>
          <w:rFonts w:hint="eastAsia" w:ascii="宋体" w:hAnsi="宋体" w:eastAsia="宋体" w:cs="宋体"/>
          <w:bCs/>
          <w:color w:val="auto"/>
          <w:sz w:val="21"/>
          <w:szCs w:val="21"/>
          <w:highlight w:val="none"/>
        </w:rPr>
        <w:t>元/年/台，销售价格不超过40</w:t>
      </w:r>
      <w:r>
        <w:rPr>
          <w:rFonts w:hint="eastAsia" w:ascii="宋体" w:hAnsi="宋体" w:eastAsia="宋体" w:cs="宋体"/>
          <w:bCs/>
          <w:color w:val="auto"/>
          <w:sz w:val="21"/>
          <w:szCs w:val="21"/>
          <w:highlight w:val="none"/>
          <w:lang w:val="en-US" w:eastAsia="zh-CN"/>
        </w:rPr>
        <w:t>.00</w:t>
      </w:r>
      <w:r>
        <w:rPr>
          <w:rFonts w:hint="eastAsia" w:ascii="宋体" w:hAnsi="宋体" w:eastAsia="宋体" w:cs="宋体"/>
          <w:bCs/>
          <w:color w:val="auto"/>
          <w:sz w:val="21"/>
          <w:szCs w:val="21"/>
          <w:highlight w:val="none"/>
        </w:rPr>
        <w:t>元/台。</w:t>
      </w:r>
    </w:p>
    <w:p w14:paraId="42AAD95D">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六</w:t>
      </w:r>
      <w:r>
        <w:rPr>
          <w:rFonts w:hint="eastAsia" w:ascii="宋体" w:hAnsi="宋体" w:eastAsia="宋体" w:cs="宋体"/>
          <w:bCs/>
          <w:color w:val="auto"/>
          <w:sz w:val="21"/>
          <w:szCs w:val="21"/>
          <w:highlight w:val="none"/>
        </w:rPr>
        <w:t>）提供的饮水机使用期限（使用寿命）必须在国家规定的使用期限内，做好台账记录，饮水机使用年限届满后必须报废。</w:t>
      </w:r>
    </w:p>
    <w:p w14:paraId="143F9B21">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七</w:t>
      </w:r>
      <w:r>
        <w:rPr>
          <w:rFonts w:hint="eastAsia" w:ascii="宋体" w:hAnsi="宋体" w:eastAsia="宋体" w:cs="宋体"/>
          <w:bCs/>
          <w:color w:val="auto"/>
          <w:sz w:val="21"/>
          <w:szCs w:val="21"/>
          <w:highlight w:val="none"/>
        </w:rPr>
        <w:t>）临时存水点及存水仓</w:t>
      </w:r>
    </w:p>
    <w:p w14:paraId="3931A193">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临时存水点：</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应在韶乐园各学生社区、黄田坝校区和十里亭校区分别设置临时存水点并不少于23个。具体为：紫荆苑、紫薇苑、银杏苑、丹枫苑、红枫苑、紫竹苑、丹桂苑、芙蓉苑、蔷薇苑、海棠苑、秋枫苑、碧桂苑、碧桃苑、丹竹苑、紫藤苑、梧桐苑、樱花苑、金竹苑、文杏苑、黄田坝校区和十里亭校区等各1个点临时存水点，丁香苑2个点临时存水点。</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存水仓库：学校提供</w:t>
      </w:r>
      <w:r>
        <w:rPr>
          <w:rFonts w:hint="eastAsia" w:ascii="宋体" w:hAnsi="宋体" w:eastAsia="宋体" w:cs="宋体"/>
          <w:bCs/>
          <w:color w:val="auto"/>
          <w:sz w:val="21"/>
          <w:szCs w:val="21"/>
          <w:highlight w:val="none"/>
          <w:lang w:eastAsia="zh-CN"/>
        </w:rPr>
        <w:t>秋枫苑</w:t>
      </w:r>
      <w:r>
        <w:rPr>
          <w:rFonts w:hint="eastAsia" w:ascii="宋体" w:hAnsi="宋体" w:eastAsia="宋体" w:cs="宋体"/>
          <w:bCs/>
          <w:color w:val="auto"/>
          <w:sz w:val="21"/>
          <w:szCs w:val="21"/>
          <w:highlight w:val="none"/>
        </w:rPr>
        <w:t>桶装水服务商仓库（面积约71.1平方米）作为本次征集服务商的存水仓库。</w:t>
      </w:r>
    </w:p>
    <w:p w14:paraId="772F380E">
      <w:pPr>
        <w:pStyle w:val="26"/>
        <w:adjustRightInd w:val="0"/>
        <w:snapToGrid w:val="0"/>
        <w:spacing w:line="360" w:lineRule="auto"/>
        <w:ind w:firstLine="422" w:firstLineChars="200"/>
        <w:outlineLvl w:val="1"/>
        <w:rPr>
          <w:rFonts w:hint="eastAsia" w:ascii="宋体" w:hAnsi="宋体" w:eastAsia="宋体" w:cs="宋体"/>
          <w:b/>
          <w:bCs w:val="0"/>
          <w:color w:val="auto"/>
          <w:sz w:val="21"/>
          <w:szCs w:val="21"/>
          <w:highlight w:val="none"/>
        </w:rPr>
      </w:pPr>
      <w:bookmarkStart w:id="101" w:name="_Toc21197"/>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产品质量要求</w:t>
      </w:r>
      <w:bookmarkEnd w:id="101"/>
    </w:p>
    <w:p w14:paraId="73C3F055">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必须符合国家桶装饮用山泉水（或矿泉水）标准，必须提供产品检验合格报告等。必须向用户提供符合国家安全、卫生标准的饮水机及饮用水桶。</w:t>
      </w:r>
    </w:p>
    <w:p w14:paraId="48ADB4E2">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.饮用水的质量标准必须按GB19298-2014《食品安全国家标准包装饮用水》标准、GB 19304-2018《食品安全国家标准 包装饮用水生产卫生规范》，</w:t>
      </w:r>
      <w:r>
        <w:rPr>
          <w:rFonts w:hint="eastAsia" w:ascii="宋体" w:hAnsi="宋体" w:eastAsia="宋体" w:cs="宋体"/>
          <w:bCs/>
          <w:color w:val="auto"/>
          <w:sz w:val="21"/>
          <w:szCs w:val="21"/>
          <w:highlight w:val="none"/>
          <w:lang w:val="en-US" w:eastAsia="zh-CN"/>
        </w:rPr>
        <w:t>饮用水</w:t>
      </w:r>
      <w:r>
        <w:rPr>
          <w:rFonts w:hint="eastAsia" w:ascii="宋体" w:hAnsi="宋体" w:eastAsia="宋体" w:cs="宋体"/>
          <w:bCs/>
          <w:color w:val="auto"/>
          <w:sz w:val="21"/>
          <w:szCs w:val="21"/>
          <w:highlight w:val="none"/>
          <w:lang w:eastAsia="zh-CN"/>
        </w:rPr>
        <w:t>水桶</w:t>
      </w:r>
      <w:r>
        <w:rPr>
          <w:rFonts w:hint="eastAsia" w:ascii="宋体" w:hAnsi="宋体" w:eastAsia="宋体" w:cs="宋体"/>
          <w:bCs/>
          <w:color w:val="auto"/>
          <w:sz w:val="21"/>
          <w:szCs w:val="21"/>
          <w:highlight w:val="none"/>
          <w:lang w:val="en-US" w:eastAsia="zh-CN"/>
        </w:rPr>
        <w:t>的质量、饮水机供应时必须出具国家认可的检测机构出具检测合格报告及合格证书，</w:t>
      </w:r>
      <w:r>
        <w:rPr>
          <w:rFonts w:hint="eastAsia" w:ascii="宋体" w:hAnsi="宋体" w:eastAsia="宋体" w:cs="宋体"/>
          <w:bCs/>
          <w:color w:val="auto"/>
          <w:sz w:val="21"/>
          <w:szCs w:val="21"/>
          <w:highlight w:val="none"/>
          <w:lang w:eastAsia="zh-CN"/>
        </w:rPr>
        <w:t>所有的产品质量指标必须根据国家相关部门最新颁发的有关法律法规文件规定进行调整。</w:t>
      </w:r>
    </w:p>
    <w:p w14:paraId="1B3C143B">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.中标</w:t>
      </w:r>
      <w:r>
        <w:rPr>
          <w:rFonts w:hint="eastAsia" w:ascii="宋体" w:hAnsi="宋体" w:eastAsia="宋体" w:cs="宋体"/>
          <w:bCs/>
          <w:color w:val="auto"/>
          <w:sz w:val="21"/>
          <w:szCs w:val="21"/>
          <w:highlight w:val="none"/>
          <w:lang w:val="en-US" w:eastAsia="zh-CN"/>
        </w:rPr>
        <w:t>人</w:t>
      </w:r>
      <w:r>
        <w:rPr>
          <w:rFonts w:hint="eastAsia" w:ascii="宋体" w:hAnsi="宋体" w:eastAsia="宋体" w:cs="宋体"/>
          <w:bCs/>
          <w:color w:val="auto"/>
          <w:sz w:val="21"/>
          <w:szCs w:val="21"/>
          <w:highlight w:val="none"/>
          <w:lang w:eastAsia="zh-CN"/>
        </w:rPr>
        <w:t>必须遵守并提供质量检验等服务。</w:t>
      </w:r>
    </w:p>
    <w:p w14:paraId="29EED89B">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.质量标识：①附产品检验合格证。②标明产品名称，生产日期、生产批号、执行标准代号、生产企业等。</w:t>
      </w:r>
    </w:p>
    <w:p w14:paraId="6F3F5BE2">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.中标人提供的产品如出现质量问题，应在收到招标人通知后4小时内给予免费更换，否则，该批货物不给予支付货款。</w:t>
      </w:r>
    </w:p>
    <w:p w14:paraId="3D65CB68">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6.中标人每季度提供一次桶装饮用水质量检测报告。如</w:t>
      </w:r>
      <w:r>
        <w:rPr>
          <w:rFonts w:hint="eastAsia" w:ascii="宋体" w:hAnsi="宋体" w:eastAsia="宋体" w:cs="宋体"/>
          <w:bCs/>
          <w:color w:val="auto"/>
          <w:sz w:val="21"/>
          <w:szCs w:val="21"/>
          <w:highlight w:val="none"/>
          <w:lang w:val="en-US" w:eastAsia="zh-CN"/>
        </w:rPr>
        <w:t>招标人</w:t>
      </w:r>
      <w:r>
        <w:rPr>
          <w:rFonts w:hint="eastAsia" w:ascii="宋体" w:hAnsi="宋体" w:eastAsia="宋体" w:cs="宋体"/>
          <w:bCs/>
          <w:color w:val="auto"/>
          <w:sz w:val="21"/>
          <w:szCs w:val="21"/>
          <w:highlight w:val="none"/>
          <w:lang w:eastAsia="zh-CN"/>
        </w:rPr>
        <w:t>对饮用水质量产生质疑，</w:t>
      </w:r>
      <w:r>
        <w:rPr>
          <w:rFonts w:hint="eastAsia" w:ascii="宋体" w:hAnsi="宋体" w:eastAsia="宋体" w:cs="宋体"/>
          <w:bCs/>
          <w:color w:val="auto"/>
          <w:sz w:val="21"/>
          <w:szCs w:val="21"/>
          <w:highlight w:val="none"/>
          <w:lang w:val="en-US" w:eastAsia="zh-CN"/>
        </w:rPr>
        <w:t>招标人</w:t>
      </w:r>
      <w:r>
        <w:rPr>
          <w:rFonts w:hint="eastAsia" w:ascii="宋体" w:hAnsi="宋体" w:eastAsia="宋体" w:cs="宋体"/>
          <w:bCs/>
          <w:color w:val="auto"/>
          <w:sz w:val="21"/>
          <w:szCs w:val="21"/>
          <w:highlight w:val="none"/>
          <w:lang w:eastAsia="zh-CN"/>
        </w:rPr>
        <w:t>可携带该批次饮用水前往相关具有检测资质部门检测，中标人需予以配合。</w:t>
      </w:r>
      <w:bookmarkStart w:id="102" w:name="_Toc13210"/>
    </w:p>
    <w:p w14:paraId="2C6D078F">
      <w:pPr>
        <w:pStyle w:val="26"/>
        <w:adjustRightInd w:val="0"/>
        <w:snapToGrid w:val="0"/>
        <w:spacing w:line="360" w:lineRule="auto"/>
        <w:ind w:firstLine="422" w:firstLineChars="200"/>
        <w:outlineLvl w:val="1"/>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、商务要求</w:t>
      </w:r>
      <w:bookmarkEnd w:id="102"/>
    </w:p>
    <w:p w14:paraId="474E640F">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一）</w:t>
      </w:r>
      <w:r>
        <w:rPr>
          <w:rFonts w:hint="eastAsia" w:ascii="宋体" w:hAnsi="宋体" w:eastAsia="宋体" w:cs="宋体"/>
          <w:bCs/>
          <w:color w:val="auto"/>
          <w:sz w:val="21"/>
          <w:szCs w:val="21"/>
          <w:highlight w:val="none"/>
        </w:rPr>
        <w:t>服务范围</w:t>
      </w:r>
      <w:r>
        <w:rPr>
          <w:rFonts w:hint="eastAsia" w:hAnsi="宋体" w:eastAsia="宋体" w:cs="宋体"/>
          <w:bCs/>
          <w:color w:val="auto"/>
          <w:sz w:val="21"/>
          <w:szCs w:val="21"/>
          <w:highlight w:val="none"/>
          <w:lang w:val="en-US" w:eastAsia="zh-CN"/>
        </w:rPr>
        <w:t>及供货要求</w:t>
      </w:r>
      <w:r>
        <w:rPr>
          <w:rFonts w:hint="eastAsia" w:ascii="宋体" w:hAnsi="宋体" w:eastAsia="宋体" w:cs="宋体"/>
          <w:bCs/>
          <w:color w:val="auto"/>
          <w:sz w:val="21"/>
          <w:szCs w:val="21"/>
          <w:highlight w:val="none"/>
          <w:lang w:eastAsia="zh-CN"/>
        </w:rPr>
        <w:t>：</w:t>
      </w:r>
    </w:p>
    <w:p w14:paraId="4F382EBB">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1.服务范围：</w:t>
      </w:r>
      <w:r>
        <w:rPr>
          <w:rFonts w:hint="eastAsia" w:ascii="宋体" w:hAnsi="宋体" w:eastAsia="宋体" w:cs="宋体"/>
          <w:bCs/>
          <w:color w:val="auto"/>
          <w:sz w:val="21"/>
          <w:szCs w:val="21"/>
          <w:highlight w:val="none"/>
        </w:rPr>
        <w:t>学校韶乐园校区、黄田坝校区和十里亭校区师生用户。</w:t>
      </w:r>
    </w:p>
    <w:p w14:paraId="3AC70E7D">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供货要求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保证全年不间断、全天8:00-19:00不间断为上述用户提供服务。送水时间由用户提前通知服务商。</w:t>
      </w:r>
    </w:p>
    <w:p w14:paraId="31DB1446">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报价要求</w:t>
      </w:r>
    </w:p>
    <w:p w14:paraId="23DC0558">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每桶水价格：本次征集桶装饮用水为同一家公司的两个系列品牌。</w:t>
      </w:r>
    </w:p>
    <w:p w14:paraId="59BC225B">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A类桶装饮用水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容量18L，价格（含配送价格等）不超过8元/桶。</w:t>
      </w:r>
    </w:p>
    <w:p w14:paraId="4DED4DF5">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B类饮用水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容量6</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18L，价格（含配送价格等）不超过13元/桶。</w:t>
      </w:r>
    </w:p>
    <w:p w14:paraId="53C5CF94">
      <w:pPr>
        <w:pStyle w:val="26"/>
        <w:adjustRightInd w:val="0"/>
        <w:snapToGrid w:val="0"/>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注：教职工、学生可自行选择A类、B类水。B类水的水质须优于A类水的品质。A类水：须符合GB19298-2014《食品安全国家标准包装饮用水》标准、GB 19304-2018《食品安全国家标准 包装饮用水生产卫生规范》要求，提供对应批次水质合格检测报告，保障饮水安全。B类饮用水：同一供水服务商供应的B类饮用水品质须优于其A类桶装饮用水，包括但不限于其水源产地、水质品质、包装规格、品牌层级、市场定位、饮用口感等须优于A类桶装饮用水。</w:t>
      </w:r>
    </w:p>
    <w:p w14:paraId="5CD76626">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存水点</w:t>
      </w:r>
      <w:r>
        <w:rPr>
          <w:rFonts w:hint="eastAsia" w:ascii="宋体" w:hAnsi="宋体" w:eastAsia="宋体" w:cs="宋体"/>
          <w:bCs/>
          <w:color w:val="auto"/>
          <w:sz w:val="21"/>
          <w:szCs w:val="21"/>
          <w:highlight w:val="none"/>
          <w:lang w:val="en-US" w:eastAsia="zh-CN"/>
        </w:rPr>
        <w:t>场地资源使用费</w:t>
      </w:r>
      <w:r>
        <w:rPr>
          <w:rFonts w:hint="eastAsia" w:ascii="宋体" w:hAnsi="宋体" w:eastAsia="宋体" w:cs="宋体"/>
          <w:bCs/>
          <w:color w:val="auto"/>
          <w:sz w:val="21"/>
          <w:szCs w:val="21"/>
          <w:highlight w:val="none"/>
        </w:rPr>
        <w:t>：</w:t>
      </w:r>
    </w:p>
    <w:p w14:paraId="3F782B59">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设在</w:t>
      </w:r>
      <w:r>
        <w:rPr>
          <w:rFonts w:hint="eastAsia" w:ascii="宋体" w:hAnsi="宋体" w:eastAsia="宋体" w:cs="宋体"/>
          <w:bCs/>
          <w:color w:val="auto"/>
          <w:sz w:val="21"/>
          <w:szCs w:val="21"/>
          <w:highlight w:val="none"/>
          <w:lang w:val="en-US" w:eastAsia="zh-CN"/>
        </w:rPr>
        <w:t>秋枫苑</w:t>
      </w:r>
      <w:r>
        <w:rPr>
          <w:rFonts w:hint="eastAsia" w:hAnsi="宋体" w:eastAsia="宋体" w:cs="宋体"/>
          <w:bCs/>
          <w:color w:val="auto"/>
          <w:sz w:val="21"/>
          <w:szCs w:val="21"/>
          <w:highlight w:val="none"/>
          <w:lang w:val="en-US" w:eastAsia="zh-CN"/>
        </w:rPr>
        <w:t>桶</w:t>
      </w:r>
      <w:r>
        <w:rPr>
          <w:rFonts w:hint="eastAsia" w:ascii="宋体" w:hAnsi="宋体" w:eastAsia="宋体" w:cs="宋体"/>
          <w:bCs/>
          <w:color w:val="auto"/>
          <w:sz w:val="21"/>
          <w:szCs w:val="21"/>
          <w:highlight w:val="none"/>
        </w:rPr>
        <w:t>装水服务商仓库（71.1平方米）继续作为本次征集服务商仓库，各学生社区楼下提供相对固定区域作为临时存水点，仓库、临时存水点</w:t>
      </w:r>
      <w:r>
        <w:rPr>
          <w:rFonts w:hint="eastAsia" w:ascii="宋体" w:hAnsi="宋体" w:eastAsia="宋体" w:cs="宋体"/>
          <w:bCs/>
          <w:color w:val="auto"/>
          <w:sz w:val="21"/>
          <w:szCs w:val="21"/>
          <w:highlight w:val="none"/>
          <w:lang w:val="en-US" w:eastAsia="zh-CN"/>
        </w:rPr>
        <w:t>场地使用费</w:t>
      </w:r>
      <w:r>
        <w:rPr>
          <w:rFonts w:hint="eastAsia" w:ascii="宋体" w:hAnsi="宋体" w:eastAsia="宋体" w:cs="宋体"/>
          <w:bCs/>
          <w:color w:val="auto"/>
          <w:sz w:val="21"/>
          <w:szCs w:val="21"/>
          <w:highlight w:val="none"/>
        </w:rPr>
        <w:t>以第三方评估价作为底价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评估价</w:t>
      </w:r>
      <w:r>
        <w:rPr>
          <w:rFonts w:hint="eastAsia" w:ascii="宋体" w:hAnsi="宋体" w:eastAsia="宋体" w:cs="宋体"/>
          <w:bCs/>
          <w:color w:val="auto"/>
          <w:sz w:val="21"/>
          <w:szCs w:val="21"/>
          <w:highlight w:val="none"/>
          <w:lang w:val="en-US" w:eastAsia="zh-CN"/>
        </w:rPr>
        <w:t>为46,068.00元/年）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按照中标人存水点场地资源使用费承诺报价、学校及上级管理部门有关资产管理办法缴纳相应费用。</w:t>
      </w:r>
      <w:r>
        <w:rPr>
          <w:rFonts w:hint="eastAsia" w:ascii="宋体" w:hAnsi="宋体" w:eastAsia="宋体" w:cs="宋体"/>
          <w:bCs/>
          <w:color w:val="auto"/>
          <w:sz w:val="21"/>
          <w:szCs w:val="21"/>
          <w:highlight w:val="none"/>
        </w:rPr>
        <w:t>（提供承诺函）</w:t>
      </w:r>
    </w:p>
    <w:p w14:paraId="1AB661C9">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r>
        <w:rPr>
          <w:rFonts w:hint="eastAsia"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合同期限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服务期为</w:t>
      </w:r>
      <w:r>
        <w:rPr>
          <w:rFonts w:hint="eastAsia" w:ascii="宋体" w:hAnsi="宋体" w:eastAsia="宋体" w:cs="宋体"/>
          <w:bCs/>
          <w:color w:val="auto"/>
          <w:sz w:val="21"/>
          <w:szCs w:val="21"/>
          <w:highlight w:val="none"/>
          <w:lang w:val="en-US" w:eastAsia="zh-CN"/>
        </w:rPr>
        <w:t>两</w:t>
      </w:r>
      <w:r>
        <w:rPr>
          <w:rFonts w:hint="eastAsia" w:ascii="宋体" w:hAnsi="宋体" w:eastAsia="宋体" w:cs="宋体"/>
          <w:bCs/>
          <w:color w:val="auto"/>
          <w:sz w:val="21"/>
          <w:szCs w:val="21"/>
          <w:highlight w:val="none"/>
        </w:rPr>
        <w:t>年，自2026年8月1日起至2028年7月31日止。</w:t>
      </w:r>
    </w:p>
    <w:p w14:paraId="62781349">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r>
        <w:rPr>
          <w:rFonts w:hint="eastAsia" w:hAnsi="宋体" w:eastAsia="宋体" w:cs="宋体"/>
          <w:bCs/>
          <w:color w:val="auto"/>
          <w:sz w:val="21"/>
          <w:szCs w:val="21"/>
          <w:highlight w:val="none"/>
          <w:lang w:val="en-US" w:eastAsia="zh-CN"/>
        </w:rPr>
        <w:t>四</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基本要求</w:t>
      </w:r>
    </w:p>
    <w:p w14:paraId="0656BFFC">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服务商每季度需向学校提供一份国家认可的检验机构出具的产品质量检验报告，每批次产品需提供自检报告。（提供承诺函）</w:t>
      </w:r>
    </w:p>
    <w:p w14:paraId="12C45640">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服务商</w:t>
      </w:r>
      <w:r>
        <w:rPr>
          <w:rFonts w:hint="eastAsia" w:hAnsi="宋体" w:eastAsia="宋体" w:cs="宋体"/>
          <w:bCs/>
          <w:color w:val="auto"/>
          <w:sz w:val="21"/>
          <w:szCs w:val="21"/>
          <w:highlight w:val="none"/>
          <w:lang w:val="en-US" w:eastAsia="zh-CN"/>
        </w:rPr>
        <w:t>需</w:t>
      </w:r>
      <w:r>
        <w:rPr>
          <w:rFonts w:hint="eastAsia" w:ascii="宋体" w:hAnsi="宋体" w:eastAsia="宋体" w:cs="宋体"/>
          <w:bCs/>
          <w:color w:val="auto"/>
          <w:sz w:val="21"/>
          <w:szCs w:val="21"/>
          <w:highlight w:val="none"/>
        </w:rPr>
        <w:t>配合学校每两个月从存水仓库抽样送检1次，并支付送检的相关费用。如水样检查结果不合格，学校有权终止合同。（提供承诺函）</w:t>
      </w:r>
    </w:p>
    <w:p w14:paraId="1DE43680">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3.服务商在合同执行期间，必须严格遵守约定的价格条款，未经学校以书面形式正式同意，不得以任何理由擅自单方面提高产品或服务的价格。</w:t>
      </w:r>
    </w:p>
    <w:p w14:paraId="2E2DBE45">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五）</w:t>
      </w:r>
      <w:r>
        <w:rPr>
          <w:rFonts w:hint="eastAsia" w:ascii="宋体" w:hAnsi="宋体" w:eastAsia="宋体" w:cs="宋体"/>
          <w:bCs/>
          <w:color w:val="auto"/>
          <w:sz w:val="21"/>
          <w:szCs w:val="21"/>
          <w:highlight w:val="none"/>
        </w:rPr>
        <w:t>履约保证</w:t>
      </w:r>
    </w:p>
    <w:p w14:paraId="4C66933C">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1.收取比例：按照最终中标缴纳场地资源使用费（即合同应缴纳总金额）的10%，收取合同履约保证金。</w:t>
      </w:r>
    </w:p>
    <w:p w14:paraId="1FBB243D">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2.以银行汇票、本票或金融机构、担保机构出具的保函等非现金形式提交。保证中标人遵守招标文件要求、投标文件的承诺及合同约定的一切条款、条件和承诺，该保证金在招标人的规定存续期间不计息。 </w:t>
      </w:r>
    </w:p>
    <w:p w14:paraId="37D7D1D1">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3.退还说明：</w:t>
      </w:r>
    </w:p>
    <w:p w14:paraId="0BAEE46D">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若中标人没有违约行为，履约保证金在服务期满30日内无息退还，以银行汇票、本票形式提交的，按原提交渠道退还；以电子保函（保险）形式提交的，在保函有效期届满后自动失效、自动解除担保责任，招标人无需主动办理保函解除及释放相关手续。如遇招标人暑假、财务年度封账期等客观无法办理退款手续的情况，退还时间相应顺延，顺延期间不计入逾期退款时限。履约保证金不予退还的情形：</w:t>
      </w:r>
    </w:p>
    <w:p w14:paraId="0791BF60">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①拒绝履行合同义务的；</w:t>
      </w:r>
    </w:p>
    <w:p w14:paraId="320A4F7B">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②履约验收不合格的。</w:t>
      </w:r>
    </w:p>
    <w:p w14:paraId="79EF94F2">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六</w:t>
      </w:r>
      <w:r>
        <w:rPr>
          <w:rFonts w:hint="eastAsia" w:ascii="宋体" w:hAnsi="宋体" w:eastAsia="宋体" w:cs="宋体"/>
          <w:bCs/>
          <w:color w:val="auto"/>
          <w:sz w:val="21"/>
          <w:szCs w:val="21"/>
          <w:highlight w:val="none"/>
          <w:lang w:val="en-US" w:eastAsia="zh-CN"/>
        </w:rPr>
        <w:t>）生产线</w:t>
      </w:r>
    </w:p>
    <w:p w14:paraId="42D3FC87">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拥有年产不少于25万桶的生产线（提供承诺函）。</w:t>
      </w:r>
    </w:p>
    <w:p w14:paraId="0667D29C">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（七）公益水站（点）</w:t>
      </w:r>
    </w:p>
    <w:p w14:paraId="052302A8">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在学校指定的区域内设置不少于10个公益水站（点）。其中，在韶乐园校区设公益水站不少于3个，公益水点不少于7个。每个站点需设</w:t>
      </w:r>
      <w:r>
        <w:rPr>
          <w:rFonts w:hint="eastAsia" w:ascii="宋体" w:hAnsi="宋体" w:eastAsia="宋体" w:cs="宋体"/>
          <w:bCs/>
          <w:color w:val="auto"/>
          <w:sz w:val="21"/>
          <w:szCs w:val="21"/>
          <w:highlight w:val="none"/>
        </w:rPr>
        <w:t>不少于2台饮水机，</w:t>
      </w:r>
      <w:r>
        <w:rPr>
          <w:rFonts w:hint="eastAsia" w:ascii="宋体" w:hAnsi="宋体" w:eastAsia="宋体" w:cs="宋体"/>
          <w:bCs/>
          <w:color w:val="auto"/>
          <w:sz w:val="21"/>
          <w:szCs w:val="21"/>
          <w:highlight w:val="none"/>
          <w:lang w:eastAsia="zh-CN"/>
        </w:rPr>
        <w:t>每个</w:t>
      </w:r>
      <w:r>
        <w:rPr>
          <w:rFonts w:hint="eastAsia" w:ascii="宋体" w:hAnsi="宋体" w:eastAsia="宋体" w:cs="宋体"/>
          <w:bCs/>
          <w:color w:val="auto"/>
          <w:sz w:val="21"/>
          <w:szCs w:val="21"/>
          <w:highlight w:val="none"/>
        </w:rPr>
        <w:t>站点每天应供应不少于2桶/机，每个公益水站（点）提供A类水，供师生免费使用并确保水质及使用安全，各公益水站（点）需做好供水台账记录。合同生效后需在3个月内完成以上公益水站（点）设置（提供承诺函）</w:t>
      </w:r>
      <w:r>
        <w:rPr>
          <w:rFonts w:hint="eastAsia" w:hAnsi="宋体" w:eastAsia="宋体" w:cs="宋体"/>
          <w:bCs/>
          <w:color w:val="auto"/>
          <w:sz w:val="21"/>
          <w:szCs w:val="21"/>
          <w:highlight w:val="none"/>
          <w:lang w:eastAsia="zh-CN"/>
        </w:rPr>
        <w:t>。</w:t>
      </w:r>
    </w:p>
    <w:p w14:paraId="165B76A4">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八</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费用缴</w:t>
      </w:r>
      <w:r>
        <w:rPr>
          <w:rFonts w:hint="eastAsia" w:ascii="宋体" w:hAnsi="宋体" w:eastAsia="宋体" w:cs="宋体"/>
          <w:bCs/>
          <w:color w:val="auto"/>
          <w:sz w:val="21"/>
          <w:szCs w:val="21"/>
          <w:highlight w:val="none"/>
        </w:rPr>
        <w:t>付方式</w:t>
      </w:r>
    </w:p>
    <w:p w14:paraId="3664C9FF">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场地</w:t>
      </w:r>
      <w:r>
        <w:rPr>
          <w:rFonts w:hint="eastAsia" w:ascii="宋体" w:hAnsi="宋体" w:eastAsia="宋体" w:cs="宋体"/>
          <w:bCs/>
          <w:color w:val="auto"/>
          <w:sz w:val="21"/>
          <w:szCs w:val="21"/>
          <w:highlight w:val="none"/>
          <w:lang w:eastAsia="zh-CN"/>
        </w:rPr>
        <w:t>资源使用费、</w:t>
      </w:r>
      <w:r>
        <w:rPr>
          <w:rFonts w:hint="eastAsia" w:ascii="宋体" w:hAnsi="宋体" w:eastAsia="宋体" w:cs="宋体"/>
          <w:bCs/>
          <w:color w:val="auto"/>
          <w:sz w:val="21"/>
          <w:szCs w:val="21"/>
          <w:highlight w:val="none"/>
        </w:rPr>
        <w:t>水电费缴费标准按照粤教财〔2021〕3号文件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国有资产有关管理规定</w:t>
      </w:r>
      <w:r>
        <w:rPr>
          <w:rFonts w:hint="eastAsia" w:ascii="宋体" w:hAnsi="宋体" w:eastAsia="宋体" w:cs="宋体"/>
          <w:bCs/>
          <w:color w:val="auto"/>
          <w:sz w:val="21"/>
          <w:szCs w:val="21"/>
          <w:highlight w:val="none"/>
        </w:rPr>
        <w:t>及《韶关学院水电管理办法》等相关规定执行。</w:t>
      </w:r>
      <w:r>
        <w:rPr>
          <w:rFonts w:hint="eastAsia" w:ascii="宋体" w:hAnsi="宋体" w:eastAsia="宋体" w:cs="宋体"/>
          <w:bCs/>
          <w:color w:val="auto"/>
          <w:sz w:val="21"/>
          <w:szCs w:val="21"/>
          <w:highlight w:val="none"/>
          <w:lang w:eastAsia="zh-CN"/>
        </w:rPr>
        <w:t>按照合同约定缴费期限、</w:t>
      </w:r>
      <w:r>
        <w:rPr>
          <w:rFonts w:hint="eastAsia" w:ascii="宋体" w:hAnsi="宋体" w:eastAsia="宋体" w:cs="宋体"/>
          <w:bCs/>
          <w:color w:val="auto"/>
          <w:sz w:val="21"/>
          <w:szCs w:val="21"/>
          <w:highlight w:val="none"/>
          <w:lang w:val="en-US" w:eastAsia="zh-CN"/>
        </w:rPr>
        <w:t>金额</w:t>
      </w:r>
      <w:r>
        <w:rPr>
          <w:rFonts w:hint="eastAsia" w:ascii="宋体" w:hAnsi="宋体" w:eastAsia="宋体" w:cs="宋体"/>
          <w:bCs/>
          <w:color w:val="auto"/>
          <w:sz w:val="21"/>
          <w:szCs w:val="21"/>
          <w:highlight w:val="none"/>
          <w:lang w:eastAsia="zh-CN"/>
        </w:rPr>
        <w:t>等有关要求，将</w:t>
      </w:r>
      <w:r>
        <w:rPr>
          <w:rFonts w:hint="eastAsia" w:ascii="宋体" w:hAnsi="宋体" w:eastAsia="宋体" w:cs="宋体"/>
          <w:bCs/>
          <w:color w:val="auto"/>
          <w:sz w:val="21"/>
          <w:szCs w:val="21"/>
          <w:highlight w:val="none"/>
          <w:lang w:val="en-US" w:eastAsia="zh-CN"/>
        </w:rPr>
        <w:t>费用</w:t>
      </w:r>
      <w:r>
        <w:rPr>
          <w:rFonts w:hint="eastAsia" w:ascii="宋体" w:hAnsi="宋体" w:eastAsia="宋体" w:cs="宋体"/>
          <w:bCs/>
          <w:color w:val="auto"/>
          <w:sz w:val="21"/>
          <w:szCs w:val="21"/>
          <w:highlight w:val="none"/>
          <w:lang w:eastAsia="zh-CN"/>
        </w:rPr>
        <w:t>交缴</w:t>
      </w:r>
      <w:r>
        <w:rPr>
          <w:rFonts w:hint="eastAsia" w:ascii="宋体" w:hAnsi="宋体" w:eastAsia="宋体" w:cs="宋体"/>
          <w:bCs/>
          <w:color w:val="auto"/>
          <w:sz w:val="21"/>
          <w:szCs w:val="21"/>
          <w:highlight w:val="none"/>
          <w:lang w:val="en-US" w:eastAsia="zh-CN"/>
        </w:rPr>
        <w:t>招标人</w:t>
      </w:r>
      <w:r>
        <w:rPr>
          <w:rFonts w:hint="eastAsia" w:ascii="宋体" w:hAnsi="宋体" w:eastAsia="宋体" w:cs="宋体"/>
          <w:bCs/>
          <w:color w:val="auto"/>
          <w:sz w:val="21"/>
          <w:szCs w:val="21"/>
          <w:highlight w:val="none"/>
          <w:lang w:eastAsia="zh-CN"/>
        </w:rPr>
        <w:t>指定账户。</w:t>
      </w:r>
    </w:p>
    <w:p w14:paraId="1B63B377">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九</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着装管理</w:t>
      </w:r>
    </w:p>
    <w:p w14:paraId="73C7462D">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rPr>
        <w:t>相关工作人员、车辆须严格遵守学校相关管理规定。工作人员应统一着装、挂牌上岗，服务车辆应统一标识并严格遵守有关管理规定安全、文明运营。存水点的安全管理一概由服务商自行负责。</w:t>
      </w:r>
    </w:p>
    <w:p w14:paraId="01260BC6">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十）</w:t>
      </w:r>
      <w:r>
        <w:rPr>
          <w:rFonts w:hint="eastAsia" w:ascii="宋体" w:hAnsi="宋体" w:eastAsia="宋体" w:cs="宋体"/>
          <w:bCs/>
          <w:color w:val="auto"/>
          <w:sz w:val="21"/>
          <w:szCs w:val="21"/>
          <w:highlight w:val="none"/>
        </w:rPr>
        <w:t>退场与设施处置</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合同终止时，</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无条件拆走其所有设施设备。如逾期拆除，视为不再使用，学校有权进行处置。</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2.</w:t>
      </w:r>
      <w:r>
        <w:rPr>
          <w:rFonts w:hint="eastAsia" w:ascii="宋体" w:hAnsi="宋体" w:eastAsia="宋体" w:cs="宋体"/>
          <w:bCs/>
          <w:color w:val="auto"/>
          <w:sz w:val="21"/>
          <w:szCs w:val="21"/>
          <w:highlight w:val="none"/>
        </w:rPr>
        <w:t>服务期满后，公益水站相关设施仍归服务商所有。若参与下一期竞标失败，服务商应在15个工作日内自行按学校要求完成相关设施的处置。</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合同期满或解除，服务商应退还用户已预缴饮水机剩余租金（按实际使用时间计算），饮水机由</w:t>
      </w:r>
      <w:r>
        <w:rPr>
          <w:rFonts w:hint="eastAsia" w:ascii="宋体" w:hAnsi="宋体" w:eastAsia="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rPr>
        <w:t>自行处置。否则，学校有权将履约保证金作为违约金抵扣。</w:t>
      </w:r>
    </w:p>
    <w:p w14:paraId="7F139269">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十一）</w:t>
      </w:r>
      <w:r>
        <w:rPr>
          <w:rFonts w:hint="eastAsia" w:ascii="宋体" w:hAnsi="宋体" w:eastAsia="宋体" w:cs="宋体"/>
          <w:bCs/>
          <w:color w:val="auto"/>
          <w:sz w:val="21"/>
          <w:szCs w:val="21"/>
          <w:highlight w:val="none"/>
        </w:rPr>
        <w:t>服务期内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由于服务商的原因发生安全事故（包括饮用水安全事故）、</w:t>
      </w:r>
      <w:r>
        <w:rPr>
          <w:rFonts w:hint="eastAsia" w:ascii="宋体" w:hAnsi="宋体" w:eastAsia="宋体" w:cs="宋体"/>
          <w:bCs/>
          <w:color w:val="auto"/>
          <w:sz w:val="21"/>
          <w:szCs w:val="21"/>
          <w:highlight w:val="none"/>
          <w:lang w:eastAsia="zh-CN"/>
        </w:rPr>
        <w:t>违反</w:t>
      </w:r>
      <w:r>
        <w:rPr>
          <w:rFonts w:hint="eastAsia" w:ascii="宋体" w:hAnsi="宋体" w:eastAsia="宋体" w:cs="宋体"/>
          <w:bCs/>
          <w:color w:val="auto"/>
          <w:sz w:val="21"/>
          <w:szCs w:val="21"/>
          <w:highlight w:val="none"/>
        </w:rPr>
        <w:t>学校相关管理规定、</w:t>
      </w:r>
      <w:r>
        <w:rPr>
          <w:rFonts w:hint="eastAsia" w:ascii="宋体" w:hAnsi="宋体" w:eastAsia="宋体" w:cs="宋体"/>
          <w:bCs/>
          <w:color w:val="auto"/>
          <w:sz w:val="21"/>
          <w:szCs w:val="21"/>
          <w:highlight w:val="none"/>
          <w:lang w:val="en-US" w:eastAsia="zh-CN"/>
        </w:rPr>
        <w:t>学校师生投诉拒不整改等情况发生的，学校有权提前终止合同。</w:t>
      </w:r>
    </w:p>
    <w:p w14:paraId="4357B649">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（十二）售后服务</w:t>
      </w:r>
    </w:p>
    <w:p w14:paraId="6638FA6F">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1.提供质量检测报告。</w:t>
      </w:r>
    </w:p>
    <w:p w14:paraId="71A3BE7B">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2.能有效妥善处理产品质量问题、配送服务不到位等情况。同时中标人须定期主动跟进配送服务，不断提升用户满意度。</w:t>
      </w:r>
    </w:p>
    <w:p w14:paraId="185BAFEB">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3.若中标人要进行信息变更时，应在变更之日起1日内，以书面的形式告知招标人。</w:t>
      </w:r>
    </w:p>
    <w:p w14:paraId="32AD4F96">
      <w:pPr>
        <w:pStyle w:val="26"/>
        <w:adjustRightInd w:val="0"/>
        <w:snapToGrid w:val="0"/>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4.中标人应指派专人负责与招标人联系售后服务事宜。若发生质量问题中标人应及时安排补货、换货，相关费用由中标人承担。如遇学校师生投诉及时处理并提供处理方案。</w:t>
      </w:r>
    </w:p>
    <w:p w14:paraId="68BA52B2">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hAnsi="宋体" w:eastAsia="宋体" w:cs="宋体"/>
          <w:bCs/>
          <w:color w:val="auto"/>
          <w:sz w:val="21"/>
          <w:szCs w:val="21"/>
          <w:highlight w:val="none"/>
          <w:lang w:val="en-US" w:eastAsia="zh-CN"/>
        </w:rPr>
        <w:t>十三</w:t>
      </w:r>
      <w:r>
        <w:rPr>
          <w:rFonts w:hint="eastAsia" w:ascii="宋体" w:hAnsi="宋体" w:eastAsia="宋体" w:cs="宋体"/>
          <w:bCs/>
          <w:color w:val="auto"/>
          <w:sz w:val="21"/>
          <w:szCs w:val="21"/>
          <w:highlight w:val="none"/>
          <w:lang w:val="en-US" w:eastAsia="zh-CN"/>
        </w:rPr>
        <w:t>）配送服务要求</w:t>
      </w:r>
    </w:p>
    <w:p w14:paraId="024488A5">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1.中标人应设有固定联系电话及指定联系人，及时响应招标人的各项要求，并按招标人要求提供免费送货上门服务。运输过程中，商品损毁、灭失的风险由中标人承担。</w:t>
      </w:r>
    </w:p>
    <w:p w14:paraId="70FABE2E">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2.中标人应承诺全年在接到招标人供货通知后，半小时内响应，节假日须24小时内送达，工作日须4小时以内送货上门，紧急情况应2小时内送达。</w:t>
      </w:r>
    </w:p>
    <w:p w14:paraId="3243C45A">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3.中标人必须负责对储存水量进行控制，向招标人提供的桶装水生产日期不超过3天，保证新鲜。瓶装水生产日期为交货日期3个月内。</w:t>
      </w:r>
    </w:p>
    <w:p w14:paraId="2D232478">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4.中标人需按时向招标人提供饮用水，不能以任何理由延误或断供，因此引起全部责任由中标人负责。</w:t>
      </w:r>
    </w:p>
    <w:p w14:paraId="6DAA8400">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5.中标人配有专职驾驶员并同时配有随车专职配送员，提供人员分组安排表，免费提供送货上楼服务。</w:t>
      </w:r>
    </w:p>
    <w:p w14:paraId="5234D05C">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6.中标人整个运输过程应科学合理，运输必须采用符合卫生要求的外包装和运载工具，运输车辆为固定车辆，提前报备不得随意更换车辆。并且要保持清洁和定期消毒，包装内无不良气味，异味。</w:t>
      </w:r>
    </w:p>
    <w:p w14:paraId="377F7165">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7.中标人对所供饮用水由于质量发生的任何问题，而导致引起招标人直接损失，全部责任由中标人负责。</w:t>
      </w:r>
    </w:p>
    <w:p w14:paraId="4F9CC04F">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8.中标人应承诺能在合同期内按中标价足量供货，且在出现中标品牌饮用水无法供应的情况时，临时提供饮用水的规格、参数和品质不低于中标品牌的饮用水。</w:t>
      </w:r>
    </w:p>
    <w:p w14:paraId="375BF0AC">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9.中标人工作人员应统一穿着带有公司标识的工作服并佩戴工作证，仪容仪表整洁，举止文明礼貌。工作车辆应有相应标识标志。</w:t>
      </w:r>
    </w:p>
    <w:p w14:paraId="53253667">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10.中标人必须按照招标人的要求配合招标人做好采购货物的索证索票工作。</w:t>
      </w:r>
    </w:p>
    <w:p w14:paraId="3FD16ECB">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11.中标人必须严格遵守</w:t>
      </w:r>
      <w:r>
        <w:rPr>
          <w:rFonts w:hint="eastAsia" w:hAnsi="宋体" w:eastAsia="宋体" w:cs="宋体"/>
          <w:bCs/>
          <w:color w:val="auto"/>
          <w:sz w:val="21"/>
          <w:szCs w:val="21"/>
          <w:highlight w:val="none"/>
          <w:lang w:val="en-US" w:eastAsia="zh-CN"/>
        </w:rPr>
        <w:t>招标人</w:t>
      </w:r>
      <w:r>
        <w:rPr>
          <w:rFonts w:hint="eastAsia" w:ascii="宋体" w:hAnsi="宋体" w:eastAsia="宋体" w:cs="宋体"/>
          <w:bCs/>
          <w:color w:val="auto"/>
          <w:sz w:val="21"/>
          <w:szCs w:val="21"/>
          <w:highlight w:val="none"/>
          <w:lang w:val="en-US" w:eastAsia="zh-CN"/>
        </w:rPr>
        <w:t>的规章制度和防疫相关规定。</w:t>
      </w:r>
    </w:p>
    <w:p w14:paraId="69B4A50D">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12.对中标人不称职的工作人员（如有违反规章制度、态度恶劣或者其他违反招标文件要求者），招标人有权向中标人提出警告，并随时要求中标人限期更换。</w:t>
      </w:r>
    </w:p>
    <w:p w14:paraId="28267B55">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13.中标人应提供正式税务发票、盖有公章的送货单和每批次的检验合格证，支付金额以实际使用数量为准。</w:t>
      </w:r>
    </w:p>
    <w:p w14:paraId="346EAAAD">
      <w:pPr>
        <w:pStyle w:val="26"/>
        <w:adjustRightInd w:val="0"/>
        <w:snapToGrid w:val="0"/>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hAnsi="宋体" w:eastAsia="宋体" w:cs="宋体"/>
          <w:bCs/>
          <w:color w:val="auto"/>
          <w:sz w:val="21"/>
          <w:szCs w:val="21"/>
          <w:highlight w:val="none"/>
          <w:lang w:val="en-US" w:eastAsia="zh-CN"/>
        </w:rPr>
        <w:t>（十四）应急要求</w:t>
      </w:r>
    </w:p>
    <w:p w14:paraId="59732605">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hAnsi="宋体" w:eastAsia="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lang w:val="en-US" w:eastAsia="zh-CN"/>
        </w:rPr>
        <w:t>须提供应急服务方案，如台风袭击、暴雨、水灾、其他自然灾害或者韶关市区疫情管控和其他突发、紧急、特殊情况等需要</w:t>
      </w:r>
      <w:r>
        <w:rPr>
          <w:rFonts w:hint="eastAsia"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紧急临时提供服务的，</w:t>
      </w:r>
      <w:r>
        <w:rPr>
          <w:rFonts w:hint="eastAsia" w:hAnsi="宋体" w:eastAsia="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lang w:val="en-US" w:eastAsia="zh-CN"/>
        </w:rPr>
        <w:t>应预设应急服务方案以保证应急服务。</w:t>
      </w:r>
    </w:p>
    <w:p w14:paraId="47D1141F">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hAnsi="宋体" w:eastAsia="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lang w:val="en-US" w:eastAsia="zh-CN"/>
        </w:rPr>
        <w:t>对派往现场应急的人员、器械、运输工具等投保相应的人身保险，并承担人员伤亡责任和运输工具的损坏等风险。</w:t>
      </w:r>
    </w:p>
    <w:p w14:paraId="6E27C552">
      <w:pPr>
        <w:widowControl/>
        <w:tabs>
          <w:tab w:val="left" w:pos="567"/>
        </w:tabs>
        <w:spacing w:line="358" w:lineRule="auto"/>
        <w:ind w:left="420" w:leftChars="200"/>
        <w:jc w:val="left"/>
        <w:rPr>
          <w:rFonts w:hint="eastAsia" w:ascii="宋体" w:hAnsi="宋体" w:cs="宋体"/>
          <w:color w:val="auto"/>
          <w:szCs w:val="21"/>
          <w:highlight w:val="none"/>
        </w:rPr>
      </w:pPr>
    </w:p>
    <w:p w14:paraId="2391D773">
      <w:pPr>
        <w:rPr>
          <w:rFonts w:hint="eastAsia" w:ascii="宋体" w:hAnsi="宋体" w:cs="宋体"/>
          <w:color w:val="auto"/>
          <w:sz w:val="24"/>
          <w:highlight w:val="none"/>
        </w:rPr>
      </w:pPr>
    </w:p>
    <w:p w14:paraId="2D032AB3">
      <w:pPr>
        <w:widowControl/>
        <w:spacing w:line="360" w:lineRule="auto"/>
        <w:ind w:firstLine="420" w:firstLineChars="200"/>
        <w:jc w:val="left"/>
        <w:rPr>
          <w:rFonts w:hint="eastAsia" w:ascii="宋体" w:hAnsi="宋体" w:cs="宋体"/>
          <w:color w:val="auto"/>
          <w:szCs w:val="21"/>
          <w:highlight w:val="none"/>
        </w:rPr>
      </w:pPr>
    </w:p>
    <w:p w14:paraId="6D89D949">
      <w:pPr>
        <w:spacing w:line="360" w:lineRule="auto"/>
        <w:ind w:firstLine="420" w:firstLineChars="200"/>
        <w:rPr>
          <w:rFonts w:hint="eastAsia" w:ascii="宋体" w:hAnsi="宋体" w:cs="宋体"/>
          <w:color w:val="auto"/>
          <w:szCs w:val="21"/>
          <w:highlight w:val="none"/>
        </w:rPr>
      </w:pPr>
    </w:p>
    <w:p w14:paraId="5C61B191">
      <w:pPr>
        <w:rPr>
          <w:rFonts w:hint="eastAsia" w:ascii="宋体" w:hAnsi="宋体" w:cs="宋体"/>
          <w:color w:val="auto"/>
          <w:sz w:val="24"/>
          <w:highlight w:val="none"/>
        </w:rPr>
      </w:pPr>
    </w:p>
    <w:p w14:paraId="2AE5DED2">
      <w:pPr>
        <w:rPr>
          <w:rFonts w:hint="eastAsia" w:ascii="宋体" w:hAnsi="宋体" w:cs="宋体"/>
          <w:color w:val="auto"/>
          <w:sz w:val="24"/>
          <w:highlight w:val="none"/>
        </w:rPr>
      </w:pPr>
    </w:p>
    <w:p w14:paraId="05536940">
      <w:pPr>
        <w:adjustRightInd w:val="0"/>
        <w:snapToGrid w:val="0"/>
        <w:spacing w:line="360" w:lineRule="auto"/>
        <w:jc w:val="center"/>
        <w:outlineLvl w:val="0"/>
        <w:rPr>
          <w:rFonts w:hint="eastAsia" w:ascii="宋体" w:hAnsi="宋体" w:cs="宋体"/>
          <w:b/>
          <w:color w:val="auto"/>
          <w:kern w:val="0"/>
          <w:sz w:val="44"/>
          <w:szCs w:val="28"/>
          <w:highlight w:val="none"/>
        </w:rPr>
      </w:pPr>
    </w:p>
    <w:p w14:paraId="5FDE2A15">
      <w:pPr>
        <w:adjustRightInd w:val="0"/>
        <w:snapToGrid w:val="0"/>
        <w:spacing w:line="360" w:lineRule="auto"/>
        <w:jc w:val="center"/>
        <w:outlineLvl w:val="0"/>
        <w:rPr>
          <w:rFonts w:hint="eastAsia" w:ascii="宋体" w:hAnsi="宋体" w:cs="宋体"/>
          <w:b/>
          <w:color w:val="auto"/>
          <w:kern w:val="0"/>
          <w:sz w:val="44"/>
          <w:szCs w:val="28"/>
          <w:highlight w:val="none"/>
        </w:rPr>
      </w:pPr>
    </w:p>
    <w:p w14:paraId="37972A72">
      <w:pPr>
        <w:adjustRightInd w:val="0"/>
        <w:snapToGrid w:val="0"/>
        <w:spacing w:line="360" w:lineRule="auto"/>
        <w:jc w:val="center"/>
        <w:outlineLvl w:val="0"/>
        <w:rPr>
          <w:rFonts w:hint="eastAsia" w:ascii="宋体" w:hAnsi="宋体" w:cs="宋体"/>
          <w:b/>
          <w:color w:val="auto"/>
          <w:kern w:val="0"/>
          <w:sz w:val="44"/>
          <w:szCs w:val="28"/>
          <w:highlight w:val="none"/>
        </w:rPr>
      </w:pPr>
    </w:p>
    <w:p w14:paraId="13D51A91">
      <w:pPr>
        <w:adjustRightInd w:val="0"/>
        <w:snapToGrid w:val="0"/>
        <w:spacing w:line="360" w:lineRule="auto"/>
        <w:jc w:val="center"/>
        <w:outlineLvl w:val="0"/>
        <w:rPr>
          <w:rFonts w:hint="eastAsia" w:ascii="宋体" w:hAnsi="宋体" w:cs="宋体"/>
          <w:b/>
          <w:color w:val="auto"/>
          <w:kern w:val="0"/>
          <w:sz w:val="44"/>
          <w:szCs w:val="28"/>
          <w:highlight w:val="none"/>
        </w:rPr>
      </w:pPr>
    </w:p>
    <w:p w14:paraId="7E9892C2">
      <w:pPr>
        <w:adjustRightInd w:val="0"/>
        <w:snapToGrid w:val="0"/>
        <w:spacing w:line="360" w:lineRule="auto"/>
        <w:jc w:val="center"/>
        <w:outlineLvl w:val="0"/>
        <w:rPr>
          <w:rFonts w:hint="eastAsia" w:ascii="宋体" w:hAnsi="宋体" w:cs="宋体"/>
          <w:b/>
          <w:color w:val="auto"/>
          <w:kern w:val="0"/>
          <w:sz w:val="44"/>
          <w:szCs w:val="28"/>
          <w:highlight w:val="none"/>
        </w:rPr>
      </w:pPr>
    </w:p>
    <w:p w14:paraId="03BF74A6">
      <w:pPr>
        <w:adjustRightInd w:val="0"/>
        <w:snapToGrid w:val="0"/>
        <w:spacing w:line="360" w:lineRule="auto"/>
        <w:jc w:val="center"/>
        <w:outlineLvl w:val="0"/>
        <w:rPr>
          <w:rFonts w:hint="eastAsia" w:ascii="宋体" w:hAnsi="宋体" w:cs="宋体"/>
          <w:b/>
          <w:color w:val="auto"/>
          <w:kern w:val="0"/>
          <w:sz w:val="44"/>
          <w:szCs w:val="28"/>
          <w:highlight w:val="none"/>
        </w:rPr>
      </w:pPr>
    </w:p>
    <w:p w14:paraId="1E5C562F">
      <w:pPr>
        <w:adjustRightInd w:val="0"/>
        <w:snapToGrid w:val="0"/>
        <w:spacing w:line="360" w:lineRule="auto"/>
        <w:jc w:val="center"/>
        <w:outlineLvl w:val="0"/>
        <w:rPr>
          <w:rFonts w:hint="eastAsia" w:ascii="宋体" w:hAnsi="宋体" w:cs="宋体"/>
          <w:b/>
          <w:color w:val="auto"/>
          <w:kern w:val="0"/>
          <w:sz w:val="44"/>
          <w:szCs w:val="28"/>
          <w:highlight w:val="none"/>
        </w:rPr>
      </w:pPr>
    </w:p>
    <w:p w14:paraId="48AF0CCB">
      <w:pPr>
        <w:adjustRightInd w:val="0"/>
        <w:snapToGrid w:val="0"/>
        <w:spacing w:line="360" w:lineRule="auto"/>
        <w:jc w:val="center"/>
        <w:outlineLvl w:val="0"/>
        <w:rPr>
          <w:rFonts w:hint="eastAsia" w:ascii="宋体" w:hAnsi="宋体" w:cs="宋体"/>
          <w:b/>
          <w:color w:val="auto"/>
          <w:kern w:val="0"/>
          <w:sz w:val="44"/>
          <w:szCs w:val="28"/>
          <w:highlight w:val="none"/>
        </w:rPr>
      </w:pPr>
    </w:p>
    <w:p w14:paraId="75834150">
      <w:pPr>
        <w:adjustRightInd w:val="0"/>
        <w:snapToGrid w:val="0"/>
        <w:spacing w:line="360" w:lineRule="auto"/>
        <w:jc w:val="center"/>
        <w:outlineLvl w:val="0"/>
        <w:rPr>
          <w:rFonts w:hint="eastAsia" w:ascii="宋体" w:hAnsi="宋体" w:cs="宋体"/>
          <w:b/>
          <w:color w:val="auto"/>
          <w:kern w:val="0"/>
          <w:sz w:val="44"/>
          <w:szCs w:val="28"/>
          <w:highlight w:val="none"/>
        </w:rPr>
      </w:pPr>
    </w:p>
    <w:p w14:paraId="22779D1E">
      <w:pPr>
        <w:adjustRightInd w:val="0"/>
        <w:snapToGrid w:val="0"/>
        <w:spacing w:line="360" w:lineRule="auto"/>
        <w:jc w:val="center"/>
        <w:outlineLvl w:val="0"/>
        <w:rPr>
          <w:rFonts w:hint="eastAsia" w:ascii="宋体" w:hAnsi="宋体" w:cs="宋体"/>
          <w:b/>
          <w:color w:val="auto"/>
          <w:kern w:val="0"/>
          <w:sz w:val="44"/>
          <w:szCs w:val="28"/>
          <w:highlight w:val="none"/>
        </w:rPr>
      </w:pPr>
    </w:p>
    <w:p w14:paraId="356217C7">
      <w:pPr>
        <w:adjustRightInd w:val="0"/>
        <w:snapToGrid w:val="0"/>
        <w:spacing w:line="360" w:lineRule="auto"/>
        <w:jc w:val="center"/>
        <w:outlineLvl w:val="0"/>
        <w:rPr>
          <w:rFonts w:hint="eastAsia" w:ascii="宋体" w:hAnsi="宋体" w:cs="宋体"/>
          <w:b/>
          <w:color w:val="auto"/>
          <w:kern w:val="0"/>
          <w:sz w:val="44"/>
          <w:szCs w:val="28"/>
          <w:highlight w:val="none"/>
        </w:rPr>
      </w:pPr>
    </w:p>
    <w:p w14:paraId="4B34DE57">
      <w:pPr>
        <w:adjustRightInd w:val="0"/>
        <w:snapToGrid w:val="0"/>
        <w:spacing w:line="360" w:lineRule="auto"/>
        <w:jc w:val="center"/>
        <w:outlineLvl w:val="0"/>
        <w:rPr>
          <w:rFonts w:hint="eastAsia" w:ascii="宋体" w:hAnsi="宋体" w:cs="宋体"/>
          <w:b/>
          <w:color w:val="auto"/>
          <w:kern w:val="0"/>
          <w:sz w:val="44"/>
          <w:szCs w:val="28"/>
          <w:highlight w:val="none"/>
        </w:rPr>
      </w:pPr>
    </w:p>
    <w:p w14:paraId="1B2739F3">
      <w:pPr>
        <w:adjustRightInd w:val="0"/>
        <w:snapToGrid w:val="0"/>
        <w:spacing w:line="360" w:lineRule="auto"/>
        <w:jc w:val="center"/>
        <w:outlineLvl w:val="0"/>
        <w:rPr>
          <w:rFonts w:hint="eastAsia" w:ascii="宋体" w:hAnsi="宋体" w:cs="宋体"/>
          <w:b/>
          <w:color w:val="auto"/>
          <w:kern w:val="0"/>
          <w:sz w:val="44"/>
          <w:szCs w:val="28"/>
          <w:highlight w:val="none"/>
        </w:rPr>
      </w:pPr>
    </w:p>
    <w:p w14:paraId="6F575B00">
      <w:pPr>
        <w:adjustRightInd w:val="0"/>
        <w:snapToGrid w:val="0"/>
        <w:spacing w:line="360" w:lineRule="auto"/>
        <w:jc w:val="center"/>
        <w:outlineLvl w:val="0"/>
        <w:rPr>
          <w:rFonts w:hint="eastAsia" w:ascii="宋体" w:hAnsi="宋体" w:cs="宋体"/>
          <w:b/>
          <w:color w:val="auto"/>
          <w:kern w:val="0"/>
          <w:sz w:val="44"/>
          <w:szCs w:val="28"/>
          <w:highlight w:val="none"/>
        </w:rPr>
      </w:pPr>
    </w:p>
    <w:p w14:paraId="3E4319FB">
      <w:pPr>
        <w:adjustRightInd w:val="0"/>
        <w:snapToGrid w:val="0"/>
        <w:spacing w:line="360" w:lineRule="auto"/>
        <w:jc w:val="center"/>
        <w:outlineLvl w:val="0"/>
        <w:rPr>
          <w:rFonts w:hint="eastAsia" w:ascii="宋体" w:hAnsi="宋体" w:cs="宋体"/>
          <w:b/>
          <w:color w:val="auto"/>
          <w:kern w:val="0"/>
          <w:sz w:val="28"/>
          <w:szCs w:val="28"/>
          <w:highlight w:val="none"/>
        </w:rPr>
      </w:pPr>
      <w:bookmarkStart w:id="103" w:name="_Toc23271"/>
      <w:r>
        <w:rPr>
          <w:rFonts w:hint="eastAsia" w:ascii="宋体" w:hAnsi="宋体" w:cs="宋体"/>
          <w:b/>
          <w:color w:val="auto"/>
          <w:kern w:val="0"/>
          <w:sz w:val="44"/>
          <w:szCs w:val="28"/>
          <w:highlight w:val="none"/>
        </w:rPr>
        <w:t>第四篇　合同书文本格式</w:t>
      </w:r>
      <w:bookmarkEnd w:id="90"/>
      <w:bookmarkEnd w:id="103"/>
    </w:p>
    <w:p w14:paraId="2F48959D">
      <w:pPr>
        <w:adjustRightInd w:val="0"/>
        <w:snapToGrid w:val="0"/>
        <w:spacing w:line="360" w:lineRule="auto"/>
        <w:jc w:val="center"/>
        <w:rPr>
          <w:rFonts w:hint="eastAsia" w:ascii="宋体" w:hAnsi="宋体" w:cs="宋体"/>
          <w:b/>
          <w:color w:val="auto"/>
          <w:kern w:val="0"/>
          <w:sz w:val="28"/>
          <w:szCs w:val="28"/>
          <w:highlight w:val="none"/>
        </w:rPr>
      </w:pPr>
    </w:p>
    <w:p w14:paraId="0EA0834D">
      <w:pPr>
        <w:adjustRightInd w:val="0"/>
        <w:snapToGrid w:val="0"/>
        <w:spacing w:line="360" w:lineRule="auto"/>
        <w:jc w:val="center"/>
        <w:rPr>
          <w:rFonts w:hint="eastAsia" w:ascii="宋体" w:hAnsi="宋体" w:cs="宋体"/>
          <w:b/>
          <w:color w:val="auto"/>
          <w:kern w:val="0"/>
          <w:sz w:val="28"/>
          <w:szCs w:val="28"/>
          <w:highlight w:val="none"/>
        </w:rPr>
      </w:pPr>
    </w:p>
    <w:p w14:paraId="3ED9DD97">
      <w:pPr>
        <w:adjustRightInd w:val="0"/>
        <w:snapToGrid w:val="0"/>
        <w:spacing w:line="360" w:lineRule="auto"/>
        <w:jc w:val="center"/>
        <w:rPr>
          <w:rFonts w:hint="eastAsia" w:ascii="宋体" w:hAnsi="宋体" w:cs="宋体"/>
          <w:b/>
          <w:color w:val="auto"/>
          <w:kern w:val="0"/>
          <w:sz w:val="28"/>
          <w:szCs w:val="28"/>
          <w:highlight w:val="none"/>
        </w:rPr>
      </w:pPr>
    </w:p>
    <w:p w14:paraId="4716C1AC">
      <w:pPr>
        <w:adjustRightInd w:val="0"/>
        <w:snapToGrid w:val="0"/>
        <w:spacing w:line="360" w:lineRule="auto"/>
        <w:jc w:val="center"/>
        <w:rPr>
          <w:rFonts w:hint="eastAsia" w:ascii="宋体" w:hAnsi="宋体" w:cs="宋体"/>
          <w:b/>
          <w:color w:val="auto"/>
          <w:kern w:val="0"/>
          <w:sz w:val="28"/>
          <w:szCs w:val="28"/>
          <w:highlight w:val="none"/>
        </w:rPr>
      </w:pPr>
    </w:p>
    <w:p w14:paraId="4F10B8D4">
      <w:pPr>
        <w:adjustRightInd w:val="0"/>
        <w:snapToGrid w:val="0"/>
        <w:spacing w:line="360" w:lineRule="auto"/>
        <w:jc w:val="center"/>
        <w:rPr>
          <w:rFonts w:hint="eastAsia" w:ascii="宋体" w:hAnsi="宋体" w:cs="宋体"/>
          <w:b/>
          <w:color w:val="auto"/>
          <w:kern w:val="0"/>
          <w:sz w:val="28"/>
          <w:szCs w:val="28"/>
          <w:highlight w:val="none"/>
        </w:rPr>
      </w:pPr>
    </w:p>
    <w:p w14:paraId="4F8F7295">
      <w:pPr>
        <w:adjustRightInd w:val="0"/>
        <w:snapToGrid w:val="0"/>
        <w:spacing w:line="360" w:lineRule="auto"/>
        <w:jc w:val="center"/>
        <w:rPr>
          <w:rFonts w:hint="eastAsia" w:ascii="宋体" w:hAnsi="宋体" w:cs="宋体"/>
          <w:b/>
          <w:color w:val="auto"/>
          <w:kern w:val="0"/>
          <w:sz w:val="28"/>
          <w:szCs w:val="28"/>
          <w:highlight w:val="none"/>
        </w:rPr>
      </w:pPr>
    </w:p>
    <w:p w14:paraId="4D2BA89A">
      <w:pPr>
        <w:pStyle w:val="3"/>
        <w:rPr>
          <w:rFonts w:hint="eastAsia" w:ascii="宋体" w:hAnsi="宋体" w:cs="宋体"/>
          <w:color w:val="auto"/>
          <w:highlight w:val="none"/>
        </w:rPr>
      </w:pPr>
    </w:p>
    <w:p w14:paraId="1EEFFA0F">
      <w:pPr>
        <w:rPr>
          <w:rFonts w:hint="eastAsia" w:ascii="宋体" w:hAnsi="宋体" w:cs="宋体"/>
          <w:color w:val="auto"/>
          <w:highlight w:val="none"/>
        </w:rPr>
      </w:pPr>
    </w:p>
    <w:p w14:paraId="7758CA51">
      <w:pPr>
        <w:rPr>
          <w:rFonts w:hint="eastAsia" w:ascii="宋体" w:hAnsi="宋体" w:cs="宋体"/>
          <w:color w:val="auto"/>
          <w:highlight w:val="none"/>
        </w:rPr>
      </w:pPr>
    </w:p>
    <w:p w14:paraId="24568076">
      <w:pPr>
        <w:rPr>
          <w:rFonts w:hint="eastAsia" w:ascii="宋体" w:hAnsi="宋体" w:cs="宋体"/>
          <w:color w:val="auto"/>
          <w:highlight w:val="none"/>
        </w:rPr>
      </w:pPr>
    </w:p>
    <w:p w14:paraId="258AEC3C">
      <w:pPr>
        <w:rPr>
          <w:rFonts w:hint="eastAsia" w:ascii="宋体" w:hAnsi="宋体" w:cs="宋体"/>
          <w:color w:val="auto"/>
          <w:highlight w:val="none"/>
        </w:rPr>
      </w:pPr>
    </w:p>
    <w:p w14:paraId="5D958A91">
      <w:pPr>
        <w:pStyle w:val="124"/>
        <w:rPr>
          <w:rFonts w:hint="eastAsia" w:ascii="宋体" w:hAnsi="宋体" w:cs="宋体"/>
          <w:color w:val="auto"/>
          <w:highlight w:val="none"/>
        </w:rPr>
      </w:pPr>
    </w:p>
    <w:p w14:paraId="4CF1D589">
      <w:pPr>
        <w:rPr>
          <w:rFonts w:hint="eastAsia" w:ascii="宋体" w:hAnsi="宋体" w:cs="宋体"/>
          <w:color w:val="auto"/>
          <w:highlight w:val="none"/>
        </w:rPr>
      </w:pPr>
    </w:p>
    <w:p w14:paraId="7499C215">
      <w:pPr>
        <w:rPr>
          <w:rFonts w:hint="eastAsia" w:ascii="宋体" w:hAnsi="宋体" w:cs="宋体"/>
          <w:color w:val="auto"/>
          <w:highlight w:val="none"/>
        </w:rPr>
      </w:pPr>
    </w:p>
    <w:p w14:paraId="49B78D40">
      <w:pPr>
        <w:rPr>
          <w:rFonts w:hint="eastAsia" w:ascii="宋体" w:hAnsi="宋体" w:cs="宋体"/>
          <w:color w:val="auto"/>
          <w:highlight w:val="none"/>
        </w:rPr>
      </w:pPr>
    </w:p>
    <w:p w14:paraId="21B2A033">
      <w:pPr>
        <w:rPr>
          <w:rFonts w:hint="eastAsia" w:ascii="宋体" w:hAnsi="宋体" w:cs="宋体"/>
          <w:color w:val="auto"/>
          <w:highlight w:val="none"/>
        </w:rPr>
      </w:pPr>
    </w:p>
    <w:p w14:paraId="5CB89719">
      <w:pPr>
        <w:rPr>
          <w:rFonts w:hint="eastAsia" w:ascii="宋体" w:hAnsi="宋体" w:cs="宋体"/>
          <w:color w:val="auto"/>
          <w:highlight w:val="none"/>
        </w:rPr>
      </w:pPr>
    </w:p>
    <w:p w14:paraId="30897A5E">
      <w:pPr>
        <w:rPr>
          <w:rFonts w:hint="eastAsia" w:ascii="宋体" w:hAnsi="宋体" w:cs="宋体"/>
          <w:color w:val="auto"/>
          <w:highlight w:val="none"/>
        </w:rPr>
      </w:pPr>
    </w:p>
    <w:p w14:paraId="25282B49">
      <w:pPr>
        <w:rPr>
          <w:rFonts w:hint="eastAsia" w:ascii="宋体" w:hAnsi="宋体" w:cs="宋体"/>
          <w:color w:val="auto"/>
          <w:highlight w:val="none"/>
        </w:rPr>
      </w:pPr>
    </w:p>
    <w:p w14:paraId="6293D0A5">
      <w:pPr>
        <w:rPr>
          <w:rFonts w:hint="eastAsia" w:ascii="宋体" w:hAnsi="宋体" w:cs="宋体"/>
          <w:color w:val="auto"/>
          <w:highlight w:val="none"/>
        </w:rPr>
      </w:pPr>
    </w:p>
    <w:p w14:paraId="46801071">
      <w:pPr>
        <w:rPr>
          <w:rFonts w:hint="eastAsia" w:ascii="宋体" w:hAnsi="宋体" w:cs="宋体"/>
          <w:color w:val="auto"/>
          <w:highlight w:val="none"/>
        </w:rPr>
      </w:pPr>
    </w:p>
    <w:p w14:paraId="3A03A794">
      <w:pPr>
        <w:rPr>
          <w:rFonts w:hint="eastAsia" w:ascii="宋体" w:hAnsi="宋体" w:cs="宋体"/>
          <w:color w:val="auto"/>
          <w:highlight w:val="none"/>
        </w:rPr>
      </w:pPr>
    </w:p>
    <w:p w14:paraId="4EB2E03B">
      <w:pPr>
        <w:spacing w:line="360" w:lineRule="auto"/>
        <w:jc w:val="center"/>
        <w:rPr>
          <w:rFonts w:hint="eastAsia" w:ascii="宋体" w:hAnsi="宋体" w:cs="宋体"/>
          <w:b/>
          <w:color w:val="auto"/>
          <w:sz w:val="52"/>
          <w:szCs w:val="52"/>
          <w:highlight w:val="none"/>
          <w:lang w:eastAsia="zh-CN"/>
        </w:rPr>
      </w:pPr>
    </w:p>
    <w:p w14:paraId="020ABFCD">
      <w:pPr>
        <w:spacing w:line="360" w:lineRule="auto"/>
        <w:jc w:val="center"/>
        <w:rPr>
          <w:rFonts w:hint="eastAsia" w:ascii="宋体" w:hAnsi="宋体" w:eastAsia="宋体" w:cs="宋体"/>
          <w:b/>
          <w:color w:val="auto"/>
          <w:sz w:val="56"/>
          <w:szCs w:val="56"/>
          <w:highlight w:val="none"/>
          <w:lang w:eastAsia="zh-CN"/>
        </w:rPr>
      </w:pPr>
      <w:r>
        <w:rPr>
          <w:rFonts w:hint="eastAsia" w:ascii="宋体" w:hAnsi="宋体" w:cs="宋体"/>
          <w:b/>
          <w:color w:val="auto"/>
          <w:sz w:val="56"/>
          <w:szCs w:val="56"/>
          <w:highlight w:val="none"/>
          <w:lang w:eastAsia="zh-CN"/>
        </w:rPr>
        <w:t>征集2026年—2028年校园桶装饮用水服务商</w:t>
      </w:r>
    </w:p>
    <w:p w14:paraId="716CC129">
      <w:pPr>
        <w:spacing w:line="360" w:lineRule="auto"/>
        <w:jc w:val="center"/>
        <w:rPr>
          <w:rFonts w:hint="eastAsia" w:ascii="宋体" w:hAnsi="宋体" w:cs="宋体"/>
          <w:b/>
          <w:color w:val="auto"/>
          <w:sz w:val="48"/>
          <w:szCs w:val="48"/>
          <w:highlight w:val="none"/>
        </w:rPr>
      </w:pPr>
    </w:p>
    <w:p w14:paraId="743B29BF">
      <w:pPr>
        <w:spacing w:line="360" w:lineRule="auto"/>
        <w:jc w:val="center"/>
        <w:rPr>
          <w:rFonts w:hint="eastAsia" w:ascii="宋体" w:hAnsi="宋体" w:cs="宋体"/>
          <w:b/>
          <w:color w:val="auto"/>
          <w:sz w:val="48"/>
          <w:szCs w:val="48"/>
          <w:highlight w:val="none"/>
        </w:rPr>
      </w:pPr>
    </w:p>
    <w:p w14:paraId="1CBD6BDD">
      <w:pPr>
        <w:spacing w:line="360" w:lineRule="auto"/>
        <w:jc w:val="center"/>
        <w:rPr>
          <w:rFonts w:hint="eastAsia" w:ascii="宋体" w:hAnsi="宋体" w:cs="宋体"/>
          <w:b/>
          <w:color w:val="auto"/>
          <w:sz w:val="48"/>
          <w:szCs w:val="48"/>
          <w:highlight w:val="none"/>
        </w:rPr>
      </w:pPr>
    </w:p>
    <w:p w14:paraId="29DFD148">
      <w:pPr>
        <w:spacing w:line="36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合 同 书</w:t>
      </w:r>
    </w:p>
    <w:p w14:paraId="0A6C8263">
      <w:pPr>
        <w:ind w:firstLine="1680" w:firstLineChars="700"/>
        <w:rPr>
          <w:rFonts w:hint="eastAsia" w:ascii="宋体" w:hAnsi="宋体" w:cs="宋体"/>
          <w:color w:val="auto"/>
          <w:sz w:val="24"/>
          <w:highlight w:val="none"/>
        </w:rPr>
      </w:pPr>
    </w:p>
    <w:p w14:paraId="7FD2D186">
      <w:pPr>
        <w:ind w:firstLine="1680" w:firstLineChars="700"/>
        <w:rPr>
          <w:rFonts w:hint="eastAsia" w:ascii="宋体" w:hAnsi="宋体" w:cs="宋体"/>
          <w:color w:val="auto"/>
          <w:sz w:val="24"/>
          <w:highlight w:val="none"/>
        </w:rPr>
      </w:pPr>
    </w:p>
    <w:p w14:paraId="72124573">
      <w:pPr>
        <w:pStyle w:val="259"/>
        <w:rPr>
          <w:rFonts w:hint="eastAsia" w:ascii="宋体" w:hAnsi="宋体" w:cs="宋体"/>
          <w:color w:val="auto"/>
          <w:sz w:val="24"/>
          <w:highlight w:val="none"/>
        </w:rPr>
      </w:pPr>
    </w:p>
    <w:p w14:paraId="5AF7EF4C">
      <w:pPr>
        <w:pStyle w:val="259"/>
        <w:rPr>
          <w:rFonts w:hint="eastAsia" w:ascii="宋体" w:hAnsi="宋体" w:cs="宋体"/>
          <w:color w:val="auto"/>
          <w:sz w:val="24"/>
          <w:highlight w:val="none"/>
        </w:rPr>
      </w:pPr>
    </w:p>
    <w:p w14:paraId="053232E6">
      <w:pPr>
        <w:pStyle w:val="259"/>
        <w:rPr>
          <w:rFonts w:hint="eastAsia" w:ascii="宋体" w:hAnsi="宋体" w:cs="宋体"/>
          <w:color w:val="auto"/>
          <w:sz w:val="24"/>
          <w:highlight w:val="none"/>
        </w:rPr>
      </w:pPr>
    </w:p>
    <w:p w14:paraId="4E9F3131">
      <w:pPr>
        <w:pStyle w:val="259"/>
        <w:rPr>
          <w:rFonts w:hint="eastAsia" w:ascii="宋体" w:hAnsi="宋体" w:cs="宋体"/>
          <w:color w:val="auto"/>
          <w:sz w:val="24"/>
          <w:highlight w:val="none"/>
        </w:rPr>
      </w:pPr>
    </w:p>
    <w:p w14:paraId="4C2EFAAB">
      <w:pPr>
        <w:ind w:firstLine="1680" w:firstLineChars="700"/>
        <w:rPr>
          <w:rFonts w:hint="eastAsia" w:ascii="宋体" w:hAnsi="宋体" w:cs="宋体"/>
          <w:color w:val="auto"/>
          <w:sz w:val="24"/>
          <w:highlight w:val="none"/>
        </w:rPr>
      </w:pPr>
    </w:p>
    <w:p w14:paraId="4153521B">
      <w:pPr>
        <w:rPr>
          <w:rFonts w:hint="eastAsia" w:ascii="宋体" w:hAnsi="宋体" w:cs="宋体"/>
          <w:color w:val="auto"/>
          <w:sz w:val="24"/>
          <w:highlight w:val="none"/>
        </w:rPr>
      </w:pPr>
    </w:p>
    <w:p w14:paraId="3481A36F">
      <w:pPr>
        <w:spacing w:before="100" w:beforeAutospacing="1" w:after="100" w:afterAutospacing="1" w:line="360" w:lineRule="auto"/>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eastAsia="zh-CN"/>
        </w:rPr>
        <w:t>CQZB260018</w:t>
      </w:r>
      <w:r>
        <w:rPr>
          <w:rFonts w:hint="eastAsia" w:ascii="宋体" w:hAnsi="宋体" w:cs="宋体"/>
          <w:b/>
          <w:color w:val="auto"/>
          <w:sz w:val="30"/>
          <w:szCs w:val="30"/>
          <w:highlight w:val="none"/>
          <w:u w:val="single"/>
        </w:rPr>
        <w:t xml:space="preserve">   </w:t>
      </w:r>
    </w:p>
    <w:p w14:paraId="6C67BA0E">
      <w:pPr>
        <w:spacing w:before="100" w:beforeAutospacing="1" w:after="100" w:afterAutospacing="1"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color w:val="auto"/>
          <w:sz w:val="30"/>
          <w:szCs w:val="30"/>
          <w:highlight w:val="none"/>
          <w:u w:val="single"/>
        </w:rPr>
        <w:t xml:space="preserve">                </w:t>
      </w:r>
    </w:p>
    <w:p w14:paraId="62599808">
      <w:pPr>
        <w:pStyle w:val="259"/>
        <w:spacing w:line="360" w:lineRule="auto"/>
        <w:rPr>
          <w:rFonts w:hint="eastAsia" w:ascii="宋体" w:hAnsi="宋体" w:cs="宋体"/>
          <w:color w:val="auto"/>
          <w:highlight w:val="none"/>
        </w:rPr>
        <w:sectPr>
          <w:footerReference r:id="rId5" w:type="default"/>
          <w:pgSz w:w="11906" w:h="16838"/>
          <w:pgMar w:top="1418" w:right="1418" w:bottom="1418" w:left="1418" w:header="851" w:footer="992" w:gutter="0"/>
          <w:pgNumType w:fmt="decimal" w:start="1"/>
          <w:cols w:space="720" w:num="1"/>
          <w:docGrid w:linePitch="312" w:charSpace="0"/>
        </w:sectPr>
      </w:pPr>
    </w:p>
    <w:p w14:paraId="671E8FBC">
      <w:pPr>
        <w:keepNext w:val="0"/>
        <w:keepLines w:val="0"/>
        <w:pageBreakBefore w:val="0"/>
        <w:tabs>
          <w:tab w:val="left" w:pos="720"/>
        </w:tabs>
        <w:kinsoku/>
        <w:wordWrap/>
        <w:overflowPunct/>
        <w:topLinePunct w:val="0"/>
        <w:autoSpaceDE/>
        <w:autoSpaceDN/>
        <w:bidi w:val="0"/>
        <w:adjustRightInd/>
        <w:spacing w:line="348" w:lineRule="auto"/>
        <w:rPr>
          <w:rFonts w:hint="eastAsia" w:ascii="宋体" w:hAnsi="宋体" w:cs="宋体"/>
          <w:b/>
          <w:color w:val="auto"/>
          <w:szCs w:val="21"/>
          <w:highlight w:val="none"/>
        </w:rPr>
      </w:pPr>
      <w:r>
        <w:rPr>
          <w:rFonts w:hint="eastAsia" w:ascii="宋体" w:hAnsi="宋体" w:cs="宋体"/>
          <w:b/>
          <w:color w:val="auto"/>
          <w:szCs w:val="21"/>
          <w:highlight w:val="none"/>
        </w:rPr>
        <w:t>注：本合同仅为合同的参考文本，合同签订双方可根据项目的具体要求进行修订。</w:t>
      </w:r>
    </w:p>
    <w:p w14:paraId="052C99F9">
      <w:pPr>
        <w:keepLines w:val="0"/>
        <w:pageBreakBefore w:val="0"/>
        <w:kinsoku/>
        <w:wordWrap/>
        <w:overflowPunct/>
        <w:topLinePunct w:val="0"/>
        <w:autoSpaceDE/>
        <w:autoSpaceDN/>
        <w:bidi w:val="0"/>
        <w:adjustRightInd/>
        <w:snapToGrid/>
        <w:spacing w:line="348" w:lineRule="auto"/>
        <w:ind w:right="0" w:firstLine="422" w:firstLineChars="200"/>
        <w:textAlignment w:val="auto"/>
        <w:rPr>
          <w:rFonts w:ascii="宋体" w:hAnsi="宋体" w:cs="宋体"/>
          <w:b/>
          <w:bCs/>
          <w:color w:val="auto"/>
          <w:kern w:val="16"/>
          <w:szCs w:val="21"/>
          <w:highlight w:val="none"/>
          <w:u w:val="single"/>
        </w:rPr>
      </w:pPr>
      <w:r>
        <w:rPr>
          <w:rFonts w:hint="eastAsia" w:ascii="宋体" w:hAnsi="宋体" w:cs="宋体"/>
          <w:b/>
          <w:bCs/>
          <w:color w:val="auto"/>
          <w:kern w:val="16"/>
          <w:szCs w:val="21"/>
          <w:highlight w:val="none"/>
        </w:rPr>
        <w:t>甲方：</w:t>
      </w:r>
      <w:r>
        <w:rPr>
          <w:rFonts w:hint="eastAsia" w:ascii="宋体" w:hAnsi="宋体" w:cs="宋体"/>
          <w:b/>
          <w:bCs/>
          <w:color w:val="auto"/>
          <w:kern w:val="16"/>
          <w:szCs w:val="21"/>
          <w:highlight w:val="none"/>
          <w:u w:val="single"/>
        </w:rPr>
        <w:t xml:space="preserve">                           </w:t>
      </w:r>
    </w:p>
    <w:p w14:paraId="6CAE46DA">
      <w:pPr>
        <w:keepLines w:val="0"/>
        <w:pageBreakBefore w:val="0"/>
        <w:kinsoku/>
        <w:wordWrap/>
        <w:overflowPunct/>
        <w:topLinePunct w:val="0"/>
        <w:autoSpaceDE/>
        <w:autoSpaceDN/>
        <w:bidi w:val="0"/>
        <w:adjustRightInd/>
        <w:snapToGrid/>
        <w:spacing w:line="348" w:lineRule="auto"/>
        <w:ind w:right="0" w:firstLine="422" w:firstLineChars="200"/>
        <w:textAlignment w:val="auto"/>
        <w:rPr>
          <w:rFonts w:ascii="宋体" w:hAnsi="宋体" w:cs="宋体"/>
          <w:b/>
          <w:bCs/>
          <w:color w:val="auto"/>
          <w:szCs w:val="21"/>
          <w:highlight w:val="none"/>
        </w:rPr>
      </w:pPr>
      <w:r>
        <w:rPr>
          <w:rFonts w:hint="eastAsia" w:ascii="宋体" w:hAnsi="宋体" w:cs="宋体"/>
          <w:b/>
          <w:bCs/>
          <w:color w:val="auto"/>
          <w:kern w:val="16"/>
          <w:szCs w:val="21"/>
          <w:highlight w:val="none"/>
        </w:rPr>
        <w:t>乙方：</w:t>
      </w:r>
      <w:r>
        <w:rPr>
          <w:rFonts w:hint="eastAsia" w:ascii="宋体" w:hAnsi="宋体" w:cs="宋体"/>
          <w:b/>
          <w:bCs/>
          <w:color w:val="auto"/>
          <w:kern w:val="16"/>
          <w:szCs w:val="21"/>
          <w:highlight w:val="none"/>
          <w:u w:val="single"/>
        </w:rPr>
        <w:t xml:space="preserve">                           </w:t>
      </w:r>
      <w:r>
        <w:rPr>
          <w:rFonts w:hint="eastAsia" w:ascii="宋体" w:hAnsi="宋体" w:cs="宋体"/>
          <w:color w:val="auto"/>
          <w:kern w:val="16"/>
          <w:szCs w:val="21"/>
          <w:highlight w:val="none"/>
        </w:rPr>
        <w:t xml:space="preserve">   </w:t>
      </w:r>
    </w:p>
    <w:p w14:paraId="5E2DC32E">
      <w:pPr>
        <w:spacing w:line="348"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lang w:eastAsia="zh-CN"/>
        </w:rPr>
        <w:t>征集2026年—2028年校园桶装饮用水服务商</w:t>
      </w:r>
      <w:r>
        <w:rPr>
          <w:rFonts w:hint="eastAsia" w:ascii="宋体" w:hAnsi="宋体" w:cs="宋体"/>
          <w:color w:val="auto"/>
          <w:szCs w:val="21"/>
          <w:highlight w:val="none"/>
        </w:rPr>
        <w:t>的招标结果，根据《中华人民共和国招标投标法》《中华人民共和国民法典》及其他相关法律法规的规定，经双方协商，本着平等互利和诚实信用的原则，一致同意签订本合同如下。</w:t>
      </w:r>
    </w:p>
    <w:p w14:paraId="566A9003">
      <w:pPr>
        <w:widowControl/>
        <w:spacing w:line="348" w:lineRule="auto"/>
        <w:ind w:firstLine="422" w:firstLineChars="200"/>
        <w:rPr>
          <w:rFonts w:ascii="宋体" w:hAnsi="宋体" w:cs="宋体"/>
          <w:color w:val="auto"/>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szCs w:val="21"/>
          <w:highlight w:val="none"/>
        </w:rPr>
        <w:t>服务地点：</w:t>
      </w:r>
      <w:r>
        <w:rPr>
          <w:rFonts w:hint="eastAsia" w:ascii="宋体" w:hAnsi="宋体" w:cs="宋体"/>
          <w:color w:val="auto"/>
          <w:szCs w:val="21"/>
          <w:highlight w:val="none"/>
        </w:rPr>
        <w:t>按</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指定地点。</w:t>
      </w:r>
    </w:p>
    <w:p w14:paraId="09EA4855">
      <w:pPr>
        <w:widowControl/>
        <w:spacing w:line="348"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二、</w:t>
      </w:r>
      <w:r>
        <w:rPr>
          <w:rFonts w:hint="eastAsia" w:ascii="宋体" w:hAnsi="宋体" w:eastAsia="宋体" w:cs="宋体"/>
          <w:b/>
          <w:bCs/>
          <w:color w:val="auto"/>
          <w:szCs w:val="21"/>
          <w:highlight w:val="none"/>
          <w:lang w:eastAsia="zh-CN"/>
        </w:rPr>
        <w:t>合同期限：</w:t>
      </w:r>
      <w:r>
        <w:rPr>
          <w:rFonts w:hint="eastAsia" w:ascii="宋体" w:hAnsi="宋体" w:eastAsia="宋体" w:cs="宋体"/>
          <w:bCs/>
          <w:color w:val="auto"/>
          <w:sz w:val="21"/>
          <w:szCs w:val="21"/>
          <w:highlight w:val="none"/>
        </w:rPr>
        <w:t>服务期为</w:t>
      </w:r>
      <w:r>
        <w:rPr>
          <w:rFonts w:hint="eastAsia" w:ascii="宋体" w:hAnsi="宋体" w:eastAsia="宋体" w:cs="宋体"/>
          <w:bCs/>
          <w:color w:val="auto"/>
          <w:sz w:val="21"/>
          <w:szCs w:val="21"/>
          <w:highlight w:val="none"/>
          <w:lang w:val="en-US" w:eastAsia="zh-CN"/>
        </w:rPr>
        <w:t>两</w:t>
      </w:r>
      <w:r>
        <w:rPr>
          <w:rFonts w:hint="eastAsia" w:ascii="宋体" w:hAnsi="宋体" w:eastAsia="宋体" w:cs="宋体"/>
          <w:bCs/>
          <w:color w:val="auto"/>
          <w:sz w:val="21"/>
          <w:szCs w:val="21"/>
          <w:highlight w:val="none"/>
        </w:rPr>
        <w:t>年，自2026年8月1日起至2028年7月31日止</w:t>
      </w:r>
      <w:r>
        <w:rPr>
          <w:rFonts w:hint="eastAsia" w:ascii="宋体" w:hAnsi="宋体" w:cs="宋体"/>
          <w:bCs/>
          <w:color w:val="auto"/>
          <w:sz w:val="21"/>
          <w:szCs w:val="21"/>
          <w:highlight w:val="none"/>
          <w:lang w:eastAsia="zh-CN"/>
        </w:rPr>
        <w:t>。</w:t>
      </w:r>
    </w:p>
    <w:p w14:paraId="30DBEFAE">
      <w:pPr>
        <w:widowControl/>
        <w:spacing w:line="348"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cs="宋体"/>
          <w:b/>
          <w:bCs/>
          <w:color w:val="auto"/>
          <w:kern w:val="0"/>
          <w:szCs w:val="21"/>
          <w:highlight w:val="none"/>
        </w:rPr>
        <w:t>合同金额</w:t>
      </w:r>
      <w:r>
        <w:rPr>
          <w:rFonts w:hint="eastAsia" w:ascii="宋体" w:hAnsi="宋体" w:cs="宋体"/>
          <w:b/>
          <w:bCs/>
          <w:color w:val="auto"/>
          <w:szCs w:val="21"/>
          <w:highlight w:val="none"/>
        </w:rPr>
        <w:t>：</w:t>
      </w:r>
    </w:p>
    <w:p w14:paraId="353A400B">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r>
        <w:rPr>
          <w:rFonts w:hint="eastAsia" w:ascii="宋体" w:hAnsi="宋体" w:eastAsia="宋体" w:cs="宋体"/>
          <w:b/>
          <w:bCs/>
          <w:color w:val="auto"/>
          <w:sz w:val="21"/>
          <w:szCs w:val="21"/>
          <w:highlight w:val="none"/>
        </w:rPr>
        <w:t>饮用水</w:t>
      </w:r>
      <w:r>
        <w:rPr>
          <w:rFonts w:hint="eastAsia" w:ascii="宋体" w:hAnsi="宋体" w:cs="宋体"/>
          <w:b/>
          <w:bCs/>
          <w:color w:val="auto"/>
          <w:sz w:val="21"/>
          <w:szCs w:val="21"/>
          <w:highlight w:val="none"/>
          <w:lang w:val="en-US" w:eastAsia="zh-CN"/>
        </w:rPr>
        <w:t>金额</w:t>
      </w:r>
    </w:p>
    <w:tbl>
      <w:tblPr>
        <w:tblStyle w:val="49"/>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98"/>
        <w:gridCol w:w="1378"/>
        <w:gridCol w:w="1714"/>
        <w:gridCol w:w="1702"/>
        <w:gridCol w:w="1374"/>
      </w:tblGrid>
      <w:tr w14:paraId="7592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0" w:type="dxa"/>
            <w:noWrap w:val="0"/>
            <w:vAlign w:val="center"/>
          </w:tcPr>
          <w:p w14:paraId="4F793D51">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498" w:type="dxa"/>
            <w:noWrap w:val="0"/>
            <w:vAlign w:val="center"/>
          </w:tcPr>
          <w:p w14:paraId="7EDBA31E">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1378" w:type="dxa"/>
            <w:noWrap w:val="0"/>
            <w:vAlign w:val="center"/>
          </w:tcPr>
          <w:p w14:paraId="2EF79539">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品牌</w:t>
            </w:r>
          </w:p>
        </w:tc>
        <w:tc>
          <w:tcPr>
            <w:tcW w:w="1714" w:type="dxa"/>
            <w:noWrap w:val="0"/>
            <w:vAlign w:val="center"/>
          </w:tcPr>
          <w:p w14:paraId="360B7BCB">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规格</w:t>
            </w:r>
          </w:p>
        </w:tc>
        <w:tc>
          <w:tcPr>
            <w:tcW w:w="1702" w:type="dxa"/>
            <w:noWrap w:val="0"/>
            <w:vAlign w:val="center"/>
          </w:tcPr>
          <w:p w14:paraId="20B80CAF">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单价（元/桶）</w:t>
            </w:r>
          </w:p>
        </w:tc>
        <w:tc>
          <w:tcPr>
            <w:tcW w:w="1374" w:type="dxa"/>
            <w:noWrap w:val="0"/>
            <w:vAlign w:val="center"/>
          </w:tcPr>
          <w:p w14:paraId="2B429FE8">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5A7D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noWrap w:val="0"/>
            <w:vAlign w:val="center"/>
          </w:tcPr>
          <w:p w14:paraId="57C20DD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498" w:type="dxa"/>
            <w:noWrap w:val="0"/>
            <w:vAlign w:val="center"/>
          </w:tcPr>
          <w:p w14:paraId="127023E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A类桶装饮用水</w:t>
            </w:r>
          </w:p>
        </w:tc>
        <w:tc>
          <w:tcPr>
            <w:tcW w:w="1378" w:type="dxa"/>
            <w:noWrap w:val="0"/>
            <w:vAlign w:val="center"/>
          </w:tcPr>
          <w:p w14:paraId="0B75C536">
            <w:pPr>
              <w:spacing w:line="360" w:lineRule="auto"/>
              <w:jc w:val="center"/>
              <w:rPr>
                <w:rFonts w:hint="eastAsia" w:ascii="宋体" w:hAnsi="宋体" w:eastAsia="宋体" w:cs="宋体"/>
                <w:color w:val="auto"/>
                <w:sz w:val="21"/>
                <w:szCs w:val="21"/>
                <w:highlight w:val="none"/>
              </w:rPr>
            </w:pPr>
          </w:p>
        </w:tc>
        <w:tc>
          <w:tcPr>
            <w:tcW w:w="1714" w:type="dxa"/>
            <w:noWrap w:val="0"/>
            <w:vAlign w:val="center"/>
          </w:tcPr>
          <w:p w14:paraId="5D39DA11">
            <w:pPr>
              <w:spacing w:line="360" w:lineRule="auto"/>
              <w:jc w:val="center"/>
              <w:rPr>
                <w:rFonts w:hint="eastAsia" w:ascii="宋体" w:hAnsi="宋体" w:eastAsia="宋体" w:cs="宋体"/>
                <w:color w:val="auto"/>
                <w:sz w:val="21"/>
                <w:szCs w:val="21"/>
                <w:highlight w:val="none"/>
              </w:rPr>
            </w:pPr>
          </w:p>
        </w:tc>
        <w:tc>
          <w:tcPr>
            <w:tcW w:w="1702" w:type="dxa"/>
            <w:noWrap w:val="0"/>
            <w:vAlign w:val="center"/>
          </w:tcPr>
          <w:p w14:paraId="7491DC66">
            <w:pPr>
              <w:spacing w:line="360" w:lineRule="auto"/>
              <w:jc w:val="center"/>
              <w:rPr>
                <w:rFonts w:hint="eastAsia" w:ascii="宋体" w:hAnsi="宋体" w:eastAsia="宋体" w:cs="宋体"/>
                <w:color w:val="auto"/>
                <w:sz w:val="21"/>
                <w:szCs w:val="21"/>
                <w:highlight w:val="none"/>
              </w:rPr>
            </w:pPr>
          </w:p>
        </w:tc>
        <w:tc>
          <w:tcPr>
            <w:tcW w:w="1374" w:type="dxa"/>
            <w:noWrap w:val="0"/>
            <w:vAlign w:val="center"/>
          </w:tcPr>
          <w:p w14:paraId="424796E5">
            <w:pPr>
              <w:spacing w:line="360" w:lineRule="auto"/>
              <w:jc w:val="center"/>
              <w:rPr>
                <w:rFonts w:hint="eastAsia" w:ascii="宋体" w:hAnsi="宋体" w:eastAsia="宋体" w:cs="宋体"/>
                <w:color w:val="auto"/>
                <w:sz w:val="21"/>
                <w:szCs w:val="21"/>
                <w:highlight w:val="none"/>
              </w:rPr>
            </w:pPr>
          </w:p>
        </w:tc>
      </w:tr>
      <w:tr w14:paraId="3600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0" w:type="dxa"/>
            <w:noWrap w:val="0"/>
            <w:vAlign w:val="center"/>
          </w:tcPr>
          <w:p w14:paraId="0076137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98" w:type="dxa"/>
            <w:noWrap w:val="0"/>
            <w:vAlign w:val="center"/>
          </w:tcPr>
          <w:p w14:paraId="641854D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B类饮用水</w:t>
            </w:r>
          </w:p>
        </w:tc>
        <w:tc>
          <w:tcPr>
            <w:tcW w:w="1378" w:type="dxa"/>
            <w:noWrap w:val="0"/>
            <w:vAlign w:val="center"/>
          </w:tcPr>
          <w:p w14:paraId="6DABE613">
            <w:pPr>
              <w:spacing w:line="360" w:lineRule="auto"/>
              <w:jc w:val="center"/>
              <w:rPr>
                <w:rFonts w:hint="eastAsia" w:ascii="宋体" w:hAnsi="宋体" w:eastAsia="宋体" w:cs="宋体"/>
                <w:color w:val="auto"/>
                <w:sz w:val="21"/>
                <w:szCs w:val="21"/>
                <w:highlight w:val="none"/>
              </w:rPr>
            </w:pPr>
          </w:p>
        </w:tc>
        <w:tc>
          <w:tcPr>
            <w:tcW w:w="1714" w:type="dxa"/>
            <w:noWrap w:val="0"/>
            <w:vAlign w:val="center"/>
          </w:tcPr>
          <w:p w14:paraId="1FB3A9BF">
            <w:pPr>
              <w:spacing w:line="360" w:lineRule="auto"/>
              <w:jc w:val="center"/>
              <w:rPr>
                <w:rFonts w:hint="eastAsia" w:ascii="宋体" w:hAnsi="宋体" w:eastAsia="宋体" w:cs="宋体"/>
                <w:color w:val="auto"/>
                <w:sz w:val="21"/>
                <w:szCs w:val="21"/>
                <w:highlight w:val="none"/>
              </w:rPr>
            </w:pPr>
          </w:p>
        </w:tc>
        <w:tc>
          <w:tcPr>
            <w:tcW w:w="1702" w:type="dxa"/>
            <w:noWrap w:val="0"/>
            <w:vAlign w:val="center"/>
          </w:tcPr>
          <w:p w14:paraId="5C062D82">
            <w:pPr>
              <w:spacing w:line="360" w:lineRule="auto"/>
              <w:jc w:val="center"/>
              <w:rPr>
                <w:rFonts w:hint="eastAsia" w:ascii="宋体" w:hAnsi="宋体" w:eastAsia="宋体" w:cs="宋体"/>
                <w:color w:val="auto"/>
                <w:sz w:val="21"/>
                <w:szCs w:val="21"/>
                <w:highlight w:val="none"/>
              </w:rPr>
            </w:pPr>
          </w:p>
        </w:tc>
        <w:tc>
          <w:tcPr>
            <w:tcW w:w="1374" w:type="dxa"/>
            <w:noWrap w:val="0"/>
            <w:vAlign w:val="center"/>
          </w:tcPr>
          <w:p w14:paraId="04476155">
            <w:pPr>
              <w:spacing w:line="360" w:lineRule="auto"/>
              <w:jc w:val="center"/>
              <w:rPr>
                <w:rFonts w:hint="eastAsia" w:ascii="宋体" w:hAnsi="宋体" w:eastAsia="宋体" w:cs="宋体"/>
                <w:color w:val="auto"/>
                <w:sz w:val="21"/>
                <w:szCs w:val="21"/>
                <w:highlight w:val="none"/>
              </w:rPr>
            </w:pPr>
          </w:p>
        </w:tc>
      </w:tr>
    </w:tbl>
    <w:p w14:paraId="5F87195B">
      <w:pPr>
        <w:numPr>
          <w:ilvl w:val="0"/>
          <w:numId w:val="0"/>
        </w:num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合同金额</w:t>
      </w:r>
      <w:r>
        <w:rPr>
          <w:rFonts w:hint="eastAsia" w:ascii="宋体" w:hAnsi="宋体" w:cs="宋体"/>
          <w:color w:val="auto"/>
          <w:szCs w:val="21"/>
          <w:highlight w:val="none"/>
        </w:rPr>
        <w:t>为人民币含税全包价。</w:t>
      </w:r>
      <w:r>
        <w:rPr>
          <w:rFonts w:hint="eastAsia" w:ascii="宋体" w:hAnsi="宋体" w:cs="宋体"/>
          <w:color w:val="auto"/>
          <w:szCs w:val="21"/>
          <w:highlight w:val="none"/>
          <w:lang w:val="en-US" w:eastAsia="zh-CN"/>
        </w:rPr>
        <w:t>包括完成本项目货物供货、包装、运输、保管、售后服务、税费等一切不可预见费用</w:t>
      </w:r>
      <w:r>
        <w:rPr>
          <w:rFonts w:hint="eastAsia" w:ascii="宋体" w:hAnsi="宋体" w:cs="宋体"/>
          <w:color w:val="auto"/>
          <w:szCs w:val="21"/>
          <w:highlight w:val="none"/>
          <w:lang w:eastAsia="zh-CN"/>
        </w:rPr>
        <w:t>。</w:t>
      </w:r>
    </w:p>
    <w:p w14:paraId="74877CD3">
      <w:pPr>
        <w:numPr>
          <w:ilvl w:val="0"/>
          <w:numId w:val="0"/>
        </w:num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cs="宋体"/>
          <w:color w:val="auto"/>
          <w:kern w:val="0"/>
          <w:szCs w:val="21"/>
          <w:highlight w:val="none"/>
          <w:lang w:val="en-US" w:eastAsia="zh-CN"/>
        </w:rPr>
        <w:t>（2）教职工、学生可自行选择A类、B类水。B类水的水质须优于A类水的品质。A类水：须符合GB19298-2014《食品安全国家标准包装饮用水》标准、GB 19304-2018《食品安全国家标准 包装饮用水生产卫生规范》要求，提供对应批次水质合格检测报告，保障饮水安全。B类饮用水：同一供水服务商供应的B类饮用水品质须优于其A类桶装饮用水，包括但不限于其水源产地、水质品质、包装规格、品牌层级、市场定位、饮用口感等须优于A类桶装饮用水。</w:t>
      </w:r>
    </w:p>
    <w:p w14:paraId="73E24476">
      <w:pPr>
        <w:numPr>
          <w:ilvl w:val="0"/>
          <w:numId w:val="0"/>
        </w:numPr>
        <w:spacing w:line="360" w:lineRule="auto"/>
        <w:ind w:firstLine="422" w:firstLineChars="200"/>
        <w:rPr>
          <w:rFonts w:hint="eastAsia" w:ascii="宋体" w:hAnsi="宋体"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存水点</w:t>
      </w:r>
      <w:r>
        <w:rPr>
          <w:rFonts w:hint="eastAsia" w:ascii="宋体" w:hAnsi="宋体" w:eastAsia="宋体" w:cs="宋体"/>
          <w:b/>
          <w:bCs/>
          <w:color w:val="auto"/>
          <w:sz w:val="21"/>
          <w:szCs w:val="21"/>
          <w:highlight w:val="none"/>
          <w:lang w:val="en-US" w:eastAsia="zh-CN"/>
        </w:rPr>
        <w:t>场地资源使用费</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元/年</w:t>
      </w:r>
      <w:r>
        <w:rPr>
          <w:rFonts w:hint="eastAsia" w:ascii="宋体" w:hAnsi="宋体" w:cs="宋体"/>
          <w:bCs/>
          <w:color w:val="auto"/>
          <w:sz w:val="21"/>
          <w:szCs w:val="21"/>
          <w:highlight w:val="none"/>
          <w:lang w:val="en-US" w:eastAsia="zh-CN"/>
        </w:rPr>
        <w:t>。</w:t>
      </w:r>
    </w:p>
    <w:p w14:paraId="3A8A9B3A">
      <w:pPr>
        <w:numPr>
          <w:ilvl w:val="0"/>
          <w:numId w:val="0"/>
        </w:num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注：以上为秋枫苑桶装水乙方仓库（71.1平方米）及各学生社区楼下临时存水点租金金额。</w:t>
      </w:r>
    </w:p>
    <w:p w14:paraId="1D0C225A">
      <w:pPr>
        <w:widowControl/>
        <w:spacing w:line="348" w:lineRule="auto"/>
        <w:ind w:firstLine="422" w:firstLineChars="200"/>
        <w:rPr>
          <w:rFonts w:hint="eastAsia" w:ascii="宋体" w:hAnsi="宋体" w:cs="宋体"/>
          <w:color w:val="auto"/>
          <w:szCs w:val="21"/>
          <w:highlight w:val="none"/>
        </w:rPr>
      </w:pPr>
      <w:r>
        <w:rPr>
          <w:rFonts w:hint="eastAsia" w:hAnsi="宋体" w:cs="宋体"/>
          <w:b/>
          <w:bCs w:val="0"/>
          <w:color w:val="auto"/>
          <w:sz w:val="21"/>
          <w:szCs w:val="21"/>
          <w:highlight w:val="none"/>
          <w:lang w:val="en-US" w:eastAsia="zh-CN"/>
        </w:rPr>
        <w:t>四、服务范围：</w:t>
      </w:r>
      <w:r>
        <w:rPr>
          <w:rFonts w:hint="eastAsia" w:ascii="宋体" w:hAnsi="宋体" w:cs="宋体"/>
          <w:color w:val="auto"/>
          <w:szCs w:val="21"/>
          <w:highlight w:val="none"/>
        </w:rPr>
        <w:t>学校韶乐园校区、黄田坝校区和十里亭校区师生用户。</w:t>
      </w:r>
    </w:p>
    <w:p w14:paraId="326D66FF">
      <w:pPr>
        <w:widowControl/>
        <w:spacing w:line="348" w:lineRule="auto"/>
        <w:ind w:firstLine="422" w:firstLineChars="200"/>
        <w:rPr>
          <w:rFonts w:hint="eastAsia" w:ascii="宋体" w:hAnsi="宋体" w:cs="宋体"/>
          <w:color w:val="auto"/>
          <w:szCs w:val="21"/>
          <w:highlight w:val="none"/>
        </w:rPr>
      </w:pPr>
      <w:r>
        <w:rPr>
          <w:rFonts w:hint="eastAsia" w:hAnsi="宋体" w:cs="宋体"/>
          <w:b/>
          <w:bCs w:val="0"/>
          <w:color w:val="auto"/>
          <w:sz w:val="21"/>
          <w:szCs w:val="21"/>
          <w:highlight w:val="none"/>
          <w:lang w:val="en-US" w:eastAsia="zh-CN"/>
        </w:rPr>
        <w:t>五、供货要求：</w:t>
      </w:r>
      <w:r>
        <w:rPr>
          <w:rFonts w:hint="eastAsia" w:ascii="宋体" w:hAnsi="宋体" w:cs="宋体"/>
          <w:color w:val="auto"/>
          <w:szCs w:val="21"/>
          <w:highlight w:val="none"/>
        </w:rPr>
        <w:t>保证全年不间断、全天8:00-19:00不间断为上述用户提供服务。送水时间由用户提前通知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w:t>
      </w:r>
    </w:p>
    <w:p w14:paraId="7A78DEE0">
      <w:pPr>
        <w:pStyle w:val="26"/>
        <w:adjustRightInd w:val="0"/>
        <w:snapToGrid w:val="0"/>
        <w:spacing w:line="360" w:lineRule="auto"/>
        <w:ind w:firstLine="422" w:firstLineChars="200"/>
        <w:outlineLvl w:val="1"/>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rPr>
        <w:t>服务要求</w:t>
      </w:r>
    </w:p>
    <w:p w14:paraId="1A2B47F6">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为学校提供桶装饮用水水桶并免收押金。</w:t>
      </w:r>
    </w:p>
    <w:p w14:paraId="6714547B">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为对饮水机有需求的学校教师公寓住户、办公室用户提供饮水机，并免收押金。</w:t>
      </w:r>
    </w:p>
    <w:p w14:paraId="61F4BF91">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每学期至少免费为每台饮水机清洗、消毒一次。饮水机清洗消毒有偿服务需要明码标价并予以公布，且价格不得高于市场价，并需取得学校同意。</w:t>
      </w:r>
    </w:p>
    <w:p w14:paraId="0EA68505">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免费为学校维修饮水机。</w:t>
      </w:r>
    </w:p>
    <w:p w14:paraId="564033D6">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以租赁或售卖形式为学校学生宿舍用户提供饮水机。饮水机租金不超过</w:t>
      </w:r>
      <w:r>
        <w:rPr>
          <w:rFonts w:hint="eastAsia" w:hAnsi="宋体" w:cs="宋体"/>
          <w:bCs/>
          <w:color w:val="auto"/>
          <w:sz w:val="21"/>
          <w:szCs w:val="21"/>
          <w:highlight w:val="none"/>
          <w:u w:val="single"/>
          <w:lang w:eastAsia="zh-CN"/>
        </w:rPr>
        <w:t xml:space="preserve"> </w:t>
      </w:r>
      <w:r>
        <w:rPr>
          <w:rFonts w:hint="eastAsia"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/年/台，销售价格不超过</w:t>
      </w:r>
      <w:r>
        <w:rPr>
          <w:rFonts w:hint="eastAsia" w:hAnsi="宋体" w:cs="宋体"/>
          <w:bCs/>
          <w:color w:val="auto"/>
          <w:sz w:val="21"/>
          <w:szCs w:val="21"/>
          <w:highlight w:val="none"/>
          <w:u w:val="single"/>
          <w:lang w:eastAsia="zh-CN"/>
        </w:rPr>
        <w:t xml:space="preserve"> </w:t>
      </w:r>
      <w:r>
        <w:rPr>
          <w:rFonts w:hint="eastAsia"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元/台。</w:t>
      </w:r>
    </w:p>
    <w:p w14:paraId="4E3BC850">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提供的饮水机使用期限（使用寿命）必须在国家规定的使用期限内，做好台账记录，饮水机使用年限届满后必须报废。</w:t>
      </w:r>
    </w:p>
    <w:p w14:paraId="049BF4FF">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临时存水点及存水仓</w:t>
      </w:r>
    </w:p>
    <w:p w14:paraId="109F9144">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临时存水点：</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应在韶乐园各学生社区、黄田坝校区和十里亭校区分别设置临时存水点并不少于23个。具体为：紫荆苑、紫薇苑、银杏苑、丹枫苑、红枫苑、紫竹苑、丹桂苑、芙蓉苑、蔷薇苑、海棠苑、秋枫苑、碧桂苑、碧桃苑、丹竹苑、紫藤苑、梧桐苑、樱花苑、金竹苑、文杏苑、黄田坝校区和十里亭校区等各1个点临时存水点，丁香苑2个点临时存水点。</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2</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存水仓库：学校</w:t>
      </w:r>
      <w:r>
        <w:rPr>
          <w:rFonts w:hint="eastAsia" w:hAnsi="宋体" w:cs="宋体"/>
          <w:bCs/>
          <w:color w:val="auto"/>
          <w:sz w:val="21"/>
          <w:szCs w:val="21"/>
          <w:highlight w:val="none"/>
          <w:lang w:val="en-US" w:eastAsia="zh-CN"/>
        </w:rPr>
        <w:t>有偿</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eastAsia="zh-CN"/>
        </w:rPr>
        <w:t>秋枫苑</w:t>
      </w:r>
      <w:r>
        <w:rPr>
          <w:rFonts w:hint="eastAsia" w:ascii="宋体" w:hAnsi="宋体" w:eastAsia="宋体" w:cs="宋体"/>
          <w:bCs/>
          <w:color w:val="auto"/>
          <w:sz w:val="21"/>
          <w:szCs w:val="21"/>
          <w:highlight w:val="none"/>
        </w:rPr>
        <w:t>桶装水</w:t>
      </w:r>
      <w:r>
        <w:rPr>
          <w:rFonts w:hint="eastAsia" w:hAnsi="宋体" w:cs="宋体"/>
          <w:bCs/>
          <w:color w:val="auto"/>
          <w:sz w:val="21"/>
          <w:szCs w:val="21"/>
          <w:highlight w:val="none"/>
          <w:lang w:val="en-US" w:eastAsia="zh-CN"/>
        </w:rPr>
        <w:t>为乙方</w:t>
      </w:r>
      <w:r>
        <w:rPr>
          <w:rFonts w:hint="eastAsia" w:ascii="宋体" w:hAnsi="宋体" w:eastAsia="宋体" w:cs="宋体"/>
          <w:bCs/>
          <w:color w:val="auto"/>
          <w:sz w:val="21"/>
          <w:szCs w:val="21"/>
          <w:highlight w:val="none"/>
        </w:rPr>
        <w:t>仓库（面积约71.1平方米）作为本次</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的存水仓库。</w:t>
      </w:r>
    </w:p>
    <w:p w14:paraId="04D527DF">
      <w:pPr>
        <w:pStyle w:val="26"/>
        <w:adjustRightInd w:val="0"/>
        <w:snapToGrid w:val="0"/>
        <w:spacing w:line="360" w:lineRule="auto"/>
        <w:ind w:firstLine="422" w:firstLineChars="200"/>
        <w:outlineLvl w:val="1"/>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val="en-US" w:eastAsia="zh-CN"/>
        </w:rPr>
        <w:t>七</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rPr>
        <w:t>产品质量要求</w:t>
      </w:r>
    </w:p>
    <w:p w14:paraId="5BE116C4">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必须符合国家桶装饮用山泉水（或矿泉水）标准，必须提供产品检验合格报告等。必须向用户提供符合国家安全、卫生标准的饮水机及饮用水桶。</w:t>
      </w:r>
    </w:p>
    <w:p w14:paraId="65DB7104">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.饮用水的质量标准必须按GB19298-2014《食品安全国家标准包装饮用水》标准、GB 19304-2018《食品安全国家标准 包装饮用水生产卫生规范》，</w:t>
      </w:r>
      <w:r>
        <w:rPr>
          <w:rFonts w:hint="eastAsia" w:ascii="宋体" w:hAnsi="宋体" w:eastAsia="宋体" w:cs="宋体"/>
          <w:bCs/>
          <w:color w:val="auto"/>
          <w:sz w:val="21"/>
          <w:szCs w:val="21"/>
          <w:highlight w:val="none"/>
          <w:lang w:val="en-US" w:eastAsia="zh-CN"/>
        </w:rPr>
        <w:t>饮用水</w:t>
      </w:r>
      <w:r>
        <w:rPr>
          <w:rFonts w:hint="eastAsia" w:ascii="宋体" w:hAnsi="宋体" w:eastAsia="宋体" w:cs="宋体"/>
          <w:bCs/>
          <w:color w:val="auto"/>
          <w:sz w:val="21"/>
          <w:szCs w:val="21"/>
          <w:highlight w:val="none"/>
          <w:lang w:eastAsia="zh-CN"/>
        </w:rPr>
        <w:t>水桶</w:t>
      </w:r>
      <w:r>
        <w:rPr>
          <w:rFonts w:hint="eastAsia" w:ascii="宋体" w:hAnsi="宋体" w:eastAsia="宋体" w:cs="宋体"/>
          <w:bCs/>
          <w:color w:val="auto"/>
          <w:sz w:val="21"/>
          <w:szCs w:val="21"/>
          <w:highlight w:val="none"/>
          <w:lang w:val="en-US" w:eastAsia="zh-CN"/>
        </w:rPr>
        <w:t>的质量、饮水机供应时必须出具国家认可的检测机构出具检测合格报告及合格证书，</w:t>
      </w:r>
      <w:r>
        <w:rPr>
          <w:rFonts w:hint="eastAsia" w:ascii="宋体" w:hAnsi="宋体" w:eastAsia="宋体" w:cs="宋体"/>
          <w:bCs/>
          <w:color w:val="auto"/>
          <w:sz w:val="21"/>
          <w:szCs w:val="21"/>
          <w:highlight w:val="none"/>
          <w:lang w:eastAsia="zh-CN"/>
        </w:rPr>
        <w:t>所有的产品质量指标必须根据国家相关部门最新颁发的有关法律法规文件规定进行调整。</w:t>
      </w:r>
    </w:p>
    <w:p w14:paraId="1DB2A220">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lang w:eastAsia="zh-CN"/>
        </w:rPr>
        <w:t>必须遵守并提供质量检验等服务。</w:t>
      </w:r>
    </w:p>
    <w:p w14:paraId="1FE0AD88">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.质量标识：①附产品检验合格证。②标明产品名称，生产日期、生产批号、执行标准代号、生产企业等。</w:t>
      </w:r>
    </w:p>
    <w:p w14:paraId="654F40DC">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lang w:eastAsia="zh-CN"/>
        </w:rPr>
        <w:t>提供的产品如出现质量问题，应在收到</w:t>
      </w:r>
      <w:r>
        <w:rPr>
          <w:rFonts w:hint="eastAsia" w:hAnsi="宋体" w:cs="宋体"/>
          <w:bCs/>
          <w:color w:val="auto"/>
          <w:sz w:val="21"/>
          <w:szCs w:val="21"/>
          <w:highlight w:val="none"/>
          <w:lang w:eastAsia="zh-CN"/>
        </w:rPr>
        <w:t>甲方</w:t>
      </w:r>
      <w:r>
        <w:rPr>
          <w:rFonts w:hint="eastAsia" w:ascii="宋体" w:hAnsi="宋体" w:eastAsia="宋体" w:cs="宋体"/>
          <w:bCs/>
          <w:color w:val="auto"/>
          <w:sz w:val="21"/>
          <w:szCs w:val="21"/>
          <w:highlight w:val="none"/>
          <w:lang w:eastAsia="zh-CN"/>
        </w:rPr>
        <w:t>通知后4小时内给予免费更换，否则，该批货物不给予支付货款。</w:t>
      </w:r>
    </w:p>
    <w:p w14:paraId="285F56C0">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6.</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lang w:eastAsia="zh-CN"/>
        </w:rPr>
        <w:t>每季度提供一次桶装饮用水质量检测报告。如</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eastAsia="zh-CN"/>
        </w:rPr>
        <w:t>对饮用水质量产生质疑，</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eastAsia="zh-CN"/>
        </w:rPr>
        <w:t>可携带该批次饮用水前往相关具有检测资质部门检测，</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lang w:eastAsia="zh-CN"/>
        </w:rPr>
        <w:t>需予以配合。</w:t>
      </w:r>
    </w:p>
    <w:p w14:paraId="125092C1">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rPr>
        <w:t>、基本要求</w:t>
      </w:r>
    </w:p>
    <w:p w14:paraId="475558A6">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每季度需向学校提供一份国家认可的检验机构出具的产品质量检验报告，每批次产品需提供自检报告。</w:t>
      </w:r>
    </w:p>
    <w:p w14:paraId="2EEA7B77">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乙方</w:t>
      </w:r>
      <w:r>
        <w:rPr>
          <w:rFonts w:hint="eastAsia" w:hAnsi="宋体" w:eastAsia="宋体" w:cs="宋体"/>
          <w:bCs/>
          <w:color w:val="auto"/>
          <w:sz w:val="21"/>
          <w:szCs w:val="21"/>
          <w:highlight w:val="none"/>
          <w:lang w:val="en-US" w:eastAsia="zh-CN"/>
        </w:rPr>
        <w:t>需</w:t>
      </w:r>
      <w:r>
        <w:rPr>
          <w:rFonts w:hint="eastAsia" w:ascii="宋体" w:hAnsi="宋体" w:eastAsia="宋体" w:cs="宋体"/>
          <w:bCs/>
          <w:color w:val="auto"/>
          <w:sz w:val="21"/>
          <w:szCs w:val="21"/>
          <w:highlight w:val="none"/>
        </w:rPr>
        <w:t>配合学校每两个月从存水仓库抽样送检1次，并支付送检的相关费用。如水样检查结果不合格，学校有权终止合同。</w:t>
      </w:r>
    </w:p>
    <w:p w14:paraId="6EF7C22E">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在合同执行期间，必须严格遵守约定的价格条款，未经学校以书面形式正式同意，不得以任何理由擅自单方面提高产品或服务的价格。</w:t>
      </w:r>
    </w:p>
    <w:p w14:paraId="63B5CE77">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val="en-US" w:eastAsia="zh-CN"/>
        </w:rPr>
        <w:t>九、</w:t>
      </w:r>
      <w:r>
        <w:rPr>
          <w:rFonts w:hint="eastAsia" w:ascii="宋体" w:hAnsi="宋体" w:eastAsia="宋体" w:cs="宋体"/>
          <w:b/>
          <w:bCs w:val="0"/>
          <w:color w:val="auto"/>
          <w:sz w:val="21"/>
          <w:szCs w:val="21"/>
          <w:highlight w:val="none"/>
        </w:rPr>
        <w:t>履约保证</w:t>
      </w:r>
    </w:p>
    <w:p w14:paraId="567EA3D4">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1.收取比例：按照最终中标缴纳场地资源使用费（即合同应缴纳总金额）的10%，收取合同履约保证金。</w:t>
      </w:r>
    </w:p>
    <w:p w14:paraId="70F69B81">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2.以银行汇票、本票或金融机构、担保机构出具的保函等非现金形式提交。保证</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遵守招标文件要求、投标文件的承诺及合同约定的一切条款、条件和承诺，该保证金在</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 xml:space="preserve">的规定存续期间不计息。 </w:t>
      </w:r>
    </w:p>
    <w:p w14:paraId="2AA3DF73">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3.退还说明：</w:t>
      </w:r>
    </w:p>
    <w:p w14:paraId="34FBDF25">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（1）若</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没有违约行为，履约保证金在服务期满30日内无息退还，以银行汇票、本票形式提交的，按原提交渠道退还；以电子保函（保险）形式提交的，在保函有效期届满后自动失效、自动解除担保责任，</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无需主动办理保函解除及释放相关手续。如遇</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暑假、财务年度封账期等客观无法办理退款手续的情况，退还时间相应顺延，顺延期间不计入逾期退款时限。履约保证金不予退还的情形：</w:t>
      </w:r>
    </w:p>
    <w:p w14:paraId="06FA548E">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①拒绝履行合同义务的；</w:t>
      </w:r>
    </w:p>
    <w:p w14:paraId="41F52E32">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②履约验收不合格的。</w:t>
      </w:r>
    </w:p>
    <w:p w14:paraId="37300BE9">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十、</w:t>
      </w:r>
      <w:r>
        <w:rPr>
          <w:rFonts w:hint="eastAsia" w:ascii="宋体" w:hAnsi="宋体" w:eastAsia="宋体" w:cs="宋体"/>
          <w:b/>
          <w:bCs w:val="0"/>
          <w:color w:val="auto"/>
          <w:sz w:val="21"/>
          <w:szCs w:val="21"/>
          <w:highlight w:val="none"/>
          <w:lang w:val="en-US" w:eastAsia="zh-CN"/>
        </w:rPr>
        <w:t>生产线</w:t>
      </w:r>
    </w:p>
    <w:p w14:paraId="7E7D24ED">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拥有年产不少于</w:t>
      </w:r>
      <w:r>
        <w:rPr>
          <w:rFonts w:hint="eastAsia"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万桶的生产线。</w:t>
      </w:r>
    </w:p>
    <w:p w14:paraId="654FF67E">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十一、</w:t>
      </w:r>
      <w:r>
        <w:rPr>
          <w:rFonts w:hint="eastAsia" w:ascii="宋体" w:hAnsi="宋体" w:eastAsia="宋体" w:cs="宋体"/>
          <w:b/>
          <w:bCs w:val="0"/>
          <w:color w:val="auto"/>
          <w:sz w:val="21"/>
          <w:szCs w:val="21"/>
          <w:highlight w:val="none"/>
          <w:lang w:val="en-US" w:eastAsia="zh-CN"/>
        </w:rPr>
        <w:t>公益水站（点）</w:t>
      </w:r>
    </w:p>
    <w:p w14:paraId="05DCD738">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在学校指定的区域内设置不少于10个公益水站（点）。其中，在韶乐园校区设公益水站不少于3个，公益水点不少于7个。每个站点需设</w:t>
      </w:r>
      <w:r>
        <w:rPr>
          <w:rFonts w:hint="eastAsia" w:ascii="宋体" w:hAnsi="宋体" w:eastAsia="宋体" w:cs="宋体"/>
          <w:bCs/>
          <w:color w:val="auto"/>
          <w:sz w:val="21"/>
          <w:szCs w:val="21"/>
          <w:highlight w:val="none"/>
        </w:rPr>
        <w:t>不少于2台饮水机，</w:t>
      </w:r>
      <w:r>
        <w:rPr>
          <w:rFonts w:hint="eastAsia" w:ascii="宋体" w:hAnsi="宋体" w:eastAsia="宋体" w:cs="宋体"/>
          <w:bCs/>
          <w:color w:val="auto"/>
          <w:sz w:val="21"/>
          <w:szCs w:val="21"/>
          <w:highlight w:val="none"/>
          <w:lang w:eastAsia="zh-CN"/>
        </w:rPr>
        <w:t>每个</w:t>
      </w:r>
      <w:r>
        <w:rPr>
          <w:rFonts w:hint="eastAsia" w:ascii="宋体" w:hAnsi="宋体" w:eastAsia="宋体" w:cs="宋体"/>
          <w:bCs/>
          <w:color w:val="auto"/>
          <w:sz w:val="21"/>
          <w:szCs w:val="21"/>
          <w:highlight w:val="none"/>
        </w:rPr>
        <w:t>站点每天应供应不少于2桶/机，每个公益水站（点）提供A类水，供师生免费使用并确保水质及使用安全，各公益水站（点）需做好供水台账记录。合同生效后需在3个月内完成以上公益水站（点）设置</w:t>
      </w:r>
      <w:r>
        <w:rPr>
          <w:rFonts w:hint="eastAsia" w:hAnsi="宋体" w:eastAsia="宋体" w:cs="宋体"/>
          <w:bCs/>
          <w:color w:val="auto"/>
          <w:sz w:val="21"/>
          <w:szCs w:val="21"/>
          <w:highlight w:val="none"/>
          <w:lang w:eastAsia="zh-CN"/>
        </w:rPr>
        <w:t>。</w:t>
      </w:r>
    </w:p>
    <w:p w14:paraId="0188F3F4">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val="en-US" w:eastAsia="zh-CN"/>
        </w:rPr>
        <w:t>十二、</w:t>
      </w:r>
      <w:r>
        <w:rPr>
          <w:rFonts w:hint="eastAsia" w:ascii="宋体" w:hAnsi="宋体" w:eastAsia="宋体" w:cs="宋体"/>
          <w:b/>
          <w:bCs w:val="0"/>
          <w:color w:val="auto"/>
          <w:sz w:val="21"/>
          <w:szCs w:val="21"/>
          <w:highlight w:val="none"/>
          <w:lang w:eastAsia="zh-CN"/>
        </w:rPr>
        <w:t>费用缴</w:t>
      </w:r>
      <w:r>
        <w:rPr>
          <w:rFonts w:hint="eastAsia" w:ascii="宋体" w:hAnsi="宋体" w:eastAsia="宋体" w:cs="宋体"/>
          <w:b/>
          <w:bCs w:val="0"/>
          <w:color w:val="auto"/>
          <w:sz w:val="21"/>
          <w:szCs w:val="21"/>
          <w:highlight w:val="none"/>
        </w:rPr>
        <w:t>付方式</w:t>
      </w:r>
    </w:p>
    <w:p w14:paraId="1FE8CDE5">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场地</w:t>
      </w:r>
      <w:r>
        <w:rPr>
          <w:rFonts w:hint="eastAsia" w:ascii="宋体" w:hAnsi="宋体" w:eastAsia="宋体" w:cs="宋体"/>
          <w:bCs/>
          <w:color w:val="auto"/>
          <w:sz w:val="21"/>
          <w:szCs w:val="21"/>
          <w:highlight w:val="none"/>
          <w:lang w:eastAsia="zh-CN"/>
        </w:rPr>
        <w:t>资源使用费、</w:t>
      </w:r>
      <w:r>
        <w:rPr>
          <w:rFonts w:hint="eastAsia" w:ascii="宋体" w:hAnsi="宋体" w:eastAsia="宋体" w:cs="宋体"/>
          <w:bCs/>
          <w:color w:val="auto"/>
          <w:sz w:val="21"/>
          <w:szCs w:val="21"/>
          <w:highlight w:val="none"/>
        </w:rPr>
        <w:t>水电费缴费标准按照粤教财〔2021〕3号文件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国有资产有关管理规定</w:t>
      </w:r>
      <w:r>
        <w:rPr>
          <w:rFonts w:hint="eastAsia" w:ascii="宋体" w:hAnsi="宋体" w:eastAsia="宋体" w:cs="宋体"/>
          <w:bCs/>
          <w:color w:val="auto"/>
          <w:sz w:val="21"/>
          <w:szCs w:val="21"/>
          <w:highlight w:val="none"/>
        </w:rPr>
        <w:t>及《韶关学院水电管理办法》等相关规定执行。</w:t>
      </w:r>
      <w:r>
        <w:rPr>
          <w:rFonts w:hint="eastAsia" w:ascii="宋体" w:hAnsi="宋体" w:eastAsia="宋体" w:cs="宋体"/>
          <w:bCs/>
          <w:color w:val="auto"/>
          <w:sz w:val="21"/>
          <w:szCs w:val="21"/>
          <w:highlight w:val="none"/>
          <w:lang w:eastAsia="zh-CN"/>
        </w:rPr>
        <w:t>按照合同约定缴费期限、</w:t>
      </w:r>
      <w:r>
        <w:rPr>
          <w:rFonts w:hint="eastAsia" w:ascii="宋体" w:hAnsi="宋体" w:eastAsia="宋体" w:cs="宋体"/>
          <w:bCs/>
          <w:color w:val="auto"/>
          <w:sz w:val="21"/>
          <w:szCs w:val="21"/>
          <w:highlight w:val="none"/>
          <w:lang w:val="en-US" w:eastAsia="zh-CN"/>
        </w:rPr>
        <w:t>金额</w:t>
      </w:r>
      <w:r>
        <w:rPr>
          <w:rFonts w:hint="eastAsia" w:ascii="宋体" w:hAnsi="宋体" w:eastAsia="宋体" w:cs="宋体"/>
          <w:bCs/>
          <w:color w:val="auto"/>
          <w:sz w:val="21"/>
          <w:szCs w:val="21"/>
          <w:highlight w:val="none"/>
          <w:lang w:eastAsia="zh-CN"/>
        </w:rPr>
        <w:t>等有关要求，将</w:t>
      </w:r>
      <w:r>
        <w:rPr>
          <w:rFonts w:hint="eastAsia" w:ascii="宋体" w:hAnsi="宋体" w:eastAsia="宋体" w:cs="宋体"/>
          <w:bCs/>
          <w:color w:val="auto"/>
          <w:sz w:val="21"/>
          <w:szCs w:val="21"/>
          <w:highlight w:val="none"/>
          <w:lang w:val="en-US" w:eastAsia="zh-CN"/>
        </w:rPr>
        <w:t>费用</w:t>
      </w:r>
      <w:r>
        <w:rPr>
          <w:rFonts w:hint="eastAsia" w:ascii="宋体" w:hAnsi="宋体" w:eastAsia="宋体" w:cs="宋体"/>
          <w:bCs/>
          <w:color w:val="auto"/>
          <w:sz w:val="21"/>
          <w:szCs w:val="21"/>
          <w:highlight w:val="none"/>
          <w:lang w:eastAsia="zh-CN"/>
        </w:rPr>
        <w:t>交缴</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eastAsia="zh-CN"/>
        </w:rPr>
        <w:t>指定账户。</w:t>
      </w:r>
    </w:p>
    <w:p w14:paraId="18B539B6">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val="en-US" w:eastAsia="zh-CN"/>
        </w:rPr>
        <w:t>十三、</w:t>
      </w:r>
      <w:r>
        <w:rPr>
          <w:rFonts w:hint="eastAsia" w:ascii="宋体" w:hAnsi="宋体" w:eastAsia="宋体" w:cs="宋体"/>
          <w:b/>
          <w:bCs w:val="0"/>
          <w:color w:val="auto"/>
          <w:sz w:val="21"/>
          <w:szCs w:val="21"/>
          <w:highlight w:val="none"/>
        </w:rPr>
        <w:t>着装管理</w:t>
      </w:r>
    </w:p>
    <w:p w14:paraId="35074FA1">
      <w:pPr>
        <w:pStyle w:val="26"/>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相关工作人员、车辆须严格遵守学校相关管理规定。工作人员应统一着装、挂牌上岗，服务车辆应统一标识并严格遵守有关管理规定安全、文明运营。存水点的安全管理一概由</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自行负责。</w:t>
      </w:r>
    </w:p>
    <w:p w14:paraId="3CE62A0C">
      <w:pPr>
        <w:pStyle w:val="26"/>
        <w:adjustRightInd w:val="0"/>
        <w:snapToGrid w:val="0"/>
        <w:spacing w:line="360" w:lineRule="auto"/>
        <w:ind w:firstLine="422" w:firstLineChars="200"/>
        <w:rPr>
          <w:rFonts w:hint="eastAsia" w:ascii="宋体" w:hAnsi="宋体" w:eastAsia="宋体" w:cs="宋体"/>
          <w:bCs/>
          <w:color w:val="auto"/>
          <w:sz w:val="21"/>
          <w:szCs w:val="21"/>
          <w:highlight w:val="none"/>
        </w:rPr>
      </w:pPr>
      <w:r>
        <w:rPr>
          <w:rFonts w:hint="eastAsia" w:hAnsi="宋体" w:cs="宋体"/>
          <w:b/>
          <w:bCs w:val="0"/>
          <w:color w:val="auto"/>
          <w:sz w:val="21"/>
          <w:szCs w:val="21"/>
          <w:highlight w:val="none"/>
          <w:lang w:val="en-US" w:eastAsia="zh-CN"/>
        </w:rPr>
        <w:t>十四、</w:t>
      </w:r>
      <w:r>
        <w:rPr>
          <w:rFonts w:hint="eastAsia" w:ascii="宋体" w:hAnsi="宋体" w:eastAsia="宋体" w:cs="宋体"/>
          <w:b/>
          <w:bCs w:val="0"/>
          <w:color w:val="auto"/>
          <w:sz w:val="21"/>
          <w:szCs w:val="21"/>
          <w:highlight w:val="none"/>
        </w:rPr>
        <w:t>退场与设施处置</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合同终止时，</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无条件拆走其所有设施设备。如逾期拆除，视为不再使用，学校有权进行处置。</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2.</w:t>
      </w:r>
      <w:r>
        <w:rPr>
          <w:rFonts w:hint="eastAsia" w:ascii="宋体" w:hAnsi="宋体" w:eastAsia="宋体" w:cs="宋体"/>
          <w:bCs/>
          <w:color w:val="auto"/>
          <w:sz w:val="21"/>
          <w:szCs w:val="21"/>
          <w:highlight w:val="none"/>
        </w:rPr>
        <w:t>服务期满后，公益水站相关设施仍归</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所有。若参与下一期竞标失败，</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应在15个工作日内自行按学校要求完成相关设施的处置。</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合同期满或解除，</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应退还用户已预缴饮水机剩余租金（按实际使用时间计算），饮水机由</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自行处置。否则，学校有权将履约保证金作为违约金抵扣。</w:t>
      </w:r>
    </w:p>
    <w:p w14:paraId="6E0C1715">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十五、</w:t>
      </w:r>
      <w:r>
        <w:rPr>
          <w:rFonts w:hint="eastAsia" w:ascii="宋体" w:hAnsi="宋体" w:eastAsia="宋体" w:cs="宋体"/>
          <w:b/>
          <w:bCs w:val="0"/>
          <w:color w:val="auto"/>
          <w:sz w:val="21"/>
          <w:szCs w:val="21"/>
          <w:highlight w:val="none"/>
        </w:rPr>
        <w:t>服务期内</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由于</w:t>
      </w:r>
      <w:r>
        <w:rPr>
          <w:rFonts w:hint="eastAsia" w:hAnsi="宋体" w:cs="宋体"/>
          <w:b/>
          <w:bCs w:val="0"/>
          <w:color w:val="auto"/>
          <w:sz w:val="21"/>
          <w:szCs w:val="21"/>
          <w:highlight w:val="none"/>
          <w:lang w:val="en-US" w:eastAsia="zh-CN"/>
        </w:rPr>
        <w:t>乙方</w:t>
      </w:r>
      <w:r>
        <w:rPr>
          <w:rFonts w:hint="eastAsia" w:ascii="宋体" w:hAnsi="宋体" w:eastAsia="宋体" w:cs="宋体"/>
          <w:b/>
          <w:bCs w:val="0"/>
          <w:color w:val="auto"/>
          <w:sz w:val="21"/>
          <w:szCs w:val="21"/>
          <w:highlight w:val="none"/>
        </w:rPr>
        <w:t>的原因发生安全事故（包括饮用水安全事故）、</w:t>
      </w:r>
      <w:r>
        <w:rPr>
          <w:rFonts w:hint="eastAsia" w:ascii="宋体" w:hAnsi="宋体" w:eastAsia="宋体" w:cs="宋体"/>
          <w:b/>
          <w:bCs w:val="0"/>
          <w:color w:val="auto"/>
          <w:sz w:val="21"/>
          <w:szCs w:val="21"/>
          <w:highlight w:val="none"/>
          <w:lang w:eastAsia="zh-CN"/>
        </w:rPr>
        <w:t>违反</w:t>
      </w:r>
      <w:r>
        <w:rPr>
          <w:rFonts w:hint="eastAsia" w:ascii="宋体" w:hAnsi="宋体" w:eastAsia="宋体" w:cs="宋体"/>
          <w:b/>
          <w:bCs w:val="0"/>
          <w:color w:val="auto"/>
          <w:sz w:val="21"/>
          <w:szCs w:val="21"/>
          <w:highlight w:val="none"/>
        </w:rPr>
        <w:t>学校相关管理规定、</w:t>
      </w:r>
      <w:r>
        <w:rPr>
          <w:rFonts w:hint="eastAsia" w:ascii="宋体" w:hAnsi="宋体" w:eastAsia="宋体" w:cs="宋体"/>
          <w:b/>
          <w:bCs w:val="0"/>
          <w:color w:val="auto"/>
          <w:sz w:val="21"/>
          <w:szCs w:val="21"/>
          <w:highlight w:val="none"/>
          <w:lang w:val="en-US" w:eastAsia="zh-CN"/>
        </w:rPr>
        <w:t>学校师生投诉拒不整改等情况发生的，学校有权提前终止合同。</w:t>
      </w:r>
    </w:p>
    <w:p w14:paraId="2751BCED">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十六、</w:t>
      </w:r>
      <w:r>
        <w:rPr>
          <w:rFonts w:hint="eastAsia" w:ascii="宋体" w:hAnsi="宋体" w:eastAsia="宋体" w:cs="宋体"/>
          <w:b/>
          <w:bCs w:val="0"/>
          <w:color w:val="auto"/>
          <w:sz w:val="21"/>
          <w:szCs w:val="21"/>
          <w:highlight w:val="none"/>
          <w:lang w:val="en-US" w:eastAsia="zh-CN"/>
        </w:rPr>
        <w:t>售后服务</w:t>
      </w:r>
    </w:p>
    <w:p w14:paraId="0C841E5C">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1.提供质量检测报告。</w:t>
      </w:r>
    </w:p>
    <w:p w14:paraId="7171F93F">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2.能有效妥善处理产品质量问题、配送服务不到位等情况。同时</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须定期主动跟进配送服务，不断提升用户满意度。</w:t>
      </w:r>
    </w:p>
    <w:p w14:paraId="5CE4E636">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3.若</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要进行信息变更时，应在变更之日起1日内，</w:t>
      </w:r>
      <w:r>
        <w:rPr>
          <w:rFonts w:hint="eastAsia" w:hAnsi="宋体" w:cs="宋体"/>
          <w:bCs/>
          <w:color w:val="auto"/>
          <w:sz w:val="21"/>
          <w:szCs w:val="21"/>
          <w:highlight w:val="none"/>
          <w:lang w:val="en-US" w:eastAsia="zh-CN"/>
        </w:rPr>
        <w:t>以书面形式</w:t>
      </w:r>
      <w:r>
        <w:rPr>
          <w:rFonts w:hint="eastAsia" w:ascii="宋体" w:hAnsi="宋体" w:eastAsia="宋体" w:cs="宋体"/>
          <w:bCs/>
          <w:color w:val="auto"/>
          <w:sz w:val="21"/>
          <w:szCs w:val="21"/>
          <w:highlight w:val="none"/>
          <w:lang w:val="en-US" w:eastAsia="zh-CN"/>
        </w:rPr>
        <w:t>告知</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w:t>
      </w:r>
    </w:p>
    <w:p w14:paraId="15F2131F">
      <w:pPr>
        <w:pStyle w:val="26"/>
        <w:adjustRightInd w:val="0"/>
        <w:snapToGrid w:val="0"/>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应指派专人负责与</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联系售后服务事宜。若发生质量问题</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应及时安排补货、换货，相关费用由</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承担。如遇学校师生投诉及时处理并提供处理方案。</w:t>
      </w:r>
    </w:p>
    <w:p w14:paraId="61FDEC13">
      <w:pPr>
        <w:pStyle w:val="26"/>
        <w:adjustRightInd w:val="0"/>
        <w:snapToGrid w:val="0"/>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十七、</w:t>
      </w:r>
      <w:r>
        <w:rPr>
          <w:rFonts w:hint="eastAsia" w:ascii="宋体" w:hAnsi="宋体" w:eastAsia="宋体" w:cs="宋体"/>
          <w:b/>
          <w:bCs w:val="0"/>
          <w:color w:val="auto"/>
          <w:sz w:val="21"/>
          <w:szCs w:val="21"/>
          <w:highlight w:val="none"/>
          <w:lang w:val="en-US" w:eastAsia="zh-CN"/>
        </w:rPr>
        <w:t>配送服务要求</w:t>
      </w:r>
    </w:p>
    <w:p w14:paraId="7FEACA39">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hAnsi="宋体" w:cs="宋体"/>
          <w:bCs/>
          <w:color w:val="auto"/>
          <w:sz w:val="21"/>
          <w:szCs w:val="21"/>
          <w:highlight w:val="none"/>
          <w:lang w:val="en-US" w:eastAsia="zh-CN"/>
        </w:rPr>
        <w:t>乙方联系人：</w:t>
      </w:r>
      <w:r>
        <w:rPr>
          <w:rFonts w:hint="eastAsia" w:hAnsi="宋体" w:cs="宋体"/>
          <w:bCs/>
          <w:color w:val="auto"/>
          <w:sz w:val="21"/>
          <w:szCs w:val="21"/>
          <w:highlight w:val="none"/>
          <w:u w:val="single"/>
          <w:lang w:val="en-US" w:eastAsia="zh-CN"/>
        </w:rPr>
        <w:t xml:space="preserve">              联系方式：        </w:t>
      </w:r>
      <w:r>
        <w:rPr>
          <w:rFonts w:hint="eastAsia" w:ascii="宋体" w:hAnsi="宋体" w:eastAsia="宋体" w:cs="宋体"/>
          <w:bCs/>
          <w:color w:val="auto"/>
          <w:sz w:val="21"/>
          <w:szCs w:val="21"/>
          <w:highlight w:val="none"/>
          <w:lang w:val="en-US" w:eastAsia="zh-CN"/>
        </w:rPr>
        <w:t>，及时响应</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的各项要求，并按</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要求提供免费送货上门服务。运输过程中，商品损毁、灭失的风险由</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承担。</w:t>
      </w:r>
    </w:p>
    <w:p w14:paraId="40511CAD">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应承诺全年在接到</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供货通知后，半小时内响应，节假日须24小时内送达，工作日须4小时以内送货上门，紧急情况应2小时内送达。</w:t>
      </w:r>
    </w:p>
    <w:p w14:paraId="03620A2E">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必须负责对储存水量进行控制，向</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提供的桶装水生产日期不超过3天，保证新鲜。瓶装水生产日期为交货日期3个月内。</w:t>
      </w:r>
    </w:p>
    <w:p w14:paraId="30EC97A1">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需按时向</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提供饮用水，不能以任何理由延误或断供，因此引起全部责任由</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负责。</w:t>
      </w:r>
    </w:p>
    <w:p w14:paraId="5F1EBA76">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配有专职驾驶员并同时配有随车专职配送员，提供人员分组安排表，免费提供送货上楼服务。</w:t>
      </w:r>
    </w:p>
    <w:p w14:paraId="3867A919">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整个运输过程应科学合理，运输必须采用符合卫生要求的外包装和运载工具，运输车辆为固定车辆，提前报备不得随意更换车辆。并且要保持清洁和定期消毒，包装内无不良气味，异味。</w:t>
      </w:r>
    </w:p>
    <w:p w14:paraId="0D024498">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对所供饮用水由于质量发生的任何问题，而导致引起</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直接损失，全部责任由</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负责。</w:t>
      </w:r>
    </w:p>
    <w:p w14:paraId="5D2B509C">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应承诺能在合同期内按中标价足量供货，且在出现中标品牌饮用水无法供应的情况时，临时提供饮用水的规格、参数和品质不低于中标品牌的饮用水。</w:t>
      </w:r>
    </w:p>
    <w:p w14:paraId="260957DF">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工作人员应统一穿着带有公司标识的工作服并佩戴工作证，仪容仪表整洁，举止文明礼貌。工作车辆应有相应标识标志。</w:t>
      </w:r>
    </w:p>
    <w:p w14:paraId="745A08CD">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必须按照</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的要求配合</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做好采购货物的索证索票工作。</w:t>
      </w:r>
    </w:p>
    <w:p w14:paraId="3BBAFB9D">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必须严格遵守</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的规章制度和防疫相关规定。</w:t>
      </w:r>
    </w:p>
    <w:p w14:paraId="5F22FC55">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12.对</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不称职的工作人员（如有违反规章制度、态度恶劣或者其他违反招标文件要求者），</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有权向</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提出警告，并随时要求</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限期更换。</w:t>
      </w:r>
    </w:p>
    <w:p w14:paraId="48A0DBCC">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应提供正式税务发票、盖有公章的送货单和每批次的检验合格证，支付金额以实际使用数量为准。</w:t>
      </w:r>
    </w:p>
    <w:p w14:paraId="0C9E1C99">
      <w:pPr>
        <w:pStyle w:val="26"/>
        <w:adjustRightInd w:val="0"/>
        <w:snapToGrid w:val="0"/>
        <w:spacing w:line="360" w:lineRule="auto"/>
        <w:ind w:firstLine="422" w:firstLineChars="200"/>
        <w:rPr>
          <w:rFonts w:hint="default"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十八、</w:t>
      </w:r>
      <w:r>
        <w:rPr>
          <w:rFonts w:hint="eastAsia" w:hAnsi="宋体" w:eastAsia="宋体" w:cs="宋体"/>
          <w:b/>
          <w:bCs w:val="0"/>
          <w:color w:val="auto"/>
          <w:sz w:val="21"/>
          <w:szCs w:val="21"/>
          <w:highlight w:val="none"/>
          <w:lang w:val="en-US" w:eastAsia="zh-CN"/>
        </w:rPr>
        <w:t>应急要求</w:t>
      </w:r>
    </w:p>
    <w:p w14:paraId="3600FA05">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须提供应急服务方案，如台风袭击、暴雨、水灾、其他自然灾害或者韶关市区疫情管控和其他突发、紧急、特殊情况等需要</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紧急临时提供服务的，</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应预设应急服务方案以保证应急服务。</w:t>
      </w:r>
    </w:p>
    <w:p w14:paraId="5EEF10A6">
      <w:pPr>
        <w:pStyle w:val="26"/>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对派往现场应急的人员、器械、运输工具等投保相应的人身保险，并承担人员伤亡责任和运输工具的损坏等风险。</w:t>
      </w:r>
    </w:p>
    <w:p w14:paraId="677C46BA">
      <w:pPr>
        <w:widowControl/>
        <w:spacing w:line="34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val="en-US" w:eastAsia="zh-CN"/>
        </w:rPr>
        <w:t>九</w:t>
      </w:r>
      <w:r>
        <w:rPr>
          <w:rFonts w:hint="eastAsia" w:ascii="宋体" w:hAnsi="宋体" w:cs="宋体"/>
          <w:b/>
          <w:bCs/>
          <w:color w:val="auto"/>
          <w:szCs w:val="21"/>
          <w:highlight w:val="none"/>
        </w:rPr>
        <w:t>、违约责任</w:t>
      </w:r>
    </w:p>
    <w:p w14:paraId="54BFF6E4">
      <w:pPr>
        <w:pStyle w:val="43"/>
        <w:spacing w:line="348" w:lineRule="auto"/>
        <w:ind w:firstLine="420" w:firstLineChars="200"/>
        <w:rPr>
          <w:rFonts w:hint="eastAsia"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val="en-US" w:eastAsia="zh-CN"/>
        </w:rPr>
        <w:t>1.未经甲方同意，乙方不得将承包项目发包或转包，否则，视为乙方违约，甲方有权解除服务合同。</w:t>
      </w:r>
    </w:p>
    <w:p w14:paraId="62FEB4B9">
      <w:pPr>
        <w:pStyle w:val="43"/>
        <w:spacing w:line="348" w:lineRule="auto"/>
        <w:ind w:firstLine="420" w:firstLineChars="200"/>
        <w:rPr>
          <w:rFonts w:hint="eastAsia"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val="en-US" w:eastAsia="zh-CN"/>
        </w:rPr>
        <w:t>2.若</w:t>
      </w:r>
      <w:r>
        <w:rPr>
          <w:rFonts w:hint="eastAsia"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在签订合同并生效后30天内未能配齐符合甲方需求的人员，则视为</w:t>
      </w:r>
      <w:r>
        <w:rPr>
          <w:rFonts w:hint="eastAsia"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主动违约，甲方有权终止合同。</w:t>
      </w:r>
    </w:p>
    <w:p w14:paraId="4DF49D79">
      <w:pPr>
        <w:pStyle w:val="43"/>
        <w:spacing w:line="348" w:lineRule="auto"/>
        <w:ind w:firstLine="420" w:firstLineChars="200"/>
        <w:rPr>
          <w:rFonts w:hint="eastAsia"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val="en-US" w:eastAsia="zh-CN"/>
        </w:rPr>
        <w:t>3.若</w:t>
      </w:r>
      <w:r>
        <w:rPr>
          <w:rFonts w:hint="eastAsia"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在签订合同并生效后提供的</w:t>
      </w:r>
      <w:r>
        <w:rPr>
          <w:rFonts w:hint="eastAsia" w:ascii="宋体" w:hAnsi="宋体" w:eastAsia="宋体" w:cs="宋体"/>
          <w:b w:val="0"/>
          <w:bCs w:val="0"/>
          <w:color w:val="auto"/>
          <w:sz w:val="21"/>
          <w:szCs w:val="21"/>
          <w:highlight w:val="none"/>
        </w:rPr>
        <w:t>劳务人员</w:t>
      </w:r>
      <w:r>
        <w:rPr>
          <w:rFonts w:hint="eastAsia" w:ascii="宋体" w:hAnsi="宋体" w:eastAsia="宋体" w:cs="Arial"/>
          <w:color w:val="auto"/>
          <w:sz w:val="21"/>
          <w:szCs w:val="21"/>
          <w:highlight w:val="none"/>
          <w:lang w:val="en-US" w:eastAsia="zh-CN"/>
        </w:rPr>
        <w:t>不符合甲方要求的，则视为</w:t>
      </w:r>
      <w:r>
        <w:rPr>
          <w:rFonts w:hint="eastAsia"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违约，甲方可按虚假应标情况报监管部门处理。</w:t>
      </w:r>
    </w:p>
    <w:p w14:paraId="3B161731">
      <w:pPr>
        <w:pStyle w:val="43"/>
        <w:spacing w:line="348" w:lineRule="auto"/>
        <w:ind w:firstLine="420" w:firstLineChars="200"/>
        <w:rPr>
          <w:rFonts w:hint="eastAsia"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val="en-US" w:eastAsia="zh-CN"/>
        </w:rPr>
        <w:t>4.在服务期间，未经甲方同意，乙方不得随意更换</w:t>
      </w:r>
      <w:r>
        <w:rPr>
          <w:rFonts w:hint="eastAsia" w:ascii="宋体" w:hAnsi="宋体" w:eastAsia="宋体" w:cs="宋体"/>
          <w:b w:val="0"/>
          <w:bCs w:val="0"/>
          <w:color w:val="auto"/>
          <w:sz w:val="21"/>
          <w:szCs w:val="21"/>
          <w:highlight w:val="none"/>
        </w:rPr>
        <w:t>劳务人员</w:t>
      </w:r>
      <w:r>
        <w:rPr>
          <w:rFonts w:hint="eastAsia" w:ascii="宋体" w:hAnsi="宋体" w:eastAsia="宋体" w:cs="Arial"/>
          <w:color w:val="auto"/>
          <w:sz w:val="21"/>
          <w:szCs w:val="21"/>
          <w:highlight w:val="none"/>
          <w:lang w:val="en-US" w:eastAsia="zh-CN"/>
        </w:rPr>
        <w:t>。劳务人员因为辞职或被乙方辞退等原因导致劳务人员不足的，而</w:t>
      </w:r>
      <w:r>
        <w:rPr>
          <w:rFonts w:hint="eastAsia"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在30天内未能及时补齐符合项目要求的劳务人员时，则视为</w:t>
      </w:r>
      <w:r>
        <w:rPr>
          <w:rFonts w:hint="eastAsia"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主动违约，甲方有权终止合同，并有权拒绝支付本期项目服务费。</w:t>
      </w:r>
    </w:p>
    <w:p w14:paraId="75059F52">
      <w:pPr>
        <w:pStyle w:val="43"/>
        <w:spacing w:line="348" w:lineRule="auto"/>
        <w:ind w:firstLine="420" w:firstLineChars="200"/>
        <w:rPr>
          <w:rFonts w:hint="eastAsia"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val="en-US" w:eastAsia="zh-CN"/>
        </w:rPr>
        <w:t>5.由于乙方工作失误的原因，造成</w:t>
      </w:r>
      <w:r>
        <w:rPr>
          <w:rFonts w:hint="eastAsia" w:ascii="宋体" w:hAnsi="宋体" w:eastAsia="宋体" w:cs="宋体"/>
          <w:b w:val="0"/>
          <w:bCs w:val="0"/>
          <w:color w:val="auto"/>
          <w:sz w:val="21"/>
          <w:szCs w:val="21"/>
          <w:highlight w:val="none"/>
        </w:rPr>
        <w:t>劳务人员</w:t>
      </w:r>
      <w:r>
        <w:rPr>
          <w:rFonts w:hint="eastAsia" w:ascii="宋体" w:hAnsi="宋体" w:eastAsia="宋体" w:cs="Arial"/>
          <w:color w:val="auto"/>
          <w:sz w:val="21"/>
          <w:szCs w:val="21"/>
          <w:highlight w:val="none"/>
          <w:lang w:val="en-US" w:eastAsia="zh-CN"/>
        </w:rPr>
        <w:t>的经济损失，所产生的损失及后果由乙方承担。因</w:t>
      </w:r>
      <w:r>
        <w:rPr>
          <w:rFonts w:hint="eastAsia"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业务人员蓄意破坏设备设施、违反规程造成重大事故的，一经查实，则视为</w:t>
      </w:r>
      <w:r>
        <w:rPr>
          <w:rFonts w:hint="eastAsia"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严重违约，甲方有权终止合同，责令乙方赔偿损失，情节严重的依法追究其法律责任。</w:t>
      </w:r>
    </w:p>
    <w:p w14:paraId="16ABBD8A">
      <w:pPr>
        <w:spacing w:line="348" w:lineRule="auto"/>
        <w:ind w:firstLine="420" w:firstLineChars="200"/>
        <w:rPr>
          <w:rFonts w:ascii="宋体" w:hAnsi="宋体" w:cs="宋体"/>
          <w:color w:val="auto"/>
          <w:szCs w:val="21"/>
          <w:highlight w:val="none"/>
        </w:rPr>
      </w:pPr>
      <w:r>
        <w:rPr>
          <w:rFonts w:hint="eastAsia" w:ascii="宋体" w:hAnsi="宋体" w:eastAsia="宋体" w:cs="Arial"/>
          <w:color w:val="auto"/>
          <w:sz w:val="21"/>
          <w:szCs w:val="21"/>
          <w:highlight w:val="none"/>
          <w:lang w:val="en-US" w:eastAsia="zh-CN"/>
        </w:rPr>
        <w:t>6.若乙方在服务某阶段时期内违反其服务承诺或本招标文件的要求三次或以上，则视为</w:t>
      </w:r>
      <w:r>
        <w:rPr>
          <w:rFonts w:hint="eastAsia" w:ascii="宋体" w:hAnsi="宋体" w:cs="Arial"/>
          <w:color w:val="auto"/>
          <w:sz w:val="21"/>
          <w:szCs w:val="21"/>
          <w:highlight w:val="none"/>
          <w:lang w:val="en-US" w:eastAsia="zh-CN"/>
        </w:rPr>
        <w:t>乙方</w:t>
      </w:r>
      <w:r>
        <w:rPr>
          <w:rFonts w:hint="eastAsia" w:ascii="宋体" w:hAnsi="宋体" w:eastAsia="宋体" w:cs="Arial"/>
          <w:color w:val="auto"/>
          <w:sz w:val="21"/>
          <w:szCs w:val="21"/>
          <w:highlight w:val="none"/>
          <w:lang w:val="en-US" w:eastAsia="zh-CN"/>
        </w:rPr>
        <w:t>违约，甲方有权拒绝支付本期项目服务费</w:t>
      </w:r>
      <w:r>
        <w:rPr>
          <w:rFonts w:hint="eastAsia" w:ascii="宋体" w:hAnsi="宋体" w:cs="宋体"/>
          <w:color w:val="auto"/>
          <w:szCs w:val="21"/>
          <w:highlight w:val="none"/>
        </w:rPr>
        <w:t>。</w:t>
      </w:r>
    </w:p>
    <w:p w14:paraId="18F2DCE0">
      <w:pPr>
        <w:widowControl/>
        <w:spacing w:line="34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二十</w:t>
      </w:r>
      <w:r>
        <w:rPr>
          <w:rFonts w:hint="eastAsia" w:ascii="宋体" w:hAnsi="宋体" w:cs="宋体"/>
          <w:b/>
          <w:bCs/>
          <w:color w:val="auto"/>
          <w:szCs w:val="21"/>
          <w:highlight w:val="none"/>
        </w:rPr>
        <w:t>、争议的解决</w:t>
      </w:r>
    </w:p>
    <w:p w14:paraId="544ED044">
      <w:pPr>
        <w:spacing w:line="348" w:lineRule="auto"/>
        <w:ind w:firstLine="420"/>
        <w:jc w:val="left"/>
        <w:rPr>
          <w:rFonts w:ascii="宋体" w:hAnsi="宋体" w:cs="宋体"/>
          <w:color w:val="auto"/>
          <w:szCs w:val="21"/>
          <w:highlight w:val="none"/>
        </w:rPr>
      </w:pPr>
      <w:r>
        <w:rPr>
          <w:rFonts w:hint="eastAsia" w:ascii="宋体" w:hAnsi="宋体" w:cs="宋体"/>
          <w:color w:val="auto"/>
          <w:szCs w:val="21"/>
          <w:highlight w:val="none"/>
        </w:rPr>
        <w:t>1.履行合同过程中发生纠纷时，双方应本着公平、合理的原则，协商解决。</w:t>
      </w:r>
    </w:p>
    <w:p w14:paraId="447028A5">
      <w:pPr>
        <w:spacing w:line="348" w:lineRule="auto"/>
        <w:ind w:firstLine="420"/>
        <w:jc w:val="left"/>
        <w:rPr>
          <w:rFonts w:ascii="宋体" w:hAnsi="宋体" w:cs="宋体"/>
          <w:color w:val="auto"/>
          <w:szCs w:val="21"/>
          <w:highlight w:val="none"/>
        </w:rPr>
      </w:pPr>
      <w:r>
        <w:rPr>
          <w:rFonts w:hint="eastAsia" w:ascii="宋体" w:hAnsi="宋体" w:cs="宋体"/>
          <w:color w:val="auto"/>
          <w:szCs w:val="21"/>
          <w:highlight w:val="none"/>
        </w:rPr>
        <w:t>2.协商不成时，只能向甲方所在地人民法院提起诉讼，不得在其他法院起诉。</w:t>
      </w:r>
    </w:p>
    <w:p w14:paraId="767C3B65">
      <w:pPr>
        <w:widowControl/>
        <w:spacing w:line="34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二十一</w:t>
      </w:r>
      <w:r>
        <w:rPr>
          <w:rFonts w:hint="eastAsia" w:ascii="宋体" w:hAnsi="宋体" w:cs="宋体"/>
          <w:b/>
          <w:bCs/>
          <w:color w:val="auto"/>
          <w:szCs w:val="21"/>
          <w:highlight w:val="none"/>
        </w:rPr>
        <w:t>、不可抗力</w:t>
      </w:r>
    </w:p>
    <w:p w14:paraId="0E880A79">
      <w:pPr>
        <w:spacing w:line="348" w:lineRule="auto"/>
        <w:ind w:firstLine="420"/>
        <w:jc w:val="left"/>
        <w:rPr>
          <w:rFonts w:ascii="宋体" w:hAnsi="宋体" w:cs="宋体"/>
          <w:color w:val="auto"/>
          <w:szCs w:val="21"/>
          <w:highlight w:val="none"/>
        </w:rPr>
      </w:pPr>
      <w:r>
        <w:rPr>
          <w:rFonts w:hint="eastAsia" w:ascii="宋体" w:hAnsi="宋体" w:cs="宋体"/>
          <w:color w:val="auto"/>
          <w:szCs w:val="21"/>
          <w:highlight w:val="none"/>
        </w:rPr>
        <w:t>1.不可抗力是指战争、严重火灾、水灾、台风，地震等人力不可抗拒的因素引起的延误和影响，其解释按法律规定。</w:t>
      </w:r>
    </w:p>
    <w:p w14:paraId="01D23B23">
      <w:pPr>
        <w:spacing w:line="348" w:lineRule="auto"/>
        <w:ind w:firstLine="420"/>
        <w:jc w:val="left"/>
        <w:rPr>
          <w:rFonts w:ascii="宋体" w:hAnsi="宋体" w:cs="宋体"/>
          <w:color w:val="auto"/>
          <w:szCs w:val="21"/>
          <w:highlight w:val="none"/>
        </w:rPr>
      </w:pPr>
      <w:r>
        <w:rPr>
          <w:rFonts w:hint="eastAsia" w:ascii="宋体" w:hAnsi="宋体" w:cs="宋体"/>
          <w:color w:val="auto"/>
          <w:szCs w:val="21"/>
          <w:highlight w:val="none"/>
        </w:rPr>
        <w:t>2.当甲方或乙方因不可抗力的影响不能履行合同义务时，履行合同的时间将予以顺延，延长期与不可抗力影响期相同但合同价格不因此而改变。</w:t>
      </w:r>
    </w:p>
    <w:p w14:paraId="3ED35CC6">
      <w:pPr>
        <w:spacing w:line="348" w:lineRule="auto"/>
        <w:ind w:firstLine="420"/>
        <w:jc w:val="left"/>
        <w:rPr>
          <w:rFonts w:ascii="宋体" w:hAnsi="宋体" w:cs="宋体"/>
          <w:color w:val="auto"/>
          <w:szCs w:val="21"/>
          <w:highlight w:val="none"/>
        </w:rPr>
      </w:pPr>
      <w:r>
        <w:rPr>
          <w:rFonts w:hint="eastAsia" w:ascii="宋体" w:hAnsi="宋体" w:cs="宋体"/>
          <w:color w:val="auto"/>
          <w:szCs w:val="21"/>
          <w:highlight w:val="none"/>
        </w:rPr>
        <w:t>3.不可抗力发生后，受影响方应及时将不可抗力发生的情况通知另一方，并在不可抗力发生后7天内出具不可抗力的有关证明。上述情况发生后，双方应努力采取必要措施，密切配合减少不可抗力的影响。</w:t>
      </w:r>
    </w:p>
    <w:p w14:paraId="04549C55">
      <w:pPr>
        <w:spacing w:line="348" w:lineRule="auto"/>
        <w:ind w:firstLine="420"/>
        <w:jc w:val="left"/>
        <w:rPr>
          <w:rFonts w:ascii="宋体" w:hAnsi="宋体" w:cs="宋体"/>
          <w:color w:val="auto"/>
          <w:szCs w:val="21"/>
          <w:highlight w:val="none"/>
        </w:rPr>
      </w:pPr>
      <w:r>
        <w:rPr>
          <w:rFonts w:hint="eastAsia" w:ascii="宋体" w:hAnsi="宋体" w:cs="宋体"/>
          <w:color w:val="auto"/>
          <w:szCs w:val="21"/>
          <w:highlight w:val="none"/>
        </w:rPr>
        <w:t>4.双方的任何一方由于</w:t>
      </w:r>
      <w:r>
        <w:rPr>
          <w:rFonts w:hint="eastAsia" w:ascii="宋体" w:hAnsi="宋体" w:cs="宋体"/>
          <w:color w:val="auto"/>
          <w:szCs w:val="21"/>
          <w:highlight w:val="none"/>
          <w:lang w:eastAsia="zh-CN"/>
        </w:rPr>
        <w:t>不可抗力原因</w:t>
      </w:r>
      <w:r>
        <w:rPr>
          <w:rFonts w:hint="eastAsia" w:ascii="宋体" w:hAnsi="宋体" w:cs="宋体"/>
          <w:color w:val="auto"/>
          <w:szCs w:val="21"/>
          <w:highlight w:val="none"/>
        </w:rPr>
        <w:t>，不能履行合同时，应及时向对方通报不能履行或不能完全履行的理由，并在取得有关证明后，允许延期履行、部分履行或不履行合同，并根据实际情况部分或全部免除违约责任。</w:t>
      </w:r>
    </w:p>
    <w:p w14:paraId="75D2BF66">
      <w:pPr>
        <w:widowControl/>
        <w:spacing w:line="34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二十二</w:t>
      </w:r>
      <w:r>
        <w:rPr>
          <w:rFonts w:hint="eastAsia" w:ascii="宋体" w:hAnsi="宋体" w:cs="宋体"/>
          <w:b/>
          <w:bCs/>
          <w:color w:val="auto"/>
          <w:szCs w:val="21"/>
          <w:highlight w:val="none"/>
        </w:rPr>
        <w:t>、税费</w:t>
      </w:r>
    </w:p>
    <w:p w14:paraId="5862B7E9">
      <w:pPr>
        <w:shd w:val="clear" w:color="auto" w:fill="auto"/>
        <w:snapToGrid w:val="0"/>
        <w:spacing w:line="348"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在中国境内、外发生的与本合同执行有关的一切税费均由乙方负担。</w:t>
      </w:r>
    </w:p>
    <w:p w14:paraId="293A8E2C">
      <w:pPr>
        <w:widowControl/>
        <w:spacing w:line="34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二十三</w:t>
      </w:r>
      <w:r>
        <w:rPr>
          <w:rFonts w:hint="eastAsia" w:ascii="宋体" w:hAnsi="宋体" w:cs="宋体"/>
          <w:b/>
          <w:bCs/>
          <w:color w:val="auto"/>
          <w:szCs w:val="21"/>
          <w:highlight w:val="none"/>
        </w:rPr>
        <w:t>、其他</w:t>
      </w:r>
    </w:p>
    <w:p w14:paraId="4738D60B">
      <w:pPr>
        <w:shd w:val="clear" w:color="auto" w:fill="auto"/>
        <w:snapToGrid w:val="0"/>
        <w:spacing w:line="348"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1.本合同所有附件、招标文件、投标文件、中标通知书均为本合同的有效组成部分，与本合同具有同等法律效力。解释的顺序除特别说明外，以文件生成时间在后的为准。</w:t>
      </w:r>
    </w:p>
    <w:p w14:paraId="27CAC6D2">
      <w:pPr>
        <w:shd w:val="clear" w:color="auto" w:fill="auto"/>
        <w:snapToGrid w:val="0"/>
        <w:spacing w:line="348"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2.在执行本合同的过程中，所有经双方签署确认的文件（包括会议纪要、补充协议、往来信函）即成为本合同的有效组成部分。</w:t>
      </w:r>
    </w:p>
    <w:p w14:paraId="4E0F6E08">
      <w:pPr>
        <w:shd w:val="clear" w:color="auto" w:fill="auto"/>
        <w:snapToGrid w:val="0"/>
        <w:spacing w:line="348"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 xml:space="preserve">3.如一方地址、电话、传真号码有变更，应在变更当日内书面通知对方，否则，应承担相应责任。 </w:t>
      </w:r>
    </w:p>
    <w:p w14:paraId="5CE28CB7">
      <w:pPr>
        <w:shd w:val="clear" w:color="auto" w:fill="auto"/>
        <w:snapToGrid w:val="0"/>
        <w:spacing w:line="348"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4.除甲方事先书面同意外，乙方不得部分或全部转让其应履行的合同项下的义务。</w:t>
      </w:r>
    </w:p>
    <w:p w14:paraId="6126C53F">
      <w:pPr>
        <w:widowControl/>
        <w:shd w:val="clear" w:color="auto" w:fill="auto"/>
        <w:spacing w:line="34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二十四</w:t>
      </w:r>
      <w:r>
        <w:rPr>
          <w:rFonts w:hint="eastAsia" w:ascii="宋体" w:hAnsi="宋体" w:cs="宋体"/>
          <w:b/>
          <w:bCs/>
          <w:color w:val="auto"/>
          <w:szCs w:val="21"/>
          <w:highlight w:val="none"/>
        </w:rPr>
        <w:t>、合同生效</w:t>
      </w:r>
    </w:p>
    <w:p w14:paraId="1B22F542">
      <w:pPr>
        <w:keepNext w:val="0"/>
        <w:keepLines w:val="0"/>
        <w:pageBreakBefore w:val="0"/>
        <w:kinsoku/>
        <w:wordWrap/>
        <w:overflowPunct/>
        <w:topLinePunct w:val="0"/>
        <w:autoSpaceDE/>
        <w:autoSpaceDN/>
        <w:bidi w:val="0"/>
        <w:adjustRightInd/>
        <w:snapToGrid w:val="0"/>
        <w:spacing w:line="348"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bCs/>
          <w:color w:val="auto"/>
          <w:szCs w:val="21"/>
          <w:highlight w:val="none"/>
        </w:rPr>
        <w:t>合同</w:t>
      </w:r>
      <w:r>
        <w:rPr>
          <w:rFonts w:hint="eastAsia" w:ascii="宋体" w:hAnsi="宋体" w:cs="宋体"/>
          <w:color w:val="auto"/>
          <w:szCs w:val="21"/>
          <w:highlight w:val="none"/>
        </w:rPr>
        <w:t xml:space="preserve">经双方授权代表签字并加盖合同专用章或公章之日起生效，合同生效日期以最后一个签字日为准。   </w:t>
      </w:r>
    </w:p>
    <w:tbl>
      <w:tblPr>
        <w:tblStyle w:val="49"/>
        <w:tblpPr w:leftFromText="180" w:rightFromText="180" w:vertAnchor="text" w:horzAnchor="page" w:tblpX="1715" w:tblpY="57"/>
        <w:tblOverlap w:val="never"/>
        <w:tblW w:w="8620" w:type="dxa"/>
        <w:tblInd w:w="0" w:type="dxa"/>
        <w:tblLayout w:type="fixed"/>
        <w:tblCellMar>
          <w:top w:w="0" w:type="dxa"/>
          <w:left w:w="108" w:type="dxa"/>
          <w:bottom w:w="0" w:type="dxa"/>
          <w:right w:w="108" w:type="dxa"/>
        </w:tblCellMar>
      </w:tblPr>
      <w:tblGrid>
        <w:gridCol w:w="4310"/>
        <w:gridCol w:w="4310"/>
      </w:tblGrid>
      <w:tr w14:paraId="2157DEFA">
        <w:tblPrEx>
          <w:tblCellMar>
            <w:top w:w="0" w:type="dxa"/>
            <w:left w:w="108" w:type="dxa"/>
            <w:bottom w:w="0" w:type="dxa"/>
            <w:right w:w="108" w:type="dxa"/>
          </w:tblCellMar>
        </w:tblPrEx>
        <w:trPr>
          <w:trHeight w:val="90" w:hRule="atLeast"/>
        </w:trPr>
        <w:tc>
          <w:tcPr>
            <w:tcW w:w="4310" w:type="dxa"/>
          </w:tcPr>
          <w:p w14:paraId="74B52435">
            <w:pPr>
              <w:spacing w:line="348" w:lineRule="auto"/>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 xml:space="preserve">甲方（公章）： </w:t>
            </w:r>
          </w:p>
        </w:tc>
        <w:tc>
          <w:tcPr>
            <w:tcW w:w="4310" w:type="dxa"/>
          </w:tcPr>
          <w:p w14:paraId="397AA9E8">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乙方（公章）：</w:t>
            </w:r>
          </w:p>
        </w:tc>
      </w:tr>
      <w:tr w14:paraId="66FCCC6E">
        <w:tblPrEx>
          <w:tblCellMar>
            <w:top w:w="0" w:type="dxa"/>
            <w:left w:w="108" w:type="dxa"/>
            <w:bottom w:w="0" w:type="dxa"/>
            <w:right w:w="108" w:type="dxa"/>
          </w:tblCellMar>
        </w:tblPrEx>
        <w:trPr>
          <w:trHeight w:val="90" w:hRule="atLeast"/>
        </w:trPr>
        <w:tc>
          <w:tcPr>
            <w:tcW w:w="4310" w:type="dxa"/>
          </w:tcPr>
          <w:p w14:paraId="437F5FE7">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签约人（签字）：</w:t>
            </w:r>
          </w:p>
        </w:tc>
        <w:tc>
          <w:tcPr>
            <w:tcW w:w="4310" w:type="dxa"/>
          </w:tcPr>
          <w:p w14:paraId="10A4CB3B">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签约人（签字）：</w:t>
            </w:r>
          </w:p>
        </w:tc>
      </w:tr>
      <w:tr w14:paraId="4CD3CA04">
        <w:tblPrEx>
          <w:tblCellMar>
            <w:top w:w="0" w:type="dxa"/>
            <w:left w:w="108" w:type="dxa"/>
            <w:bottom w:w="0" w:type="dxa"/>
            <w:right w:w="108" w:type="dxa"/>
          </w:tblCellMar>
        </w:tblPrEx>
        <w:trPr>
          <w:trHeight w:val="90" w:hRule="atLeast"/>
        </w:trPr>
        <w:tc>
          <w:tcPr>
            <w:tcW w:w="4310" w:type="dxa"/>
          </w:tcPr>
          <w:p w14:paraId="428905D7">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地址：</w:t>
            </w:r>
          </w:p>
        </w:tc>
        <w:tc>
          <w:tcPr>
            <w:tcW w:w="4310" w:type="dxa"/>
          </w:tcPr>
          <w:p w14:paraId="5CBEEC96">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地址：</w:t>
            </w:r>
          </w:p>
        </w:tc>
      </w:tr>
      <w:tr w14:paraId="256AE0D0">
        <w:tblPrEx>
          <w:tblCellMar>
            <w:top w:w="0" w:type="dxa"/>
            <w:left w:w="108" w:type="dxa"/>
            <w:bottom w:w="0" w:type="dxa"/>
            <w:right w:w="108" w:type="dxa"/>
          </w:tblCellMar>
        </w:tblPrEx>
        <w:trPr>
          <w:trHeight w:val="297" w:hRule="atLeast"/>
        </w:trPr>
        <w:tc>
          <w:tcPr>
            <w:tcW w:w="4310" w:type="dxa"/>
          </w:tcPr>
          <w:p w14:paraId="42EC69BD">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联系人：</w:t>
            </w:r>
          </w:p>
        </w:tc>
        <w:tc>
          <w:tcPr>
            <w:tcW w:w="4310" w:type="dxa"/>
          </w:tcPr>
          <w:p w14:paraId="6EE4112E">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联系人：</w:t>
            </w:r>
          </w:p>
        </w:tc>
      </w:tr>
      <w:tr w14:paraId="1A318DE1">
        <w:tblPrEx>
          <w:tblCellMar>
            <w:top w:w="0" w:type="dxa"/>
            <w:left w:w="108" w:type="dxa"/>
            <w:bottom w:w="0" w:type="dxa"/>
            <w:right w:w="108" w:type="dxa"/>
          </w:tblCellMar>
        </w:tblPrEx>
        <w:trPr>
          <w:trHeight w:val="263" w:hRule="atLeast"/>
        </w:trPr>
        <w:tc>
          <w:tcPr>
            <w:tcW w:w="4310" w:type="dxa"/>
          </w:tcPr>
          <w:p w14:paraId="38974AC9">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电话：</w:t>
            </w:r>
          </w:p>
        </w:tc>
        <w:tc>
          <w:tcPr>
            <w:tcW w:w="4310" w:type="dxa"/>
          </w:tcPr>
          <w:p w14:paraId="6D3AEB80">
            <w:pPr>
              <w:spacing w:line="348" w:lineRule="auto"/>
              <w:jc w:val="left"/>
              <w:rPr>
                <w:rFonts w:hint="eastAsia" w:ascii="宋体" w:hAnsi="宋体" w:cs="宋体"/>
                <w:color w:val="auto"/>
                <w:szCs w:val="21"/>
                <w:highlight w:val="none"/>
                <w:lang w:val="zh-CN"/>
              </w:rPr>
            </w:pPr>
            <w:r>
              <w:rPr>
                <w:rFonts w:hint="eastAsia" w:ascii="宋体" w:hAnsi="宋体" w:cs="宋体"/>
                <w:color w:val="auto"/>
                <w:kern w:val="16"/>
                <w:szCs w:val="21"/>
                <w:highlight w:val="none"/>
                <w:lang w:val="zh-CN"/>
              </w:rPr>
              <w:t>电话：</w:t>
            </w:r>
          </w:p>
        </w:tc>
      </w:tr>
      <w:tr w14:paraId="02B72F06">
        <w:tblPrEx>
          <w:tblCellMar>
            <w:top w:w="0" w:type="dxa"/>
            <w:left w:w="108" w:type="dxa"/>
            <w:bottom w:w="0" w:type="dxa"/>
            <w:right w:w="108" w:type="dxa"/>
          </w:tblCellMar>
        </w:tblPrEx>
        <w:trPr>
          <w:trHeight w:val="90" w:hRule="atLeast"/>
        </w:trPr>
        <w:tc>
          <w:tcPr>
            <w:tcW w:w="4310" w:type="dxa"/>
          </w:tcPr>
          <w:p w14:paraId="4B6DCBDE">
            <w:pPr>
              <w:spacing w:line="348" w:lineRule="auto"/>
              <w:ind w:right="-28"/>
              <w:jc w:val="left"/>
              <w:rPr>
                <w:rFonts w:hint="eastAsia" w:ascii="宋体" w:hAnsi="宋体" w:cs="宋体"/>
                <w:color w:val="auto"/>
                <w:szCs w:val="21"/>
                <w:highlight w:val="none"/>
                <w:lang w:val="zh-CN"/>
              </w:rPr>
            </w:pPr>
          </w:p>
        </w:tc>
        <w:tc>
          <w:tcPr>
            <w:tcW w:w="4310" w:type="dxa"/>
          </w:tcPr>
          <w:p w14:paraId="5B2A7A97">
            <w:pPr>
              <w:spacing w:line="348" w:lineRule="auto"/>
              <w:ind w:right="-28"/>
              <w:jc w:val="left"/>
              <w:rPr>
                <w:rFonts w:hint="eastAsia" w:ascii="宋体" w:hAnsi="宋体" w:cs="宋体"/>
                <w:color w:val="auto"/>
                <w:kern w:val="16"/>
                <w:szCs w:val="21"/>
                <w:highlight w:val="none"/>
                <w:lang w:val="zh-CN"/>
              </w:rPr>
            </w:pPr>
            <w:r>
              <w:rPr>
                <w:rFonts w:hint="eastAsia" w:ascii="宋体" w:hAnsi="宋体" w:cs="宋体"/>
                <w:color w:val="auto"/>
                <w:kern w:val="16"/>
                <w:szCs w:val="21"/>
                <w:highlight w:val="none"/>
                <w:lang w:val="zh-CN"/>
              </w:rPr>
              <w:t>开户名称：</w:t>
            </w:r>
          </w:p>
        </w:tc>
      </w:tr>
      <w:tr w14:paraId="2E31B347">
        <w:tblPrEx>
          <w:tblCellMar>
            <w:top w:w="0" w:type="dxa"/>
            <w:left w:w="108" w:type="dxa"/>
            <w:bottom w:w="0" w:type="dxa"/>
            <w:right w:w="108" w:type="dxa"/>
          </w:tblCellMar>
        </w:tblPrEx>
        <w:trPr>
          <w:trHeight w:val="90" w:hRule="atLeast"/>
        </w:trPr>
        <w:tc>
          <w:tcPr>
            <w:tcW w:w="4310" w:type="dxa"/>
          </w:tcPr>
          <w:p w14:paraId="78891888">
            <w:pPr>
              <w:spacing w:line="348" w:lineRule="auto"/>
              <w:ind w:right="-28"/>
              <w:jc w:val="left"/>
              <w:rPr>
                <w:rFonts w:hint="eastAsia" w:ascii="宋体" w:hAnsi="宋体" w:cs="宋体"/>
                <w:color w:val="auto"/>
                <w:kern w:val="16"/>
                <w:szCs w:val="21"/>
                <w:highlight w:val="none"/>
                <w:lang w:val="zh-CN"/>
              </w:rPr>
            </w:pPr>
          </w:p>
        </w:tc>
        <w:tc>
          <w:tcPr>
            <w:tcW w:w="4310" w:type="dxa"/>
          </w:tcPr>
          <w:p w14:paraId="7A3F80CD">
            <w:pPr>
              <w:spacing w:line="348" w:lineRule="auto"/>
              <w:ind w:right="-28"/>
              <w:jc w:val="left"/>
              <w:rPr>
                <w:rFonts w:hint="eastAsia" w:ascii="宋体" w:hAnsi="宋体" w:cs="宋体"/>
                <w:color w:val="auto"/>
                <w:kern w:val="16"/>
                <w:szCs w:val="21"/>
                <w:highlight w:val="none"/>
                <w:lang w:val="zh-CN"/>
              </w:rPr>
            </w:pPr>
            <w:r>
              <w:rPr>
                <w:rFonts w:hint="eastAsia" w:ascii="宋体" w:hAnsi="宋体" w:cs="宋体"/>
                <w:color w:val="auto"/>
                <w:kern w:val="16"/>
                <w:szCs w:val="21"/>
                <w:highlight w:val="none"/>
                <w:lang w:val="zh-CN"/>
              </w:rPr>
              <w:t>银行</w:t>
            </w:r>
            <w:r>
              <w:rPr>
                <w:rFonts w:hint="eastAsia" w:ascii="宋体" w:hAnsi="宋体" w:cs="宋体"/>
                <w:color w:val="auto"/>
                <w:kern w:val="16"/>
                <w:szCs w:val="21"/>
                <w:highlight w:val="none"/>
              </w:rPr>
              <w:t>账</w:t>
            </w:r>
            <w:r>
              <w:rPr>
                <w:rFonts w:hint="eastAsia" w:ascii="宋体" w:hAnsi="宋体" w:cs="宋体"/>
                <w:color w:val="auto"/>
                <w:kern w:val="16"/>
                <w:szCs w:val="21"/>
                <w:highlight w:val="none"/>
                <w:lang w:val="zh-CN"/>
              </w:rPr>
              <w:t>号：</w:t>
            </w:r>
          </w:p>
        </w:tc>
      </w:tr>
      <w:tr w14:paraId="66655A59">
        <w:tblPrEx>
          <w:tblCellMar>
            <w:top w:w="0" w:type="dxa"/>
            <w:left w:w="108" w:type="dxa"/>
            <w:bottom w:w="0" w:type="dxa"/>
            <w:right w:w="108" w:type="dxa"/>
          </w:tblCellMar>
        </w:tblPrEx>
        <w:trPr>
          <w:trHeight w:val="90" w:hRule="atLeast"/>
        </w:trPr>
        <w:tc>
          <w:tcPr>
            <w:tcW w:w="4310" w:type="dxa"/>
          </w:tcPr>
          <w:p w14:paraId="37AB429B">
            <w:pPr>
              <w:spacing w:line="348" w:lineRule="auto"/>
              <w:ind w:right="-28"/>
              <w:jc w:val="left"/>
              <w:rPr>
                <w:rFonts w:hint="eastAsia" w:ascii="宋体" w:hAnsi="宋体" w:cs="宋体"/>
                <w:color w:val="auto"/>
                <w:kern w:val="16"/>
                <w:szCs w:val="21"/>
                <w:highlight w:val="none"/>
                <w:lang w:val="zh-CN"/>
              </w:rPr>
            </w:pPr>
          </w:p>
        </w:tc>
        <w:tc>
          <w:tcPr>
            <w:tcW w:w="4310" w:type="dxa"/>
          </w:tcPr>
          <w:p w14:paraId="6CE5868A">
            <w:pPr>
              <w:spacing w:line="348" w:lineRule="auto"/>
              <w:ind w:right="-28"/>
              <w:jc w:val="left"/>
              <w:rPr>
                <w:rFonts w:hint="eastAsia" w:ascii="宋体" w:hAnsi="宋体" w:cs="宋体"/>
                <w:color w:val="auto"/>
                <w:kern w:val="16"/>
                <w:szCs w:val="21"/>
                <w:highlight w:val="none"/>
                <w:lang w:val="zh-CN"/>
              </w:rPr>
            </w:pPr>
            <w:r>
              <w:rPr>
                <w:rFonts w:hint="eastAsia" w:ascii="宋体" w:hAnsi="宋体" w:cs="宋体"/>
                <w:color w:val="auto"/>
                <w:kern w:val="16"/>
                <w:szCs w:val="21"/>
                <w:highlight w:val="none"/>
                <w:lang w:val="zh-CN"/>
              </w:rPr>
              <w:t>开 户 行：</w:t>
            </w:r>
          </w:p>
        </w:tc>
      </w:tr>
      <w:tr w14:paraId="79DA81B9">
        <w:tblPrEx>
          <w:tblCellMar>
            <w:top w:w="0" w:type="dxa"/>
            <w:left w:w="108" w:type="dxa"/>
            <w:bottom w:w="0" w:type="dxa"/>
            <w:right w:w="108" w:type="dxa"/>
          </w:tblCellMar>
        </w:tblPrEx>
        <w:trPr>
          <w:trHeight w:val="90" w:hRule="atLeast"/>
        </w:trPr>
        <w:tc>
          <w:tcPr>
            <w:tcW w:w="4310" w:type="dxa"/>
          </w:tcPr>
          <w:p w14:paraId="16EFFA44">
            <w:pPr>
              <w:spacing w:line="348" w:lineRule="auto"/>
              <w:ind w:right="-28"/>
              <w:jc w:val="left"/>
              <w:rPr>
                <w:rFonts w:hint="eastAsia" w:ascii="宋体" w:hAnsi="宋体" w:cs="宋体"/>
                <w:color w:val="auto"/>
                <w:kern w:val="16"/>
                <w:szCs w:val="21"/>
                <w:highlight w:val="none"/>
                <w:lang w:val="zh-CN"/>
              </w:rPr>
            </w:pPr>
            <w:r>
              <w:rPr>
                <w:rFonts w:hint="eastAsia" w:ascii="宋体" w:hAnsi="宋体" w:cs="宋体"/>
                <w:color w:val="auto"/>
                <w:kern w:val="16"/>
                <w:szCs w:val="21"/>
                <w:highlight w:val="none"/>
                <w:lang w:val="zh-CN"/>
              </w:rPr>
              <w:t>日期：      年    月    日</w:t>
            </w:r>
          </w:p>
        </w:tc>
        <w:tc>
          <w:tcPr>
            <w:tcW w:w="4310" w:type="dxa"/>
          </w:tcPr>
          <w:p w14:paraId="2C40E9F4">
            <w:pPr>
              <w:spacing w:line="348" w:lineRule="auto"/>
              <w:ind w:right="-28"/>
              <w:jc w:val="left"/>
              <w:rPr>
                <w:rFonts w:hint="eastAsia" w:ascii="宋体" w:hAnsi="宋体" w:cs="宋体"/>
                <w:color w:val="auto"/>
                <w:kern w:val="16"/>
                <w:szCs w:val="21"/>
                <w:highlight w:val="none"/>
                <w:lang w:val="zh-CN"/>
              </w:rPr>
            </w:pPr>
            <w:r>
              <w:rPr>
                <w:rFonts w:hint="eastAsia" w:ascii="宋体" w:hAnsi="宋体" w:cs="宋体"/>
                <w:color w:val="auto"/>
                <w:kern w:val="16"/>
                <w:szCs w:val="21"/>
                <w:highlight w:val="none"/>
                <w:lang w:val="zh-CN"/>
              </w:rPr>
              <w:t>日期：      年    月    日</w:t>
            </w:r>
          </w:p>
        </w:tc>
      </w:tr>
    </w:tbl>
    <w:p w14:paraId="0A0FA202">
      <w:pPr>
        <w:rPr>
          <w:color w:val="auto"/>
          <w:highlight w:val="none"/>
        </w:rPr>
      </w:pPr>
    </w:p>
    <w:p w14:paraId="76371689">
      <w:pPr>
        <w:rPr>
          <w:rFonts w:hint="eastAsia" w:ascii="宋体" w:hAnsi="宋体" w:cs="宋体"/>
          <w:color w:val="auto"/>
          <w:highlight w:val="none"/>
        </w:rPr>
      </w:pPr>
    </w:p>
    <w:p w14:paraId="09DDA42F">
      <w:pPr>
        <w:rPr>
          <w:rFonts w:hint="eastAsia" w:ascii="宋体" w:hAnsi="宋体" w:cs="宋体"/>
          <w:color w:val="auto"/>
          <w:highlight w:val="none"/>
        </w:rPr>
      </w:pPr>
    </w:p>
    <w:p w14:paraId="16F0583F">
      <w:pPr>
        <w:rPr>
          <w:rFonts w:hint="eastAsia" w:ascii="宋体" w:hAnsi="宋体" w:cs="宋体"/>
          <w:color w:val="auto"/>
          <w:highlight w:val="none"/>
        </w:rPr>
      </w:pPr>
    </w:p>
    <w:p w14:paraId="1D763311">
      <w:pPr>
        <w:rPr>
          <w:rFonts w:hint="eastAsia" w:ascii="宋体" w:hAnsi="宋体" w:cs="宋体"/>
          <w:color w:val="auto"/>
          <w:highlight w:val="none"/>
        </w:rPr>
      </w:pPr>
    </w:p>
    <w:p w14:paraId="5A91E645">
      <w:pPr>
        <w:rPr>
          <w:rFonts w:hint="eastAsia" w:ascii="宋体" w:hAnsi="宋体" w:cs="宋体"/>
          <w:color w:val="auto"/>
          <w:highlight w:val="none"/>
        </w:rPr>
      </w:pPr>
    </w:p>
    <w:p w14:paraId="2A3BCFC4">
      <w:pPr>
        <w:rPr>
          <w:rFonts w:hint="eastAsia" w:ascii="宋体" w:hAnsi="宋体" w:cs="宋体"/>
          <w:color w:val="auto"/>
          <w:highlight w:val="none"/>
        </w:rPr>
      </w:pPr>
    </w:p>
    <w:p w14:paraId="539E5EDB">
      <w:pPr>
        <w:rPr>
          <w:rFonts w:hint="eastAsia" w:ascii="宋体" w:hAnsi="宋体" w:cs="宋体"/>
          <w:color w:val="auto"/>
          <w:highlight w:val="none"/>
        </w:rPr>
      </w:pPr>
    </w:p>
    <w:p w14:paraId="3CA6F962">
      <w:pPr>
        <w:rPr>
          <w:rFonts w:hint="eastAsia" w:ascii="宋体" w:hAnsi="宋体" w:cs="宋体"/>
          <w:color w:val="auto"/>
          <w:highlight w:val="none"/>
        </w:rPr>
      </w:pPr>
    </w:p>
    <w:p w14:paraId="6CB9F047">
      <w:pPr>
        <w:rPr>
          <w:rFonts w:hint="eastAsia" w:ascii="宋体" w:hAnsi="宋体" w:cs="宋体"/>
          <w:color w:val="auto"/>
          <w:highlight w:val="none"/>
        </w:rPr>
      </w:pPr>
      <w:bookmarkStart w:id="104" w:name="_Toc334004012"/>
      <w:bookmarkStart w:id="105" w:name="_Toc449081310"/>
      <w:bookmarkStart w:id="106" w:name="_Toc334018658"/>
    </w:p>
    <w:p w14:paraId="3443D62B">
      <w:pPr>
        <w:rPr>
          <w:rFonts w:hint="eastAsia" w:ascii="宋体" w:hAnsi="宋体" w:cs="宋体"/>
          <w:color w:val="auto"/>
          <w:highlight w:val="none"/>
        </w:rPr>
      </w:pPr>
    </w:p>
    <w:p w14:paraId="297C0B8F">
      <w:pPr>
        <w:rPr>
          <w:rFonts w:hint="eastAsia" w:ascii="宋体" w:hAnsi="宋体" w:cs="宋体"/>
          <w:color w:val="auto"/>
          <w:highlight w:val="none"/>
        </w:rPr>
      </w:pPr>
    </w:p>
    <w:p w14:paraId="16D441EC">
      <w:pPr>
        <w:rPr>
          <w:rFonts w:hint="eastAsia" w:ascii="宋体" w:hAnsi="宋体" w:cs="宋体"/>
          <w:color w:val="auto"/>
          <w:highlight w:val="none"/>
        </w:rPr>
      </w:pPr>
    </w:p>
    <w:p w14:paraId="67F1AD75">
      <w:pPr>
        <w:rPr>
          <w:rFonts w:hint="eastAsia" w:ascii="宋体" w:hAnsi="宋体" w:cs="宋体"/>
          <w:color w:val="auto"/>
          <w:highlight w:val="none"/>
        </w:rPr>
      </w:pPr>
    </w:p>
    <w:p w14:paraId="3D986095">
      <w:pPr>
        <w:rPr>
          <w:rFonts w:hint="eastAsia" w:ascii="宋体" w:hAnsi="宋体" w:cs="宋体"/>
          <w:color w:val="auto"/>
          <w:highlight w:val="none"/>
        </w:rPr>
      </w:pPr>
    </w:p>
    <w:p w14:paraId="19BE105E">
      <w:pPr>
        <w:rPr>
          <w:rFonts w:hint="eastAsia" w:ascii="宋体" w:hAnsi="宋体" w:cs="宋体"/>
          <w:color w:val="auto"/>
          <w:highlight w:val="none"/>
        </w:rPr>
      </w:pPr>
    </w:p>
    <w:p w14:paraId="2B86B0A1">
      <w:pPr>
        <w:rPr>
          <w:rFonts w:hint="eastAsia" w:ascii="宋体" w:hAnsi="宋体" w:cs="宋体"/>
          <w:color w:val="auto"/>
          <w:highlight w:val="none"/>
        </w:rPr>
      </w:pPr>
    </w:p>
    <w:p w14:paraId="6932D917">
      <w:pPr>
        <w:rPr>
          <w:rFonts w:hint="eastAsia" w:ascii="宋体" w:hAnsi="宋体" w:cs="宋体"/>
          <w:color w:val="auto"/>
          <w:highlight w:val="none"/>
        </w:rPr>
      </w:pPr>
    </w:p>
    <w:p w14:paraId="5EBF47EE">
      <w:pPr>
        <w:rPr>
          <w:rFonts w:hint="eastAsia" w:ascii="宋体" w:hAnsi="宋体" w:cs="宋体"/>
          <w:color w:val="auto"/>
          <w:highlight w:val="none"/>
        </w:rPr>
      </w:pPr>
    </w:p>
    <w:p w14:paraId="65AD4358">
      <w:pPr>
        <w:rPr>
          <w:rFonts w:hint="eastAsia" w:ascii="宋体" w:hAnsi="宋体" w:cs="宋体"/>
          <w:color w:val="auto"/>
          <w:highlight w:val="none"/>
        </w:rPr>
      </w:pPr>
    </w:p>
    <w:p w14:paraId="1A3F9B90">
      <w:pPr>
        <w:rPr>
          <w:rFonts w:hint="eastAsia" w:ascii="宋体" w:hAnsi="宋体" w:cs="宋体"/>
          <w:color w:val="auto"/>
          <w:highlight w:val="none"/>
        </w:rPr>
      </w:pPr>
    </w:p>
    <w:p w14:paraId="422F3257">
      <w:pPr>
        <w:rPr>
          <w:rFonts w:hint="eastAsia" w:ascii="宋体" w:hAnsi="宋体" w:cs="宋体"/>
          <w:color w:val="auto"/>
          <w:highlight w:val="none"/>
        </w:rPr>
      </w:pPr>
    </w:p>
    <w:p w14:paraId="1BD24DAE">
      <w:pPr>
        <w:rPr>
          <w:rFonts w:hint="eastAsia" w:ascii="宋体" w:hAnsi="宋体" w:cs="宋体"/>
          <w:color w:val="auto"/>
          <w:highlight w:val="none"/>
        </w:rPr>
      </w:pPr>
    </w:p>
    <w:p w14:paraId="7AD9D3FC">
      <w:pPr>
        <w:rPr>
          <w:rFonts w:hint="eastAsia" w:ascii="宋体" w:hAnsi="宋体" w:cs="宋体"/>
          <w:color w:val="auto"/>
          <w:highlight w:val="none"/>
        </w:rPr>
      </w:pPr>
    </w:p>
    <w:p w14:paraId="14681AC5">
      <w:pPr>
        <w:rPr>
          <w:rFonts w:hint="eastAsia" w:ascii="宋体" w:hAnsi="宋体" w:cs="宋体"/>
          <w:color w:val="auto"/>
          <w:highlight w:val="none"/>
        </w:rPr>
      </w:pPr>
    </w:p>
    <w:p w14:paraId="0C1F460E">
      <w:pPr>
        <w:rPr>
          <w:rFonts w:hint="eastAsia" w:ascii="宋体" w:hAnsi="宋体" w:cs="宋体"/>
          <w:color w:val="auto"/>
          <w:highlight w:val="none"/>
        </w:rPr>
      </w:pPr>
    </w:p>
    <w:p w14:paraId="6EEC237D">
      <w:pPr>
        <w:rPr>
          <w:rFonts w:hint="eastAsia" w:ascii="宋体" w:hAnsi="宋体" w:cs="宋体"/>
          <w:color w:val="auto"/>
          <w:highlight w:val="none"/>
        </w:rPr>
      </w:pPr>
    </w:p>
    <w:p w14:paraId="69AA5F14">
      <w:pPr>
        <w:rPr>
          <w:rFonts w:hint="eastAsia" w:ascii="宋体" w:hAnsi="宋体" w:cs="宋体"/>
          <w:color w:val="auto"/>
          <w:highlight w:val="none"/>
        </w:rPr>
      </w:pPr>
    </w:p>
    <w:p w14:paraId="2FEC0291">
      <w:pPr>
        <w:rPr>
          <w:rFonts w:hint="eastAsia" w:ascii="宋体" w:hAnsi="宋体" w:cs="宋体"/>
          <w:color w:val="auto"/>
          <w:highlight w:val="none"/>
        </w:rPr>
      </w:pPr>
    </w:p>
    <w:p w14:paraId="49B989B9">
      <w:pPr>
        <w:rPr>
          <w:rFonts w:hint="eastAsia" w:ascii="宋体" w:hAnsi="宋体" w:cs="宋体"/>
          <w:color w:val="auto"/>
          <w:highlight w:val="none"/>
        </w:rPr>
      </w:pPr>
    </w:p>
    <w:p w14:paraId="3A3A0764">
      <w:pPr>
        <w:rPr>
          <w:rFonts w:hint="eastAsia" w:ascii="宋体" w:hAnsi="宋体" w:cs="宋体"/>
          <w:color w:val="auto"/>
          <w:highlight w:val="none"/>
        </w:rPr>
      </w:pPr>
    </w:p>
    <w:p w14:paraId="4F06DBDB">
      <w:pPr>
        <w:rPr>
          <w:rFonts w:hint="eastAsia" w:ascii="宋体" w:hAnsi="宋体" w:cs="宋体"/>
          <w:color w:val="auto"/>
          <w:highlight w:val="none"/>
        </w:rPr>
      </w:pPr>
    </w:p>
    <w:p w14:paraId="50AF8C07">
      <w:pPr>
        <w:rPr>
          <w:rFonts w:hint="eastAsia" w:ascii="宋体" w:hAnsi="宋体" w:cs="宋体"/>
          <w:color w:val="auto"/>
          <w:highlight w:val="none"/>
        </w:rPr>
      </w:pPr>
    </w:p>
    <w:p w14:paraId="7E46DFA4">
      <w:pPr>
        <w:rPr>
          <w:rFonts w:hint="eastAsia" w:ascii="宋体" w:hAnsi="宋体" w:cs="宋体"/>
          <w:color w:val="auto"/>
          <w:highlight w:val="none"/>
        </w:rPr>
      </w:pPr>
    </w:p>
    <w:p w14:paraId="4ACBB181">
      <w:pPr>
        <w:rPr>
          <w:rFonts w:hint="eastAsia" w:ascii="宋体" w:hAnsi="宋体" w:cs="宋体"/>
          <w:color w:val="auto"/>
          <w:highlight w:val="none"/>
        </w:rPr>
      </w:pPr>
    </w:p>
    <w:p w14:paraId="57281C8D">
      <w:pPr>
        <w:rPr>
          <w:rFonts w:hint="eastAsia" w:ascii="宋体" w:hAnsi="宋体" w:cs="宋体"/>
          <w:color w:val="auto"/>
          <w:highlight w:val="none"/>
        </w:rPr>
      </w:pPr>
    </w:p>
    <w:p w14:paraId="1069C548">
      <w:pPr>
        <w:rPr>
          <w:rFonts w:hint="eastAsia" w:ascii="宋体" w:hAnsi="宋体" w:cs="宋体"/>
          <w:color w:val="auto"/>
          <w:highlight w:val="none"/>
        </w:rPr>
      </w:pPr>
    </w:p>
    <w:p w14:paraId="5AAECC7A">
      <w:pPr>
        <w:rPr>
          <w:rFonts w:hint="eastAsia" w:ascii="宋体" w:hAnsi="宋体" w:cs="宋体"/>
          <w:color w:val="auto"/>
          <w:highlight w:val="none"/>
        </w:rPr>
      </w:pPr>
    </w:p>
    <w:p w14:paraId="6DCEBA5A">
      <w:pPr>
        <w:rPr>
          <w:rFonts w:hint="eastAsia" w:ascii="宋体" w:hAnsi="宋体" w:cs="宋体"/>
          <w:color w:val="auto"/>
          <w:highlight w:val="none"/>
        </w:rPr>
      </w:pPr>
    </w:p>
    <w:p w14:paraId="474CCEEE">
      <w:pPr>
        <w:rPr>
          <w:rFonts w:hint="eastAsia" w:ascii="宋体" w:hAnsi="宋体" w:cs="宋体"/>
          <w:color w:val="auto"/>
          <w:highlight w:val="none"/>
        </w:rPr>
      </w:pPr>
    </w:p>
    <w:p w14:paraId="47E9609B">
      <w:pPr>
        <w:rPr>
          <w:rFonts w:hint="eastAsia" w:ascii="宋体" w:hAnsi="宋体" w:cs="宋体"/>
          <w:color w:val="auto"/>
          <w:highlight w:val="none"/>
        </w:rPr>
      </w:pPr>
    </w:p>
    <w:p w14:paraId="5F2BEA8E">
      <w:pPr>
        <w:rPr>
          <w:rFonts w:hint="eastAsia" w:ascii="宋体" w:hAnsi="宋体" w:cs="宋体"/>
          <w:color w:val="auto"/>
          <w:highlight w:val="none"/>
        </w:rPr>
      </w:pPr>
    </w:p>
    <w:p w14:paraId="32D23808">
      <w:pPr>
        <w:rPr>
          <w:rFonts w:hint="eastAsia" w:ascii="宋体" w:hAnsi="宋体" w:cs="宋体"/>
          <w:color w:val="auto"/>
          <w:highlight w:val="none"/>
        </w:rPr>
      </w:pPr>
    </w:p>
    <w:p w14:paraId="45BC5AB4">
      <w:pPr>
        <w:adjustRightInd w:val="0"/>
        <w:snapToGrid w:val="0"/>
        <w:spacing w:before="285" w:beforeLines="100" w:line="360" w:lineRule="auto"/>
        <w:ind w:left="1770" w:hanging="1770"/>
        <w:jc w:val="center"/>
        <w:outlineLvl w:val="0"/>
        <w:rPr>
          <w:rFonts w:hint="eastAsia" w:ascii="宋体" w:hAnsi="宋体" w:cs="宋体"/>
          <w:b/>
          <w:color w:val="auto"/>
          <w:sz w:val="28"/>
          <w:szCs w:val="28"/>
          <w:highlight w:val="none"/>
        </w:rPr>
      </w:pPr>
      <w:bookmarkStart w:id="107" w:name="_Toc12463"/>
      <w:r>
        <w:rPr>
          <w:rFonts w:hint="eastAsia" w:ascii="宋体" w:hAnsi="宋体" w:cs="宋体"/>
          <w:b/>
          <w:color w:val="auto"/>
          <w:sz w:val="44"/>
          <w:szCs w:val="28"/>
          <w:highlight w:val="none"/>
        </w:rPr>
        <w:t>第五篇  投标文件格式</w:t>
      </w:r>
      <w:bookmarkEnd w:id="104"/>
      <w:bookmarkEnd w:id="105"/>
      <w:bookmarkEnd w:id="106"/>
      <w:bookmarkEnd w:id="107"/>
    </w:p>
    <w:p w14:paraId="65F09663">
      <w:pPr>
        <w:jc w:val="center"/>
        <w:rPr>
          <w:rFonts w:hint="eastAsia" w:ascii="宋体" w:hAnsi="宋体" w:cs="宋体"/>
          <w:b/>
          <w:color w:val="auto"/>
          <w:sz w:val="28"/>
          <w:szCs w:val="28"/>
          <w:highlight w:val="none"/>
        </w:rPr>
      </w:pPr>
    </w:p>
    <w:p w14:paraId="59C63C7D">
      <w:pPr>
        <w:jc w:val="center"/>
        <w:rPr>
          <w:rFonts w:hint="eastAsia" w:ascii="宋体" w:hAnsi="宋体" w:cs="宋体"/>
          <w:b/>
          <w:color w:val="auto"/>
          <w:sz w:val="28"/>
          <w:szCs w:val="28"/>
          <w:highlight w:val="none"/>
        </w:rPr>
      </w:pPr>
    </w:p>
    <w:p w14:paraId="250B7029">
      <w:pPr>
        <w:jc w:val="center"/>
        <w:rPr>
          <w:rFonts w:hint="eastAsia" w:ascii="宋体" w:hAnsi="宋体" w:cs="宋体"/>
          <w:b/>
          <w:color w:val="auto"/>
          <w:sz w:val="28"/>
          <w:szCs w:val="28"/>
          <w:highlight w:val="none"/>
        </w:rPr>
      </w:pPr>
    </w:p>
    <w:p w14:paraId="42DAAC30">
      <w:pPr>
        <w:jc w:val="center"/>
        <w:rPr>
          <w:rFonts w:hint="eastAsia" w:ascii="宋体" w:hAnsi="宋体" w:cs="宋体"/>
          <w:b/>
          <w:color w:val="auto"/>
          <w:sz w:val="28"/>
          <w:szCs w:val="28"/>
          <w:highlight w:val="none"/>
        </w:rPr>
      </w:pPr>
    </w:p>
    <w:p w14:paraId="6DB3AF05">
      <w:pPr>
        <w:jc w:val="center"/>
        <w:rPr>
          <w:rFonts w:hint="eastAsia" w:ascii="宋体" w:hAnsi="宋体" w:cs="宋体"/>
          <w:b/>
          <w:color w:val="auto"/>
          <w:sz w:val="28"/>
          <w:szCs w:val="28"/>
          <w:highlight w:val="none"/>
        </w:rPr>
      </w:pPr>
    </w:p>
    <w:p w14:paraId="5A0C785D">
      <w:pPr>
        <w:jc w:val="center"/>
        <w:rPr>
          <w:rFonts w:hint="eastAsia" w:ascii="宋体" w:hAnsi="宋体" w:cs="宋体"/>
          <w:b/>
          <w:color w:val="auto"/>
          <w:sz w:val="28"/>
          <w:szCs w:val="28"/>
          <w:highlight w:val="none"/>
        </w:rPr>
      </w:pPr>
    </w:p>
    <w:p w14:paraId="282D30BD">
      <w:pPr>
        <w:jc w:val="center"/>
        <w:rPr>
          <w:rFonts w:hint="eastAsia" w:ascii="宋体" w:hAnsi="宋体" w:cs="宋体"/>
          <w:b/>
          <w:color w:val="auto"/>
          <w:sz w:val="28"/>
          <w:szCs w:val="28"/>
          <w:highlight w:val="none"/>
        </w:rPr>
      </w:pPr>
    </w:p>
    <w:p w14:paraId="7FB9D508">
      <w:pPr>
        <w:jc w:val="center"/>
        <w:rPr>
          <w:rFonts w:hint="eastAsia" w:ascii="宋体" w:hAnsi="宋体" w:cs="宋体"/>
          <w:b/>
          <w:color w:val="auto"/>
          <w:sz w:val="28"/>
          <w:szCs w:val="28"/>
          <w:highlight w:val="none"/>
        </w:rPr>
      </w:pPr>
    </w:p>
    <w:p w14:paraId="61C6DE60">
      <w:pPr>
        <w:jc w:val="center"/>
        <w:rPr>
          <w:rFonts w:hint="eastAsia" w:ascii="宋体" w:hAnsi="宋体" w:cs="宋体"/>
          <w:b/>
          <w:color w:val="auto"/>
          <w:sz w:val="28"/>
          <w:szCs w:val="28"/>
          <w:highlight w:val="none"/>
        </w:rPr>
      </w:pPr>
    </w:p>
    <w:p w14:paraId="254DFFA3">
      <w:pPr>
        <w:jc w:val="center"/>
        <w:rPr>
          <w:rFonts w:hint="eastAsia" w:ascii="宋体" w:hAnsi="宋体" w:cs="宋体"/>
          <w:b/>
          <w:color w:val="auto"/>
          <w:sz w:val="28"/>
          <w:szCs w:val="28"/>
          <w:highlight w:val="none"/>
        </w:rPr>
      </w:pPr>
    </w:p>
    <w:p w14:paraId="52881E4F">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投标文件格式</w:t>
      </w:r>
    </w:p>
    <w:p w14:paraId="4AFF97BD">
      <w:pPr>
        <w:spacing w:line="360" w:lineRule="auto"/>
        <w:rPr>
          <w:rFonts w:hint="eastAsia" w:ascii="宋体" w:hAnsi="宋体" w:cs="宋体"/>
          <w:color w:val="auto"/>
          <w:szCs w:val="21"/>
          <w:highlight w:val="none"/>
        </w:rPr>
      </w:pPr>
      <w:r>
        <w:rPr>
          <w:rFonts w:hint="eastAsia" w:ascii="宋体" w:hAnsi="宋体" w:cs="宋体"/>
          <w:b/>
          <w:color w:val="auto"/>
          <w:szCs w:val="21"/>
          <w:highlight w:val="none"/>
          <w:u w:val="single"/>
        </w:rPr>
        <w:t>一、投标文件请按</w:t>
      </w:r>
      <w:r>
        <w:rPr>
          <w:rFonts w:hint="eastAsia" w:ascii="宋体" w:hAnsi="宋体" w:cs="宋体"/>
          <w:b/>
          <w:bCs/>
          <w:color w:val="auto"/>
          <w:szCs w:val="21"/>
          <w:highlight w:val="none"/>
          <w:u w:val="single"/>
        </w:rPr>
        <w:t>投标文件编制的</w:t>
      </w:r>
      <w:r>
        <w:rPr>
          <w:rFonts w:hint="eastAsia" w:ascii="宋体" w:hAnsi="宋体" w:cs="宋体"/>
          <w:b/>
          <w:color w:val="auto"/>
          <w:szCs w:val="21"/>
          <w:highlight w:val="none"/>
          <w:u w:val="single"/>
        </w:rPr>
        <w:t>顺序和以下要求格式制作：</w:t>
      </w:r>
    </w:p>
    <w:p w14:paraId="4A6CFBB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（一）自查表</w:t>
      </w:r>
    </w:p>
    <w:p w14:paraId="52023F7A">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（二）经济部分的投标文件格式</w:t>
      </w:r>
    </w:p>
    <w:p w14:paraId="3B49FF8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投标报价总表</w:t>
      </w:r>
    </w:p>
    <w:p w14:paraId="60B7D94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（三）商务部分的投标文件格式</w:t>
      </w:r>
    </w:p>
    <w:p w14:paraId="0816DE3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1.投标函</w:t>
      </w:r>
    </w:p>
    <w:p w14:paraId="7056EB7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2.资格声明书</w:t>
      </w:r>
    </w:p>
    <w:p w14:paraId="51953DF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3.法定代表人证明书</w:t>
      </w:r>
    </w:p>
    <w:p w14:paraId="65778DB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4.法定代表人授权书</w:t>
      </w:r>
    </w:p>
    <w:p w14:paraId="3685776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5.投标人的相关资格证明资料复印件（加盖投标人公章），其中包括：</w:t>
      </w:r>
    </w:p>
    <w:p w14:paraId="3942B244">
      <w:pPr>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A.证明投标人的合格性的证明文件，详见《投标须知前附表》第13.2条款内容；</w:t>
      </w:r>
    </w:p>
    <w:p w14:paraId="0DF4A1C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（1）具有独立承担民事责任的能力【提供在中华人民共和国境内注册的法人或其他组织的营业执照或事业单位法人证书或社会团体法人登记证书复印件；如国家另有规定的，则从其规定】。</w:t>
      </w:r>
    </w:p>
    <w:p w14:paraId="3F29299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）有依法缴纳税收和社会保障资金的良好记录【提供投标截止日前6个月内任意1个月依法缴纳税收和社会保障资金的相关材料。如依法免税或不需要缴纳社会保障资金的，提供相应证明材料】。</w:t>
      </w:r>
    </w:p>
    <w:p w14:paraId="54F7212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具有良好的商业信誉和健全的财务会计制度【提供以下2种证明材料之一：①投标人必须提供2025年度经会计师事务所审计的财务状况报告，2026年新成立的则提供2026年至今任意1个月的财务状况报表；②同时提供a.基本开户行出具的资信证明，b.《基本存款账号信息》或《开户许可证》】。</w:t>
      </w:r>
    </w:p>
    <w:p w14:paraId="71A47EC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具有履行合同所必需的设备和专业技术能力【投标人必须提供《关于具有履行合同所必需的设备和专业技术能力的承诺》，格式参考本招标文件第五篇投标文件格式“5-1《关于具有履行合同所必需的设备和专业技术能力的承诺》】。</w:t>
      </w:r>
    </w:p>
    <w:p w14:paraId="75132DC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参加招标活动前三年内，在经营活动中没有重大违法记录【投标人必须提供《守法经营声明书》，格式参考本招标文件第五篇投标文件格式“5-2《守法经营声明书》。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31CE16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）法律、行政法规规定的其他条件【投标人必须提供《守法经营声明书》，格式参考本招标文件第五篇投标文件格式“5-2《守法经营声明书》】。</w:t>
      </w:r>
    </w:p>
    <w:p w14:paraId="3513591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与招标人存在利害关系可能影响招标公正性的法人、其他组织或者个人，不得参加投标。单位负责人为同一人或者存在控股、管理关系的不同单位，不得参加同一标段（包组）投标或者未划分标段（包组）的同一招标项目投标。</w:t>
      </w:r>
    </w:p>
    <w:p w14:paraId="7F0A82C8">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投标人应具备有效的《食品生产许可证》《中华人民共和国取水许可证》。</w:t>
      </w:r>
    </w:p>
    <w:p w14:paraId="1C75F8D1">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）投标人未被列入“信用中国”网站（www.creditchina.gov.cn）发布的《法人和非法人组织公共信用信息报告》严重失信主体名单的。</w:t>
      </w:r>
    </w:p>
    <w:p w14:paraId="50CAC06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）本项目不接受联合体投标。</w:t>
      </w:r>
    </w:p>
    <w:p w14:paraId="2A119B6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（11）本项目不接受以任何方式进行转包或分包。</w:t>
      </w:r>
    </w:p>
    <w:p w14:paraId="0D453B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B.其他资格证明资料（不限于《第三篇 用户需求书》内容）；</w:t>
      </w:r>
    </w:p>
    <w:p w14:paraId="34080A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6.类似项目业绩</w:t>
      </w:r>
    </w:p>
    <w:p w14:paraId="337812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7.《用户需求书》响应表格式</w:t>
      </w:r>
    </w:p>
    <w:p w14:paraId="207766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8.《合同书》响应表格式</w:t>
      </w:r>
    </w:p>
    <w:p w14:paraId="1FA7C0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9.投标人简介</w:t>
      </w:r>
    </w:p>
    <w:p w14:paraId="019725BC">
      <w:pPr>
        <w:spacing w:line="360" w:lineRule="auto"/>
        <w:ind w:left="428" w:hanging="428" w:hangingChars="204"/>
        <w:rPr>
          <w:rFonts w:hint="eastAsia" w:ascii="宋体" w:hAnsi="宋体" w:cs="宋体"/>
          <w:color w:val="auto"/>
          <w:szCs w:val="21"/>
          <w:highlight w:val="none"/>
        </w:rPr>
      </w:pPr>
      <w:r>
        <w:rPr>
          <w:rFonts w:hint="eastAsia" w:ascii="宋体" w:hAnsi="宋体" w:cs="宋体"/>
          <w:color w:val="auto"/>
          <w:szCs w:val="21"/>
          <w:highlight w:val="none"/>
        </w:rPr>
        <w:t>10.投标人管理人员一览表</w:t>
      </w:r>
    </w:p>
    <w:p w14:paraId="1E8F46F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11.交纳招标代理服务费承诺书</w:t>
      </w:r>
    </w:p>
    <w:p w14:paraId="70B4529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12.其他文件</w:t>
      </w:r>
    </w:p>
    <w:p w14:paraId="12F2B11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A.商务评分标准中的证明资料；</w:t>
      </w:r>
    </w:p>
    <w:p w14:paraId="0380A32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B.《用户需求书》所要求提供的证明资料文件。</w:t>
      </w:r>
    </w:p>
    <w:p w14:paraId="790033A2">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（四）技术部分</w:t>
      </w:r>
    </w:p>
    <w:p w14:paraId="17C9C2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1.技术方案（根据技术部分评分表内容要求提供）</w:t>
      </w:r>
    </w:p>
    <w:p w14:paraId="323AF4B2">
      <w:pPr>
        <w:spacing w:line="360" w:lineRule="auto"/>
        <w:rPr>
          <w:rFonts w:hint="eastAsia" w:ascii="宋体" w:hAnsi="宋体" w:cs="宋体"/>
          <w:color w:val="auto"/>
          <w:szCs w:val="21"/>
          <w:highlight w:val="none"/>
          <w:lang w:val="en-GB"/>
        </w:rPr>
      </w:pPr>
      <w:r>
        <w:rPr>
          <w:rFonts w:hint="eastAsia" w:ascii="宋体" w:hAnsi="宋体" w:cs="宋体"/>
          <w:color w:val="auto"/>
          <w:szCs w:val="21"/>
          <w:highlight w:val="none"/>
        </w:rPr>
        <w:t>2.</w:t>
      </w:r>
      <w:r>
        <w:rPr>
          <w:rFonts w:hint="eastAsia" w:ascii="宋体" w:hAnsi="宋体" w:cs="宋体"/>
          <w:color w:val="auto"/>
          <w:szCs w:val="21"/>
          <w:highlight w:val="none"/>
          <w:lang w:val="en-GB"/>
        </w:rPr>
        <w:t>招标人配合的条件</w:t>
      </w:r>
    </w:p>
    <w:p w14:paraId="1ACA2257">
      <w:pPr>
        <w:spacing w:line="360" w:lineRule="auto"/>
        <w:rPr>
          <w:rFonts w:hint="eastAsia" w:ascii="宋体" w:hAnsi="宋体" w:cs="宋体"/>
          <w:color w:val="auto"/>
          <w:szCs w:val="21"/>
          <w:highlight w:val="none"/>
          <w:lang w:val="en-GB"/>
        </w:rPr>
      </w:pPr>
      <w:r>
        <w:rPr>
          <w:rFonts w:hint="eastAsia" w:ascii="宋体" w:hAnsi="宋体" w:cs="宋体"/>
          <w:color w:val="auto"/>
          <w:szCs w:val="21"/>
          <w:highlight w:val="none"/>
        </w:rPr>
        <w:t>3</w:t>
      </w:r>
      <w:r>
        <w:rPr>
          <w:rFonts w:hint="eastAsia" w:ascii="宋体" w:hAnsi="宋体" w:cs="宋体"/>
          <w:color w:val="auto"/>
          <w:szCs w:val="21"/>
          <w:highlight w:val="none"/>
          <w:lang w:val="en-GB"/>
        </w:rPr>
        <w:t>.技术响应表格式</w:t>
      </w:r>
    </w:p>
    <w:p w14:paraId="579416A1">
      <w:pPr>
        <w:spacing w:line="360" w:lineRule="auto"/>
        <w:rPr>
          <w:rFonts w:hint="eastAsia" w:ascii="宋体" w:hAnsi="宋体" w:cs="宋体"/>
          <w:color w:val="auto"/>
          <w:szCs w:val="21"/>
          <w:highlight w:val="none"/>
          <w:lang w:val="en-GB"/>
        </w:rPr>
      </w:pPr>
      <w:r>
        <w:rPr>
          <w:rFonts w:hint="eastAsia" w:ascii="宋体" w:hAnsi="宋体" w:cs="宋体"/>
          <w:color w:val="auto"/>
          <w:szCs w:val="21"/>
          <w:highlight w:val="none"/>
        </w:rPr>
        <w:t>4</w:t>
      </w:r>
      <w:r>
        <w:rPr>
          <w:rFonts w:hint="eastAsia" w:ascii="宋体" w:hAnsi="宋体" w:cs="宋体"/>
          <w:color w:val="auto"/>
          <w:szCs w:val="21"/>
          <w:highlight w:val="none"/>
          <w:lang w:val="en-GB"/>
        </w:rPr>
        <w:t>.实质性响应技术条款（“★”项）响应表格式（如有）</w:t>
      </w:r>
    </w:p>
    <w:p w14:paraId="67351313">
      <w:pPr>
        <w:spacing w:line="360" w:lineRule="auto"/>
        <w:rPr>
          <w:rFonts w:hint="eastAsia" w:ascii="宋体" w:hAnsi="宋体" w:cs="宋体"/>
          <w:color w:val="auto"/>
          <w:szCs w:val="21"/>
          <w:highlight w:val="none"/>
          <w:lang w:val="en-GB"/>
        </w:rPr>
      </w:pPr>
      <w:r>
        <w:rPr>
          <w:rFonts w:hint="eastAsia" w:ascii="宋体" w:hAnsi="宋体" w:cs="宋体"/>
          <w:color w:val="auto"/>
          <w:szCs w:val="21"/>
          <w:highlight w:val="none"/>
        </w:rPr>
        <w:t>5</w:t>
      </w:r>
      <w:r>
        <w:rPr>
          <w:rFonts w:hint="eastAsia" w:ascii="宋体" w:hAnsi="宋体" w:cs="宋体"/>
          <w:color w:val="auto"/>
          <w:szCs w:val="21"/>
          <w:highlight w:val="none"/>
          <w:lang w:val="en-GB"/>
        </w:rPr>
        <w:t>.重要技术条款（“▲”项）响应表（如有）</w:t>
      </w:r>
    </w:p>
    <w:p w14:paraId="7A29B204">
      <w:pPr>
        <w:spacing w:line="360" w:lineRule="auto"/>
        <w:rPr>
          <w:rFonts w:hint="eastAsia" w:ascii="宋体" w:hAnsi="宋体" w:cs="宋体"/>
          <w:color w:val="auto"/>
          <w:szCs w:val="21"/>
          <w:highlight w:val="none"/>
          <w:lang w:val="en-GB"/>
        </w:rPr>
      </w:pPr>
      <w:r>
        <w:rPr>
          <w:rFonts w:hint="eastAsia" w:ascii="宋体" w:hAnsi="宋体" w:cs="宋体"/>
          <w:color w:val="auto"/>
          <w:szCs w:val="21"/>
          <w:highlight w:val="none"/>
        </w:rPr>
        <w:t>6</w:t>
      </w:r>
      <w:r>
        <w:rPr>
          <w:rFonts w:hint="eastAsia" w:ascii="宋体" w:hAnsi="宋体" w:cs="宋体"/>
          <w:color w:val="auto"/>
          <w:szCs w:val="21"/>
          <w:highlight w:val="none"/>
          <w:lang w:val="en-GB"/>
        </w:rPr>
        <w:t>.其他文件</w:t>
      </w:r>
    </w:p>
    <w:p w14:paraId="2C9F35CC">
      <w:pPr>
        <w:snapToGrid w:val="0"/>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lang w:val="en-GB"/>
        </w:rPr>
        <w:t>A.技术评分标准中的证明资料</w:t>
      </w:r>
    </w:p>
    <w:p w14:paraId="72DF8DC7">
      <w:pPr>
        <w:snapToGrid w:val="0"/>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lang w:val="en-GB"/>
        </w:rPr>
        <w:t>B.《用户需求书》所要求提供的证明资料文件</w:t>
      </w:r>
    </w:p>
    <w:p w14:paraId="054EEDC1">
      <w:pPr>
        <w:spacing w:line="360" w:lineRule="auto"/>
        <w:rPr>
          <w:rFonts w:hint="eastAsia" w:ascii="宋体" w:hAnsi="宋体" w:cs="宋体"/>
          <w:b/>
          <w:color w:val="auto"/>
          <w:szCs w:val="21"/>
          <w:highlight w:val="none"/>
          <w:u w:val="single"/>
        </w:rPr>
      </w:pPr>
      <w:r>
        <w:rPr>
          <w:rFonts w:hint="eastAsia" w:ascii="宋体" w:hAnsi="宋体" w:cs="宋体"/>
          <w:b/>
          <w:color w:val="auto"/>
          <w:szCs w:val="21"/>
          <w:highlight w:val="none"/>
          <w:u w:val="single"/>
        </w:rPr>
        <w:t>二、唱标信封另单独封装，按以下顺序封装：</w:t>
      </w:r>
    </w:p>
    <w:p w14:paraId="6362DA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1.投标报价总表（从投标文件正本中复印，该表内容如与正本不一致的，以正本内容为准，加盖投标人公章）；</w:t>
      </w:r>
    </w:p>
    <w:p w14:paraId="7365C4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2.投标保证</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凭证[银行汇款底单复印件（加盖投标人公章）</w:t>
      </w:r>
      <w:r>
        <w:rPr>
          <w:rFonts w:hint="eastAsia" w:ascii="宋体" w:hAnsi="宋体" w:cs="宋体"/>
          <w:color w:val="auto"/>
          <w:szCs w:val="21"/>
          <w:highlight w:val="none"/>
          <w:lang w:eastAsia="zh-CN"/>
        </w:rPr>
        <w:t>、</w:t>
      </w:r>
      <w:r>
        <w:rPr>
          <w:rFonts w:hint="eastAsia" w:ascii="宋体" w:hAnsi="宋体"/>
          <w:color w:val="auto"/>
          <w:szCs w:val="22"/>
          <w:highlight w:val="none"/>
        </w:rPr>
        <w:t>保函</w:t>
      </w:r>
      <w:r>
        <w:rPr>
          <w:rFonts w:hint="eastAsia" w:ascii="宋体" w:hAnsi="宋体"/>
          <w:color w:val="auto"/>
          <w:szCs w:val="22"/>
          <w:highlight w:val="none"/>
          <w:lang w:eastAsia="zh-CN"/>
        </w:rPr>
        <w:t>原件等</w:t>
      </w:r>
      <w:r>
        <w:rPr>
          <w:rFonts w:hint="eastAsia" w:ascii="宋体" w:hAnsi="宋体" w:cs="宋体"/>
          <w:color w:val="auto"/>
          <w:szCs w:val="21"/>
          <w:highlight w:val="none"/>
        </w:rPr>
        <w:t>]；</w:t>
      </w:r>
    </w:p>
    <w:p w14:paraId="50D097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3.退还</w:t>
      </w:r>
      <w:r>
        <w:rPr>
          <w:rFonts w:hint="eastAsia" w:ascii="宋体" w:hAnsi="宋体" w:cs="宋体"/>
          <w:color w:val="auto"/>
          <w:szCs w:val="21"/>
          <w:highlight w:val="none"/>
          <w:lang w:eastAsia="zh-CN"/>
        </w:rPr>
        <w:t>投标保证</w:t>
      </w:r>
      <w:r>
        <w:rPr>
          <w:rFonts w:hint="eastAsia" w:ascii="宋体" w:hAnsi="宋体" w:cs="宋体"/>
          <w:color w:val="auto"/>
          <w:szCs w:val="21"/>
          <w:highlight w:val="none"/>
        </w:rPr>
        <w:t>声明复印件（加盖投标人公章）；</w:t>
      </w:r>
    </w:p>
    <w:p w14:paraId="5AC5591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4.电子文件[含投标文件自查表、经济部分、商务部分、技术部分文件， 电子投标文件采用U盘装载，不留密码，无病毒，不压缩，内容应与投标人打印产生的纸质投标文件内容一致，如有不同，以纸质投标文件为准]。</w:t>
      </w:r>
    </w:p>
    <w:p w14:paraId="3AD999EA">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（一）自查表</w:t>
      </w:r>
    </w:p>
    <w:p w14:paraId="48F26A1E">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表一：资格性、符合性自查表</w:t>
      </w:r>
    </w:p>
    <w:tbl>
      <w:tblPr>
        <w:tblStyle w:val="4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0"/>
        <w:gridCol w:w="2090"/>
      </w:tblGrid>
      <w:tr w14:paraId="7D2B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14:paraId="16DDDF03">
            <w:pPr>
              <w:pStyle w:val="134"/>
              <w:keepNext w:val="0"/>
              <w:adjustRightInd/>
              <w:spacing w:before="0" w:after="0" w:line="360" w:lineRule="auto"/>
              <w:textAlignment w:val="auto"/>
              <w:rPr>
                <w:rFonts w:hint="eastAsia" w:ascii="宋体" w:hAnsi="宋体" w:cs="宋体"/>
                <w:bCs/>
                <w:color w:val="auto"/>
                <w:spacing w:val="0"/>
                <w:kern w:val="2"/>
                <w:sz w:val="21"/>
                <w:szCs w:val="21"/>
                <w:highlight w:val="none"/>
              </w:rPr>
            </w:pPr>
            <w:r>
              <w:rPr>
                <w:rFonts w:hint="eastAsia" w:ascii="宋体" w:hAnsi="宋体" w:cs="宋体"/>
                <w:color w:val="auto"/>
                <w:sz w:val="21"/>
                <w:szCs w:val="21"/>
                <w:highlight w:val="none"/>
              </w:rPr>
              <w:t>资格性检查</w:t>
            </w:r>
          </w:p>
        </w:tc>
        <w:tc>
          <w:tcPr>
            <w:tcW w:w="5670" w:type="dxa"/>
            <w:vAlign w:val="center"/>
          </w:tcPr>
          <w:p w14:paraId="58C12EF6">
            <w:pPr>
              <w:pStyle w:val="134"/>
              <w:keepNext w:val="0"/>
              <w:adjustRightInd/>
              <w:spacing w:before="0" w:after="0" w:line="360" w:lineRule="auto"/>
              <w:textAlignment w:val="auto"/>
              <w:rPr>
                <w:rFonts w:hint="eastAsia" w:ascii="宋体" w:hAnsi="宋体" w:cs="宋体"/>
                <w:bCs/>
                <w:color w:val="auto"/>
                <w:spacing w:val="0"/>
                <w:kern w:val="2"/>
                <w:sz w:val="21"/>
                <w:szCs w:val="21"/>
                <w:highlight w:val="none"/>
              </w:rPr>
            </w:pPr>
            <w:r>
              <w:rPr>
                <w:rFonts w:hint="eastAsia" w:ascii="宋体" w:hAnsi="宋体" w:cs="宋体"/>
                <w:bCs/>
                <w:color w:val="auto"/>
                <w:spacing w:val="0"/>
                <w:kern w:val="2"/>
                <w:sz w:val="21"/>
                <w:szCs w:val="21"/>
                <w:highlight w:val="none"/>
              </w:rPr>
              <w:t>自查内容</w:t>
            </w:r>
          </w:p>
        </w:tc>
        <w:tc>
          <w:tcPr>
            <w:tcW w:w="2090" w:type="dxa"/>
            <w:vAlign w:val="center"/>
          </w:tcPr>
          <w:p w14:paraId="0633680A">
            <w:pPr>
              <w:pStyle w:val="134"/>
              <w:keepNext w:val="0"/>
              <w:adjustRightInd/>
              <w:spacing w:before="0" w:after="0" w:line="360" w:lineRule="auto"/>
              <w:textAlignment w:val="auto"/>
              <w:rPr>
                <w:rFonts w:hint="eastAsia" w:ascii="宋体" w:hAnsi="宋体" w:cs="宋体"/>
                <w:bCs/>
                <w:color w:val="auto"/>
                <w:spacing w:val="0"/>
                <w:kern w:val="2"/>
                <w:sz w:val="21"/>
                <w:szCs w:val="21"/>
                <w:highlight w:val="none"/>
              </w:rPr>
            </w:pPr>
            <w:r>
              <w:rPr>
                <w:rFonts w:hint="eastAsia" w:ascii="宋体" w:hAnsi="宋体" w:cs="宋体"/>
                <w:bCs/>
                <w:color w:val="auto"/>
                <w:spacing w:val="0"/>
                <w:kern w:val="2"/>
                <w:sz w:val="21"/>
                <w:szCs w:val="21"/>
                <w:highlight w:val="none"/>
              </w:rPr>
              <w:t>证明文件</w:t>
            </w:r>
          </w:p>
        </w:tc>
      </w:tr>
      <w:tr w14:paraId="0AA3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14:paraId="7665E207">
            <w:pPr>
              <w:pStyle w:val="242"/>
              <w:spacing w:line="360" w:lineRule="auto"/>
              <w:jc w:val="both"/>
              <w:rPr>
                <w:rFonts w:hint="eastAsia" w:ascii="宋体" w:hAnsi="宋体" w:cs="宋体"/>
                <w:color w:val="auto"/>
                <w:sz w:val="21"/>
                <w:szCs w:val="21"/>
                <w:highlight w:val="none"/>
              </w:rPr>
            </w:pPr>
          </w:p>
        </w:tc>
        <w:tc>
          <w:tcPr>
            <w:tcW w:w="5670" w:type="dxa"/>
            <w:vAlign w:val="center"/>
          </w:tcPr>
          <w:p w14:paraId="3D9D27A5">
            <w:pPr>
              <w:pStyle w:val="35"/>
              <w:spacing w:line="360" w:lineRule="auto"/>
              <w:rPr>
                <w:rFonts w:hint="eastAsia" w:ascii="宋体" w:hAnsi="宋体" w:cs="宋体"/>
                <w:bCs/>
                <w:iCs/>
                <w:color w:val="auto"/>
                <w:szCs w:val="21"/>
                <w:highlight w:val="none"/>
              </w:rPr>
            </w:pPr>
            <w:r>
              <w:rPr>
                <w:rFonts w:hint="eastAsia" w:ascii="宋体" w:hAnsi="宋体" w:cs="宋体"/>
                <w:color w:val="auto"/>
                <w:szCs w:val="21"/>
                <w:highlight w:val="none"/>
              </w:rPr>
              <w:t>请投标人按招标文件评审工作大纲“二、招标程序”中“资格性检查”内容填写</w:t>
            </w:r>
          </w:p>
        </w:tc>
        <w:tc>
          <w:tcPr>
            <w:tcW w:w="2090" w:type="dxa"/>
            <w:vAlign w:val="center"/>
          </w:tcPr>
          <w:p w14:paraId="5106BD95">
            <w:pPr>
              <w:pStyle w:val="35"/>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4241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14:paraId="49CB61A7">
            <w:pPr>
              <w:pStyle w:val="242"/>
              <w:spacing w:line="360" w:lineRule="auto"/>
              <w:jc w:val="both"/>
              <w:rPr>
                <w:rFonts w:hint="eastAsia" w:ascii="宋体" w:hAnsi="宋体" w:cs="宋体"/>
                <w:color w:val="auto"/>
                <w:sz w:val="21"/>
                <w:szCs w:val="21"/>
                <w:highlight w:val="none"/>
              </w:rPr>
            </w:pPr>
          </w:p>
        </w:tc>
        <w:tc>
          <w:tcPr>
            <w:tcW w:w="5670" w:type="dxa"/>
            <w:vAlign w:val="center"/>
          </w:tcPr>
          <w:p w14:paraId="1A6E3244">
            <w:pPr>
              <w:pStyle w:val="242"/>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2090" w:type="dxa"/>
            <w:vAlign w:val="center"/>
          </w:tcPr>
          <w:p w14:paraId="108B1214">
            <w:pPr>
              <w:pStyle w:val="35"/>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528B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14:paraId="5D1A274E">
            <w:pPr>
              <w:pStyle w:val="242"/>
              <w:spacing w:line="360" w:lineRule="auto"/>
              <w:jc w:val="both"/>
              <w:rPr>
                <w:rFonts w:hint="eastAsia" w:ascii="宋体" w:hAnsi="宋体" w:cs="宋体"/>
                <w:color w:val="auto"/>
                <w:sz w:val="21"/>
                <w:szCs w:val="21"/>
                <w:highlight w:val="none"/>
              </w:rPr>
            </w:pPr>
          </w:p>
        </w:tc>
        <w:tc>
          <w:tcPr>
            <w:tcW w:w="5670" w:type="dxa"/>
            <w:vAlign w:val="center"/>
          </w:tcPr>
          <w:p w14:paraId="4F62BD0B">
            <w:pPr>
              <w:pStyle w:val="242"/>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2090" w:type="dxa"/>
            <w:vAlign w:val="center"/>
          </w:tcPr>
          <w:p w14:paraId="19FB2371">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见投标文件第（）页</w:t>
            </w:r>
          </w:p>
        </w:tc>
      </w:tr>
      <w:tr w14:paraId="178F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14:paraId="4B09D2C5">
            <w:pPr>
              <w:pStyle w:val="242"/>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符合性检查</w:t>
            </w:r>
          </w:p>
        </w:tc>
        <w:tc>
          <w:tcPr>
            <w:tcW w:w="5670" w:type="dxa"/>
            <w:vAlign w:val="center"/>
          </w:tcPr>
          <w:p w14:paraId="52E7A92E">
            <w:pPr>
              <w:pStyle w:val="35"/>
              <w:spacing w:line="360" w:lineRule="auto"/>
              <w:rPr>
                <w:rFonts w:hint="eastAsia" w:ascii="宋体" w:hAnsi="宋体" w:cs="宋体"/>
                <w:bCs/>
                <w:iCs/>
                <w:color w:val="auto"/>
                <w:szCs w:val="21"/>
                <w:highlight w:val="none"/>
              </w:rPr>
            </w:pPr>
            <w:r>
              <w:rPr>
                <w:rFonts w:hint="eastAsia" w:ascii="宋体" w:hAnsi="宋体" w:cs="宋体"/>
                <w:color w:val="auto"/>
                <w:szCs w:val="21"/>
                <w:highlight w:val="none"/>
              </w:rPr>
              <w:t>请投标人按招标文件评审工作大纲“二、招标程序”中“符合性检查”内容填写</w:t>
            </w:r>
          </w:p>
        </w:tc>
        <w:tc>
          <w:tcPr>
            <w:tcW w:w="2090" w:type="dxa"/>
            <w:vAlign w:val="center"/>
          </w:tcPr>
          <w:p w14:paraId="1C522CD8">
            <w:pPr>
              <w:pStyle w:val="35"/>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6FE0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14:paraId="67DFDA05">
            <w:pPr>
              <w:pStyle w:val="242"/>
              <w:spacing w:line="360" w:lineRule="auto"/>
              <w:jc w:val="both"/>
              <w:rPr>
                <w:rFonts w:hint="eastAsia" w:ascii="宋体" w:hAnsi="宋体" w:cs="宋体"/>
                <w:color w:val="auto"/>
                <w:sz w:val="21"/>
                <w:szCs w:val="21"/>
                <w:highlight w:val="none"/>
              </w:rPr>
            </w:pPr>
          </w:p>
        </w:tc>
        <w:tc>
          <w:tcPr>
            <w:tcW w:w="5670" w:type="dxa"/>
            <w:vAlign w:val="center"/>
          </w:tcPr>
          <w:p w14:paraId="11BBEE80">
            <w:pPr>
              <w:pStyle w:val="242"/>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2090" w:type="dxa"/>
            <w:vAlign w:val="center"/>
          </w:tcPr>
          <w:p w14:paraId="71B96190">
            <w:pPr>
              <w:pStyle w:val="35"/>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14:paraId="307A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14:paraId="1F092452">
            <w:pPr>
              <w:pStyle w:val="242"/>
              <w:spacing w:line="360" w:lineRule="auto"/>
              <w:jc w:val="both"/>
              <w:rPr>
                <w:rFonts w:hint="eastAsia" w:ascii="宋体" w:hAnsi="宋体" w:cs="宋体"/>
                <w:color w:val="auto"/>
                <w:sz w:val="21"/>
                <w:szCs w:val="21"/>
                <w:highlight w:val="none"/>
              </w:rPr>
            </w:pPr>
          </w:p>
        </w:tc>
        <w:tc>
          <w:tcPr>
            <w:tcW w:w="5670" w:type="dxa"/>
            <w:vAlign w:val="center"/>
          </w:tcPr>
          <w:p w14:paraId="3CC31D41">
            <w:pPr>
              <w:spacing w:line="360" w:lineRule="auto"/>
              <w:rPr>
                <w:rFonts w:hint="eastAsia" w:ascii="宋体" w:hAnsi="宋体" w:cs="宋体"/>
                <w:color w:val="auto"/>
                <w:highlight w:val="none"/>
              </w:rPr>
            </w:pPr>
            <w:r>
              <w:rPr>
                <w:rFonts w:hint="eastAsia" w:ascii="宋体" w:hAnsi="宋体" w:cs="宋体"/>
                <w:color w:val="auto"/>
                <w:szCs w:val="21"/>
                <w:highlight w:val="none"/>
              </w:rPr>
              <w:t>……</w:t>
            </w:r>
          </w:p>
        </w:tc>
        <w:tc>
          <w:tcPr>
            <w:tcW w:w="2090" w:type="dxa"/>
            <w:vAlign w:val="center"/>
          </w:tcPr>
          <w:p w14:paraId="24461AAF">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见投标文件第（）页</w:t>
            </w:r>
          </w:p>
        </w:tc>
      </w:tr>
    </w:tbl>
    <w:p w14:paraId="6637D25E">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表二：商务评审自查表</w:t>
      </w:r>
    </w:p>
    <w:tbl>
      <w:tblPr>
        <w:tblStyle w:val="49"/>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14:paraId="7810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068E5E42">
            <w:pPr>
              <w:pStyle w:val="134"/>
              <w:keepNext w:val="0"/>
              <w:tabs>
                <w:tab w:val="left" w:pos="7740"/>
              </w:tabs>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评审分项</w:t>
            </w:r>
          </w:p>
        </w:tc>
        <w:tc>
          <w:tcPr>
            <w:tcW w:w="5432" w:type="dxa"/>
            <w:vAlign w:val="center"/>
          </w:tcPr>
          <w:p w14:paraId="1EC2B1FE">
            <w:pPr>
              <w:pStyle w:val="134"/>
              <w:keepNext w:val="0"/>
              <w:tabs>
                <w:tab w:val="left" w:pos="7740"/>
              </w:tabs>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评审细则</w:t>
            </w:r>
          </w:p>
        </w:tc>
        <w:tc>
          <w:tcPr>
            <w:tcW w:w="2126" w:type="dxa"/>
            <w:vAlign w:val="center"/>
          </w:tcPr>
          <w:p w14:paraId="2E33109A">
            <w:pPr>
              <w:pStyle w:val="134"/>
              <w:keepNext w:val="0"/>
              <w:tabs>
                <w:tab w:val="left" w:pos="7740"/>
              </w:tabs>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证明文件</w:t>
            </w:r>
          </w:p>
        </w:tc>
      </w:tr>
      <w:tr w14:paraId="22E9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31FD9FD8">
            <w:pPr>
              <w:pStyle w:val="242"/>
              <w:tabs>
                <w:tab w:val="left" w:pos="7740"/>
              </w:tabs>
              <w:spacing w:line="360" w:lineRule="auto"/>
              <w:rPr>
                <w:rFonts w:hint="eastAsia" w:ascii="宋体" w:hAnsi="宋体" w:cs="宋体"/>
                <w:color w:val="auto"/>
                <w:sz w:val="21"/>
                <w:szCs w:val="21"/>
                <w:highlight w:val="none"/>
              </w:rPr>
            </w:pPr>
          </w:p>
        </w:tc>
        <w:tc>
          <w:tcPr>
            <w:tcW w:w="5432" w:type="dxa"/>
            <w:vAlign w:val="center"/>
          </w:tcPr>
          <w:p w14:paraId="69E9EF04">
            <w:pPr>
              <w:pStyle w:val="35"/>
              <w:tabs>
                <w:tab w:val="left" w:pos="7740"/>
              </w:tabs>
              <w:spacing w:line="360" w:lineRule="auto"/>
              <w:rPr>
                <w:rFonts w:hint="eastAsia" w:ascii="宋体" w:hAnsi="宋体" w:cs="宋体"/>
                <w:b/>
                <w:bCs/>
                <w:i/>
                <w:iCs/>
                <w:color w:val="auto"/>
                <w:szCs w:val="21"/>
                <w:highlight w:val="none"/>
              </w:rPr>
            </w:pPr>
          </w:p>
        </w:tc>
        <w:tc>
          <w:tcPr>
            <w:tcW w:w="2126" w:type="dxa"/>
            <w:vAlign w:val="center"/>
          </w:tcPr>
          <w:p w14:paraId="4E836C94">
            <w:pPr>
              <w:pStyle w:val="35"/>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 （）页</w:t>
            </w:r>
          </w:p>
        </w:tc>
      </w:tr>
      <w:tr w14:paraId="4A9F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6D4E7AE3">
            <w:pPr>
              <w:tabs>
                <w:tab w:val="left" w:pos="7740"/>
              </w:tabs>
              <w:spacing w:line="360" w:lineRule="auto"/>
              <w:rPr>
                <w:rFonts w:hint="eastAsia" w:ascii="宋体" w:hAnsi="宋体" w:cs="宋体"/>
                <w:color w:val="auto"/>
                <w:szCs w:val="21"/>
                <w:highlight w:val="none"/>
              </w:rPr>
            </w:pPr>
          </w:p>
        </w:tc>
        <w:tc>
          <w:tcPr>
            <w:tcW w:w="5432" w:type="dxa"/>
            <w:vAlign w:val="center"/>
          </w:tcPr>
          <w:p w14:paraId="76CD4AAD">
            <w:pPr>
              <w:pStyle w:val="35"/>
              <w:tabs>
                <w:tab w:val="left" w:pos="7740"/>
              </w:tabs>
              <w:spacing w:line="360" w:lineRule="auto"/>
              <w:rPr>
                <w:rFonts w:hint="eastAsia" w:ascii="宋体" w:hAnsi="宋体" w:cs="宋体"/>
                <w:b/>
                <w:bCs/>
                <w:i/>
                <w:iCs/>
                <w:color w:val="auto"/>
                <w:szCs w:val="21"/>
                <w:highlight w:val="none"/>
              </w:rPr>
            </w:pPr>
          </w:p>
        </w:tc>
        <w:tc>
          <w:tcPr>
            <w:tcW w:w="2126" w:type="dxa"/>
            <w:vAlign w:val="center"/>
          </w:tcPr>
          <w:p w14:paraId="3CB6C48F">
            <w:pPr>
              <w:pStyle w:val="35"/>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 （）页</w:t>
            </w:r>
          </w:p>
        </w:tc>
      </w:tr>
      <w:tr w14:paraId="4931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656DAE42">
            <w:pPr>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5432" w:type="dxa"/>
            <w:vAlign w:val="center"/>
          </w:tcPr>
          <w:p w14:paraId="3BC2FC5C">
            <w:pPr>
              <w:pStyle w:val="35"/>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126" w:type="dxa"/>
            <w:vAlign w:val="center"/>
          </w:tcPr>
          <w:p w14:paraId="42581BDB">
            <w:pPr>
              <w:pStyle w:val="35"/>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 （）页</w:t>
            </w:r>
          </w:p>
        </w:tc>
      </w:tr>
    </w:tbl>
    <w:p w14:paraId="08B5FDCD">
      <w:pPr>
        <w:spacing w:line="360" w:lineRule="auto"/>
        <w:rPr>
          <w:rFonts w:hint="eastAsia" w:ascii="宋体" w:hAnsi="宋体" w:cs="宋体"/>
          <w:color w:val="auto"/>
          <w:sz w:val="24"/>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表二为商务评审打分项的自查表，投标人自行填写，根据商务评审打分内容提供相应的证明材料，如未提供，评委有权认为不具备或不符合，并影响投标人的得分。</w:t>
      </w:r>
    </w:p>
    <w:p w14:paraId="48D65B6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表三：技术评审自查表</w:t>
      </w:r>
    </w:p>
    <w:tbl>
      <w:tblPr>
        <w:tblStyle w:val="49"/>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14:paraId="6D65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627CF4D3">
            <w:pPr>
              <w:pStyle w:val="134"/>
              <w:keepNext w:val="0"/>
              <w:tabs>
                <w:tab w:val="left" w:pos="7740"/>
              </w:tabs>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评审分项</w:t>
            </w:r>
          </w:p>
        </w:tc>
        <w:tc>
          <w:tcPr>
            <w:tcW w:w="5432" w:type="dxa"/>
            <w:vAlign w:val="center"/>
          </w:tcPr>
          <w:p w14:paraId="6EC93943">
            <w:pPr>
              <w:pStyle w:val="134"/>
              <w:keepNext w:val="0"/>
              <w:tabs>
                <w:tab w:val="left" w:pos="7740"/>
              </w:tabs>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评审细则</w:t>
            </w:r>
          </w:p>
        </w:tc>
        <w:tc>
          <w:tcPr>
            <w:tcW w:w="2126" w:type="dxa"/>
            <w:vAlign w:val="center"/>
          </w:tcPr>
          <w:p w14:paraId="38A6ADC9">
            <w:pPr>
              <w:pStyle w:val="134"/>
              <w:keepNext w:val="0"/>
              <w:tabs>
                <w:tab w:val="left" w:pos="7740"/>
              </w:tabs>
              <w:adjustRightInd/>
              <w:spacing w:before="0" w:after="0" w:line="360" w:lineRule="auto"/>
              <w:textAlignment w:val="auto"/>
              <w:rPr>
                <w:rFonts w:hint="eastAsia" w:ascii="宋体" w:hAnsi="宋体" w:cs="宋体"/>
                <w:b/>
                <w:bCs/>
                <w:color w:val="auto"/>
                <w:spacing w:val="0"/>
                <w:kern w:val="2"/>
                <w:sz w:val="21"/>
                <w:szCs w:val="21"/>
                <w:highlight w:val="none"/>
              </w:rPr>
            </w:pPr>
            <w:r>
              <w:rPr>
                <w:rFonts w:hint="eastAsia" w:ascii="宋体" w:hAnsi="宋体" w:cs="宋体"/>
                <w:b/>
                <w:bCs/>
                <w:color w:val="auto"/>
                <w:spacing w:val="0"/>
                <w:kern w:val="2"/>
                <w:sz w:val="21"/>
                <w:szCs w:val="21"/>
                <w:highlight w:val="none"/>
              </w:rPr>
              <w:t>证明文件</w:t>
            </w:r>
          </w:p>
        </w:tc>
      </w:tr>
      <w:tr w14:paraId="2304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74B547A9">
            <w:pPr>
              <w:pStyle w:val="242"/>
              <w:tabs>
                <w:tab w:val="left" w:pos="7740"/>
              </w:tabs>
              <w:spacing w:line="360" w:lineRule="auto"/>
              <w:rPr>
                <w:rFonts w:hint="eastAsia" w:ascii="宋体" w:hAnsi="宋体" w:cs="宋体"/>
                <w:color w:val="auto"/>
                <w:sz w:val="21"/>
                <w:szCs w:val="21"/>
                <w:highlight w:val="none"/>
              </w:rPr>
            </w:pPr>
          </w:p>
        </w:tc>
        <w:tc>
          <w:tcPr>
            <w:tcW w:w="5432" w:type="dxa"/>
            <w:vAlign w:val="center"/>
          </w:tcPr>
          <w:p w14:paraId="698B2530">
            <w:pPr>
              <w:pStyle w:val="35"/>
              <w:tabs>
                <w:tab w:val="left" w:pos="7740"/>
              </w:tabs>
              <w:spacing w:line="360" w:lineRule="auto"/>
              <w:rPr>
                <w:rFonts w:hint="eastAsia" w:ascii="宋体" w:hAnsi="宋体" w:cs="宋体"/>
                <w:b/>
                <w:bCs/>
                <w:i/>
                <w:iCs/>
                <w:color w:val="auto"/>
                <w:szCs w:val="21"/>
                <w:highlight w:val="none"/>
              </w:rPr>
            </w:pPr>
          </w:p>
        </w:tc>
        <w:tc>
          <w:tcPr>
            <w:tcW w:w="2126" w:type="dxa"/>
            <w:vAlign w:val="center"/>
          </w:tcPr>
          <w:p w14:paraId="1A1E99F3">
            <w:pPr>
              <w:pStyle w:val="35"/>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 （）页</w:t>
            </w:r>
          </w:p>
        </w:tc>
      </w:tr>
      <w:tr w14:paraId="6C4A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0A695853">
            <w:pPr>
              <w:tabs>
                <w:tab w:val="left" w:pos="7740"/>
              </w:tabs>
              <w:spacing w:line="360" w:lineRule="auto"/>
              <w:rPr>
                <w:rFonts w:hint="eastAsia" w:ascii="宋体" w:hAnsi="宋体" w:cs="宋体"/>
                <w:color w:val="auto"/>
                <w:szCs w:val="21"/>
                <w:highlight w:val="none"/>
              </w:rPr>
            </w:pPr>
          </w:p>
        </w:tc>
        <w:tc>
          <w:tcPr>
            <w:tcW w:w="5432" w:type="dxa"/>
            <w:vAlign w:val="center"/>
          </w:tcPr>
          <w:p w14:paraId="066E3149">
            <w:pPr>
              <w:pStyle w:val="35"/>
              <w:tabs>
                <w:tab w:val="left" w:pos="7740"/>
              </w:tabs>
              <w:spacing w:line="360" w:lineRule="auto"/>
              <w:rPr>
                <w:rFonts w:hint="eastAsia" w:ascii="宋体" w:hAnsi="宋体" w:cs="宋体"/>
                <w:b/>
                <w:bCs/>
                <w:i/>
                <w:iCs/>
                <w:color w:val="auto"/>
                <w:szCs w:val="21"/>
                <w:highlight w:val="none"/>
              </w:rPr>
            </w:pPr>
          </w:p>
        </w:tc>
        <w:tc>
          <w:tcPr>
            <w:tcW w:w="2126" w:type="dxa"/>
            <w:vAlign w:val="center"/>
          </w:tcPr>
          <w:p w14:paraId="4C657BC9">
            <w:pPr>
              <w:pStyle w:val="35"/>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 （）页</w:t>
            </w:r>
          </w:p>
        </w:tc>
      </w:tr>
      <w:tr w14:paraId="4A5E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06C31859">
            <w:pPr>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5432" w:type="dxa"/>
            <w:vAlign w:val="center"/>
          </w:tcPr>
          <w:p w14:paraId="0589C5DC">
            <w:pPr>
              <w:pStyle w:val="35"/>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126" w:type="dxa"/>
            <w:vAlign w:val="center"/>
          </w:tcPr>
          <w:p w14:paraId="11782CE4">
            <w:pPr>
              <w:pStyle w:val="35"/>
              <w:tabs>
                <w:tab w:val="left" w:pos="774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 （）页</w:t>
            </w:r>
          </w:p>
        </w:tc>
      </w:tr>
    </w:tbl>
    <w:p w14:paraId="34FDA798">
      <w:pPr>
        <w:spacing w:line="360" w:lineRule="auto"/>
        <w:rPr>
          <w:rFonts w:hint="eastAsia" w:ascii="宋体" w:hAnsi="宋体" w:cs="宋体"/>
          <w:color w:val="auto"/>
          <w:sz w:val="24"/>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表三为技术评审打分项的自查表，投标人自行填写，根据技术评审打分内容提供相应的证明材料，如未提供，评委有权认为不具备或不符合，并影响投标人的得分。</w:t>
      </w:r>
    </w:p>
    <w:p w14:paraId="02133FA0">
      <w:pPr>
        <w:spacing w:line="360" w:lineRule="auto"/>
        <w:rPr>
          <w:rFonts w:hint="eastAsia" w:ascii="宋体" w:hAnsi="宋体" w:cs="宋体"/>
          <w:b/>
          <w:color w:val="auto"/>
          <w:sz w:val="24"/>
          <w:highlight w:val="none"/>
        </w:rPr>
      </w:pPr>
    </w:p>
    <w:p w14:paraId="377C8297">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3EAAADCE">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34DA853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E3640FD">
      <w:pPr>
        <w:snapToGrid w:val="0"/>
        <w:spacing w:line="360" w:lineRule="auto"/>
        <w:rPr>
          <w:rFonts w:hint="eastAsia" w:ascii="宋体" w:hAnsi="宋体" w:cs="宋体"/>
          <w:color w:val="auto"/>
          <w:szCs w:val="21"/>
          <w:highlight w:val="none"/>
        </w:rPr>
      </w:pPr>
      <w:r>
        <w:rPr>
          <w:rFonts w:hint="eastAsia" w:ascii="宋体" w:hAnsi="宋体" w:cs="宋体"/>
          <w:b/>
          <w:color w:val="auto"/>
          <w:sz w:val="24"/>
          <w:highlight w:val="none"/>
        </w:rPr>
        <w:t>（二）经济部分的投标文件格式</w:t>
      </w:r>
    </w:p>
    <w:p w14:paraId="4267FCDB">
      <w:pPr>
        <w:spacing w:line="336" w:lineRule="auto"/>
        <w:rPr>
          <w:rFonts w:hint="eastAsia" w:ascii="宋体" w:hAnsi="宋体" w:cs="宋体"/>
          <w:b/>
          <w:bCs/>
          <w:color w:val="auto"/>
          <w:sz w:val="30"/>
          <w:highlight w:val="none"/>
        </w:rPr>
      </w:pPr>
      <w:r>
        <w:rPr>
          <w:rFonts w:hint="eastAsia" w:ascii="宋体" w:hAnsi="宋体" w:cs="宋体"/>
          <w:b/>
          <w:bCs/>
          <w:color w:val="auto"/>
          <w:szCs w:val="21"/>
          <w:highlight w:val="none"/>
        </w:rPr>
        <w:t>1.投标报价总表</w:t>
      </w:r>
    </w:p>
    <w:p w14:paraId="2A5C3A52">
      <w:pPr>
        <w:pStyle w:val="26"/>
        <w:spacing w:line="336" w:lineRule="auto"/>
        <w:jc w:val="center"/>
        <w:rPr>
          <w:rFonts w:hint="eastAsia" w:hAnsi="宋体" w:cs="宋体"/>
          <w:color w:val="auto"/>
          <w:highlight w:val="none"/>
        </w:rPr>
      </w:pPr>
      <w:r>
        <w:rPr>
          <w:rFonts w:hint="eastAsia" w:hAnsi="宋体" w:cs="宋体"/>
          <w:b/>
          <w:color w:val="auto"/>
          <w:sz w:val="28"/>
          <w:szCs w:val="28"/>
          <w:highlight w:val="none"/>
          <w:lang w:val="en-US" w:eastAsia="zh-CN"/>
        </w:rPr>
        <w:t>（一）</w:t>
      </w:r>
      <w:r>
        <w:rPr>
          <w:rFonts w:hint="eastAsia" w:hAnsi="宋体" w:cs="宋体"/>
          <w:b/>
          <w:color w:val="auto"/>
          <w:sz w:val="28"/>
          <w:szCs w:val="28"/>
          <w:highlight w:val="none"/>
        </w:rPr>
        <w:t>A类桶装饮用水投标报价总表</w:t>
      </w:r>
    </w:p>
    <w:p w14:paraId="2F3630AF">
      <w:pPr>
        <w:pStyle w:val="26"/>
        <w:spacing w:line="33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[价格单位：元]</w:t>
      </w:r>
    </w:p>
    <w:p w14:paraId="4CF67BB2">
      <w:pPr>
        <w:spacing w:before="142" w:beforeLines="50" w:line="336"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征集2026年—2028年校园桶装饮用水服务商</w:t>
      </w:r>
    </w:p>
    <w:p w14:paraId="26F43881">
      <w:pPr>
        <w:pStyle w:val="26"/>
        <w:spacing w:line="33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hAnsi="宋体" w:cs="宋体"/>
          <w:color w:val="auto"/>
          <w:sz w:val="21"/>
          <w:szCs w:val="21"/>
          <w:highlight w:val="none"/>
          <w:lang w:eastAsia="zh-CN"/>
        </w:rPr>
        <w:t>CQZB260018</w:t>
      </w:r>
    </w:p>
    <w:tbl>
      <w:tblPr>
        <w:tblStyle w:val="4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996"/>
        <w:gridCol w:w="1484"/>
        <w:gridCol w:w="2760"/>
        <w:gridCol w:w="2393"/>
      </w:tblGrid>
      <w:tr w14:paraId="3157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704" w:type="dxa"/>
            <w:noWrap w:val="0"/>
            <w:vAlign w:val="center"/>
          </w:tcPr>
          <w:p w14:paraId="2C53996A">
            <w:pPr>
              <w:pStyle w:val="26"/>
              <w:snapToGrid w:val="0"/>
              <w:spacing w:line="5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996" w:type="dxa"/>
            <w:noWrap w:val="0"/>
            <w:vAlign w:val="center"/>
          </w:tcPr>
          <w:p w14:paraId="2F01C705">
            <w:pPr>
              <w:pStyle w:val="26"/>
              <w:snapToGrid w:val="0"/>
              <w:spacing w:line="5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品牌</w:t>
            </w:r>
          </w:p>
        </w:tc>
        <w:tc>
          <w:tcPr>
            <w:tcW w:w="1484" w:type="dxa"/>
            <w:noWrap w:val="0"/>
            <w:vAlign w:val="center"/>
          </w:tcPr>
          <w:p w14:paraId="09CFC96C">
            <w:pPr>
              <w:pStyle w:val="26"/>
              <w:snapToGrid w:val="0"/>
              <w:spacing w:line="5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规格</w:t>
            </w:r>
          </w:p>
        </w:tc>
        <w:tc>
          <w:tcPr>
            <w:tcW w:w="2760" w:type="dxa"/>
            <w:noWrap w:val="0"/>
            <w:vAlign w:val="center"/>
          </w:tcPr>
          <w:p w14:paraId="3DB40C87">
            <w:pPr>
              <w:pStyle w:val="26"/>
              <w:snapToGrid w:val="0"/>
              <w:spacing w:line="500" w:lineRule="exact"/>
              <w:jc w:val="center"/>
              <w:rPr>
                <w:rFonts w:hint="eastAsia" w:ascii="宋体" w:hAnsi="宋体" w:eastAsia="宋体" w:cs="宋体"/>
                <w:b/>
                <w:bCs/>
                <w:color w:val="auto"/>
                <w:sz w:val="21"/>
                <w:szCs w:val="21"/>
                <w:highlight w:val="none"/>
                <w:lang w:val="en-GB" w:eastAsia="zh-CN"/>
              </w:rPr>
            </w:pP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val="en-GB" w:eastAsia="zh-CN"/>
              </w:rPr>
              <w:t>报价</w:t>
            </w:r>
          </w:p>
        </w:tc>
        <w:tc>
          <w:tcPr>
            <w:tcW w:w="2393" w:type="dxa"/>
            <w:noWrap w:val="0"/>
            <w:vAlign w:val="center"/>
          </w:tcPr>
          <w:p w14:paraId="2BE44198">
            <w:pPr>
              <w:pStyle w:val="26"/>
              <w:snapToGrid w:val="0"/>
              <w:spacing w:line="5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合同期限</w:t>
            </w:r>
          </w:p>
        </w:tc>
      </w:tr>
      <w:tr w14:paraId="4682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1704" w:type="dxa"/>
            <w:noWrap w:val="0"/>
            <w:vAlign w:val="center"/>
          </w:tcPr>
          <w:p w14:paraId="60CFA08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A类桶装饮用水</w:t>
            </w:r>
          </w:p>
        </w:tc>
        <w:tc>
          <w:tcPr>
            <w:tcW w:w="996" w:type="dxa"/>
            <w:noWrap w:val="0"/>
            <w:vAlign w:val="center"/>
          </w:tcPr>
          <w:p w14:paraId="32EF9D79">
            <w:pPr>
              <w:pStyle w:val="26"/>
              <w:snapToGrid w:val="0"/>
              <w:spacing w:line="500" w:lineRule="exact"/>
              <w:jc w:val="center"/>
              <w:rPr>
                <w:rFonts w:hint="eastAsia" w:ascii="宋体" w:hAnsi="宋体" w:eastAsia="宋体" w:cs="宋体"/>
                <w:color w:val="auto"/>
                <w:sz w:val="21"/>
                <w:szCs w:val="21"/>
                <w:highlight w:val="none"/>
                <w:lang w:val="en-US" w:eastAsia="zh-CN"/>
              </w:rPr>
            </w:pPr>
          </w:p>
        </w:tc>
        <w:tc>
          <w:tcPr>
            <w:tcW w:w="1484" w:type="dxa"/>
            <w:noWrap w:val="0"/>
            <w:vAlign w:val="center"/>
          </w:tcPr>
          <w:p w14:paraId="1DB2A1EF">
            <w:pPr>
              <w:spacing w:line="360" w:lineRule="auto"/>
              <w:jc w:val="center"/>
              <w:rPr>
                <w:rFonts w:hint="eastAsia" w:ascii="宋体" w:hAnsi="宋体" w:eastAsia="宋体" w:cs="宋体"/>
                <w:color w:val="auto"/>
                <w:sz w:val="21"/>
                <w:szCs w:val="21"/>
                <w:highlight w:val="none"/>
                <w:lang w:val="en-US" w:eastAsia="zh-CN"/>
              </w:rPr>
            </w:pPr>
          </w:p>
        </w:tc>
        <w:tc>
          <w:tcPr>
            <w:tcW w:w="2760" w:type="dxa"/>
            <w:noWrap w:val="0"/>
            <w:vAlign w:val="center"/>
          </w:tcPr>
          <w:p w14:paraId="75F3D32B">
            <w:pPr>
              <w:pStyle w:val="26"/>
              <w:snapToGrid w:val="0"/>
              <w:spacing w:before="142" w:after="142"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元/桶</w:t>
            </w:r>
          </w:p>
          <w:p w14:paraId="03BF15CC">
            <w:pPr>
              <w:pStyle w:val="26"/>
              <w:snapToGrid w:val="0"/>
              <w:spacing w:line="50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元/桶</w:t>
            </w:r>
          </w:p>
        </w:tc>
        <w:tc>
          <w:tcPr>
            <w:tcW w:w="2393" w:type="dxa"/>
            <w:noWrap w:val="0"/>
            <w:vAlign w:val="center"/>
          </w:tcPr>
          <w:p w14:paraId="03D16D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服务期为两年，自2026年8月1日起至2028年7月31日止。</w:t>
            </w:r>
          </w:p>
        </w:tc>
      </w:tr>
    </w:tbl>
    <w:p w14:paraId="77A35676">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投标人应按“用户需求书”的要求，根据实际情况进行报价。本表内的投标总价为最终报价，投标文件内不得含有任何对本报价进行修改的其他说明，否则将被视为无效投标；</w:t>
      </w:r>
    </w:p>
    <w:p w14:paraId="7CEA752D">
      <w:pPr>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报价应包括完成本项目货物供货、包装、运输、保管、售后服务、税费等一切不可预见费用</w:t>
      </w:r>
      <w:r>
        <w:rPr>
          <w:rFonts w:hint="eastAsia" w:ascii="宋体" w:hAnsi="宋体" w:eastAsia="宋体" w:cs="宋体"/>
          <w:color w:val="auto"/>
          <w:sz w:val="21"/>
          <w:szCs w:val="21"/>
          <w:highlight w:val="none"/>
          <w:lang w:eastAsia="zh-CN"/>
        </w:rPr>
        <w:t>。</w:t>
      </w:r>
    </w:p>
    <w:p w14:paraId="2573A5E6">
      <w:pPr>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报价不能超过单价最高限价，否则投标无效。</w:t>
      </w:r>
    </w:p>
    <w:p w14:paraId="799E1CBF">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本表</w:t>
      </w:r>
      <w:r>
        <w:rPr>
          <w:rFonts w:hint="eastAsia" w:ascii="宋体" w:hAnsi="宋体" w:eastAsia="宋体" w:cs="宋体"/>
          <w:color w:val="auto"/>
          <w:sz w:val="21"/>
          <w:szCs w:val="21"/>
          <w:highlight w:val="none"/>
          <w:lang w:eastAsia="zh-CN"/>
        </w:rPr>
        <w:t>一式两份，一份</w:t>
      </w:r>
      <w:r>
        <w:rPr>
          <w:rFonts w:hint="eastAsia" w:ascii="宋体" w:hAnsi="宋体" w:eastAsia="宋体" w:cs="宋体"/>
          <w:color w:val="auto"/>
          <w:sz w:val="21"/>
          <w:szCs w:val="21"/>
          <w:highlight w:val="none"/>
        </w:rPr>
        <w:t>随投标信封一起提交，一份编入投标文件（经济部分）。</w:t>
      </w:r>
    </w:p>
    <w:p w14:paraId="0030DF25">
      <w:pPr>
        <w:snapToGrid w:val="0"/>
        <w:spacing w:line="300" w:lineRule="auto"/>
        <w:rPr>
          <w:rFonts w:hint="eastAsia" w:ascii="宋体" w:hAnsi="宋体" w:eastAsia="宋体" w:cs="宋体"/>
          <w:color w:val="auto"/>
          <w:sz w:val="21"/>
          <w:szCs w:val="21"/>
          <w:highlight w:val="none"/>
        </w:rPr>
      </w:pPr>
    </w:p>
    <w:p w14:paraId="0AFF5B8D">
      <w:pPr>
        <w:snapToGrid w:val="0"/>
        <w:spacing w:line="300" w:lineRule="auto"/>
        <w:rPr>
          <w:rFonts w:hint="eastAsia" w:ascii="宋体" w:hAnsi="宋体" w:eastAsia="宋体" w:cs="宋体"/>
          <w:color w:val="auto"/>
          <w:sz w:val="21"/>
          <w:szCs w:val="21"/>
          <w:highlight w:val="none"/>
        </w:rPr>
      </w:pPr>
    </w:p>
    <w:p w14:paraId="3725C869">
      <w:pPr>
        <w:snapToGrid w:val="0"/>
        <w:spacing w:line="30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法定代表人（或法定代表人授权代表）签名或盖私章：</w:t>
      </w:r>
      <w:r>
        <w:rPr>
          <w:rFonts w:hint="eastAsia" w:ascii="宋体" w:hAnsi="宋体" w:eastAsia="宋体" w:cs="宋体"/>
          <w:color w:val="auto"/>
          <w:sz w:val="21"/>
          <w:szCs w:val="21"/>
          <w:highlight w:val="none"/>
          <w:u w:val="single"/>
        </w:rPr>
        <w:t xml:space="preserve">                 </w:t>
      </w:r>
    </w:p>
    <w:p w14:paraId="1A064A06">
      <w:pPr>
        <w:snapToGrid w:val="0"/>
        <w:spacing w:line="30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投标人名称（加盖</w:t>
      </w:r>
      <w:r>
        <w:rPr>
          <w:rFonts w:hint="eastAsia" w:ascii="宋体" w:hAnsi="宋体" w:cs="宋体"/>
          <w:color w:val="auto"/>
          <w:szCs w:val="21"/>
          <w:highlight w:val="none"/>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 xml:space="preserve">                 </w:t>
      </w:r>
    </w:p>
    <w:p w14:paraId="70F47860">
      <w:pPr>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3B6AE31">
      <w:pPr>
        <w:snapToGrid w:val="0"/>
        <w:spacing w:line="360" w:lineRule="auto"/>
        <w:rPr>
          <w:rFonts w:hint="eastAsia" w:ascii="宋体" w:hAnsi="宋体" w:eastAsia="宋体" w:cs="宋体"/>
          <w:color w:val="auto"/>
          <w:sz w:val="24"/>
          <w:szCs w:val="24"/>
          <w:highlight w:val="none"/>
        </w:rPr>
      </w:pPr>
    </w:p>
    <w:p w14:paraId="461C1F24">
      <w:pPr>
        <w:snapToGrid w:val="0"/>
        <w:spacing w:line="360" w:lineRule="auto"/>
        <w:rPr>
          <w:rFonts w:hint="eastAsia" w:ascii="宋体" w:hAnsi="宋体" w:eastAsia="宋体" w:cs="宋体"/>
          <w:color w:val="auto"/>
          <w:sz w:val="24"/>
          <w:szCs w:val="24"/>
          <w:highlight w:val="none"/>
        </w:rPr>
      </w:pPr>
    </w:p>
    <w:p w14:paraId="65592BC1">
      <w:pPr>
        <w:snapToGrid w:val="0"/>
        <w:spacing w:line="360" w:lineRule="auto"/>
        <w:rPr>
          <w:rFonts w:hint="eastAsia" w:ascii="宋体" w:hAnsi="宋体" w:eastAsia="宋体" w:cs="宋体"/>
          <w:color w:val="auto"/>
          <w:sz w:val="24"/>
          <w:szCs w:val="24"/>
          <w:highlight w:val="none"/>
        </w:rPr>
      </w:pPr>
    </w:p>
    <w:p w14:paraId="685F0DC0">
      <w:pPr>
        <w:snapToGrid w:val="0"/>
        <w:spacing w:line="360" w:lineRule="auto"/>
        <w:rPr>
          <w:rFonts w:hint="eastAsia" w:ascii="宋体" w:hAnsi="宋体" w:eastAsia="宋体" w:cs="宋体"/>
          <w:color w:val="auto"/>
          <w:sz w:val="24"/>
          <w:szCs w:val="24"/>
          <w:highlight w:val="none"/>
        </w:rPr>
      </w:pPr>
    </w:p>
    <w:p w14:paraId="46451578">
      <w:pPr>
        <w:pStyle w:val="47"/>
        <w:rPr>
          <w:rFonts w:hint="eastAsia" w:ascii="宋体" w:hAnsi="宋体" w:eastAsia="宋体" w:cs="宋体"/>
          <w:color w:val="auto"/>
          <w:sz w:val="24"/>
          <w:szCs w:val="24"/>
          <w:highlight w:val="none"/>
        </w:rPr>
      </w:pPr>
    </w:p>
    <w:p w14:paraId="101D8FFB">
      <w:pPr>
        <w:pStyle w:val="48"/>
        <w:rPr>
          <w:rFonts w:hint="eastAsia" w:ascii="宋体" w:hAnsi="宋体" w:eastAsia="宋体" w:cs="宋体"/>
          <w:color w:val="auto"/>
          <w:sz w:val="24"/>
          <w:szCs w:val="24"/>
          <w:highlight w:val="none"/>
        </w:rPr>
      </w:pPr>
    </w:p>
    <w:p w14:paraId="30C6C2B8">
      <w:pPr>
        <w:pStyle w:val="5"/>
        <w:rPr>
          <w:rFonts w:hint="eastAsia" w:ascii="宋体" w:hAnsi="宋体" w:eastAsia="宋体" w:cs="宋体"/>
          <w:color w:val="auto"/>
          <w:sz w:val="24"/>
          <w:szCs w:val="24"/>
          <w:highlight w:val="none"/>
        </w:rPr>
      </w:pPr>
    </w:p>
    <w:p w14:paraId="75065085">
      <w:pPr>
        <w:pStyle w:val="6"/>
        <w:rPr>
          <w:rFonts w:hint="eastAsia" w:ascii="宋体" w:hAnsi="宋体" w:eastAsia="宋体" w:cs="宋体"/>
          <w:color w:val="auto"/>
          <w:sz w:val="24"/>
          <w:szCs w:val="24"/>
          <w:highlight w:val="none"/>
        </w:rPr>
      </w:pPr>
    </w:p>
    <w:p w14:paraId="040C6ECC">
      <w:pPr>
        <w:pStyle w:val="20"/>
        <w:rPr>
          <w:rFonts w:hint="eastAsia" w:ascii="宋体" w:hAnsi="宋体" w:eastAsia="宋体" w:cs="宋体"/>
          <w:color w:val="auto"/>
          <w:sz w:val="24"/>
          <w:szCs w:val="24"/>
          <w:highlight w:val="none"/>
        </w:rPr>
      </w:pPr>
    </w:p>
    <w:p w14:paraId="5C57DE1D">
      <w:pPr>
        <w:pStyle w:val="26"/>
        <w:numPr>
          <w:ilvl w:val="0"/>
          <w:numId w:val="0"/>
        </w:numPr>
        <w:spacing w:line="336" w:lineRule="auto"/>
        <w:jc w:val="center"/>
        <w:rPr>
          <w:rFonts w:hint="eastAsia" w:ascii="宋体" w:hAnsi="宋体" w:eastAsia="宋体" w:cs="宋体"/>
          <w:b/>
          <w:color w:val="auto"/>
          <w:kern w:val="2"/>
          <w:sz w:val="28"/>
          <w:szCs w:val="28"/>
          <w:highlight w:val="none"/>
          <w:lang w:val="en-US" w:eastAsia="zh-CN" w:bidi="ar-SA"/>
        </w:rPr>
      </w:pPr>
    </w:p>
    <w:p w14:paraId="60D790FA">
      <w:pPr>
        <w:pStyle w:val="26"/>
        <w:numPr>
          <w:ilvl w:val="0"/>
          <w:numId w:val="0"/>
        </w:numPr>
        <w:spacing w:line="336" w:lineRule="auto"/>
        <w:jc w:val="center"/>
        <w:rPr>
          <w:rFonts w:hint="eastAsia" w:hAnsi="宋体" w:cs="宋体"/>
          <w:b/>
          <w:color w:val="auto"/>
          <w:sz w:val="28"/>
          <w:szCs w:val="28"/>
          <w:highlight w:val="none"/>
        </w:rPr>
      </w:pPr>
      <w:r>
        <w:rPr>
          <w:rFonts w:hint="eastAsia" w:ascii="宋体" w:hAnsi="宋体" w:eastAsia="宋体" w:cs="宋体"/>
          <w:b/>
          <w:color w:val="auto"/>
          <w:kern w:val="2"/>
          <w:sz w:val="28"/>
          <w:szCs w:val="28"/>
          <w:highlight w:val="none"/>
          <w:lang w:val="en-US" w:eastAsia="zh-CN" w:bidi="ar-SA"/>
        </w:rPr>
        <w:t>（二）</w:t>
      </w:r>
      <w:r>
        <w:rPr>
          <w:rFonts w:hint="eastAsia" w:hAnsi="宋体" w:cs="宋体"/>
          <w:b/>
          <w:color w:val="auto"/>
          <w:sz w:val="28"/>
          <w:szCs w:val="28"/>
          <w:highlight w:val="none"/>
          <w:lang w:val="en-US" w:eastAsia="zh-CN"/>
        </w:rPr>
        <w:t>B</w:t>
      </w:r>
      <w:r>
        <w:rPr>
          <w:rFonts w:hint="eastAsia" w:hAnsi="宋体" w:cs="宋体"/>
          <w:b/>
          <w:color w:val="auto"/>
          <w:sz w:val="28"/>
          <w:szCs w:val="28"/>
          <w:highlight w:val="none"/>
        </w:rPr>
        <w:t>类饮用水投标报价总表</w:t>
      </w:r>
    </w:p>
    <w:p w14:paraId="7D4F6C0A">
      <w:pPr>
        <w:pStyle w:val="26"/>
        <w:spacing w:line="33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[价格单位：元]</w:t>
      </w:r>
    </w:p>
    <w:p w14:paraId="6910E538">
      <w:pPr>
        <w:spacing w:before="142" w:beforeLines="50" w:line="336"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征集2026年—2028年校园桶装饮用水服务商</w:t>
      </w:r>
    </w:p>
    <w:p w14:paraId="25914B09">
      <w:pPr>
        <w:pStyle w:val="26"/>
        <w:spacing w:line="336" w:lineRule="auto"/>
        <w:rPr>
          <w:rFonts w:hint="eastAsia"/>
          <w:color w:val="auto"/>
          <w:sz w:val="21"/>
          <w:szCs w:val="21"/>
          <w:highlight w:val="none"/>
        </w:rPr>
      </w:pPr>
      <w:r>
        <w:rPr>
          <w:rFonts w:hint="eastAsia" w:ascii="宋体" w:hAnsi="宋体" w:eastAsia="宋体" w:cs="宋体"/>
          <w:color w:val="auto"/>
          <w:sz w:val="21"/>
          <w:szCs w:val="21"/>
          <w:highlight w:val="none"/>
        </w:rPr>
        <w:t>项目编号：</w:t>
      </w:r>
      <w:r>
        <w:rPr>
          <w:rFonts w:hint="eastAsia" w:hAnsi="宋体" w:cs="宋体"/>
          <w:color w:val="auto"/>
          <w:sz w:val="21"/>
          <w:szCs w:val="21"/>
          <w:highlight w:val="none"/>
          <w:lang w:eastAsia="zh-CN"/>
        </w:rPr>
        <w:t>CQZB260018</w:t>
      </w:r>
    </w:p>
    <w:tbl>
      <w:tblPr>
        <w:tblStyle w:val="49"/>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1313"/>
        <w:gridCol w:w="1989"/>
        <w:gridCol w:w="2411"/>
        <w:gridCol w:w="2291"/>
      </w:tblGrid>
      <w:tr w14:paraId="3E8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2020" w:type="dxa"/>
            <w:noWrap w:val="0"/>
            <w:vAlign w:val="center"/>
          </w:tcPr>
          <w:p w14:paraId="150E5F5A">
            <w:pPr>
              <w:pStyle w:val="26"/>
              <w:snapToGrid w:val="0"/>
              <w:spacing w:line="5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1313" w:type="dxa"/>
            <w:noWrap w:val="0"/>
            <w:vAlign w:val="center"/>
          </w:tcPr>
          <w:p w14:paraId="27EF78D2">
            <w:pPr>
              <w:pStyle w:val="26"/>
              <w:snapToGrid w:val="0"/>
              <w:spacing w:line="5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品牌</w:t>
            </w:r>
          </w:p>
        </w:tc>
        <w:tc>
          <w:tcPr>
            <w:tcW w:w="1989" w:type="dxa"/>
            <w:noWrap w:val="0"/>
            <w:vAlign w:val="center"/>
          </w:tcPr>
          <w:p w14:paraId="64FA7E27">
            <w:pPr>
              <w:pStyle w:val="26"/>
              <w:snapToGrid w:val="0"/>
              <w:spacing w:line="5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规格</w:t>
            </w:r>
          </w:p>
        </w:tc>
        <w:tc>
          <w:tcPr>
            <w:tcW w:w="2411" w:type="dxa"/>
            <w:noWrap w:val="0"/>
            <w:vAlign w:val="center"/>
          </w:tcPr>
          <w:p w14:paraId="21F20D12">
            <w:pPr>
              <w:pStyle w:val="26"/>
              <w:snapToGrid w:val="0"/>
              <w:spacing w:line="500" w:lineRule="exact"/>
              <w:jc w:val="center"/>
              <w:rPr>
                <w:rFonts w:hint="eastAsia" w:ascii="宋体" w:hAnsi="宋体" w:eastAsia="宋体" w:cs="宋体"/>
                <w:b/>
                <w:bCs/>
                <w:color w:val="auto"/>
                <w:sz w:val="21"/>
                <w:szCs w:val="21"/>
                <w:highlight w:val="none"/>
                <w:lang w:val="en-GB" w:eastAsia="zh-CN"/>
              </w:rPr>
            </w:pP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val="en-GB" w:eastAsia="zh-CN"/>
              </w:rPr>
              <w:t>报价</w:t>
            </w:r>
          </w:p>
        </w:tc>
        <w:tc>
          <w:tcPr>
            <w:tcW w:w="2291" w:type="dxa"/>
            <w:noWrap w:val="0"/>
            <w:vAlign w:val="center"/>
          </w:tcPr>
          <w:p w14:paraId="1CFAAF55">
            <w:pPr>
              <w:pStyle w:val="26"/>
              <w:snapToGrid w:val="0"/>
              <w:spacing w:line="5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合同期限</w:t>
            </w:r>
          </w:p>
        </w:tc>
      </w:tr>
      <w:tr w14:paraId="1596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7" w:hRule="exact"/>
          <w:jc w:val="center"/>
        </w:trPr>
        <w:tc>
          <w:tcPr>
            <w:tcW w:w="2020" w:type="dxa"/>
            <w:noWrap w:val="0"/>
            <w:vAlign w:val="center"/>
          </w:tcPr>
          <w:p w14:paraId="05D09F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B类饮用水</w:t>
            </w:r>
          </w:p>
        </w:tc>
        <w:tc>
          <w:tcPr>
            <w:tcW w:w="1313" w:type="dxa"/>
            <w:noWrap w:val="0"/>
            <w:vAlign w:val="center"/>
          </w:tcPr>
          <w:p w14:paraId="62ED54BE">
            <w:pPr>
              <w:snapToGrid w:val="0"/>
              <w:spacing w:line="500" w:lineRule="exact"/>
              <w:jc w:val="center"/>
              <w:rPr>
                <w:rFonts w:hint="eastAsia" w:ascii="宋体" w:hAnsi="宋体" w:eastAsia="宋体" w:cs="宋体"/>
                <w:color w:val="auto"/>
                <w:sz w:val="21"/>
                <w:szCs w:val="21"/>
                <w:highlight w:val="none"/>
              </w:rPr>
            </w:pPr>
          </w:p>
        </w:tc>
        <w:tc>
          <w:tcPr>
            <w:tcW w:w="1989" w:type="dxa"/>
            <w:noWrap w:val="0"/>
            <w:vAlign w:val="center"/>
          </w:tcPr>
          <w:p w14:paraId="102A02CE">
            <w:pPr>
              <w:spacing w:line="360" w:lineRule="auto"/>
              <w:jc w:val="center"/>
              <w:rPr>
                <w:rFonts w:hint="eastAsia" w:ascii="宋体" w:hAnsi="宋体" w:eastAsia="宋体" w:cs="宋体"/>
                <w:color w:val="auto"/>
                <w:sz w:val="21"/>
                <w:szCs w:val="21"/>
                <w:highlight w:val="none"/>
              </w:rPr>
            </w:pPr>
          </w:p>
        </w:tc>
        <w:tc>
          <w:tcPr>
            <w:tcW w:w="2411" w:type="dxa"/>
            <w:noWrap w:val="0"/>
            <w:vAlign w:val="center"/>
          </w:tcPr>
          <w:p w14:paraId="64B7D2C1">
            <w:pPr>
              <w:pStyle w:val="26"/>
              <w:snapToGrid w:val="0"/>
              <w:spacing w:before="142" w:after="142"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元/桶</w:t>
            </w:r>
          </w:p>
          <w:p w14:paraId="153B9D22">
            <w:pPr>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元/桶</w:t>
            </w:r>
          </w:p>
        </w:tc>
        <w:tc>
          <w:tcPr>
            <w:tcW w:w="2291" w:type="dxa"/>
            <w:noWrap w:val="0"/>
            <w:vAlign w:val="center"/>
          </w:tcPr>
          <w:p w14:paraId="3D3FAA9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服务期为两年，自2026年8月1日起至2028年7月31日止。</w:t>
            </w:r>
          </w:p>
        </w:tc>
      </w:tr>
    </w:tbl>
    <w:p w14:paraId="1D8BBC4F">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投标人应按“用户需求书”的要求，根据实际情况进行报价。本表内的投标总价为最终报价，投标文件内不得含有任何对本报价进行修改的其他说明，否则将被视为无效投标；</w:t>
      </w:r>
    </w:p>
    <w:p w14:paraId="6D5C71FA">
      <w:pPr>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报价应包括完成本项目货物供货、包装、运输、保管、售后服务、税费等一切不可预见费用</w:t>
      </w:r>
      <w:r>
        <w:rPr>
          <w:rFonts w:hint="eastAsia" w:ascii="宋体" w:hAnsi="宋体" w:eastAsia="宋体" w:cs="宋体"/>
          <w:color w:val="auto"/>
          <w:sz w:val="21"/>
          <w:szCs w:val="21"/>
          <w:highlight w:val="none"/>
          <w:lang w:eastAsia="zh-CN"/>
        </w:rPr>
        <w:t>。</w:t>
      </w:r>
    </w:p>
    <w:p w14:paraId="2265D9AB">
      <w:pPr>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报价不能超过单价最高限价，否则投标无效。</w:t>
      </w:r>
    </w:p>
    <w:p w14:paraId="474BBCB5">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本表</w:t>
      </w:r>
      <w:r>
        <w:rPr>
          <w:rFonts w:hint="eastAsia" w:ascii="宋体" w:hAnsi="宋体" w:eastAsia="宋体" w:cs="宋体"/>
          <w:color w:val="auto"/>
          <w:sz w:val="21"/>
          <w:szCs w:val="21"/>
          <w:highlight w:val="none"/>
          <w:lang w:eastAsia="zh-CN"/>
        </w:rPr>
        <w:t>一式两份，一份</w:t>
      </w:r>
      <w:r>
        <w:rPr>
          <w:rFonts w:hint="eastAsia" w:ascii="宋体" w:hAnsi="宋体" w:eastAsia="宋体" w:cs="宋体"/>
          <w:color w:val="auto"/>
          <w:sz w:val="21"/>
          <w:szCs w:val="21"/>
          <w:highlight w:val="none"/>
        </w:rPr>
        <w:t>随投标信封一起提交，一份编入投标文件（经济部分）。</w:t>
      </w:r>
    </w:p>
    <w:p w14:paraId="0D8AAAF1">
      <w:pPr>
        <w:snapToGrid w:val="0"/>
        <w:spacing w:line="300" w:lineRule="auto"/>
        <w:rPr>
          <w:rFonts w:hint="eastAsia" w:ascii="宋体" w:hAnsi="宋体" w:eastAsia="宋体" w:cs="宋体"/>
          <w:color w:val="auto"/>
          <w:sz w:val="21"/>
          <w:szCs w:val="21"/>
          <w:highlight w:val="none"/>
        </w:rPr>
      </w:pPr>
    </w:p>
    <w:p w14:paraId="2B35FD7F">
      <w:pPr>
        <w:snapToGrid w:val="0"/>
        <w:spacing w:line="300" w:lineRule="auto"/>
        <w:rPr>
          <w:rFonts w:hint="eastAsia" w:ascii="宋体" w:hAnsi="宋体" w:eastAsia="宋体" w:cs="宋体"/>
          <w:color w:val="auto"/>
          <w:sz w:val="21"/>
          <w:szCs w:val="21"/>
          <w:highlight w:val="none"/>
        </w:rPr>
      </w:pPr>
    </w:p>
    <w:p w14:paraId="229173B1">
      <w:pPr>
        <w:snapToGrid w:val="0"/>
        <w:spacing w:line="30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法定代表人（或法定代表人授权代表）签名或盖私章：</w:t>
      </w:r>
      <w:r>
        <w:rPr>
          <w:rFonts w:hint="eastAsia" w:ascii="宋体" w:hAnsi="宋体" w:eastAsia="宋体" w:cs="宋体"/>
          <w:color w:val="auto"/>
          <w:sz w:val="21"/>
          <w:szCs w:val="21"/>
          <w:highlight w:val="none"/>
          <w:u w:val="single"/>
        </w:rPr>
        <w:t xml:space="preserve">                 </w:t>
      </w:r>
    </w:p>
    <w:p w14:paraId="77786026">
      <w:pPr>
        <w:snapToGrid w:val="0"/>
        <w:spacing w:line="30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投标人名称（加盖</w:t>
      </w:r>
      <w:r>
        <w:rPr>
          <w:rFonts w:hint="eastAsia" w:ascii="宋体" w:hAnsi="宋体" w:cs="宋体"/>
          <w:color w:val="auto"/>
          <w:szCs w:val="21"/>
          <w:highlight w:val="none"/>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 xml:space="preserve">                 </w:t>
      </w:r>
    </w:p>
    <w:p w14:paraId="7765E2B9">
      <w:pPr>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18411DE">
      <w:pPr>
        <w:pStyle w:val="48"/>
        <w:rPr>
          <w:rFonts w:hint="eastAsia" w:ascii="宋体" w:hAnsi="宋体" w:cs="宋体"/>
          <w:color w:val="auto"/>
          <w:sz w:val="21"/>
          <w:szCs w:val="21"/>
          <w:highlight w:val="none"/>
        </w:rPr>
      </w:pPr>
    </w:p>
    <w:p w14:paraId="2A444B3F">
      <w:pPr>
        <w:pStyle w:val="26"/>
        <w:spacing w:line="360" w:lineRule="auto"/>
        <w:ind w:firstLine="420"/>
        <w:rPr>
          <w:rFonts w:hint="eastAsia" w:hAnsi="宋体" w:cs="宋体"/>
          <w:color w:val="auto"/>
          <w:highlight w:val="none"/>
        </w:rPr>
      </w:pPr>
    </w:p>
    <w:p w14:paraId="19076C6E">
      <w:pPr>
        <w:pStyle w:val="26"/>
        <w:spacing w:line="360" w:lineRule="auto"/>
        <w:rPr>
          <w:rFonts w:hint="eastAsia" w:hAnsi="宋体" w:cs="宋体"/>
          <w:color w:val="auto"/>
          <w:highlight w:val="none"/>
        </w:rPr>
      </w:pPr>
    </w:p>
    <w:p w14:paraId="4CD788CF">
      <w:pPr>
        <w:snapToGrid w:val="0"/>
        <w:spacing w:line="300" w:lineRule="auto"/>
        <w:rPr>
          <w:rFonts w:hint="eastAsia" w:ascii="宋体" w:hAnsi="宋体" w:cs="宋体"/>
          <w:color w:val="auto"/>
          <w:szCs w:val="21"/>
          <w:highlight w:val="none"/>
        </w:rPr>
      </w:pPr>
    </w:p>
    <w:p w14:paraId="54B6DDC8">
      <w:pPr>
        <w:spacing w:line="360" w:lineRule="auto"/>
        <w:rPr>
          <w:rFonts w:hint="eastAsia" w:ascii="宋体" w:hAnsi="宋体" w:cs="宋体"/>
          <w:color w:val="auto"/>
          <w:highlight w:val="none"/>
        </w:rPr>
      </w:pPr>
    </w:p>
    <w:p w14:paraId="06671F18">
      <w:pPr>
        <w:pStyle w:val="26"/>
        <w:spacing w:line="360" w:lineRule="auto"/>
        <w:rPr>
          <w:rFonts w:hint="eastAsia" w:hAnsi="宋体" w:cs="宋体"/>
          <w:color w:val="auto"/>
          <w:highlight w:val="none"/>
        </w:rPr>
      </w:pPr>
    </w:p>
    <w:p w14:paraId="3D20A29A">
      <w:pPr>
        <w:spacing w:line="360" w:lineRule="auto"/>
        <w:jc w:val="left"/>
        <w:rPr>
          <w:rFonts w:hint="eastAsia" w:ascii="宋体" w:hAnsi="宋体" w:cs="宋体"/>
          <w:b/>
          <w:color w:val="auto"/>
          <w:highlight w:val="none"/>
        </w:rPr>
      </w:pPr>
    </w:p>
    <w:p w14:paraId="280AC158">
      <w:pPr>
        <w:pStyle w:val="47"/>
        <w:ind w:firstLine="210"/>
        <w:rPr>
          <w:rFonts w:hint="eastAsia" w:ascii="宋体" w:hAnsi="宋体" w:cs="宋体"/>
          <w:color w:val="auto"/>
          <w:szCs w:val="21"/>
          <w:highlight w:val="none"/>
        </w:rPr>
      </w:pPr>
    </w:p>
    <w:p w14:paraId="3FA806D0">
      <w:pPr>
        <w:rPr>
          <w:rFonts w:hint="eastAsia" w:ascii="宋体" w:hAnsi="宋体" w:cs="宋体"/>
          <w:b/>
          <w:color w:val="auto"/>
          <w:highlight w:val="none"/>
        </w:rPr>
      </w:pPr>
      <w:r>
        <w:rPr>
          <w:rFonts w:hint="eastAsia" w:ascii="宋体" w:hAnsi="宋体" w:cs="宋体"/>
          <w:b/>
          <w:color w:val="auto"/>
          <w:highlight w:val="none"/>
        </w:rPr>
        <w:br w:type="page"/>
      </w:r>
    </w:p>
    <w:p w14:paraId="2C1A3C18">
      <w:pPr>
        <w:keepNext w:val="0"/>
        <w:keepLines w:val="0"/>
        <w:pageBreakBefore w:val="0"/>
        <w:widowControl w:val="0"/>
        <w:kinsoku/>
        <w:wordWrap/>
        <w:overflowPunct/>
        <w:topLinePunct w:val="0"/>
        <w:autoSpaceDE/>
        <w:autoSpaceDN/>
        <w:bidi w:val="0"/>
        <w:adjustRightInd/>
        <w:spacing w:line="288" w:lineRule="auto"/>
        <w:jc w:val="left"/>
        <w:textAlignment w:val="auto"/>
        <w:rPr>
          <w:rFonts w:hint="eastAsia" w:ascii="宋体" w:hAnsi="宋体" w:cs="宋体"/>
          <w:b/>
          <w:color w:val="auto"/>
          <w:highlight w:val="none"/>
        </w:rPr>
      </w:pPr>
      <w:r>
        <w:rPr>
          <w:rFonts w:hint="eastAsia" w:ascii="宋体" w:hAnsi="宋体" w:cs="宋体"/>
          <w:b/>
          <w:color w:val="auto"/>
          <w:highlight w:val="none"/>
        </w:rPr>
        <w:t>（三）商务部分的投标文件格式</w:t>
      </w:r>
    </w:p>
    <w:p w14:paraId="05803918">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b/>
          <w:bCs/>
          <w:color w:val="auto"/>
          <w:sz w:val="30"/>
          <w:highlight w:val="none"/>
        </w:rPr>
      </w:pPr>
      <w:r>
        <w:rPr>
          <w:rFonts w:hint="eastAsia" w:ascii="宋体" w:hAnsi="宋体" w:cs="宋体"/>
          <w:b/>
          <w:bCs/>
          <w:color w:val="auto"/>
          <w:szCs w:val="21"/>
          <w:highlight w:val="none"/>
        </w:rPr>
        <w:t>1.</w:t>
      </w:r>
      <w:r>
        <w:rPr>
          <w:rFonts w:hint="eastAsia" w:ascii="宋体" w:hAnsi="宋体" w:cs="宋体"/>
          <w:b/>
          <w:bCs/>
          <w:color w:val="auto"/>
          <w:szCs w:val="20"/>
          <w:highlight w:val="none"/>
        </w:rPr>
        <w:t>投标函格式</w:t>
      </w:r>
    </w:p>
    <w:p w14:paraId="231AEF10">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投标函</w:t>
      </w:r>
    </w:p>
    <w:p w14:paraId="5B520C22">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b/>
          <w:color w:val="auto"/>
          <w:highlight w:val="none"/>
        </w:rPr>
      </w:pPr>
      <w:r>
        <w:rPr>
          <w:rFonts w:hint="eastAsia" w:ascii="宋体" w:hAnsi="宋体" w:cs="宋体"/>
          <w:b/>
          <w:color w:val="auto"/>
          <w:highlight w:val="none"/>
        </w:rPr>
        <w:t>致：</w:t>
      </w:r>
      <w:r>
        <w:rPr>
          <w:rFonts w:hint="eastAsia" w:ascii="宋体" w:hAnsi="宋体" w:cs="宋体"/>
          <w:b/>
          <w:i/>
          <w:color w:val="auto"/>
          <w:highlight w:val="none"/>
          <w:u w:val="single"/>
        </w:rPr>
        <w:t xml:space="preserve"> </w:t>
      </w:r>
      <w:r>
        <w:rPr>
          <w:rFonts w:hint="eastAsia" w:ascii="宋体" w:hAnsi="宋体" w:cs="宋体"/>
          <w:b/>
          <w:color w:val="auto"/>
          <w:highlight w:val="none"/>
          <w:u w:val="single"/>
          <w:lang w:eastAsia="zh-CN"/>
        </w:rPr>
        <w:t>韶关学院</w:t>
      </w:r>
      <w:r>
        <w:rPr>
          <w:rFonts w:hint="eastAsia" w:ascii="宋体" w:hAnsi="宋体" w:cs="宋体"/>
          <w:b/>
          <w:color w:val="auto"/>
          <w:highlight w:val="none"/>
          <w:u w:val="single"/>
        </w:rPr>
        <w:t>/（广东远东招标代理有限公司 ）</w:t>
      </w:r>
    </w:p>
    <w:p w14:paraId="75A84D97">
      <w:pPr>
        <w:keepNext w:val="0"/>
        <w:keepLines w:val="0"/>
        <w:pageBreakBefore w:val="0"/>
        <w:widowControl w:val="0"/>
        <w:kinsoku/>
        <w:wordWrap/>
        <w:overflowPunct/>
        <w:topLinePunct w:val="0"/>
        <w:autoSpaceDE/>
        <w:autoSpaceDN/>
        <w:bidi w:val="0"/>
        <w:adjustRightInd/>
        <w:spacing w:line="288" w:lineRule="auto"/>
        <w:ind w:firstLine="42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根据贵方“征集2026年—2028年校园桶装饮用水服务商”（项目编号：CQZB260018）的投标邀请，我方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（投标人名称）作为投标人正式授权</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授权代表全名，职务）代表我方进行有关本次投标的一切事宜。</w:t>
      </w:r>
    </w:p>
    <w:p w14:paraId="54B58082">
      <w:pPr>
        <w:keepNext w:val="0"/>
        <w:keepLines w:val="0"/>
        <w:pageBreakBefore w:val="0"/>
        <w:widowControl w:val="0"/>
        <w:kinsoku/>
        <w:wordWrap/>
        <w:overflowPunct/>
        <w:topLinePunct w:val="0"/>
        <w:autoSpaceDE/>
        <w:autoSpaceDN/>
        <w:bidi w:val="0"/>
        <w:adjustRightInd/>
        <w:spacing w:line="288" w:lineRule="auto"/>
        <w:ind w:firstLine="42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在此提交的投标文件，已按招标文件的要求密封封装。包括但不限于如下内容：</w:t>
      </w:r>
    </w:p>
    <w:p w14:paraId="520FCF5F">
      <w:pPr>
        <w:keepNext w:val="0"/>
        <w:keepLines w:val="0"/>
        <w:pageBreakBefore w:val="0"/>
        <w:widowControl w:val="0"/>
        <w:kinsoku/>
        <w:wordWrap/>
        <w:overflowPunct/>
        <w:topLinePunct w:val="0"/>
        <w:autoSpaceDE/>
        <w:autoSpaceDN/>
        <w:bidi w:val="0"/>
        <w:adjustRightInd/>
        <w:spacing w:line="288" w:lineRule="auto"/>
        <w:ind w:firstLine="210" w:firstLineChars="1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（1）唱标信封[一份]（按招标文件要求的内容编制）。</w:t>
      </w:r>
    </w:p>
    <w:p w14:paraId="439348AD">
      <w:pPr>
        <w:keepNext w:val="0"/>
        <w:keepLines w:val="0"/>
        <w:pageBreakBefore w:val="0"/>
        <w:widowControl w:val="0"/>
        <w:kinsoku/>
        <w:wordWrap/>
        <w:overflowPunct/>
        <w:topLinePunct w:val="0"/>
        <w:autoSpaceDE/>
        <w:autoSpaceDN/>
        <w:bidi w:val="0"/>
        <w:adjustRightInd/>
        <w:spacing w:line="288" w:lineRule="auto"/>
        <w:ind w:firstLine="210" w:firstLineChars="1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（2）投标文件[含自查表、经济部分文件、商务部分文件和技术部分文件，正本</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份，副本</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份]。</w:t>
      </w:r>
    </w:p>
    <w:p w14:paraId="0457F489">
      <w:pPr>
        <w:keepNext w:val="0"/>
        <w:keepLines w:val="0"/>
        <w:pageBreakBefore w:val="0"/>
        <w:widowControl w:val="0"/>
        <w:kinsoku/>
        <w:wordWrap/>
        <w:overflowPunct/>
        <w:topLinePunct w:val="0"/>
        <w:autoSpaceDE/>
        <w:autoSpaceDN/>
        <w:bidi w:val="0"/>
        <w:adjustRightInd/>
        <w:spacing w:line="288" w:lineRule="auto"/>
        <w:ind w:firstLine="210" w:firstLineChars="1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（3）电子文件[</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份]。</w:t>
      </w:r>
    </w:p>
    <w:p w14:paraId="3D4CDD86">
      <w:pPr>
        <w:keepNext w:val="0"/>
        <w:keepLines w:val="0"/>
        <w:pageBreakBefore w:val="0"/>
        <w:widowControl w:val="0"/>
        <w:kinsoku/>
        <w:wordWrap/>
        <w:overflowPunct/>
        <w:topLinePunct w:val="0"/>
        <w:autoSpaceDE/>
        <w:autoSpaceDN/>
        <w:bidi w:val="0"/>
        <w:adjustRightInd/>
        <w:spacing w:line="288" w:lineRule="auto"/>
        <w:ind w:firstLine="42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我方已完全明白招标文件的所有条款要求，并重申以下几点：</w:t>
      </w:r>
    </w:p>
    <w:p w14:paraId="48DB2888">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val="zh-CN"/>
        </w:rPr>
        <w:t>）我方决定参加项目编号为CQZB260018项目的投标。</w:t>
      </w:r>
    </w:p>
    <w:p w14:paraId="1AAED4DB">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（二）本项目的投标报价（详见投标报价总表）。</w:t>
      </w:r>
    </w:p>
    <w:p w14:paraId="40289B2B">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（三）本投标文件的有效期自递交投标文件截止日后</w:t>
      </w:r>
      <w:r>
        <w:rPr>
          <w:rFonts w:hint="eastAsia" w:ascii="宋体" w:hAnsi="宋体" w:cs="宋体"/>
          <w:color w:val="auto"/>
          <w:szCs w:val="21"/>
          <w:highlight w:val="none"/>
          <w:u w:val="single"/>
          <w:lang w:val="zh-CN"/>
        </w:rPr>
        <w:t xml:space="preserve"> 90 </w:t>
      </w:r>
      <w:r>
        <w:rPr>
          <w:rFonts w:hint="eastAsia" w:ascii="宋体" w:hAnsi="宋体" w:cs="宋体"/>
          <w:color w:val="auto"/>
          <w:szCs w:val="21"/>
          <w:highlight w:val="none"/>
          <w:lang w:val="zh-CN"/>
        </w:rPr>
        <w:t>天有效，如中标，有效期将延至合同终止日为止。</w:t>
      </w:r>
    </w:p>
    <w:p w14:paraId="70D590A4">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（四）我方已详细</w:t>
      </w:r>
      <w:r>
        <w:rPr>
          <w:rFonts w:hint="eastAsia" w:ascii="宋体" w:hAnsi="宋体" w:cs="宋体"/>
          <w:color w:val="auto"/>
          <w:szCs w:val="21"/>
          <w:highlight w:val="none"/>
        </w:rPr>
        <w:t>阅读并</w:t>
      </w:r>
      <w:r>
        <w:rPr>
          <w:rFonts w:hint="eastAsia" w:ascii="宋体" w:hAnsi="宋体" w:cs="宋体"/>
          <w:color w:val="auto"/>
          <w:szCs w:val="21"/>
          <w:highlight w:val="none"/>
          <w:lang w:val="zh-CN"/>
        </w:rPr>
        <w:t>研究了招标文件的所有内容包括修正文、</w:t>
      </w:r>
      <w:r>
        <w:rPr>
          <w:rFonts w:hint="eastAsia" w:ascii="宋体" w:hAnsi="宋体" w:cs="宋体"/>
          <w:color w:val="auto"/>
          <w:szCs w:val="21"/>
          <w:highlight w:val="none"/>
        </w:rPr>
        <w:t>答疑纪要、澄清补充通知</w:t>
      </w:r>
      <w:r>
        <w:rPr>
          <w:rFonts w:hint="eastAsia" w:ascii="宋体" w:hAnsi="宋体" w:cs="宋体"/>
          <w:color w:val="auto"/>
          <w:szCs w:val="21"/>
          <w:highlight w:val="none"/>
          <w:lang w:val="zh-CN"/>
        </w:rPr>
        <w:t>（如有）和所有已提供的参考资料以及有关附件，</w:t>
      </w:r>
      <w:r>
        <w:rPr>
          <w:rFonts w:hint="eastAsia" w:ascii="宋体" w:hAnsi="宋体" w:cs="宋体"/>
          <w:color w:val="auto"/>
          <w:szCs w:val="21"/>
          <w:highlight w:val="none"/>
        </w:rPr>
        <w:t>我们完全清晰地理解招标文件的要求，不存在任何含糊不清和误解之处，</w:t>
      </w:r>
      <w:r>
        <w:rPr>
          <w:rFonts w:hint="eastAsia" w:ascii="宋体" w:hAnsi="宋体" w:cs="宋体"/>
          <w:color w:val="auto"/>
          <w:szCs w:val="21"/>
          <w:highlight w:val="none"/>
          <w:lang w:val="zh-CN"/>
        </w:rPr>
        <w:t>我方</w:t>
      </w:r>
      <w:r>
        <w:rPr>
          <w:rFonts w:hint="eastAsia" w:ascii="宋体" w:hAnsi="宋体" w:cs="宋体"/>
          <w:color w:val="auto"/>
          <w:szCs w:val="21"/>
          <w:highlight w:val="none"/>
        </w:rPr>
        <w:t>同意</w:t>
      </w:r>
      <w:r>
        <w:rPr>
          <w:rFonts w:hint="eastAsia" w:ascii="宋体" w:hAnsi="宋体" w:cs="宋体"/>
          <w:color w:val="auto"/>
          <w:szCs w:val="21"/>
          <w:highlight w:val="none"/>
          <w:lang w:val="zh-CN"/>
        </w:rPr>
        <w:t>放弃在此方面提出含糊意见或误解的一切权利。</w:t>
      </w:r>
    </w:p>
    <w:p w14:paraId="4C1AE37B">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（五）我方明白并愿意在规定的递交投标文件截止时间和日期之后，在投标有效期之内撤回投标，则投标保证将被贵方没收。</w:t>
      </w:r>
    </w:p>
    <w:p w14:paraId="3E95C1EC">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（六）我方同意按照贵方可能提出的要求而提供与投标有关的任何其他数据或信息。</w:t>
      </w:r>
    </w:p>
    <w:p w14:paraId="123D4537">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七）我方声明投标文件及所提供一切资料均真实无误，无任何虚假或不真实的材料。如我方在投标文件中提供任何不真实的材料，无论其材料是否重要，招标人及招标代理机构可视为投标无效，并由我方承担由此产生的全部法律责任。</w:t>
      </w:r>
    </w:p>
    <w:p w14:paraId="53951796">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（八）我方承诺未为本项目提供整体设计、规范编制或者项目管理、监理、检测等服务。</w:t>
      </w:r>
    </w:p>
    <w:p w14:paraId="19B6AFB5">
      <w:pPr>
        <w:keepNext w:val="0"/>
        <w:keepLines w:val="0"/>
        <w:pageBreakBefore w:val="0"/>
        <w:widowControl w:val="0"/>
        <w:kinsoku/>
        <w:wordWrap/>
        <w:overflowPunct/>
        <w:topLinePunct w:val="0"/>
        <w:autoSpaceDE/>
        <w:autoSpaceDN/>
        <w:bidi w:val="0"/>
        <w:adjustRightInd/>
        <w:spacing w:line="288" w:lineRule="auto"/>
        <w:ind w:left="945" w:leftChars="150" w:hanging="630" w:hangingChars="3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（九）我方完全服从和尊重评标委员会所作的评定结果，我方理解贵方不一定接受最低报价或任何贵方可能收到的报价；</w:t>
      </w:r>
    </w:p>
    <w:p w14:paraId="107F80E8">
      <w:pPr>
        <w:keepNext w:val="0"/>
        <w:keepLines w:val="0"/>
        <w:pageBreakBefore w:val="0"/>
        <w:widowControl w:val="0"/>
        <w:kinsoku/>
        <w:wordWrap/>
        <w:overflowPunct/>
        <w:topLinePunct w:val="0"/>
        <w:autoSpaceDE/>
        <w:autoSpaceDN/>
        <w:bidi w:val="0"/>
        <w:adjustRightInd/>
        <w:spacing w:line="288" w:lineRule="auto"/>
        <w:ind w:left="359"/>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（十）所有与本次投标有关的函件请发往下列地址：</w:t>
      </w:r>
    </w:p>
    <w:p w14:paraId="06810912">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cs="宋体"/>
          <w:color w:val="auto"/>
          <w:szCs w:val="21"/>
          <w:highlight w:val="none"/>
          <w:u w:val="single"/>
          <w:lang w:val="zh-CN"/>
        </w:rPr>
      </w:pPr>
      <w:r>
        <w:rPr>
          <w:rFonts w:hint="eastAsia" w:ascii="宋体" w:hAnsi="宋体" w:cs="宋体"/>
          <w:color w:val="auto"/>
          <w:szCs w:val="21"/>
          <w:highlight w:val="none"/>
          <w:lang w:val="zh-CN"/>
        </w:rPr>
        <w:t>地  　址：</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邮政编码：</w:t>
      </w:r>
      <w:r>
        <w:rPr>
          <w:rFonts w:hint="eastAsia" w:ascii="宋体" w:hAnsi="宋体" w:cs="宋体"/>
          <w:color w:val="auto"/>
          <w:szCs w:val="21"/>
          <w:highlight w:val="none"/>
          <w:u w:val="single"/>
          <w:lang w:val="zh-CN"/>
        </w:rPr>
        <w:t xml:space="preserve">　　　　　　　　　　 </w:t>
      </w:r>
    </w:p>
    <w:p w14:paraId="1F45A147">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电　　话：</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代表姓名：</w:t>
      </w:r>
      <w:r>
        <w:rPr>
          <w:rFonts w:hint="eastAsia" w:ascii="宋体" w:hAnsi="宋体" w:cs="宋体"/>
          <w:color w:val="auto"/>
          <w:szCs w:val="21"/>
          <w:highlight w:val="none"/>
          <w:u w:val="single"/>
          <w:lang w:val="zh-CN"/>
        </w:rPr>
        <w:t>　　　　　　　　　　　</w:t>
      </w:r>
    </w:p>
    <w:p w14:paraId="4D48DAF0">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传　　真：</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 xml:space="preserve">         职　　务：</w:t>
      </w:r>
      <w:r>
        <w:rPr>
          <w:rFonts w:hint="eastAsia" w:ascii="宋体" w:hAnsi="宋体" w:cs="宋体"/>
          <w:color w:val="auto"/>
          <w:szCs w:val="21"/>
          <w:highlight w:val="none"/>
          <w:u w:val="single"/>
          <w:lang w:val="zh-CN"/>
        </w:rPr>
        <w:t xml:space="preserve">　　　　　　　　　　 </w:t>
      </w:r>
    </w:p>
    <w:p w14:paraId="7F04013A">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57AFF851">
      <w:pPr>
        <w:keepNext w:val="0"/>
        <w:keepLines w:val="0"/>
        <w:pageBreakBefore w:val="0"/>
        <w:widowControl w:val="0"/>
        <w:tabs>
          <w:tab w:val="left" w:pos="5250"/>
        </w:tabs>
        <w:kinsoku/>
        <w:wordWrap/>
        <w:overflowPunct/>
        <w:topLinePunct w:val="0"/>
        <w:autoSpaceDE/>
        <w:autoSpaceDN/>
        <w:bidi w:val="0"/>
        <w:adjustRightInd/>
        <w:spacing w:line="288" w:lineRule="auto"/>
        <w:textAlignment w:val="auto"/>
        <w:rPr>
          <w:rFonts w:hint="eastAsia" w:ascii="宋体" w:hAnsi="宋体" w:cs="宋体"/>
          <w:color w:val="auto"/>
          <w:szCs w:val="21"/>
          <w:highlight w:val="none"/>
          <w:u w:val="single"/>
        </w:rPr>
      </w:pPr>
    </w:p>
    <w:p w14:paraId="14D62B26">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7741FD9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39AB3B5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9104135">
      <w:pPr>
        <w:pStyle w:val="26"/>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hAnsi="宋体" w:cs="宋体"/>
          <w:color w:val="auto"/>
          <w:szCs w:val="21"/>
          <w:highlight w:val="none"/>
        </w:rPr>
      </w:pPr>
      <w:r>
        <w:rPr>
          <w:rFonts w:hint="eastAsia" w:hAnsi="宋体" w:cs="宋体"/>
          <w:color w:val="auto"/>
          <w:szCs w:val="21"/>
          <w:highlight w:val="none"/>
        </w:rPr>
        <w:br w:type="page"/>
      </w:r>
      <w:r>
        <w:rPr>
          <w:rFonts w:hint="eastAsia" w:hAnsi="宋体" w:cs="宋体"/>
          <w:b/>
          <w:bCs/>
          <w:color w:val="auto"/>
          <w:szCs w:val="28"/>
          <w:highlight w:val="none"/>
        </w:rPr>
        <w:t>2.资格声明书</w:t>
      </w:r>
    </w:p>
    <w:p w14:paraId="7FA28ED4">
      <w:pPr>
        <w:pStyle w:val="26"/>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hAnsi="宋体" w:cs="宋体"/>
          <w:b/>
          <w:bCs/>
          <w:color w:val="auto"/>
          <w:sz w:val="24"/>
          <w:szCs w:val="32"/>
          <w:highlight w:val="none"/>
        </w:rPr>
      </w:pPr>
      <w:r>
        <w:rPr>
          <w:rFonts w:hint="eastAsia" w:hAnsi="宋体" w:cs="宋体"/>
          <w:b/>
          <w:bCs/>
          <w:color w:val="auto"/>
          <w:sz w:val="24"/>
          <w:szCs w:val="32"/>
          <w:highlight w:val="none"/>
        </w:rPr>
        <w:t>资格声明书</w:t>
      </w:r>
    </w:p>
    <w:p w14:paraId="1A4E4F88">
      <w:pPr>
        <w:pStyle w:val="26"/>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hAnsi="宋体" w:cs="宋体"/>
          <w:color w:val="auto"/>
          <w:highlight w:val="none"/>
        </w:rPr>
      </w:pPr>
      <w:r>
        <w:rPr>
          <w:rFonts w:hint="eastAsia" w:hAnsi="宋体" w:cs="宋体"/>
          <w:b/>
          <w:color w:val="auto"/>
          <w:highlight w:val="none"/>
        </w:rPr>
        <w:t>致：</w:t>
      </w:r>
      <w:r>
        <w:rPr>
          <w:rFonts w:hint="eastAsia" w:hAnsi="宋体" w:cs="宋体"/>
          <w:b/>
          <w:i/>
          <w:color w:val="auto"/>
          <w:highlight w:val="none"/>
          <w:u w:val="single"/>
        </w:rPr>
        <w:t xml:space="preserve">  </w:t>
      </w:r>
      <w:r>
        <w:rPr>
          <w:rFonts w:hint="eastAsia" w:hAnsi="宋体" w:cs="宋体"/>
          <w:b/>
          <w:color w:val="auto"/>
          <w:highlight w:val="none"/>
          <w:u w:val="single"/>
          <w:lang w:eastAsia="zh-CN"/>
        </w:rPr>
        <w:t>韶关学院</w:t>
      </w:r>
      <w:r>
        <w:rPr>
          <w:rFonts w:hint="eastAsia" w:hAnsi="宋体" w:cs="宋体"/>
          <w:b/>
          <w:i/>
          <w:color w:val="auto"/>
          <w:highlight w:val="none"/>
          <w:u w:val="single"/>
        </w:rPr>
        <w:t>/</w:t>
      </w:r>
      <w:r>
        <w:rPr>
          <w:rFonts w:hint="eastAsia" w:hAnsi="宋体" w:cs="宋体"/>
          <w:b/>
          <w:color w:val="auto"/>
          <w:szCs w:val="21"/>
          <w:highlight w:val="none"/>
          <w:u w:val="single"/>
          <w:lang w:val="zh-CN"/>
        </w:rPr>
        <w:t>广东远东招标代理有限公司</w:t>
      </w:r>
    </w:p>
    <w:p w14:paraId="494DD944">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为响应你方组织的</w:t>
      </w:r>
      <w:r>
        <w:rPr>
          <w:rFonts w:hint="eastAsia" w:hAnsi="宋体" w:cs="宋体"/>
          <w:color w:val="auto"/>
          <w:highlight w:val="none"/>
          <w:u w:val="single"/>
        </w:rPr>
        <w:t>“</w:t>
      </w:r>
      <w:r>
        <w:rPr>
          <w:rFonts w:hint="eastAsia" w:hAnsi="宋体" w:cs="宋体"/>
          <w:color w:val="auto"/>
          <w:highlight w:val="none"/>
          <w:u w:val="single"/>
          <w:lang w:eastAsia="zh-CN"/>
        </w:rPr>
        <w:t>征集2026年—2028年校园桶装饮用水服务商</w:t>
      </w:r>
      <w:r>
        <w:rPr>
          <w:rFonts w:hint="eastAsia" w:hAnsi="宋体" w:cs="宋体"/>
          <w:color w:val="auto"/>
          <w:highlight w:val="none"/>
          <w:u w:val="single"/>
        </w:rPr>
        <w:t>”</w:t>
      </w:r>
      <w:r>
        <w:rPr>
          <w:rFonts w:hint="eastAsia" w:hAnsi="宋体" w:cs="宋体"/>
          <w:color w:val="auto"/>
          <w:kern w:val="28"/>
          <w:highlight w:val="none"/>
        </w:rPr>
        <w:t>的</w:t>
      </w:r>
      <w:r>
        <w:rPr>
          <w:rFonts w:hint="eastAsia" w:hAnsi="宋体" w:cs="宋体"/>
          <w:color w:val="auto"/>
          <w:highlight w:val="none"/>
        </w:rPr>
        <w:t>招标[项目编号为：</w:t>
      </w:r>
      <w:r>
        <w:rPr>
          <w:rFonts w:hint="eastAsia" w:hAnsi="宋体" w:cs="宋体"/>
          <w:color w:val="auto"/>
          <w:highlight w:val="none"/>
          <w:lang w:eastAsia="zh-CN"/>
        </w:rPr>
        <w:t>CQZB260018</w:t>
      </w:r>
      <w:r>
        <w:rPr>
          <w:rFonts w:hint="eastAsia" w:hAnsi="宋体" w:cs="宋体"/>
          <w:color w:val="auto"/>
          <w:highlight w:val="none"/>
        </w:rPr>
        <w:t>]，投标并作出如下声明：</w:t>
      </w:r>
    </w:p>
    <w:p w14:paraId="4A94DCC5">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一、我方作为</w:t>
      </w:r>
      <w:r>
        <w:rPr>
          <w:rFonts w:hint="eastAsia" w:hAnsi="宋体" w:cs="宋体"/>
          <w:color w:val="auto"/>
          <w:highlight w:val="none"/>
          <w:u w:val="single"/>
        </w:rPr>
        <w:t xml:space="preserve">   （投标人名称）   </w:t>
      </w:r>
      <w:r>
        <w:rPr>
          <w:rFonts w:hint="eastAsia" w:hAnsi="宋体" w:cs="宋体"/>
          <w:color w:val="auto"/>
          <w:highlight w:val="none"/>
        </w:rPr>
        <w:t>是在法律和运作上独立于招标人、招标代理机构的投标人，提交所有文件和全部说明是真实的和正确的。</w:t>
      </w:r>
    </w:p>
    <w:p w14:paraId="4BE64DF4">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二、本公司（企业）郑重承诺：</w:t>
      </w:r>
    </w:p>
    <w:p w14:paraId="5D49620E">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（1）本公司（企业）具有独立承担民事责任的能力。</w:t>
      </w:r>
    </w:p>
    <w:p w14:paraId="634399D0">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（2）本公司（企业）不是招标人不具有独立法人资格的附属机构（单位）。</w:t>
      </w:r>
    </w:p>
    <w:p w14:paraId="33709B87">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（3）本公司（企业）的单位负责人与所参投的本招标项目的其他投标人的单位负责人不为同一人且与其他投标人之间不存在直接控股、管理关系。</w:t>
      </w:r>
    </w:p>
    <w:p w14:paraId="020B5127">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（4）本公司（企业）与招标人不存在利害关系以及可能影响招标公正性的法人、其他组织或者个人的情形。</w:t>
      </w:r>
    </w:p>
    <w:p w14:paraId="0735071C">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（5）本公司（企业）没有为本次招标项目的前期准备提供过设计或咨询服务。</w:t>
      </w:r>
    </w:p>
    <w:p w14:paraId="185E6AA9">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（6）本公司（企业）不是本招标项目的监理人。</w:t>
      </w:r>
    </w:p>
    <w:p w14:paraId="792E8350">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（7）本公司（企业）不是本招标项目的代建人。</w:t>
      </w:r>
    </w:p>
    <w:p w14:paraId="08709248">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（8）本公司（企业）不是本招标项目的招标代理机构。</w:t>
      </w:r>
    </w:p>
    <w:p w14:paraId="61A899EA">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（9）本公司（企业）法定代表人与本项目的监理人、代建人、招标代理机构的法定代表人均非同一人。</w:t>
      </w:r>
    </w:p>
    <w:p w14:paraId="1C2583F8">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（10）本公司（企业）与本次招标项目的监理人、代建人、招标代理机构之间，不存在相互控股、被控股或管理关系。</w:t>
      </w:r>
    </w:p>
    <w:p w14:paraId="66449264">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（11）本公司（企业）与本次招标项目的监理人、代建人、招标代理机构之间，不存在相互任职、管理或其他工作关系。</w:t>
      </w:r>
    </w:p>
    <w:p w14:paraId="6FB0E33D">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（12）本公司（企业）不存在被依法暂停或取消投标资格的情形。</w:t>
      </w:r>
    </w:p>
    <w:p w14:paraId="700A7DFD">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（13）本公司（企业）不存在被责令停产停业、暂扣或者吊销许可证、暂扣或者吊销执照的情形。</w:t>
      </w:r>
    </w:p>
    <w:p w14:paraId="5D90433A">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Ansi="宋体" w:cs="宋体"/>
          <w:color w:val="auto"/>
          <w:highlight w:val="none"/>
        </w:rPr>
        <w:t>（1</w:t>
      </w:r>
      <w:r>
        <w:rPr>
          <w:rFonts w:hint="eastAsia" w:hAnsi="宋体" w:cs="宋体"/>
          <w:color w:val="auto"/>
          <w:highlight w:val="none"/>
        </w:rPr>
        <w:t>4</w:t>
      </w:r>
      <w:r>
        <w:rPr>
          <w:rFonts w:hAnsi="宋体" w:cs="宋体"/>
          <w:color w:val="auto"/>
          <w:highlight w:val="none"/>
        </w:rPr>
        <w:t>）</w:t>
      </w:r>
      <w:r>
        <w:rPr>
          <w:rFonts w:hint="eastAsia" w:hAnsi="宋体" w:cs="宋体"/>
          <w:color w:val="auto"/>
          <w:highlight w:val="none"/>
        </w:rPr>
        <w:t>本公司（企业）在本次招标活动中不存在违法、违规、弄虚作假的行为；</w:t>
      </w:r>
    </w:p>
    <w:p w14:paraId="026FECB4">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Ansi="宋体" w:cs="宋体"/>
          <w:color w:val="auto"/>
          <w:highlight w:val="none"/>
        </w:rPr>
        <w:t>（1</w:t>
      </w: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本公司（企业）具有法律、行政法规规定的其他条件。</w:t>
      </w:r>
    </w:p>
    <w:p w14:paraId="1AD866B2">
      <w:pPr>
        <w:pStyle w:val="26"/>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hAnsi="宋体" w:cs="宋体"/>
          <w:color w:val="auto"/>
          <w:highlight w:val="none"/>
        </w:rPr>
      </w:pPr>
      <w:r>
        <w:rPr>
          <w:rFonts w:hint="eastAsia" w:hAnsi="宋体" w:cs="宋体"/>
          <w:color w:val="auto"/>
          <w:highlight w:val="none"/>
        </w:rPr>
        <w:t>三、我方理解你方可能还要求提供更进一步的资格资料，并愿意应你方的要求提交。</w:t>
      </w:r>
    </w:p>
    <w:p w14:paraId="44D2E15A">
      <w:pPr>
        <w:pStyle w:val="26"/>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hAnsi="宋体" w:cs="宋体"/>
          <w:color w:val="auto"/>
          <w:highlight w:val="none"/>
        </w:rPr>
      </w:pPr>
      <w:r>
        <w:rPr>
          <w:rFonts w:hint="eastAsia" w:hAnsi="宋体" w:cs="宋体"/>
          <w:color w:val="auto"/>
          <w:highlight w:val="none"/>
        </w:rPr>
        <w:t>投标人：</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val="zh-CN"/>
        </w:rPr>
        <w:t>加盖投标人公章</w:t>
      </w:r>
      <w:r>
        <w:rPr>
          <w:rFonts w:hint="eastAsia" w:hAnsi="宋体" w:cs="宋体"/>
          <w:color w:val="auto"/>
          <w:highlight w:val="none"/>
        </w:rPr>
        <w:t>）</w:t>
      </w:r>
    </w:p>
    <w:p w14:paraId="691C1A6D">
      <w:pPr>
        <w:pStyle w:val="26"/>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hAnsi="宋体" w:cs="宋体"/>
          <w:color w:val="auto"/>
          <w:highlight w:val="none"/>
        </w:rPr>
      </w:pPr>
      <w:r>
        <w:rPr>
          <w:rFonts w:hint="eastAsia" w:hAnsi="宋体" w:cs="宋体"/>
          <w:color w:val="auto"/>
          <w:highlight w:val="none"/>
        </w:rPr>
        <w:t>法 定 地 址：</w:t>
      </w:r>
      <w:r>
        <w:rPr>
          <w:rFonts w:hint="eastAsia" w:hAnsi="宋体" w:cs="宋体"/>
          <w:color w:val="auto"/>
          <w:highlight w:val="none"/>
          <w:u w:val="single"/>
        </w:rPr>
        <w:t xml:space="preserve">                   </w:t>
      </w:r>
    </w:p>
    <w:p w14:paraId="762EB48A">
      <w:pPr>
        <w:pStyle w:val="26"/>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hAnsi="宋体" w:cs="宋体"/>
          <w:color w:val="auto"/>
          <w:highlight w:val="none"/>
        </w:rPr>
      </w:pPr>
      <w:r>
        <w:rPr>
          <w:rFonts w:hint="eastAsia" w:hAnsi="宋体" w:cs="宋体"/>
          <w:color w:val="auto"/>
          <w:highlight w:val="none"/>
        </w:rPr>
        <w:t>邮       编：</w:t>
      </w:r>
      <w:r>
        <w:rPr>
          <w:rFonts w:hint="eastAsia" w:hAnsi="宋体" w:cs="宋体"/>
          <w:color w:val="auto"/>
          <w:highlight w:val="none"/>
          <w:u w:val="single"/>
        </w:rPr>
        <w:t xml:space="preserve">                   </w:t>
      </w:r>
    </w:p>
    <w:p w14:paraId="78D11661">
      <w:pPr>
        <w:pStyle w:val="26"/>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hAnsi="宋体" w:cs="宋体"/>
          <w:color w:val="auto"/>
          <w:highlight w:val="none"/>
        </w:rPr>
      </w:pPr>
      <w:r>
        <w:rPr>
          <w:rFonts w:hint="eastAsia" w:hAnsi="宋体" w:cs="宋体"/>
          <w:color w:val="auto"/>
          <w:highlight w:val="none"/>
        </w:rPr>
        <w:t>法定代表人（或法定代表人授权代表）签名或盖私章：</w:t>
      </w:r>
      <w:r>
        <w:rPr>
          <w:rFonts w:hint="eastAsia" w:hAnsi="宋体" w:cs="宋体"/>
          <w:color w:val="auto"/>
          <w:highlight w:val="none"/>
          <w:u w:val="single"/>
        </w:rPr>
        <w:t xml:space="preserve">                   </w:t>
      </w:r>
    </w:p>
    <w:p w14:paraId="08547802">
      <w:pPr>
        <w:pStyle w:val="26"/>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p>
    <w:p w14:paraId="4DD9FBFD">
      <w:pPr>
        <w:pStyle w:val="26"/>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hAnsi="宋体" w:cs="宋体"/>
          <w:color w:val="auto"/>
          <w:szCs w:val="28"/>
          <w:highlight w:val="none"/>
        </w:rPr>
      </w:pPr>
      <w:r>
        <w:rPr>
          <w:rFonts w:hint="eastAsia" w:hAnsi="宋体" w:cs="宋体"/>
          <w:color w:val="auto"/>
          <w:highlight w:val="none"/>
        </w:rPr>
        <w:t>传       真：</w:t>
      </w:r>
      <w:r>
        <w:rPr>
          <w:rFonts w:hint="eastAsia" w:hAnsi="宋体" w:cs="宋体"/>
          <w:color w:val="auto"/>
          <w:highlight w:val="none"/>
          <w:u w:val="single"/>
        </w:rPr>
        <w:t xml:space="preserve">                   </w:t>
      </w:r>
      <w:r>
        <w:rPr>
          <w:rFonts w:hint="eastAsia" w:hAnsi="宋体" w:cs="宋体"/>
          <w:color w:val="auto"/>
          <w:szCs w:val="28"/>
          <w:highlight w:val="none"/>
        </w:rPr>
        <w:br w:type="page"/>
      </w:r>
    </w:p>
    <w:p w14:paraId="3EA508EE">
      <w:pPr>
        <w:spacing w:line="360" w:lineRule="auto"/>
        <w:rPr>
          <w:rFonts w:hint="eastAsia" w:ascii="宋体" w:hAnsi="宋体" w:cs="宋体"/>
          <w:b/>
          <w:bCs/>
          <w:color w:val="auto"/>
          <w:szCs w:val="28"/>
          <w:highlight w:val="none"/>
        </w:rPr>
      </w:pPr>
      <w:r>
        <w:rPr>
          <w:rFonts w:hint="eastAsia" w:ascii="宋体" w:hAnsi="宋体" w:cs="宋体"/>
          <w:b/>
          <w:bCs/>
          <w:color w:val="auto"/>
          <w:szCs w:val="28"/>
          <w:highlight w:val="none"/>
        </w:rPr>
        <w:t>3.法定代表人证明书</w:t>
      </w:r>
    </w:p>
    <w:p w14:paraId="5C545B24">
      <w:pPr>
        <w:spacing w:line="360" w:lineRule="auto"/>
        <w:rPr>
          <w:rFonts w:hint="eastAsia" w:ascii="宋体" w:hAnsi="宋体" w:cs="宋体"/>
          <w:color w:val="auto"/>
          <w:szCs w:val="28"/>
          <w:highlight w:val="none"/>
        </w:rPr>
      </w:pPr>
    </w:p>
    <w:p w14:paraId="2B395543">
      <w:pPr>
        <w:jc w:val="center"/>
        <w:rPr>
          <w:rFonts w:hint="eastAsia" w:ascii="宋体" w:hAnsi="宋体" w:cs="宋体"/>
          <w:b/>
          <w:color w:val="auto"/>
          <w:sz w:val="28"/>
          <w:highlight w:val="none"/>
        </w:rPr>
      </w:pPr>
      <w:r>
        <w:rPr>
          <w:rFonts w:hint="eastAsia" w:ascii="宋体" w:hAnsi="宋体" w:cs="宋体"/>
          <w:b/>
          <w:color w:val="auto"/>
          <w:sz w:val="28"/>
          <w:highlight w:val="none"/>
        </w:rPr>
        <w:t>法定代表人证明书</w:t>
      </w:r>
    </w:p>
    <w:p w14:paraId="5188B55E">
      <w:pPr>
        <w:spacing w:line="460" w:lineRule="exact"/>
        <w:rPr>
          <w:rFonts w:hint="eastAsia" w:ascii="宋体" w:hAnsi="宋体" w:cs="宋体"/>
          <w:color w:val="auto"/>
          <w:highlight w:val="none"/>
        </w:rPr>
      </w:pPr>
    </w:p>
    <w:p w14:paraId="04A2C2AD">
      <w:pPr>
        <w:spacing w:line="440" w:lineRule="exact"/>
        <w:rPr>
          <w:rFonts w:hint="eastAsia" w:ascii="宋体" w:hAnsi="宋体" w:cs="宋体"/>
          <w:color w:val="auto"/>
          <w:szCs w:val="21"/>
          <w:highlight w:val="none"/>
        </w:rPr>
      </w:pPr>
      <w:r>
        <w:rPr>
          <w:rFonts w:hint="eastAsia" w:ascii="宋体" w:hAnsi="宋体" w:cs="宋体"/>
          <w:color w:val="auto"/>
          <w:sz w:val="28"/>
          <w:szCs w:val="28"/>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同志，现任我单位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职务，为法定代表人，特此声明。</w:t>
      </w:r>
    </w:p>
    <w:p w14:paraId="73130D0F">
      <w:pPr>
        <w:spacing w:line="440" w:lineRule="exact"/>
        <w:rPr>
          <w:rFonts w:hint="eastAsia" w:ascii="宋体" w:hAnsi="宋体" w:cs="宋体"/>
          <w:color w:val="auto"/>
          <w:szCs w:val="21"/>
          <w:highlight w:val="none"/>
        </w:rPr>
      </w:pPr>
    </w:p>
    <w:p w14:paraId="3CE8EAB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w:t>
      </w:r>
    </w:p>
    <w:p w14:paraId="4E81487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法定代表人性别：         年龄：           身份证号码：</w:t>
      </w:r>
    </w:p>
    <w:p w14:paraId="50C6033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营业执照号码：</w:t>
      </w:r>
    </w:p>
    <w:p w14:paraId="5775B309">
      <w:pPr>
        <w:tabs>
          <w:tab w:val="left" w:pos="4182"/>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主营：</w:t>
      </w:r>
      <w:r>
        <w:rPr>
          <w:rFonts w:hint="eastAsia" w:ascii="宋体" w:hAnsi="宋体" w:cs="宋体"/>
          <w:color w:val="auto"/>
          <w:szCs w:val="21"/>
          <w:highlight w:val="none"/>
        </w:rPr>
        <w:tab/>
      </w:r>
    </w:p>
    <w:p w14:paraId="5962559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兼营：</w:t>
      </w:r>
    </w:p>
    <w:p w14:paraId="2C7B066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签发日期：                       单位：      （盖章）</w:t>
      </w:r>
    </w:p>
    <w:p w14:paraId="06B0A6BC">
      <w:pPr>
        <w:spacing w:line="440" w:lineRule="exact"/>
        <w:rPr>
          <w:rFonts w:hint="eastAsia" w:ascii="宋体" w:hAnsi="宋体" w:cs="宋体"/>
          <w:color w:val="auto"/>
          <w:szCs w:val="21"/>
          <w:highlight w:val="none"/>
        </w:rPr>
      </w:pPr>
    </w:p>
    <w:p w14:paraId="41F93890">
      <w:pPr>
        <w:spacing w:line="440" w:lineRule="exact"/>
        <w:rPr>
          <w:rFonts w:hint="eastAsia" w:ascii="宋体" w:hAnsi="宋体" w:cs="宋体"/>
          <w:color w:val="auto"/>
          <w:szCs w:val="21"/>
          <w:highlight w:val="none"/>
        </w:rPr>
      </w:pPr>
    </w:p>
    <w:p w14:paraId="10FBC3F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说明：1.法定代表人为企业事业单位、国家机关、社会团体的主要行政负责人。</w:t>
      </w:r>
    </w:p>
    <w:p w14:paraId="259A3B98">
      <w:pPr>
        <w:spacing w:line="3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2.内容必须填写真实、清楚、涂改无效，不得转让、买卖。</w:t>
      </w:r>
    </w:p>
    <w:p w14:paraId="28ECEDAB">
      <w:pPr>
        <w:spacing w:line="3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3.将此证明书提交对方作为合同附件或凭证。</w:t>
      </w:r>
    </w:p>
    <w:p w14:paraId="24667C7C">
      <w:pPr>
        <w:spacing w:line="360" w:lineRule="exact"/>
        <w:ind w:firstLine="630" w:firstLineChars="300"/>
        <w:rPr>
          <w:rFonts w:hint="eastAsia" w:ascii="宋体" w:hAnsi="宋体" w:cs="宋体"/>
          <w:color w:val="auto"/>
          <w:szCs w:val="21"/>
          <w:highlight w:val="none"/>
        </w:rPr>
      </w:pPr>
    </w:p>
    <w:p w14:paraId="0AC25FD7">
      <w:pPr>
        <w:spacing w:line="360" w:lineRule="auto"/>
        <w:rPr>
          <w:rFonts w:hint="eastAsia" w:ascii="宋体" w:hAnsi="宋体" w:cs="宋体"/>
          <w:color w:val="auto"/>
          <w:szCs w:val="21"/>
          <w:highlight w:val="none"/>
        </w:rPr>
      </w:pPr>
    </w:p>
    <w:p w14:paraId="5DE376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3101975</wp:posOffset>
                </wp:positionH>
                <wp:positionV relativeFrom="paragraph">
                  <wp:posOffset>37465</wp:posOffset>
                </wp:positionV>
                <wp:extent cx="2867025" cy="2014855"/>
                <wp:effectExtent l="4445" t="4445" r="5080" b="19050"/>
                <wp:wrapNone/>
                <wp:docPr id="1027" name="自选图形 7"/>
                <wp:cNvGraphicFramePr/>
                <a:graphic xmlns:a="http://schemas.openxmlformats.org/drawingml/2006/main">
                  <a:graphicData uri="http://schemas.microsoft.com/office/word/2010/wordprocessingShape">
                    <wps:wsp>
                      <wps:cNvSpPr/>
                      <wps:spPr>
                        <a:xfrm>
                          <a:off x="0" y="0"/>
                          <a:ext cx="2867025" cy="201485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4B53A1C">
                            <w:pPr>
                              <w:jc w:val="center"/>
                              <w:rPr>
                                <w:rFonts w:hint="eastAsia" w:hAnsi="宋体"/>
                                <w:szCs w:val="21"/>
                              </w:rPr>
                            </w:pPr>
                          </w:p>
                          <w:p w14:paraId="57830C07">
                            <w:pPr>
                              <w:jc w:val="center"/>
                              <w:rPr>
                                <w:rFonts w:hint="eastAsia" w:hAnsi="宋体"/>
                                <w:szCs w:val="21"/>
                              </w:rPr>
                            </w:pPr>
                          </w:p>
                          <w:p w14:paraId="597149CC">
                            <w:pPr>
                              <w:jc w:val="center"/>
                              <w:rPr>
                                <w:rFonts w:hint="eastAsia" w:hAnsi="宋体"/>
                                <w:szCs w:val="21"/>
                              </w:rPr>
                            </w:pPr>
                          </w:p>
                          <w:p w14:paraId="6A290E78">
                            <w:pPr>
                              <w:jc w:val="center"/>
                              <w:rPr>
                                <w:rFonts w:hint="eastAsia" w:hAnsi="宋体"/>
                                <w:szCs w:val="21"/>
                              </w:rPr>
                            </w:pPr>
                          </w:p>
                          <w:p w14:paraId="441CF8FF">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自选图形 7" o:spid="_x0000_s1026" o:spt="176" type="#_x0000_t176" style="position:absolute;left:0pt;margin-left:244.25pt;margin-top:2.95pt;height:158.65pt;width:225.75pt;z-index:251659264;mso-width-relative:page;mso-height-relative:page;" fillcolor="#FFFFFF" filled="t" stroked="t" coordsize="21600,21600" o:gfxdata="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ZiWZTYAAAA&#10;CQEAAA8AAAAAAAAAAQAgAAAAIgAAAGRycy9kb3ducmV2LnhtbFBLAQIUABQAAAAIAIdO4kDxw97X&#10;HQIAAEgEAAAOAAAAAAAAAAEAIAAAACcBAABkcnMvZTJvRG9jLnhtbFBLBQYAAAAABgAGAFkBAAC2&#10;BQAAAAA=&#10;">
                <v:fill on="t" focussize="0,0"/>
                <v:stroke color="#000000" joinstyle="miter"/>
                <v:imagedata o:title=""/>
                <o:lock v:ext="edit" aspectratio="f"/>
                <v:textbox>
                  <w:txbxContent>
                    <w:p w14:paraId="24B53A1C">
                      <w:pPr>
                        <w:jc w:val="center"/>
                        <w:rPr>
                          <w:rFonts w:hint="eastAsia" w:hAnsi="宋体"/>
                          <w:szCs w:val="21"/>
                        </w:rPr>
                      </w:pPr>
                    </w:p>
                    <w:p w14:paraId="57830C07">
                      <w:pPr>
                        <w:jc w:val="center"/>
                        <w:rPr>
                          <w:rFonts w:hint="eastAsia" w:hAnsi="宋体"/>
                          <w:szCs w:val="21"/>
                        </w:rPr>
                      </w:pPr>
                    </w:p>
                    <w:p w14:paraId="597149CC">
                      <w:pPr>
                        <w:jc w:val="center"/>
                        <w:rPr>
                          <w:rFonts w:hint="eastAsia" w:hAnsi="宋体"/>
                          <w:szCs w:val="21"/>
                        </w:rPr>
                      </w:pPr>
                    </w:p>
                    <w:p w14:paraId="6A290E78">
                      <w:pPr>
                        <w:jc w:val="center"/>
                        <w:rPr>
                          <w:rFonts w:hint="eastAsia" w:hAnsi="宋体"/>
                          <w:szCs w:val="21"/>
                        </w:rPr>
                      </w:pPr>
                    </w:p>
                    <w:p w14:paraId="441CF8FF">
                      <w:pPr>
                        <w:jc w:val="center"/>
                        <w:rPr>
                          <w:szCs w:val="21"/>
                        </w:rPr>
                      </w:pPr>
                      <w:r>
                        <w:rPr>
                          <w:rFonts w:hint="eastAsia" w:hAnsi="宋体"/>
                          <w:szCs w:val="21"/>
                        </w:rPr>
                        <w:t>法定代表人身份证复印件反面</w:t>
                      </w:r>
                    </w:p>
                  </w:txbxContent>
                </v:textbox>
              </v:shape>
            </w:pict>
          </mc:Fallback>
        </mc:AlternateContent>
      </w:r>
      <w:r>
        <w:rPr>
          <w:rFonts w:hint="eastAsia" w:ascii="宋体" w:hAnsi="宋体" w:cs="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-69850</wp:posOffset>
                </wp:positionH>
                <wp:positionV relativeFrom="paragraph">
                  <wp:posOffset>57150</wp:posOffset>
                </wp:positionV>
                <wp:extent cx="2867025" cy="2014855"/>
                <wp:effectExtent l="4445" t="4445" r="5080" b="19050"/>
                <wp:wrapNone/>
                <wp:docPr id="1028" name="自选图形 8"/>
                <wp:cNvGraphicFramePr/>
                <a:graphic xmlns:a="http://schemas.openxmlformats.org/drawingml/2006/main">
                  <a:graphicData uri="http://schemas.microsoft.com/office/word/2010/wordprocessingShape">
                    <wps:wsp>
                      <wps:cNvSpPr/>
                      <wps:spPr>
                        <a:xfrm>
                          <a:off x="0" y="0"/>
                          <a:ext cx="2867025" cy="201485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4F4383C">
                            <w:pPr>
                              <w:jc w:val="center"/>
                              <w:rPr>
                                <w:rFonts w:hint="eastAsia" w:hAnsi="宋体"/>
                                <w:szCs w:val="21"/>
                              </w:rPr>
                            </w:pPr>
                          </w:p>
                          <w:p w14:paraId="581E4178">
                            <w:pPr>
                              <w:jc w:val="center"/>
                              <w:rPr>
                                <w:rFonts w:hint="eastAsia" w:hAnsi="宋体"/>
                                <w:szCs w:val="21"/>
                              </w:rPr>
                            </w:pPr>
                          </w:p>
                          <w:p w14:paraId="1BC2732F">
                            <w:pPr>
                              <w:jc w:val="center"/>
                              <w:rPr>
                                <w:rFonts w:hint="eastAsia" w:hAnsi="宋体"/>
                                <w:szCs w:val="21"/>
                              </w:rPr>
                            </w:pPr>
                          </w:p>
                          <w:p w14:paraId="0DC99CB5">
                            <w:pPr>
                              <w:jc w:val="center"/>
                              <w:rPr>
                                <w:rFonts w:hint="eastAsia" w:hAnsi="宋体"/>
                                <w:szCs w:val="21"/>
                              </w:rPr>
                            </w:pPr>
                          </w:p>
                          <w:p w14:paraId="0A8D7BF0">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自选图形 8" o:spid="_x0000_s1026" o:spt="176" type="#_x0000_t176" style="position:absolute;left:0pt;margin-left:-5.5pt;margin-top:4.5pt;height:158.65pt;width:225.75pt;z-index:251659264;mso-width-relative:page;mso-height-relative:page;" fillcolor="#FFFFFF" filled="t" stroked="t" coordsize="21600,21600" o:gfxdata="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uVeiLZAAAA&#10;CQEAAA8AAAAAAAAAAQAgAAAAIgAAAGRycy9kb3ducmV2LnhtbFBLAQIUABQAAAAIAIdO4kBhWsv1&#10;HAIAAEgEAAAOAAAAAAAAAAEAIAAAACgBAABkcnMvZTJvRG9jLnhtbFBLBQYAAAAABgAGAFkBAAC2&#10;BQAAAAA=&#10;">
                <v:fill on="t" focussize="0,0"/>
                <v:stroke color="#000000" joinstyle="miter"/>
                <v:imagedata o:title=""/>
                <o:lock v:ext="edit" aspectratio="f"/>
                <v:textbox>
                  <w:txbxContent>
                    <w:p w14:paraId="74F4383C">
                      <w:pPr>
                        <w:jc w:val="center"/>
                        <w:rPr>
                          <w:rFonts w:hint="eastAsia" w:hAnsi="宋体"/>
                          <w:szCs w:val="21"/>
                        </w:rPr>
                      </w:pPr>
                    </w:p>
                    <w:p w14:paraId="581E4178">
                      <w:pPr>
                        <w:jc w:val="center"/>
                        <w:rPr>
                          <w:rFonts w:hint="eastAsia" w:hAnsi="宋体"/>
                          <w:szCs w:val="21"/>
                        </w:rPr>
                      </w:pPr>
                    </w:p>
                    <w:p w14:paraId="1BC2732F">
                      <w:pPr>
                        <w:jc w:val="center"/>
                        <w:rPr>
                          <w:rFonts w:hint="eastAsia" w:hAnsi="宋体"/>
                          <w:szCs w:val="21"/>
                        </w:rPr>
                      </w:pPr>
                    </w:p>
                    <w:p w14:paraId="0DC99CB5">
                      <w:pPr>
                        <w:jc w:val="center"/>
                        <w:rPr>
                          <w:rFonts w:hint="eastAsia" w:hAnsi="宋体"/>
                          <w:szCs w:val="21"/>
                        </w:rPr>
                      </w:pPr>
                    </w:p>
                    <w:p w14:paraId="0A8D7BF0">
                      <w:pPr>
                        <w:jc w:val="center"/>
                        <w:rPr>
                          <w:szCs w:val="21"/>
                        </w:rPr>
                      </w:pPr>
                      <w:r>
                        <w:rPr>
                          <w:rFonts w:hint="eastAsia" w:hAnsi="宋体"/>
                          <w:szCs w:val="21"/>
                        </w:rPr>
                        <w:t>法定代表人身份证复印件正面</w:t>
                      </w:r>
                    </w:p>
                  </w:txbxContent>
                </v:textbox>
              </v:shape>
            </w:pict>
          </mc:Fallback>
        </mc:AlternateContent>
      </w:r>
    </w:p>
    <w:p w14:paraId="7A524D92">
      <w:pPr>
        <w:spacing w:line="360" w:lineRule="auto"/>
        <w:rPr>
          <w:rFonts w:hint="eastAsia" w:ascii="宋体" w:hAnsi="宋体" w:cs="宋体"/>
          <w:color w:val="auto"/>
          <w:szCs w:val="21"/>
          <w:highlight w:val="none"/>
        </w:rPr>
      </w:pPr>
    </w:p>
    <w:p w14:paraId="4276E0D6">
      <w:pPr>
        <w:tabs>
          <w:tab w:val="left" w:pos="363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ab/>
      </w:r>
    </w:p>
    <w:p w14:paraId="659C42E3">
      <w:pPr>
        <w:spacing w:line="360" w:lineRule="auto"/>
        <w:rPr>
          <w:rFonts w:hint="eastAsia" w:ascii="宋体" w:hAnsi="宋体" w:cs="宋体"/>
          <w:color w:val="auto"/>
          <w:szCs w:val="21"/>
          <w:highlight w:val="none"/>
        </w:rPr>
      </w:pPr>
    </w:p>
    <w:p w14:paraId="36BEF3CE">
      <w:pPr>
        <w:spacing w:line="360" w:lineRule="auto"/>
        <w:rPr>
          <w:rFonts w:hint="eastAsia" w:ascii="宋体" w:hAnsi="宋体" w:cs="宋体"/>
          <w:color w:val="auto"/>
          <w:szCs w:val="21"/>
          <w:highlight w:val="none"/>
        </w:rPr>
      </w:pPr>
    </w:p>
    <w:p w14:paraId="569BEA8B">
      <w:pPr>
        <w:spacing w:line="360" w:lineRule="auto"/>
        <w:rPr>
          <w:rFonts w:hint="eastAsia" w:ascii="宋体" w:hAnsi="宋体" w:cs="宋体"/>
          <w:color w:val="auto"/>
          <w:szCs w:val="21"/>
          <w:highlight w:val="none"/>
        </w:rPr>
      </w:pPr>
    </w:p>
    <w:p w14:paraId="3681C5FE">
      <w:pPr>
        <w:spacing w:line="360" w:lineRule="auto"/>
        <w:rPr>
          <w:rFonts w:hint="eastAsia" w:ascii="宋体" w:hAnsi="宋体" w:cs="宋体"/>
          <w:color w:val="auto"/>
          <w:szCs w:val="21"/>
          <w:highlight w:val="none"/>
        </w:rPr>
      </w:pPr>
    </w:p>
    <w:p w14:paraId="2B955F8A">
      <w:pPr>
        <w:spacing w:line="360" w:lineRule="auto"/>
        <w:rPr>
          <w:rFonts w:hint="eastAsia" w:ascii="宋体" w:hAnsi="宋体" w:cs="宋体"/>
          <w:color w:val="auto"/>
          <w:szCs w:val="21"/>
          <w:highlight w:val="none"/>
        </w:rPr>
      </w:pPr>
    </w:p>
    <w:p w14:paraId="1C7F08CD">
      <w:pPr>
        <w:spacing w:line="360" w:lineRule="auto"/>
        <w:rPr>
          <w:rFonts w:hint="eastAsia" w:ascii="宋体" w:hAnsi="宋体" w:cs="宋体"/>
          <w:color w:val="auto"/>
          <w:szCs w:val="21"/>
          <w:highlight w:val="none"/>
        </w:rPr>
      </w:pPr>
    </w:p>
    <w:p w14:paraId="508167E1">
      <w:pPr>
        <w:spacing w:line="360" w:lineRule="auto"/>
        <w:rPr>
          <w:rFonts w:hint="eastAsia" w:ascii="宋体" w:hAnsi="宋体" w:cs="宋体"/>
          <w:color w:val="auto"/>
          <w:szCs w:val="21"/>
          <w:highlight w:val="none"/>
        </w:rPr>
      </w:pPr>
    </w:p>
    <w:p w14:paraId="0F7B008D">
      <w:pPr>
        <w:spacing w:line="360" w:lineRule="auto"/>
        <w:rPr>
          <w:rFonts w:hint="eastAsia" w:ascii="宋体" w:hAnsi="宋体" w:cs="宋体"/>
          <w:color w:val="auto"/>
          <w:szCs w:val="21"/>
          <w:highlight w:val="none"/>
        </w:rPr>
      </w:pPr>
    </w:p>
    <w:p w14:paraId="7CD0E4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4.法定代表人授权书</w:t>
      </w:r>
    </w:p>
    <w:p w14:paraId="74DE0D47">
      <w:pPr>
        <w:pStyle w:val="26"/>
        <w:spacing w:line="360" w:lineRule="auto"/>
        <w:jc w:val="center"/>
        <w:rPr>
          <w:rFonts w:hint="eastAsia" w:hAnsi="宋体" w:cs="宋体"/>
          <w:b/>
          <w:color w:val="auto"/>
          <w:sz w:val="28"/>
          <w:highlight w:val="none"/>
        </w:rPr>
      </w:pPr>
      <w:r>
        <w:rPr>
          <w:rFonts w:hint="eastAsia" w:hAnsi="宋体" w:cs="宋体"/>
          <w:b/>
          <w:color w:val="auto"/>
          <w:sz w:val="28"/>
          <w:highlight w:val="none"/>
        </w:rPr>
        <w:t>法定代表人授权书</w:t>
      </w:r>
    </w:p>
    <w:p w14:paraId="05B065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韶关学院</w:t>
      </w:r>
      <w:r>
        <w:rPr>
          <w:rFonts w:hint="eastAsia" w:ascii="宋体" w:hAnsi="宋体" w:cs="宋体"/>
          <w:color w:val="auto"/>
          <w:szCs w:val="21"/>
          <w:highlight w:val="none"/>
        </w:rPr>
        <w:t>/ 广东远东招标代理有限公司</w:t>
      </w:r>
    </w:p>
    <w:p w14:paraId="5B2E65E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同志，为我方签订经济合同及办理其他事务代理人，其权限是：</w:t>
      </w:r>
    </w:p>
    <w:p w14:paraId="1E0807B7">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，特此证明。有效日期与本公司投标文件中标注的投标有效期相同。</w:t>
      </w:r>
    </w:p>
    <w:p w14:paraId="351CC52F">
      <w:pPr>
        <w:spacing w:line="480" w:lineRule="exact"/>
        <w:rPr>
          <w:rFonts w:hint="eastAsia" w:ascii="宋体" w:hAnsi="宋体" w:cs="宋体"/>
          <w:color w:val="auto"/>
          <w:szCs w:val="21"/>
          <w:highlight w:val="none"/>
        </w:rPr>
      </w:pPr>
    </w:p>
    <w:p w14:paraId="2BC55D6A">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授权单位：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zh-CN"/>
        </w:rPr>
        <w:t>加盖投标人公章</w:t>
      </w:r>
      <w:r>
        <w:rPr>
          <w:rFonts w:hint="eastAsia" w:ascii="宋体" w:hAnsi="宋体" w:cs="宋体"/>
          <w:color w:val="auto"/>
          <w:szCs w:val="21"/>
          <w:highlight w:val="none"/>
        </w:rPr>
        <w:t xml:space="preserve">）     </w:t>
      </w:r>
    </w:p>
    <w:p w14:paraId="4D9D6DF8">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法定代表人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（签名或盖私章）</w:t>
      </w:r>
    </w:p>
    <w:p w14:paraId="2B90A15B">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签发日期：   年   月   日</w:t>
      </w:r>
    </w:p>
    <w:p w14:paraId="668AE6DD">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附：代理人性别：        年龄：       职务：         身份证号码：</w:t>
      </w:r>
    </w:p>
    <w:p w14:paraId="79C79F12">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联系电话：</w:t>
      </w:r>
    </w:p>
    <w:p w14:paraId="7A2E803A">
      <w:pPr>
        <w:spacing w:line="4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营业执照号码：                         经济性质：</w:t>
      </w:r>
    </w:p>
    <w:p w14:paraId="64FA39AA">
      <w:pPr>
        <w:spacing w:line="4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主营（产）：</w:t>
      </w:r>
    </w:p>
    <w:p w14:paraId="6E830DB0">
      <w:pPr>
        <w:spacing w:line="4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兼营（产）：</w:t>
      </w:r>
    </w:p>
    <w:p w14:paraId="34B11E76">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说明：1.法定代表人为企业事业单位、国家机关、社会团体的主要行政负责人。</w:t>
      </w:r>
    </w:p>
    <w:p w14:paraId="09EA62B9">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2.内容必须填写真实、清楚、涂改无效，不得转让、买卖。</w:t>
      </w:r>
    </w:p>
    <w:p w14:paraId="7FD9FC1D">
      <w:pPr>
        <w:spacing w:line="480" w:lineRule="exact"/>
        <w:ind w:firstLine="630" w:firstLineChars="300"/>
        <w:rPr>
          <w:rFonts w:hint="eastAsia" w:ascii="宋体" w:hAnsi="宋体" w:cs="宋体"/>
          <w:b/>
          <w:color w:val="auto"/>
          <w:szCs w:val="21"/>
          <w:highlight w:val="none"/>
        </w:rPr>
      </w:pPr>
      <w:r>
        <w:rPr>
          <w:rFonts w:hint="eastAsia" w:ascii="宋体" w:hAnsi="宋体" w:cs="宋体"/>
          <w:color w:val="auto"/>
          <w:szCs w:val="21"/>
          <w:highlight w:val="none"/>
        </w:rPr>
        <w:t>3.将此证明书提交对方作为合同附件。</w:t>
      </w:r>
    </w:p>
    <w:p w14:paraId="68A9EB7B">
      <w:pPr>
        <w:spacing w:line="48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4.授权权限：全权代表本公司参与</w:t>
      </w:r>
      <w:r>
        <w:rPr>
          <w:rFonts w:hint="eastAsia" w:ascii="宋体" w:hAnsi="宋体" w:cs="宋体"/>
          <w:color w:val="auto"/>
          <w:szCs w:val="21"/>
          <w:highlight w:val="none"/>
          <w:lang w:eastAsia="zh-CN"/>
        </w:rPr>
        <w:t>征集2026年—2028年校园桶装饮用水服务商</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CQZB260018</w:t>
      </w:r>
      <w:r>
        <w:rPr>
          <w:rFonts w:hint="eastAsia" w:ascii="宋体" w:hAnsi="宋体" w:cs="宋体"/>
          <w:color w:val="auto"/>
          <w:szCs w:val="21"/>
          <w:highlight w:val="none"/>
        </w:rPr>
        <w:t>）的投标/谈判响应，负责提供与签署确认一切文书资料，以及向贵方递交的任何补充承诺。</w:t>
      </w:r>
    </w:p>
    <w:p w14:paraId="59BBACC4">
      <w:pPr>
        <w:spacing w:line="440" w:lineRule="exact"/>
        <w:ind w:firstLine="644" w:firstLineChars="307"/>
        <w:rPr>
          <w:rFonts w:hint="eastAsia" w:ascii="宋体" w:hAnsi="宋体" w:cs="宋体"/>
          <w:color w:val="auto"/>
          <w:szCs w:val="21"/>
          <w:highlight w:val="none"/>
        </w:rPr>
      </w:pPr>
      <w:r>
        <w:rPr>
          <w:rFonts w:hint="eastAsia" w:ascii="宋体" w:hAnsi="宋体" w:cs="宋体"/>
          <w:color w:val="auto"/>
          <w:szCs w:val="21"/>
          <w:highlight w:val="none"/>
        </w:rPr>
        <w:t>5.有效期限：与本公司投标/响应文件中标注的投标/谈判有效期相同，自本单位加盖公章之日起生效。</w:t>
      </w:r>
    </w:p>
    <w:p w14:paraId="0FDFC84D">
      <w:pPr>
        <w:spacing w:line="440" w:lineRule="exact"/>
        <w:ind w:firstLine="644" w:firstLineChars="307"/>
        <w:rPr>
          <w:rFonts w:hint="eastAsia" w:ascii="宋体" w:hAnsi="宋体" w:cs="宋体"/>
          <w:color w:val="auto"/>
          <w:szCs w:val="21"/>
          <w:highlight w:val="none"/>
        </w:rPr>
      </w:pPr>
      <w:r>
        <w:rPr>
          <w:rFonts w:hint="eastAsia" w:ascii="宋体" w:hAnsi="宋体" w:cs="宋体"/>
          <w:color w:val="auto"/>
          <w:szCs w:val="21"/>
          <w:highlight w:val="none"/>
        </w:rPr>
        <w:t>6.投标/谈判签字代表为法定代表人，则本表不适用。</w:t>
      </w:r>
    </w:p>
    <w:p w14:paraId="1713F76F">
      <w:pPr>
        <w:spacing w:line="360" w:lineRule="auto"/>
        <w:ind w:firstLine="420"/>
        <w:rPr>
          <w:rFonts w:hint="eastAsia" w:ascii="宋体" w:hAnsi="宋体" w:cs="宋体"/>
          <w:color w:val="auto"/>
          <w:szCs w:val="21"/>
          <w:highlight w:val="none"/>
          <w:u w:val="single"/>
        </w:rPr>
      </w:pPr>
      <w:r>
        <w:rPr>
          <w:rFonts w:hint="eastAsia" w:ascii="宋体" w:hAnsi="宋体" w:cs="宋体"/>
          <w:bCs/>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2914650</wp:posOffset>
                </wp:positionH>
                <wp:positionV relativeFrom="paragraph">
                  <wp:posOffset>33020</wp:posOffset>
                </wp:positionV>
                <wp:extent cx="2333625" cy="1584325"/>
                <wp:effectExtent l="4445" t="4445" r="5080" b="11430"/>
                <wp:wrapNone/>
                <wp:docPr id="1029"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C6CE03">
                            <w:pPr>
                              <w:jc w:val="center"/>
                              <w:rPr>
                                <w:rFonts w:hint="eastAsia" w:hAnsi="宋体"/>
                                <w:szCs w:val="21"/>
                              </w:rPr>
                            </w:pPr>
                          </w:p>
                          <w:p w14:paraId="26DA06E8">
                            <w:pPr>
                              <w:jc w:val="center"/>
                              <w:rPr>
                                <w:rFonts w:hint="eastAsia" w:hAnsi="宋体"/>
                                <w:szCs w:val="21"/>
                              </w:rPr>
                            </w:pPr>
                          </w:p>
                          <w:p w14:paraId="1547C681">
                            <w:pPr>
                              <w:jc w:val="center"/>
                              <w:rPr>
                                <w:rFonts w:hint="eastAsia" w:hAnsi="宋体"/>
                                <w:szCs w:val="21"/>
                              </w:rPr>
                            </w:pPr>
                          </w:p>
                          <w:p w14:paraId="7D96FCA1">
                            <w:pPr>
                              <w:jc w:val="center"/>
                              <w:rPr>
                                <w:szCs w:val="21"/>
                              </w:rPr>
                            </w:pPr>
                            <w:r>
                              <w:rPr>
                                <w:rFonts w:hint="eastAsia" w:hAnsi="宋体"/>
                                <w:szCs w:val="21"/>
                              </w:rPr>
                              <w:t>代理人身份证复印件反面</w:t>
                            </w:r>
                          </w:p>
                        </w:txbxContent>
                      </wps:txbx>
                      <wps:bodyPr upright="1"/>
                    </wps:wsp>
                  </a:graphicData>
                </a:graphic>
              </wp:anchor>
            </w:drawing>
          </mc:Choice>
          <mc:Fallback>
            <w:pict>
              <v:shape id="自选图形 9" o:spid="_x0000_s1026" o:spt="176" type="#_x0000_t176" style="position:absolute;left:0pt;margin-left:229.5pt;margin-top:2.6pt;height:124.75pt;width:183.75pt;z-index:251659264;mso-width-relative:page;mso-height-relative:page;" fillcolor="#FFFFFF" filled="t" stroked="t" coordsize="21600,21600" o:gfxdata="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qQF5DYAAAA&#10;CQEAAA8AAAAAAAAAAQAgAAAAIgAAAGRycy9kb3ducmV2LnhtbFBLAQIUABQAAAAIAIdO4kBYRCyT&#10;HQIAAEgEAAAOAAAAAAAAAAEAIAAAACcBAABkcnMvZTJvRG9jLnhtbFBLBQYAAAAABgAGAFkBAAC2&#10;BQAAAAA=&#10;">
                <v:fill on="t" focussize="0,0"/>
                <v:stroke color="#000000" joinstyle="miter"/>
                <v:imagedata o:title=""/>
                <o:lock v:ext="edit" aspectratio="f"/>
                <v:textbox>
                  <w:txbxContent>
                    <w:p w14:paraId="35C6CE03">
                      <w:pPr>
                        <w:jc w:val="center"/>
                        <w:rPr>
                          <w:rFonts w:hint="eastAsia" w:hAnsi="宋体"/>
                          <w:szCs w:val="21"/>
                        </w:rPr>
                      </w:pPr>
                    </w:p>
                    <w:p w14:paraId="26DA06E8">
                      <w:pPr>
                        <w:jc w:val="center"/>
                        <w:rPr>
                          <w:rFonts w:hint="eastAsia" w:hAnsi="宋体"/>
                          <w:szCs w:val="21"/>
                        </w:rPr>
                      </w:pPr>
                    </w:p>
                    <w:p w14:paraId="1547C681">
                      <w:pPr>
                        <w:jc w:val="center"/>
                        <w:rPr>
                          <w:rFonts w:hint="eastAsia" w:hAnsi="宋体"/>
                          <w:szCs w:val="21"/>
                        </w:rPr>
                      </w:pPr>
                    </w:p>
                    <w:p w14:paraId="7D96FCA1">
                      <w:pPr>
                        <w:jc w:val="center"/>
                        <w:rPr>
                          <w:szCs w:val="21"/>
                        </w:rPr>
                      </w:pPr>
                      <w:r>
                        <w:rPr>
                          <w:rFonts w:hint="eastAsia" w:hAnsi="宋体"/>
                          <w:szCs w:val="21"/>
                        </w:rPr>
                        <w:t>代理人身份证复印件反面</w:t>
                      </w:r>
                    </w:p>
                  </w:txbxContent>
                </v:textbox>
              </v:shape>
            </w:pict>
          </mc:Fallback>
        </mc:AlternateContent>
      </w:r>
      <w:r>
        <w:rPr>
          <w:rFonts w:hint="eastAsia" w:ascii="宋体" w:hAnsi="宋体" w:cs="宋体"/>
          <w:color w:val="auto"/>
          <w:szCs w:val="21"/>
          <w:highlight w:val="none"/>
          <w:u w:val="single"/>
        </w:rPr>
        <mc:AlternateContent>
          <mc:Choice Requires="wps">
            <w:drawing>
              <wp:anchor distT="0" distB="0" distL="0" distR="0" simplePos="0" relativeHeight="251659264" behindDoc="0" locked="0" layoutInCell="1" allowOverlap="1">
                <wp:simplePos x="0" y="0"/>
                <wp:positionH relativeFrom="column">
                  <wp:posOffset>428625</wp:posOffset>
                </wp:positionH>
                <wp:positionV relativeFrom="paragraph">
                  <wp:posOffset>33020</wp:posOffset>
                </wp:positionV>
                <wp:extent cx="2333625" cy="1584325"/>
                <wp:effectExtent l="4445" t="4445" r="5080" b="11430"/>
                <wp:wrapNone/>
                <wp:docPr id="1030" name="自选图形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23DF127">
                            <w:pPr>
                              <w:jc w:val="center"/>
                              <w:rPr>
                                <w:rFonts w:hint="eastAsia" w:hAnsi="宋体"/>
                                <w:szCs w:val="21"/>
                              </w:rPr>
                            </w:pPr>
                          </w:p>
                          <w:p w14:paraId="6D591412">
                            <w:pPr>
                              <w:jc w:val="center"/>
                              <w:rPr>
                                <w:rFonts w:hint="eastAsia" w:hAnsi="宋体"/>
                                <w:szCs w:val="21"/>
                              </w:rPr>
                            </w:pPr>
                          </w:p>
                          <w:p w14:paraId="0D63EB81">
                            <w:pPr>
                              <w:jc w:val="center"/>
                              <w:rPr>
                                <w:rFonts w:hint="eastAsia" w:hAnsi="宋体"/>
                                <w:szCs w:val="21"/>
                              </w:rPr>
                            </w:pPr>
                          </w:p>
                          <w:p w14:paraId="4D4E7C2B">
                            <w:pPr>
                              <w:jc w:val="center"/>
                              <w:rPr>
                                <w:szCs w:val="21"/>
                              </w:rPr>
                            </w:pPr>
                            <w:r>
                              <w:rPr>
                                <w:rFonts w:hint="eastAsia" w:hAnsi="宋体"/>
                                <w:szCs w:val="21"/>
                              </w:rPr>
                              <w:t>代理人身份证复印件正面</w:t>
                            </w:r>
                          </w:p>
                        </w:txbxContent>
                      </wps:txbx>
                      <wps:bodyPr upright="1"/>
                    </wps:wsp>
                  </a:graphicData>
                </a:graphic>
              </wp:anchor>
            </w:drawing>
          </mc:Choice>
          <mc:Fallback>
            <w:pict>
              <v:shape id="自选图形 10" o:spid="_x0000_s1026" o:spt="176" type="#_x0000_t176" style="position:absolute;left:0pt;margin-left:33.75pt;margin-top:2.6pt;height:124.75pt;width:183.75pt;z-index:251659264;mso-width-relative:page;mso-height-relative:page;" fillcolor="#FFFFFF" filled="t" stroked="t" coordsize="21600,21600" o:gfxdata="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eEgNcAAAAI&#10;AQAADwAAAAAAAAABACAAAAAiAAAAZHJzL2Rvd25yZXYueG1sUEsBAhQAFAAAAAgAh07iQCOemZgd&#10;AgAASQQAAA4AAAAAAAAAAQAgAAAAJgEAAGRycy9lMm9Eb2MueG1sUEsFBgAAAAAGAAYAWQEAALUF&#10;AAAAAA==&#10;">
                <v:fill on="t" focussize="0,0"/>
                <v:stroke color="#000000" joinstyle="miter"/>
                <v:imagedata o:title=""/>
                <o:lock v:ext="edit" aspectratio="f"/>
                <v:textbox>
                  <w:txbxContent>
                    <w:p w14:paraId="123DF127">
                      <w:pPr>
                        <w:jc w:val="center"/>
                        <w:rPr>
                          <w:rFonts w:hint="eastAsia" w:hAnsi="宋体"/>
                          <w:szCs w:val="21"/>
                        </w:rPr>
                      </w:pPr>
                    </w:p>
                    <w:p w14:paraId="6D591412">
                      <w:pPr>
                        <w:jc w:val="center"/>
                        <w:rPr>
                          <w:rFonts w:hint="eastAsia" w:hAnsi="宋体"/>
                          <w:szCs w:val="21"/>
                        </w:rPr>
                      </w:pPr>
                    </w:p>
                    <w:p w14:paraId="0D63EB81">
                      <w:pPr>
                        <w:jc w:val="center"/>
                        <w:rPr>
                          <w:rFonts w:hint="eastAsia" w:hAnsi="宋体"/>
                          <w:szCs w:val="21"/>
                        </w:rPr>
                      </w:pPr>
                    </w:p>
                    <w:p w14:paraId="4D4E7C2B">
                      <w:pPr>
                        <w:jc w:val="center"/>
                        <w:rPr>
                          <w:szCs w:val="21"/>
                        </w:rPr>
                      </w:pPr>
                      <w:r>
                        <w:rPr>
                          <w:rFonts w:hint="eastAsia" w:hAnsi="宋体"/>
                          <w:szCs w:val="21"/>
                        </w:rPr>
                        <w:t>代理人身份证复印件正面</w:t>
                      </w:r>
                    </w:p>
                  </w:txbxContent>
                </v:textbox>
              </v:shape>
            </w:pict>
          </mc:Fallback>
        </mc:AlternateContent>
      </w:r>
    </w:p>
    <w:p w14:paraId="74081F68">
      <w:pPr>
        <w:spacing w:line="360" w:lineRule="auto"/>
        <w:ind w:firstLine="420"/>
        <w:rPr>
          <w:rFonts w:hint="eastAsia" w:ascii="宋体" w:hAnsi="宋体" w:cs="宋体"/>
          <w:color w:val="auto"/>
          <w:szCs w:val="21"/>
          <w:highlight w:val="none"/>
          <w:u w:val="single"/>
        </w:rPr>
      </w:pPr>
    </w:p>
    <w:p w14:paraId="76A9E0EC">
      <w:pPr>
        <w:snapToGrid w:val="0"/>
        <w:spacing w:line="336" w:lineRule="auto"/>
        <w:ind w:left="-45"/>
        <w:rPr>
          <w:rFonts w:hint="eastAsia" w:ascii="宋体" w:hAnsi="宋体" w:cs="宋体"/>
          <w:color w:val="auto"/>
          <w:szCs w:val="21"/>
          <w:highlight w:val="none"/>
        </w:rPr>
      </w:pPr>
      <w:r>
        <w:rPr>
          <w:rFonts w:hint="eastAsia" w:ascii="宋体" w:hAnsi="宋体" w:cs="宋体"/>
          <w:bCs/>
          <w:color w:val="auto"/>
          <w:szCs w:val="21"/>
          <w:highlight w:val="none"/>
        </w:rPr>
        <w:br w:type="page"/>
      </w:r>
      <w:r>
        <w:rPr>
          <w:rFonts w:hint="eastAsia" w:ascii="宋体" w:hAnsi="宋体" w:cs="宋体"/>
          <w:b/>
          <w:bCs/>
          <w:color w:val="auto"/>
          <w:szCs w:val="21"/>
          <w:highlight w:val="none"/>
        </w:rPr>
        <w:t>5.投标人的相关资格证明资料复印件（加盖投标人公章），其中包括：</w:t>
      </w:r>
    </w:p>
    <w:p w14:paraId="6E26BF95">
      <w:pPr>
        <w:snapToGrid w:val="0"/>
        <w:spacing w:line="336"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A.证明投标人的合格性的证明文件，详见《投标须知前附表》第13.2条款内容；</w:t>
      </w:r>
    </w:p>
    <w:p w14:paraId="297C0415">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（1）具有独立承担民事责任的能力【提供在中华人民共和国境内注册的法人或其他组织的营业执照或事业单位法人证书或社会团体法人登记证书复印件；如国家另有规定的，则从其规定】。</w:t>
      </w:r>
    </w:p>
    <w:p w14:paraId="0075904E">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）有依法缴纳税收和社会保障资金的良好记录【提供投标截止日前6个月内任意1个月依法缴纳税收和社会保障资金的相关材料。如依法免税或不需要缴纳社会保障资金的，提供相应证明材料】。</w:t>
      </w:r>
    </w:p>
    <w:p w14:paraId="450683EC">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具有良好的商业信誉和健全的财务会计制度【提供以下2种证明材料之一：①投标人必须提供2025年度经会计师事务所审计的财务状况报告，2026年新成立的则提供2026年至今任意1个月的财务状况报表；②同时提供a.基本开户行出具的资信证明，b.《基本存款账号信息》或《开户许可证》】。</w:t>
      </w:r>
    </w:p>
    <w:p w14:paraId="154D0193">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）具有履行合同所必需的设备和专业技术能力【投标人必须提供</w:t>
      </w:r>
      <w:r>
        <w:rPr>
          <w:rFonts w:hint="eastAsia" w:ascii="宋体" w:hAnsi="宋体" w:cs="宋体"/>
          <w:color w:val="auto"/>
          <w:szCs w:val="21"/>
          <w:highlight w:val="none"/>
          <w:lang w:eastAsia="zh-CN"/>
        </w:rPr>
        <w:t>《</w:t>
      </w:r>
      <w:r>
        <w:rPr>
          <w:rFonts w:hint="eastAsia" w:ascii="宋体" w:hAnsi="宋体" w:cs="宋体"/>
          <w:color w:val="auto"/>
          <w:szCs w:val="21"/>
          <w:highlight w:val="none"/>
        </w:rPr>
        <w:t>关于具有履行合同所必需的设备和专业技术能力的承诺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5B3EAA1D">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参加招标活动前三年内，在经营活动中没有重大违法记录【投标人必须提供《守法经营声明书》，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17BBBDE">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）法律、行政法规规定的其他条件【投标人必须提供《守法经营声明书》】。</w:t>
      </w:r>
    </w:p>
    <w:p w14:paraId="746A90B0">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与招标人存在利害关系可能影响招标公正性的法人、其他组织或者个人，不得参加投标。单位负责人为同一人或者存在控股、管理关系的不同单位，不得参加同一标段（包组）投标或者未划分标段（包组）的同一招标项目投标。</w:t>
      </w:r>
    </w:p>
    <w:p w14:paraId="426C2952">
      <w:pPr>
        <w:snapToGrid w:val="0"/>
        <w:spacing w:line="336"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投标人应具备有效的《食品生产许可证》《中华人民共和国取水许可证》。</w:t>
      </w:r>
    </w:p>
    <w:p w14:paraId="698011D9">
      <w:pPr>
        <w:snapToGrid w:val="0"/>
        <w:spacing w:line="336"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）投标人未被列入“信用中国”网站（www.creditchina.gov.cn）发布的《法人和非法人组织公共信用信息报告》严重失信主体名单的。</w:t>
      </w:r>
    </w:p>
    <w:p w14:paraId="493DAD54">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）本项目不接受联合体投标。</w:t>
      </w:r>
    </w:p>
    <w:p w14:paraId="217B3B64">
      <w:pPr>
        <w:snapToGrid w:val="0"/>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（11）本项目不接受以任何方式进行转包或分包。</w:t>
      </w:r>
    </w:p>
    <w:p w14:paraId="0DF07D26">
      <w:pPr>
        <w:snapToGrid w:val="0"/>
        <w:spacing w:line="336" w:lineRule="auto"/>
        <w:ind w:left="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B.其他资格证明资料，（不限于《第三篇 用户需求书》内容）</w:t>
      </w:r>
      <w:r>
        <w:rPr>
          <w:rFonts w:hint="eastAsia" w:ascii="宋体" w:hAnsi="宋体" w:cs="宋体"/>
          <w:color w:val="auto"/>
          <w:szCs w:val="21"/>
          <w:highlight w:val="none"/>
          <w:lang w:eastAsia="zh-CN"/>
        </w:rPr>
        <w:t>。</w:t>
      </w:r>
    </w:p>
    <w:p w14:paraId="20901EB6">
      <w:pPr>
        <w:snapToGrid w:val="0"/>
        <w:spacing w:line="336" w:lineRule="auto"/>
        <w:ind w:left="420"/>
        <w:rPr>
          <w:rFonts w:hint="eastAsia" w:ascii="宋体" w:hAnsi="宋体" w:cs="宋体"/>
          <w:color w:val="auto"/>
          <w:szCs w:val="21"/>
          <w:highlight w:val="none"/>
        </w:rPr>
      </w:pPr>
    </w:p>
    <w:p w14:paraId="7582AFB7">
      <w:pPr>
        <w:snapToGrid w:val="0"/>
        <w:spacing w:line="336" w:lineRule="auto"/>
        <w:ind w:left="420"/>
        <w:rPr>
          <w:rFonts w:hint="eastAsia" w:ascii="宋体" w:hAnsi="宋体" w:cs="宋体"/>
          <w:color w:val="auto"/>
          <w:szCs w:val="21"/>
          <w:highlight w:val="none"/>
        </w:rPr>
      </w:pPr>
    </w:p>
    <w:p w14:paraId="11D90CF0">
      <w:pPr>
        <w:snapToGrid w:val="0"/>
        <w:spacing w:line="336" w:lineRule="auto"/>
        <w:ind w:left="420"/>
        <w:rPr>
          <w:rFonts w:hint="eastAsia" w:ascii="宋体" w:hAnsi="宋体" w:cs="宋体"/>
          <w:color w:val="auto"/>
          <w:szCs w:val="21"/>
          <w:highlight w:val="none"/>
        </w:rPr>
      </w:pPr>
    </w:p>
    <w:p w14:paraId="09EE5875">
      <w:pPr>
        <w:snapToGrid w:val="0"/>
        <w:spacing w:line="336" w:lineRule="auto"/>
        <w:ind w:left="420"/>
        <w:rPr>
          <w:rFonts w:hint="eastAsia" w:ascii="宋体" w:hAnsi="宋体" w:cs="宋体"/>
          <w:color w:val="auto"/>
          <w:szCs w:val="21"/>
          <w:highlight w:val="none"/>
        </w:rPr>
      </w:pPr>
    </w:p>
    <w:p w14:paraId="12AF1452">
      <w:pPr>
        <w:snapToGrid w:val="0"/>
        <w:spacing w:line="336" w:lineRule="auto"/>
        <w:ind w:left="420"/>
        <w:rPr>
          <w:rFonts w:hint="eastAsia" w:ascii="宋体" w:hAnsi="宋体" w:cs="宋体"/>
          <w:color w:val="auto"/>
          <w:szCs w:val="21"/>
          <w:highlight w:val="none"/>
        </w:rPr>
      </w:pPr>
    </w:p>
    <w:p w14:paraId="647285EF">
      <w:pPr>
        <w:snapToGrid w:val="0"/>
        <w:spacing w:line="336" w:lineRule="auto"/>
        <w:ind w:left="420"/>
        <w:rPr>
          <w:rFonts w:hint="eastAsia" w:ascii="宋体" w:hAnsi="宋体" w:cs="宋体"/>
          <w:color w:val="auto"/>
          <w:szCs w:val="21"/>
          <w:highlight w:val="none"/>
        </w:rPr>
      </w:pPr>
    </w:p>
    <w:p w14:paraId="0CBC2D87">
      <w:pPr>
        <w:snapToGrid w:val="0"/>
        <w:spacing w:line="336" w:lineRule="auto"/>
        <w:ind w:left="420"/>
        <w:rPr>
          <w:rFonts w:hint="eastAsia" w:ascii="宋体" w:hAnsi="宋体" w:cs="宋体"/>
          <w:color w:val="auto"/>
          <w:szCs w:val="21"/>
          <w:highlight w:val="none"/>
        </w:rPr>
      </w:pPr>
    </w:p>
    <w:p w14:paraId="28EF5020">
      <w:pPr>
        <w:snapToGrid w:val="0"/>
        <w:spacing w:line="336" w:lineRule="auto"/>
        <w:ind w:left="420"/>
        <w:rPr>
          <w:rFonts w:hint="eastAsia" w:ascii="宋体" w:hAnsi="宋体" w:cs="宋体"/>
          <w:color w:val="auto"/>
          <w:szCs w:val="21"/>
          <w:highlight w:val="none"/>
        </w:rPr>
      </w:pPr>
    </w:p>
    <w:p w14:paraId="6B936762">
      <w:pPr>
        <w:snapToGrid w:val="0"/>
        <w:spacing w:line="336" w:lineRule="auto"/>
        <w:ind w:left="420"/>
        <w:rPr>
          <w:rFonts w:hint="eastAsia" w:ascii="宋体" w:hAnsi="宋体" w:cs="宋体"/>
          <w:color w:val="auto"/>
          <w:szCs w:val="21"/>
          <w:highlight w:val="none"/>
        </w:rPr>
      </w:pPr>
    </w:p>
    <w:p w14:paraId="03FD23CE">
      <w:pPr>
        <w:snapToGrid w:val="0"/>
        <w:spacing w:line="336" w:lineRule="auto"/>
        <w:ind w:left="420"/>
        <w:rPr>
          <w:rFonts w:hint="eastAsia" w:ascii="宋体" w:hAnsi="宋体" w:cs="宋体"/>
          <w:color w:val="auto"/>
          <w:szCs w:val="21"/>
          <w:highlight w:val="none"/>
        </w:rPr>
      </w:pPr>
    </w:p>
    <w:p w14:paraId="29F51A77">
      <w:pPr>
        <w:snapToGrid w:val="0"/>
        <w:spacing w:line="336" w:lineRule="auto"/>
        <w:ind w:left="420"/>
        <w:rPr>
          <w:rFonts w:hint="eastAsia" w:ascii="宋体" w:hAnsi="宋体" w:cs="宋体"/>
          <w:color w:val="auto"/>
          <w:szCs w:val="21"/>
          <w:highlight w:val="none"/>
        </w:rPr>
      </w:pPr>
    </w:p>
    <w:p w14:paraId="1EA15042">
      <w:pPr>
        <w:rPr>
          <w:rFonts w:hint="eastAsia" w:ascii="宋体" w:hAnsi="宋体" w:cs="宋体"/>
          <w:b/>
          <w:bCs/>
          <w:color w:val="auto"/>
          <w:szCs w:val="21"/>
          <w:highlight w:val="none"/>
        </w:rPr>
      </w:pPr>
      <w:r>
        <w:rPr>
          <w:rFonts w:hint="eastAsia" w:ascii="宋体" w:hAnsi="宋体" w:cs="宋体"/>
          <w:b/>
          <w:bCs/>
          <w:color w:val="auto"/>
          <w:szCs w:val="21"/>
          <w:highlight w:val="none"/>
        </w:rPr>
        <w:t>（5-1）关于具有履行合同所必需的设备和专业技术能力的承诺</w:t>
      </w:r>
    </w:p>
    <w:p w14:paraId="0E1B47DD">
      <w:pPr>
        <w:rPr>
          <w:rFonts w:hint="eastAsia" w:ascii="宋体" w:hAnsi="宋体" w:cs="宋体"/>
          <w:b/>
          <w:bCs/>
          <w:color w:val="auto"/>
          <w:szCs w:val="21"/>
          <w:highlight w:val="none"/>
        </w:rPr>
      </w:pPr>
    </w:p>
    <w:p w14:paraId="4C5BFF18">
      <w:pPr>
        <w:ind w:left="-45"/>
        <w:jc w:val="center"/>
        <w:rPr>
          <w:rFonts w:ascii="宋体" w:hAnsi="宋体"/>
          <w:color w:val="auto"/>
          <w:highlight w:val="none"/>
        </w:rPr>
      </w:pPr>
      <w:r>
        <w:rPr>
          <w:rFonts w:hint="eastAsia" w:ascii="宋体" w:hAnsi="宋体"/>
          <w:b/>
          <w:color w:val="auto"/>
          <w:sz w:val="28"/>
          <w:szCs w:val="28"/>
          <w:highlight w:val="none"/>
        </w:rPr>
        <w:t>关于具有履行合同所必需的设备和专业技术能力的承诺</w:t>
      </w:r>
    </w:p>
    <w:p w14:paraId="24508AEC">
      <w:pPr>
        <w:spacing w:line="360" w:lineRule="auto"/>
        <w:rPr>
          <w:rFonts w:ascii="宋体" w:hAnsi="宋体"/>
          <w:color w:val="auto"/>
          <w:highlight w:val="none"/>
        </w:rPr>
      </w:pPr>
      <w:r>
        <w:rPr>
          <w:rFonts w:hint="eastAsia" w:ascii="宋体" w:hAnsi="宋体"/>
          <w:color w:val="auto"/>
          <w:highlight w:val="none"/>
          <w:lang w:eastAsia="zh-CN"/>
        </w:rPr>
        <w:t>韶关学院</w:t>
      </w:r>
      <w:r>
        <w:rPr>
          <w:rFonts w:hint="eastAsia" w:ascii="宋体" w:hAnsi="宋体"/>
          <w:color w:val="auto"/>
          <w:highlight w:val="none"/>
        </w:rPr>
        <w:t>/广东远东招标代理有限公司：</w:t>
      </w:r>
    </w:p>
    <w:p w14:paraId="5D95D0AE">
      <w:pPr>
        <w:spacing w:line="360" w:lineRule="auto"/>
        <w:rPr>
          <w:rFonts w:ascii="宋体" w:hAnsi="宋体"/>
          <w:color w:val="auto"/>
          <w:highlight w:val="none"/>
        </w:rPr>
      </w:pPr>
      <w:r>
        <w:rPr>
          <w:rFonts w:hint="eastAsia" w:ascii="宋体" w:hAnsi="宋体"/>
          <w:color w:val="auto"/>
          <w:highlight w:val="none"/>
        </w:rPr>
        <w:t xml:space="preserve">    我方承诺：我方具有履行合同所必需的设备和专业技术能力，我单位为本项目实施提供履行合同必需设备和专业技术人员（详见《设备名称和专业技术人员情况表》）。如有任何虚假和不实，我方自愿放弃参与本次招标投标活动的资格并承担一切相关责任。</w:t>
      </w:r>
    </w:p>
    <w:p w14:paraId="33AD62A9">
      <w:pPr>
        <w:spacing w:line="360" w:lineRule="auto"/>
        <w:ind w:firstLine="420" w:firstLineChars="200"/>
        <w:rPr>
          <w:rFonts w:ascii="宋体" w:hAnsi="宋体"/>
          <w:color w:val="auto"/>
          <w:highlight w:val="none"/>
        </w:rPr>
      </w:pPr>
      <w:r>
        <w:rPr>
          <w:rFonts w:hint="eastAsia" w:ascii="宋体" w:hAnsi="宋体"/>
          <w:color w:val="auto"/>
          <w:highlight w:val="none"/>
        </w:rPr>
        <w:t>特此承诺。</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759"/>
        <w:gridCol w:w="2315"/>
      </w:tblGrid>
      <w:tr w14:paraId="0EB1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9003" w:type="dxa"/>
            <w:gridSpan w:val="4"/>
            <w:tcBorders>
              <w:top w:val="single" w:color="auto" w:sz="4" w:space="0"/>
              <w:left w:val="single" w:color="auto" w:sz="4" w:space="0"/>
              <w:bottom w:val="single" w:color="auto" w:sz="4" w:space="0"/>
              <w:right w:val="single" w:color="auto" w:sz="4" w:space="0"/>
            </w:tcBorders>
          </w:tcPr>
          <w:p w14:paraId="6D007C3C">
            <w:pPr>
              <w:pStyle w:val="231"/>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设备</w:t>
            </w:r>
            <w:r>
              <w:rPr>
                <w:rFonts w:hint="eastAsia" w:ascii="宋体" w:hAnsi="宋体" w:eastAsia="宋体" w:cs="宋体"/>
                <w:b/>
                <w:color w:val="auto"/>
                <w:sz w:val="21"/>
                <w:szCs w:val="21"/>
                <w:highlight w:val="none"/>
              </w:rPr>
              <w:t>名称和</w:t>
            </w:r>
            <w:r>
              <w:rPr>
                <w:rFonts w:hint="eastAsia" w:ascii="宋体" w:hAnsi="宋体" w:eastAsia="宋体" w:cs="宋体"/>
                <w:b/>
                <w:bCs/>
                <w:color w:val="auto"/>
                <w:sz w:val="21"/>
                <w:szCs w:val="21"/>
                <w:highlight w:val="none"/>
              </w:rPr>
              <w:t>专业技术人员情况表</w:t>
            </w:r>
          </w:p>
        </w:tc>
      </w:tr>
      <w:tr w14:paraId="2BB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1C4B5D82">
            <w:pPr>
              <w:pStyle w:val="2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105" w:type="dxa"/>
            <w:tcBorders>
              <w:top w:val="single" w:color="auto" w:sz="4" w:space="0"/>
              <w:left w:val="single" w:color="auto" w:sz="4" w:space="0"/>
              <w:bottom w:val="single" w:color="auto" w:sz="4" w:space="0"/>
              <w:right w:val="single" w:color="auto" w:sz="4" w:space="0"/>
            </w:tcBorders>
          </w:tcPr>
          <w:p w14:paraId="7BF107AB">
            <w:pPr>
              <w:pStyle w:val="2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设备（专业技术人员）名称</w:t>
            </w:r>
          </w:p>
        </w:tc>
        <w:tc>
          <w:tcPr>
            <w:tcW w:w="1759" w:type="dxa"/>
            <w:tcBorders>
              <w:top w:val="single" w:color="auto" w:sz="4" w:space="0"/>
              <w:left w:val="single" w:color="auto" w:sz="4" w:space="0"/>
              <w:bottom w:val="single" w:color="auto" w:sz="4" w:space="0"/>
              <w:right w:val="single" w:color="auto" w:sz="4" w:space="0"/>
            </w:tcBorders>
          </w:tcPr>
          <w:p w14:paraId="4989340E">
            <w:pPr>
              <w:pStyle w:val="2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w:t>
            </w:r>
          </w:p>
        </w:tc>
        <w:tc>
          <w:tcPr>
            <w:tcW w:w="2315" w:type="dxa"/>
            <w:tcBorders>
              <w:top w:val="single" w:color="auto" w:sz="4" w:space="0"/>
              <w:left w:val="single" w:color="auto" w:sz="4" w:space="0"/>
              <w:bottom w:val="single" w:color="auto" w:sz="4" w:space="0"/>
              <w:right w:val="single" w:color="auto" w:sz="4" w:space="0"/>
            </w:tcBorders>
          </w:tcPr>
          <w:p w14:paraId="78588B37">
            <w:pPr>
              <w:pStyle w:val="2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64D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2323F66F">
            <w:pPr>
              <w:pStyle w:val="2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05" w:type="dxa"/>
            <w:tcBorders>
              <w:top w:val="single" w:color="auto" w:sz="4" w:space="0"/>
              <w:left w:val="single" w:color="auto" w:sz="4" w:space="0"/>
              <w:bottom w:val="single" w:color="auto" w:sz="4" w:space="0"/>
              <w:right w:val="single" w:color="auto" w:sz="4" w:space="0"/>
            </w:tcBorders>
          </w:tcPr>
          <w:p w14:paraId="001198D8">
            <w:pPr>
              <w:pStyle w:val="231"/>
              <w:rPr>
                <w:rFonts w:hint="eastAsia" w:ascii="宋体" w:hAnsi="宋体" w:eastAsia="宋体" w:cs="宋体"/>
                <w:color w:val="auto"/>
                <w:sz w:val="21"/>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33C7CD87">
            <w:pPr>
              <w:pStyle w:val="231"/>
              <w:rPr>
                <w:rFonts w:hint="eastAsia" w:ascii="宋体" w:hAnsi="宋体" w:eastAsia="宋体" w:cs="宋体"/>
                <w:color w:val="auto"/>
                <w:sz w:val="21"/>
                <w:szCs w:val="21"/>
                <w:highlight w:val="none"/>
              </w:rPr>
            </w:pPr>
          </w:p>
        </w:tc>
        <w:tc>
          <w:tcPr>
            <w:tcW w:w="2315" w:type="dxa"/>
            <w:tcBorders>
              <w:top w:val="single" w:color="auto" w:sz="4" w:space="0"/>
              <w:left w:val="single" w:color="auto" w:sz="4" w:space="0"/>
              <w:bottom w:val="single" w:color="auto" w:sz="4" w:space="0"/>
              <w:right w:val="single" w:color="auto" w:sz="4" w:space="0"/>
            </w:tcBorders>
          </w:tcPr>
          <w:p w14:paraId="3D9AEE1A">
            <w:pPr>
              <w:pStyle w:val="231"/>
              <w:rPr>
                <w:rFonts w:hint="eastAsia" w:ascii="宋体" w:hAnsi="宋体" w:eastAsia="宋体" w:cs="宋体"/>
                <w:color w:val="auto"/>
                <w:sz w:val="21"/>
                <w:szCs w:val="21"/>
                <w:highlight w:val="none"/>
              </w:rPr>
            </w:pPr>
          </w:p>
        </w:tc>
      </w:tr>
      <w:tr w14:paraId="44F0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1C7DD879">
            <w:pPr>
              <w:pStyle w:val="2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05" w:type="dxa"/>
            <w:tcBorders>
              <w:top w:val="single" w:color="auto" w:sz="4" w:space="0"/>
              <w:left w:val="single" w:color="auto" w:sz="4" w:space="0"/>
              <w:bottom w:val="single" w:color="auto" w:sz="4" w:space="0"/>
              <w:right w:val="single" w:color="auto" w:sz="4" w:space="0"/>
            </w:tcBorders>
          </w:tcPr>
          <w:p w14:paraId="66FFC4B8">
            <w:pPr>
              <w:pStyle w:val="231"/>
              <w:rPr>
                <w:rFonts w:hint="eastAsia" w:ascii="宋体" w:hAnsi="宋体" w:eastAsia="宋体" w:cs="宋体"/>
                <w:color w:val="auto"/>
                <w:sz w:val="21"/>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21E6E9D1">
            <w:pPr>
              <w:pStyle w:val="231"/>
              <w:rPr>
                <w:rFonts w:hint="eastAsia" w:ascii="宋体" w:hAnsi="宋体" w:eastAsia="宋体" w:cs="宋体"/>
                <w:color w:val="auto"/>
                <w:sz w:val="21"/>
                <w:szCs w:val="21"/>
                <w:highlight w:val="none"/>
              </w:rPr>
            </w:pPr>
          </w:p>
        </w:tc>
        <w:tc>
          <w:tcPr>
            <w:tcW w:w="2315" w:type="dxa"/>
            <w:tcBorders>
              <w:top w:val="single" w:color="auto" w:sz="4" w:space="0"/>
              <w:left w:val="single" w:color="auto" w:sz="4" w:space="0"/>
              <w:bottom w:val="single" w:color="auto" w:sz="4" w:space="0"/>
              <w:right w:val="single" w:color="auto" w:sz="4" w:space="0"/>
            </w:tcBorders>
          </w:tcPr>
          <w:p w14:paraId="2E393F99">
            <w:pPr>
              <w:pStyle w:val="231"/>
              <w:rPr>
                <w:rFonts w:hint="eastAsia" w:ascii="宋体" w:hAnsi="宋体" w:eastAsia="宋体" w:cs="宋体"/>
                <w:color w:val="auto"/>
                <w:sz w:val="21"/>
                <w:szCs w:val="21"/>
                <w:highlight w:val="none"/>
              </w:rPr>
            </w:pPr>
          </w:p>
        </w:tc>
      </w:tr>
      <w:tr w14:paraId="448D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57311AEB">
            <w:pPr>
              <w:pStyle w:val="2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05" w:type="dxa"/>
            <w:tcBorders>
              <w:top w:val="single" w:color="auto" w:sz="4" w:space="0"/>
              <w:left w:val="single" w:color="auto" w:sz="4" w:space="0"/>
              <w:bottom w:val="single" w:color="auto" w:sz="4" w:space="0"/>
              <w:right w:val="single" w:color="auto" w:sz="4" w:space="0"/>
            </w:tcBorders>
          </w:tcPr>
          <w:p w14:paraId="1C4D4D45">
            <w:pPr>
              <w:pStyle w:val="231"/>
              <w:rPr>
                <w:rFonts w:hint="eastAsia" w:ascii="宋体" w:hAnsi="宋体" w:eastAsia="宋体" w:cs="宋体"/>
                <w:color w:val="auto"/>
                <w:sz w:val="21"/>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12893DDC">
            <w:pPr>
              <w:pStyle w:val="231"/>
              <w:rPr>
                <w:rFonts w:hint="eastAsia" w:ascii="宋体" w:hAnsi="宋体" w:eastAsia="宋体" w:cs="宋体"/>
                <w:color w:val="auto"/>
                <w:sz w:val="21"/>
                <w:szCs w:val="21"/>
                <w:highlight w:val="none"/>
              </w:rPr>
            </w:pPr>
          </w:p>
        </w:tc>
        <w:tc>
          <w:tcPr>
            <w:tcW w:w="2315" w:type="dxa"/>
            <w:tcBorders>
              <w:top w:val="single" w:color="auto" w:sz="4" w:space="0"/>
              <w:left w:val="single" w:color="auto" w:sz="4" w:space="0"/>
              <w:bottom w:val="single" w:color="auto" w:sz="4" w:space="0"/>
              <w:right w:val="single" w:color="auto" w:sz="4" w:space="0"/>
            </w:tcBorders>
          </w:tcPr>
          <w:p w14:paraId="7D9CB9A1">
            <w:pPr>
              <w:pStyle w:val="231"/>
              <w:rPr>
                <w:rFonts w:hint="eastAsia" w:ascii="宋体" w:hAnsi="宋体" w:eastAsia="宋体" w:cs="宋体"/>
                <w:color w:val="auto"/>
                <w:sz w:val="21"/>
                <w:szCs w:val="21"/>
                <w:highlight w:val="none"/>
              </w:rPr>
            </w:pPr>
          </w:p>
        </w:tc>
      </w:tr>
      <w:tr w14:paraId="5DBF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tcPr>
          <w:p w14:paraId="521F5733">
            <w:pPr>
              <w:pStyle w:val="2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05" w:type="dxa"/>
            <w:tcBorders>
              <w:top w:val="single" w:color="auto" w:sz="4" w:space="0"/>
              <w:left w:val="single" w:color="auto" w:sz="4" w:space="0"/>
              <w:bottom w:val="single" w:color="auto" w:sz="4" w:space="0"/>
              <w:right w:val="single" w:color="auto" w:sz="4" w:space="0"/>
            </w:tcBorders>
          </w:tcPr>
          <w:p w14:paraId="0FECAF7B">
            <w:pPr>
              <w:pStyle w:val="231"/>
              <w:rPr>
                <w:rFonts w:hint="eastAsia" w:ascii="宋体" w:hAnsi="宋体" w:eastAsia="宋体" w:cs="宋体"/>
                <w:color w:val="auto"/>
                <w:sz w:val="21"/>
                <w:szCs w:val="21"/>
                <w:highlight w:val="none"/>
              </w:rPr>
            </w:pPr>
          </w:p>
        </w:tc>
        <w:tc>
          <w:tcPr>
            <w:tcW w:w="1759" w:type="dxa"/>
            <w:tcBorders>
              <w:top w:val="single" w:color="auto" w:sz="4" w:space="0"/>
              <w:left w:val="single" w:color="auto" w:sz="4" w:space="0"/>
              <w:bottom w:val="single" w:color="auto" w:sz="4" w:space="0"/>
              <w:right w:val="single" w:color="auto" w:sz="4" w:space="0"/>
            </w:tcBorders>
          </w:tcPr>
          <w:p w14:paraId="6CEDDFD8">
            <w:pPr>
              <w:pStyle w:val="231"/>
              <w:rPr>
                <w:rFonts w:hint="eastAsia" w:ascii="宋体" w:hAnsi="宋体" w:eastAsia="宋体" w:cs="宋体"/>
                <w:color w:val="auto"/>
                <w:sz w:val="21"/>
                <w:szCs w:val="21"/>
                <w:highlight w:val="none"/>
              </w:rPr>
            </w:pPr>
          </w:p>
        </w:tc>
        <w:tc>
          <w:tcPr>
            <w:tcW w:w="2315" w:type="dxa"/>
            <w:tcBorders>
              <w:top w:val="single" w:color="auto" w:sz="4" w:space="0"/>
              <w:left w:val="single" w:color="auto" w:sz="4" w:space="0"/>
              <w:bottom w:val="single" w:color="auto" w:sz="4" w:space="0"/>
              <w:right w:val="single" w:color="auto" w:sz="4" w:space="0"/>
            </w:tcBorders>
          </w:tcPr>
          <w:p w14:paraId="1679F348">
            <w:pPr>
              <w:pStyle w:val="231"/>
              <w:rPr>
                <w:rFonts w:hint="eastAsia" w:ascii="宋体" w:hAnsi="宋体" w:eastAsia="宋体" w:cs="宋体"/>
                <w:color w:val="auto"/>
                <w:sz w:val="21"/>
                <w:szCs w:val="21"/>
                <w:highlight w:val="none"/>
              </w:rPr>
            </w:pPr>
          </w:p>
        </w:tc>
      </w:tr>
    </w:tbl>
    <w:p w14:paraId="7B419ABB">
      <w:pPr>
        <w:spacing w:line="360" w:lineRule="auto"/>
        <w:ind w:firstLine="420" w:firstLineChars="200"/>
        <w:rPr>
          <w:rFonts w:ascii="宋体" w:hAnsi="宋体" w:cs="宋体"/>
          <w:color w:val="auto"/>
          <w:szCs w:val="21"/>
          <w:highlight w:val="none"/>
        </w:rPr>
      </w:pPr>
    </w:p>
    <w:p w14:paraId="1708832B">
      <w:pPr>
        <w:snapToGrid w:val="0"/>
        <w:spacing w:line="360" w:lineRule="auto"/>
        <w:rPr>
          <w:rFonts w:hAnsi="宋体"/>
          <w:color w:val="auto"/>
          <w:szCs w:val="21"/>
          <w:highlight w:val="none"/>
          <w:u w:val="single"/>
        </w:rPr>
      </w:pPr>
      <w:r>
        <w:rPr>
          <w:rFonts w:hint="eastAsia" w:hAnsi="宋体"/>
          <w:color w:val="auto"/>
          <w:szCs w:val="21"/>
          <w:highlight w:val="none"/>
        </w:rPr>
        <w:t>法定代表人（或法定代表人授权代表）签名或盖私章：</w:t>
      </w:r>
      <w:r>
        <w:rPr>
          <w:rFonts w:hint="eastAsia" w:hAnsi="宋体"/>
          <w:color w:val="auto"/>
          <w:szCs w:val="21"/>
          <w:highlight w:val="none"/>
          <w:u w:val="single"/>
        </w:rPr>
        <w:t xml:space="preserve">                   </w:t>
      </w:r>
    </w:p>
    <w:p w14:paraId="10920C9D">
      <w:pPr>
        <w:snapToGrid w:val="0"/>
        <w:spacing w:line="360" w:lineRule="auto"/>
        <w:rPr>
          <w:rFonts w:hAnsi="宋体"/>
          <w:color w:val="auto"/>
          <w:szCs w:val="21"/>
          <w:highlight w:val="none"/>
          <w:u w:val="single"/>
        </w:rPr>
      </w:pPr>
      <w:r>
        <w:rPr>
          <w:rFonts w:hint="eastAsia" w:hAnsi="宋体"/>
          <w:color w:val="auto"/>
          <w:szCs w:val="21"/>
          <w:highlight w:val="none"/>
        </w:rPr>
        <w:t>供应商名称（加盖</w:t>
      </w:r>
      <w:r>
        <w:rPr>
          <w:rFonts w:hint="eastAsia" w:hAnsi="宋体"/>
          <w:color w:val="auto"/>
          <w:szCs w:val="21"/>
          <w:highlight w:val="none"/>
          <w:lang w:eastAsia="zh-CN"/>
        </w:rPr>
        <w:t>投标人公章</w:t>
      </w:r>
      <w:r>
        <w:rPr>
          <w:rFonts w:hint="eastAsia" w:hAnsi="宋体"/>
          <w:color w:val="auto"/>
          <w:szCs w:val="21"/>
          <w:highlight w:val="none"/>
        </w:rPr>
        <w:t>）：</w:t>
      </w:r>
      <w:r>
        <w:rPr>
          <w:rFonts w:hint="eastAsia" w:hAnsi="宋体"/>
          <w:color w:val="auto"/>
          <w:szCs w:val="21"/>
          <w:highlight w:val="none"/>
          <w:u w:val="single"/>
        </w:rPr>
        <w:t xml:space="preserve">                        </w:t>
      </w:r>
    </w:p>
    <w:p w14:paraId="0C0D0142">
      <w:pPr>
        <w:snapToGrid w:val="0"/>
        <w:spacing w:line="360" w:lineRule="auto"/>
        <w:rPr>
          <w:rFonts w:hAnsi="宋体"/>
          <w:color w:val="auto"/>
          <w:szCs w:val="21"/>
          <w:highlight w:val="none"/>
        </w:rPr>
      </w:pPr>
      <w:r>
        <w:rPr>
          <w:rFonts w:hint="eastAsia" w:hAnsi="宋体"/>
          <w:color w:val="auto"/>
          <w:szCs w:val="21"/>
          <w:highlight w:val="none"/>
        </w:rPr>
        <w:t>日期：   年   月   日</w:t>
      </w:r>
    </w:p>
    <w:p w14:paraId="4266C742">
      <w:pPr>
        <w:rPr>
          <w:rFonts w:ascii="宋体" w:hAnsi="宋体" w:cs="宋体"/>
          <w:b/>
          <w:bCs/>
          <w:color w:val="auto"/>
          <w:szCs w:val="21"/>
          <w:highlight w:val="none"/>
        </w:rPr>
      </w:pPr>
      <w:r>
        <w:rPr>
          <w:rFonts w:hint="eastAsia" w:ascii="宋体" w:hAnsi="宋体" w:cs="宋体"/>
          <w:b/>
          <w:bCs/>
          <w:color w:val="auto"/>
          <w:szCs w:val="21"/>
          <w:highlight w:val="none"/>
        </w:rPr>
        <w:t>（5-2）守法经营声明书</w:t>
      </w:r>
    </w:p>
    <w:p w14:paraId="12F0DE23">
      <w:pPr>
        <w:rPr>
          <w:rFonts w:ascii="宋体" w:hAnsi="宋体" w:cs="宋体"/>
          <w:b/>
          <w:bCs/>
          <w:color w:val="auto"/>
          <w:szCs w:val="21"/>
          <w:highlight w:val="none"/>
        </w:rPr>
      </w:pPr>
    </w:p>
    <w:p w14:paraId="41C20ED3">
      <w:pPr>
        <w:pStyle w:val="26"/>
        <w:spacing w:line="360" w:lineRule="auto"/>
        <w:jc w:val="center"/>
        <w:rPr>
          <w:rFonts w:hAnsi="宋体" w:cs="宋体"/>
          <w:b/>
          <w:bCs/>
          <w:color w:val="auto"/>
          <w:highlight w:val="none"/>
        </w:rPr>
      </w:pPr>
      <w:r>
        <w:rPr>
          <w:rFonts w:hint="eastAsia" w:hAnsi="宋体" w:cs="宋体"/>
          <w:b/>
          <w:color w:val="auto"/>
          <w:sz w:val="28"/>
          <w:highlight w:val="none"/>
        </w:rPr>
        <w:t>守法经营声明书</w:t>
      </w:r>
    </w:p>
    <w:p w14:paraId="25FCEDD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我方诚意参与本项目</w:t>
      </w:r>
      <w:r>
        <w:rPr>
          <w:rFonts w:hint="eastAsia" w:ascii="宋体" w:hAnsi="宋体" w:cs="宋体"/>
          <w:color w:val="auto"/>
          <w:highlight w:val="none"/>
          <w:lang w:eastAsia="zh-CN"/>
        </w:rPr>
        <w:t>投标</w:t>
      </w:r>
      <w:r>
        <w:rPr>
          <w:rFonts w:hint="eastAsia" w:ascii="宋体" w:hAnsi="宋体" w:cs="宋体"/>
          <w:color w:val="auto"/>
          <w:highlight w:val="none"/>
        </w:rPr>
        <w:t>，并特此声明：</w:t>
      </w:r>
    </w:p>
    <w:p w14:paraId="4FB26D9F">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参加本次采购活动前3年内在经营活动中没有以下重大违法记录：因违法经营受到刑事处罚或者责令停产停业、吊销许可证或者执照、较大数额罚款等行政处罚。</w:t>
      </w:r>
    </w:p>
    <w:p w14:paraId="02BB8A86">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我方符合本次采购活动所涉及的法律、行政法规规定的其他条件。</w:t>
      </w:r>
    </w:p>
    <w:p w14:paraId="135C5F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以上内容如有虚假或与事实不符的，</w:t>
      </w:r>
      <w:r>
        <w:rPr>
          <w:rFonts w:hint="eastAsia" w:ascii="宋体" w:hAnsi="宋体" w:cs="宋体"/>
          <w:color w:val="auto"/>
          <w:highlight w:val="none"/>
          <w:lang w:val="en-US" w:eastAsia="zh-CN"/>
        </w:rPr>
        <w:t>评审委员会</w:t>
      </w:r>
      <w:r>
        <w:rPr>
          <w:rFonts w:hint="eastAsia" w:ascii="宋体" w:hAnsi="宋体" w:cs="宋体"/>
          <w:color w:val="auto"/>
          <w:highlight w:val="none"/>
        </w:rPr>
        <w:t>可将我方</w:t>
      </w:r>
      <w:r>
        <w:rPr>
          <w:rFonts w:hint="eastAsia" w:ascii="宋体" w:hAnsi="宋体" w:cs="宋体"/>
          <w:color w:val="auto"/>
          <w:highlight w:val="none"/>
          <w:lang w:val="en-US" w:eastAsia="zh-CN"/>
        </w:rPr>
        <w:t>投标</w:t>
      </w:r>
      <w:r>
        <w:rPr>
          <w:rFonts w:hint="eastAsia" w:ascii="宋体" w:hAnsi="宋体" w:cs="宋体"/>
          <w:color w:val="auto"/>
          <w:highlight w:val="none"/>
        </w:rPr>
        <w:t>文件作无效</w:t>
      </w:r>
      <w:r>
        <w:rPr>
          <w:rFonts w:hint="eastAsia" w:ascii="宋体" w:hAnsi="宋体" w:cs="宋体"/>
          <w:color w:val="auto"/>
          <w:highlight w:val="none"/>
          <w:lang w:val="en-US" w:eastAsia="zh-CN"/>
        </w:rPr>
        <w:t>投标</w:t>
      </w:r>
      <w:r>
        <w:rPr>
          <w:rFonts w:hint="eastAsia" w:ascii="宋体" w:hAnsi="宋体" w:cs="宋体"/>
          <w:color w:val="auto"/>
          <w:highlight w:val="none"/>
        </w:rPr>
        <w:t>处理，我方愿意承担相应的法律责任。</w:t>
      </w:r>
    </w:p>
    <w:p w14:paraId="74F8E23E">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5FC72DDC">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供应商名称（加盖</w:t>
      </w:r>
      <w:r>
        <w:rPr>
          <w:rFonts w:hint="eastAsia" w:ascii="宋体" w:hAnsi="宋体" w:cs="宋体"/>
          <w:color w:val="auto"/>
          <w:szCs w:val="21"/>
          <w:highlight w:val="none"/>
          <w:lang w:eastAsia="zh-CN"/>
        </w:rPr>
        <w:t>投标人公章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5A32FB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　年　月　日</w:t>
      </w:r>
    </w:p>
    <w:p w14:paraId="5DFDD4B9">
      <w:pPr>
        <w:snapToGrid w:val="0"/>
        <w:spacing w:line="360" w:lineRule="auto"/>
        <w:rPr>
          <w:rFonts w:hint="eastAsia" w:ascii="宋体" w:hAnsi="宋体" w:cs="宋体"/>
          <w:b/>
          <w:bCs/>
          <w:color w:val="auto"/>
          <w:sz w:val="28"/>
          <w:szCs w:val="28"/>
          <w:highlight w:val="none"/>
        </w:rPr>
      </w:pPr>
      <w:r>
        <w:rPr>
          <w:rFonts w:hint="eastAsia" w:ascii="宋体" w:hAnsi="宋体" w:cs="宋体"/>
          <w:b/>
          <w:bCs/>
          <w:color w:val="auto"/>
          <w:szCs w:val="21"/>
          <w:highlight w:val="none"/>
        </w:rPr>
        <w:t>6.类似项目业绩</w:t>
      </w:r>
      <w:bookmarkStart w:id="108" w:name="_Toc199135903"/>
    </w:p>
    <w:p w14:paraId="6DD6A6B4">
      <w:pPr>
        <w:ind w:left="-45"/>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类似项目业绩</w:t>
      </w:r>
      <w:bookmarkEnd w:id="108"/>
    </w:p>
    <w:p w14:paraId="5EC63E00">
      <w:pPr>
        <w:spacing w:before="0" w:beforeLines="0" w:line="360" w:lineRule="auto"/>
        <w:ind w:firstLine="210" w:firstLineChars="100"/>
        <w:rPr>
          <w:rFonts w:hint="eastAsia" w:ascii="宋体" w:hAnsi="宋体" w:eastAsia="宋体" w:cs="宋体"/>
          <w:bCs/>
          <w:color w:val="auto"/>
          <w:highlight w:val="none"/>
          <w:lang w:eastAsia="zh-CN"/>
        </w:rPr>
      </w:pPr>
      <w:r>
        <w:rPr>
          <w:rFonts w:hint="eastAsia" w:ascii="宋体" w:hAnsi="宋体" w:cs="宋体"/>
          <w:color w:val="auto"/>
          <w:szCs w:val="21"/>
          <w:highlight w:val="none"/>
        </w:rPr>
        <w:t>项目名称：</w:t>
      </w:r>
      <w:r>
        <w:rPr>
          <w:rFonts w:hint="eastAsia" w:ascii="宋体" w:hAnsi="宋体" w:cs="宋体"/>
          <w:bCs/>
          <w:color w:val="auto"/>
          <w:highlight w:val="none"/>
          <w:lang w:eastAsia="zh-CN"/>
        </w:rPr>
        <w:t>征集2026年—2028年校园桶装饮用水服务商</w:t>
      </w:r>
    </w:p>
    <w:p w14:paraId="76457484">
      <w:pPr>
        <w:spacing w:before="0" w:beforeLines="0" w:line="360" w:lineRule="auto"/>
        <w:ind w:firstLine="210" w:firstLineChars="100"/>
        <w:rPr>
          <w:rFonts w:hint="eastAsia" w:ascii="宋体" w:hAnsi="宋体" w:cs="宋体"/>
          <w:color w:val="auto"/>
          <w:szCs w:val="28"/>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CQZB260018</w:t>
      </w:r>
      <w:r>
        <w:rPr>
          <w:rFonts w:hint="eastAsia" w:ascii="宋体" w:hAnsi="宋体" w:cs="宋体"/>
          <w:color w:val="auto"/>
          <w:szCs w:val="28"/>
          <w:highlight w:val="none"/>
        </w:rPr>
        <w:t xml:space="preserve"> </w:t>
      </w:r>
    </w:p>
    <w:tbl>
      <w:tblPr>
        <w:tblStyle w:val="49"/>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98"/>
        <w:gridCol w:w="2744"/>
        <w:gridCol w:w="2195"/>
        <w:gridCol w:w="2052"/>
      </w:tblGrid>
      <w:tr w14:paraId="783E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0" w:type="dxa"/>
            <w:vAlign w:val="center"/>
          </w:tcPr>
          <w:p w14:paraId="6193E915">
            <w:pPr>
              <w:pStyle w:val="26"/>
              <w:spacing w:line="320" w:lineRule="exact"/>
              <w:jc w:val="center"/>
              <w:rPr>
                <w:rFonts w:hint="eastAsia" w:hAnsi="宋体" w:cs="宋体"/>
                <w:b/>
                <w:color w:val="auto"/>
                <w:highlight w:val="none"/>
              </w:rPr>
            </w:pPr>
            <w:r>
              <w:rPr>
                <w:rFonts w:hint="eastAsia" w:hAnsi="宋体" w:cs="宋体"/>
                <w:b/>
                <w:color w:val="auto"/>
                <w:highlight w:val="none"/>
              </w:rPr>
              <w:t>序号</w:t>
            </w:r>
          </w:p>
        </w:tc>
        <w:tc>
          <w:tcPr>
            <w:tcW w:w="1098" w:type="dxa"/>
            <w:vAlign w:val="center"/>
          </w:tcPr>
          <w:p w14:paraId="0261B1A9">
            <w:pPr>
              <w:pStyle w:val="26"/>
              <w:spacing w:line="320" w:lineRule="exact"/>
              <w:jc w:val="center"/>
              <w:rPr>
                <w:rFonts w:hint="eastAsia" w:hAnsi="宋体" w:cs="宋体"/>
                <w:b/>
                <w:color w:val="auto"/>
                <w:highlight w:val="none"/>
              </w:rPr>
            </w:pPr>
            <w:r>
              <w:rPr>
                <w:rFonts w:hint="eastAsia" w:hAnsi="宋体" w:cs="宋体"/>
                <w:b/>
                <w:color w:val="auto"/>
                <w:highlight w:val="none"/>
              </w:rPr>
              <w:t>年份</w:t>
            </w:r>
          </w:p>
        </w:tc>
        <w:tc>
          <w:tcPr>
            <w:tcW w:w="2744" w:type="dxa"/>
            <w:vAlign w:val="center"/>
          </w:tcPr>
          <w:p w14:paraId="78E94A80">
            <w:pPr>
              <w:pStyle w:val="26"/>
              <w:spacing w:line="320" w:lineRule="exact"/>
              <w:jc w:val="center"/>
              <w:rPr>
                <w:rFonts w:hint="eastAsia" w:hAnsi="宋体" w:cs="宋体"/>
                <w:b/>
                <w:color w:val="auto"/>
                <w:highlight w:val="none"/>
              </w:rPr>
            </w:pPr>
            <w:r>
              <w:rPr>
                <w:rFonts w:hint="eastAsia" w:hAnsi="宋体" w:cs="宋体"/>
                <w:b/>
                <w:color w:val="auto"/>
                <w:highlight w:val="none"/>
              </w:rPr>
              <w:t>项目名称</w:t>
            </w:r>
          </w:p>
        </w:tc>
        <w:tc>
          <w:tcPr>
            <w:tcW w:w="2195" w:type="dxa"/>
            <w:vAlign w:val="center"/>
          </w:tcPr>
          <w:p w14:paraId="28DC13DA">
            <w:pPr>
              <w:pStyle w:val="26"/>
              <w:spacing w:line="320" w:lineRule="exact"/>
              <w:jc w:val="center"/>
              <w:rPr>
                <w:rFonts w:hint="eastAsia" w:hAnsi="宋体" w:cs="宋体"/>
                <w:b/>
                <w:color w:val="auto"/>
                <w:highlight w:val="none"/>
              </w:rPr>
            </w:pPr>
            <w:r>
              <w:rPr>
                <w:rFonts w:hint="eastAsia" w:hAnsi="宋体" w:cs="宋体"/>
                <w:b/>
                <w:color w:val="auto"/>
                <w:highlight w:val="none"/>
              </w:rPr>
              <w:t>合同金额（万元）</w:t>
            </w:r>
          </w:p>
        </w:tc>
        <w:tc>
          <w:tcPr>
            <w:tcW w:w="2052" w:type="dxa"/>
            <w:vAlign w:val="center"/>
          </w:tcPr>
          <w:p w14:paraId="1DF26CA3">
            <w:pPr>
              <w:pStyle w:val="26"/>
              <w:spacing w:line="320" w:lineRule="exact"/>
              <w:jc w:val="center"/>
              <w:rPr>
                <w:rFonts w:hint="eastAsia" w:hAnsi="宋体" w:cs="宋体"/>
                <w:b/>
                <w:color w:val="auto"/>
                <w:highlight w:val="none"/>
              </w:rPr>
            </w:pPr>
            <w:r>
              <w:rPr>
                <w:rFonts w:hint="eastAsia" w:hAnsi="宋体" w:cs="宋体"/>
                <w:b/>
                <w:color w:val="auto"/>
                <w:highlight w:val="none"/>
              </w:rPr>
              <w:t>备  注</w:t>
            </w:r>
          </w:p>
        </w:tc>
      </w:tr>
      <w:tr w14:paraId="72C8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14:paraId="0CD85412">
            <w:pPr>
              <w:pStyle w:val="26"/>
              <w:spacing w:line="320" w:lineRule="exact"/>
              <w:jc w:val="center"/>
              <w:rPr>
                <w:rFonts w:hint="eastAsia" w:hAnsi="宋体" w:cs="宋体"/>
                <w:bCs/>
                <w:color w:val="auto"/>
                <w:highlight w:val="none"/>
              </w:rPr>
            </w:pPr>
            <w:r>
              <w:rPr>
                <w:rFonts w:hint="eastAsia" w:hAnsi="宋体" w:cs="宋体"/>
                <w:bCs/>
                <w:color w:val="auto"/>
                <w:highlight w:val="none"/>
              </w:rPr>
              <w:t>1</w:t>
            </w:r>
          </w:p>
        </w:tc>
        <w:tc>
          <w:tcPr>
            <w:tcW w:w="1098" w:type="dxa"/>
            <w:vMerge w:val="restart"/>
            <w:vAlign w:val="center"/>
          </w:tcPr>
          <w:p w14:paraId="621DE179">
            <w:pPr>
              <w:pStyle w:val="26"/>
              <w:spacing w:line="320" w:lineRule="exact"/>
              <w:jc w:val="center"/>
              <w:rPr>
                <w:rFonts w:hint="eastAsia" w:hAnsi="宋体" w:cs="宋体"/>
                <w:bCs/>
                <w:color w:val="auto"/>
                <w:highlight w:val="none"/>
              </w:rPr>
            </w:pPr>
          </w:p>
        </w:tc>
        <w:tc>
          <w:tcPr>
            <w:tcW w:w="2744" w:type="dxa"/>
            <w:vAlign w:val="center"/>
          </w:tcPr>
          <w:p w14:paraId="2F5FBBDF">
            <w:pPr>
              <w:pStyle w:val="26"/>
              <w:spacing w:line="320" w:lineRule="exact"/>
              <w:jc w:val="left"/>
              <w:rPr>
                <w:rFonts w:hint="eastAsia" w:hAnsi="宋体" w:cs="宋体"/>
                <w:bCs/>
                <w:color w:val="auto"/>
                <w:highlight w:val="none"/>
              </w:rPr>
            </w:pPr>
          </w:p>
        </w:tc>
        <w:tc>
          <w:tcPr>
            <w:tcW w:w="2195" w:type="dxa"/>
            <w:vAlign w:val="center"/>
          </w:tcPr>
          <w:p w14:paraId="06B7167C">
            <w:pPr>
              <w:pStyle w:val="26"/>
              <w:spacing w:line="320" w:lineRule="exact"/>
              <w:jc w:val="left"/>
              <w:rPr>
                <w:rFonts w:hint="eastAsia" w:hAnsi="宋体" w:cs="宋体"/>
                <w:bCs/>
                <w:color w:val="auto"/>
                <w:highlight w:val="none"/>
              </w:rPr>
            </w:pPr>
          </w:p>
        </w:tc>
        <w:tc>
          <w:tcPr>
            <w:tcW w:w="2052" w:type="dxa"/>
            <w:vAlign w:val="center"/>
          </w:tcPr>
          <w:p w14:paraId="38E63690">
            <w:pPr>
              <w:pStyle w:val="26"/>
              <w:spacing w:line="320" w:lineRule="exact"/>
              <w:jc w:val="left"/>
              <w:rPr>
                <w:rFonts w:hint="eastAsia" w:hAnsi="宋体" w:cs="宋体"/>
                <w:bCs/>
                <w:color w:val="auto"/>
                <w:highlight w:val="none"/>
              </w:rPr>
            </w:pPr>
          </w:p>
        </w:tc>
      </w:tr>
      <w:tr w14:paraId="5B2C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14:paraId="0016BF61">
            <w:pPr>
              <w:pStyle w:val="26"/>
              <w:spacing w:line="320" w:lineRule="exact"/>
              <w:jc w:val="center"/>
              <w:rPr>
                <w:rFonts w:hint="eastAsia" w:hAnsi="宋体" w:cs="宋体"/>
                <w:bCs/>
                <w:color w:val="auto"/>
                <w:highlight w:val="none"/>
              </w:rPr>
            </w:pPr>
          </w:p>
        </w:tc>
        <w:tc>
          <w:tcPr>
            <w:tcW w:w="1098" w:type="dxa"/>
            <w:vMerge w:val="continue"/>
            <w:vAlign w:val="center"/>
          </w:tcPr>
          <w:p w14:paraId="03B89108">
            <w:pPr>
              <w:pStyle w:val="26"/>
              <w:spacing w:line="320" w:lineRule="exact"/>
              <w:jc w:val="center"/>
              <w:rPr>
                <w:rFonts w:hint="eastAsia" w:hAnsi="宋体" w:cs="宋体"/>
                <w:bCs/>
                <w:color w:val="auto"/>
                <w:highlight w:val="none"/>
              </w:rPr>
            </w:pPr>
          </w:p>
        </w:tc>
        <w:tc>
          <w:tcPr>
            <w:tcW w:w="2744" w:type="dxa"/>
            <w:vAlign w:val="center"/>
          </w:tcPr>
          <w:p w14:paraId="5AA09A80">
            <w:pPr>
              <w:pStyle w:val="26"/>
              <w:spacing w:line="320" w:lineRule="exact"/>
              <w:jc w:val="left"/>
              <w:rPr>
                <w:rFonts w:hint="eastAsia" w:hAnsi="宋体" w:cs="宋体"/>
                <w:bCs/>
                <w:color w:val="auto"/>
                <w:highlight w:val="none"/>
              </w:rPr>
            </w:pPr>
          </w:p>
        </w:tc>
        <w:tc>
          <w:tcPr>
            <w:tcW w:w="2195" w:type="dxa"/>
            <w:vAlign w:val="center"/>
          </w:tcPr>
          <w:p w14:paraId="5E5409A4">
            <w:pPr>
              <w:pStyle w:val="26"/>
              <w:spacing w:line="320" w:lineRule="exact"/>
              <w:jc w:val="left"/>
              <w:rPr>
                <w:rFonts w:hint="eastAsia" w:hAnsi="宋体" w:cs="宋体"/>
                <w:bCs/>
                <w:color w:val="auto"/>
                <w:highlight w:val="none"/>
              </w:rPr>
            </w:pPr>
          </w:p>
        </w:tc>
        <w:tc>
          <w:tcPr>
            <w:tcW w:w="2052" w:type="dxa"/>
            <w:vAlign w:val="center"/>
          </w:tcPr>
          <w:p w14:paraId="5902CAD8">
            <w:pPr>
              <w:pStyle w:val="26"/>
              <w:spacing w:line="320" w:lineRule="exact"/>
              <w:jc w:val="left"/>
              <w:rPr>
                <w:rFonts w:hint="eastAsia" w:hAnsi="宋体" w:cs="宋体"/>
                <w:bCs/>
                <w:color w:val="auto"/>
                <w:highlight w:val="none"/>
              </w:rPr>
            </w:pPr>
          </w:p>
        </w:tc>
      </w:tr>
      <w:tr w14:paraId="58F4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14:paraId="592B7A3E">
            <w:pPr>
              <w:pStyle w:val="26"/>
              <w:spacing w:line="320" w:lineRule="exact"/>
              <w:jc w:val="center"/>
              <w:rPr>
                <w:rFonts w:hint="eastAsia" w:hAnsi="宋体" w:cs="宋体"/>
                <w:bCs/>
                <w:color w:val="auto"/>
                <w:highlight w:val="none"/>
              </w:rPr>
            </w:pPr>
          </w:p>
        </w:tc>
        <w:tc>
          <w:tcPr>
            <w:tcW w:w="1098" w:type="dxa"/>
            <w:vMerge w:val="continue"/>
            <w:vAlign w:val="center"/>
          </w:tcPr>
          <w:p w14:paraId="73FD71CA">
            <w:pPr>
              <w:pStyle w:val="26"/>
              <w:spacing w:line="320" w:lineRule="exact"/>
              <w:jc w:val="center"/>
              <w:rPr>
                <w:rFonts w:hint="eastAsia" w:hAnsi="宋体" w:cs="宋体"/>
                <w:bCs/>
                <w:color w:val="auto"/>
                <w:highlight w:val="none"/>
              </w:rPr>
            </w:pPr>
          </w:p>
        </w:tc>
        <w:tc>
          <w:tcPr>
            <w:tcW w:w="2744" w:type="dxa"/>
            <w:vAlign w:val="center"/>
          </w:tcPr>
          <w:p w14:paraId="5D034758">
            <w:pPr>
              <w:pStyle w:val="26"/>
              <w:spacing w:line="320" w:lineRule="exact"/>
              <w:jc w:val="left"/>
              <w:rPr>
                <w:rFonts w:hint="eastAsia" w:hAnsi="宋体" w:cs="宋体"/>
                <w:bCs/>
                <w:color w:val="auto"/>
                <w:highlight w:val="none"/>
              </w:rPr>
            </w:pPr>
            <w:r>
              <w:rPr>
                <w:rFonts w:hint="eastAsia" w:hAnsi="宋体" w:cs="宋体"/>
                <w:bCs/>
                <w:color w:val="auto"/>
                <w:highlight w:val="none"/>
              </w:rPr>
              <w:t>┆</w:t>
            </w:r>
          </w:p>
        </w:tc>
        <w:tc>
          <w:tcPr>
            <w:tcW w:w="2195" w:type="dxa"/>
            <w:vAlign w:val="center"/>
          </w:tcPr>
          <w:p w14:paraId="61D4E9A3">
            <w:pPr>
              <w:pStyle w:val="26"/>
              <w:spacing w:line="320" w:lineRule="exact"/>
              <w:jc w:val="left"/>
              <w:rPr>
                <w:rFonts w:hint="eastAsia" w:hAnsi="宋体" w:cs="宋体"/>
                <w:bCs/>
                <w:color w:val="auto"/>
                <w:highlight w:val="none"/>
              </w:rPr>
            </w:pPr>
          </w:p>
        </w:tc>
        <w:tc>
          <w:tcPr>
            <w:tcW w:w="2052" w:type="dxa"/>
            <w:vAlign w:val="center"/>
          </w:tcPr>
          <w:p w14:paraId="4013F6EB">
            <w:pPr>
              <w:pStyle w:val="26"/>
              <w:spacing w:line="320" w:lineRule="exact"/>
              <w:jc w:val="left"/>
              <w:rPr>
                <w:rFonts w:hint="eastAsia" w:hAnsi="宋体" w:cs="宋体"/>
                <w:bCs/>
                <w:color w:val="auto"/>
                <w:highlight w:val="none"/>
              </w:rPr>
            </w:pPr>
          </w:p>
        </w:tc>
      </w:tr>
      <w:tr w14:paraId="0A4B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14:paraId="35133403">
            <w:pPr>
              <w:pStyle w:val="26"/>
              <w:spacing w:line="320" w:lineRule="exact"/>
              <w:jc w:val="center"/>
              <w:rPr>
                <w:rFonts w:hint="eastAsia" w:hAnsi="宋体" w:cs="宋体"/>
                <w:bCs/>
                <w:color w:val="auto"/>
                <w:highlight w:val="none"/>
              </w:rPr>
            </w:pPr>
            <w:r>
              <w:rPr>
                <w:rFonts w:hint="eastAsia" w:hAnsi="宋体" w:cs="宋体"/>
                <w:bCs/>
                <w:color w:val="auto"/>
                <w:highlight w:val="none"/>
              </w:rPr>
              <w:t>2</w:t>
            </w:r>
          </w:p>
        </w:tc>
        <w:tc>
          <w:tcPr>
            <w:tcW w:w="1098" w:type="dxa"/>
            <w:vMerge w:val="restart"/>
            <w:vAlign w:val="center"/>
          </w:tcPr>
          <w:p w14:paraId="3CBF3546">
            <w:pPr>
              <w:pStyle w:val="26"/>
              <w:spacing w:line="320" w:lineRule="exact"/>
              <w:jc w:val="center"/>
              <w:rPr>
                <w:rFonts w:hint="eastAsia" w:hAnsi="宋体" w:cs="宋体"/>
                <w:bCs/>
                <w:color w:val="auto"/>
                <w:highlight w:val="none"/>
              </w:rPr>
            </w:pPr>
          </w:p>
        </w:tc>
        <w:tc>
          <w:tcPr>
            <w:tcW w:w="2744" w:type="dxa"/>
            <w:vAlign w:val="center"/>
          </w:tcPr>
          <w:p w14:paraId="0E6BA4A3">
            <w:pPr>
              <w:pStyle w:val="26"/>
              <w:spacing w:line="320" w:lineRule="exact"/>
              <w:jc w:val="left"/>
              <w:rPr>
                <w:rFonts w:hint="eastAsia" w:hAnsi="宋体" w:cs="宋体"/>
                <w:bCs/>
                <w:color w:val="auto"/>
                <w:highlight w:val="none"/>
              </w:rPr>
            </w:pPr>
          </w:p>
        </w:tc>
        <w:tc>
          <w:tcPr>
            <w:tcW w:w="2195" w:type="dxa"/>
            <w:vAlign w:val="center"/>
          </w:tcPr>
          <w:p w14:paraId="5297AB66">
            <w:pPr>
              <w:pStyle w:val="26"/>
              <w:spacing w:line="320" w:lineRule="exact"/>
              <w:jc w:val="left"/>
              <w:rPr>
                <w:rFonts w:hint="eastAsia" w:hAnsi="宋体" w:cs="宋体"/>
                <w:bCs/>
                <w:color w:val="auto"/>
                <w:highlight w:val="none"/>
              </w:rPr>
            </w:pPr>
          </w:p>
        </w:tc>
        <w:tc>
          <w:tcPr>
            <w:tcW w:w="2052" w:type="dxa"/>
            <w:vAlign w:val="center"/>
          </w:tcPr>
          <w:p w14:paraId="1F974C03">
            <w:pPr>
              <w:pStyle w:val="26"/>
              <w:spacing w:line="320" w:lineRule="exact"/>
              <w:jc w:val="left"/>
              <w:rPr>
                <w:rFonts w:hint="eastAsia" w:hAnsi="宋体" w:cs="宋体"/>
                <w:bCs/>
                <w:color w:val="auto"/>
                <w:highlight w:val="none"/>
              </w:rPr>
            </w:pPr>
          </w:p>
        </w:tc>
      </w:tr>
      <w:tr w14:paraId="5375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14:paraId="193A31EB">
            <w:pPr>
              <w:pStyle w:val="26"/>
              <w:spacing w:line="320" w:lineRule="exact"/>
              <w:jc w:val="center"/>
              <w:rPr>
                <w:rFonts w:hint="eastAsia" w:hAnsi="宋体" w:cs="宋体"/>
                <w:color w:val="auto"/>
                <w:highlight w:val="none"/>
              </w:rPr>
            </w:pPr>
          </w:p>
        </w:tc>
        <w:tc>
          <w:tcPr>
            <w:tcW w:w="1098" w:type="dxa"/>
            <w:vMerge w:val="continue"/>
            <w:vAlign w:val="center"/>
          </w:tcPr>
          <w:p w14:paraId="6899B872">
            <w:pPr>
              <w:pStyle w:val="26"/>
              <w:spacing w:line="320" w:lineRule="exact"/>
              <w:jc w:val="center"/>
              <w:rPr>
                <w:rFonts w:hint="eastAsia" w:hAnsi="宋体" w:cs="宋体"/>
                <w:color w:val="auto"/>
                <w:highlight w:val="none"/>
              </w:rPr>
            </w:pPr>
          </w:p>
        </w:tc>
        <w:tc>
          <w:tcPr>
            <w:tcW w:w="2744" w:type="dxa"/>
            <w:vAlign w:val="center"/>
          </w:tcPr>
          <w:p w14:paraId="6C45D078">
            <w:pPr>
              <w:pStyle w:val="26"/>
              <w:spacing w:line="320" w:lineRule="exact"/>
              <w:jc w:val="left"/>
              <w:rPr>
                <w:rFonts w:hint="eastAsia" w:hAnsi="宋体" w:cs="宋体"/>
                <w:color w:val="auto"/>
                <w:highlight w:val="none"/>
              </w:rPr>
            </w:pPr>
          </w:p>
        </w:tc>
        <w:tc>
          <w:tcPr>
            <w:tcW w:w="2195" w:type="dxa"/>
            <w:vAlign w:val="center"/>
          </w:tcPr>
          <w:p w14:paraId="4D5B6A61">
            <w:pPr>
              <w:pStyle w:val="26"/>
              <w:spacing w:line="320" w:lineRule="exact"/>
              <w:jc w:val="left"/>
              <w:rPr>
                <w:rFonts w:hint="eastAsia" w:hAnsi="宋体" w:cs="宋体"/>
                <w:color w:val="auto"/>
                <w:highlight w:val="none"/>
              </w:rPr>
            </w:pPr>
          </w:p>
        </w:tc>
        <w:tc>
          <w:tcPr>
            <w:tcW w:w="2052" w:type="dxa"/>
            <w:vAlign w:val="center"/>
          </w:tcPr>
          <w:p w14:paraId="470CDC89">
            <w:pPr>
              <w:pStyle w:val="26"/>
              <w:spacing w:line="320" w:lineRule="exact"/>
              <w:jc w:val="left"/>
              <w:rPr>
                <w:rFonts w:hint="eastAsia" w:hAnsi="宋体" w:cs="宋体"/>
                <w:color w:val="auto"/>
                <w:highlight w:val="none"/>
              </w:rPr>
            </w:pPr>
          </w:p>
        </w:tc>
      </w:tr>
      <w:tr w14:paraId="79B5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14:paraId="56A5060A">
            <w:pPr>
              <w:pStyle w:val="26"/>
              <w:spacing w:line="320" w:lineRule="exact"/>
              <w:jc w:val="center"/>
              <w:rPr>
                <w:rFonts w:hint="eastAsia" w:hAnsi="宋体" w:cs="宋体"/>
                <w:color w:val="auto"/>
                <w:highlight w:val="none"/>
              </w:rPr>
            </w:pPr>
          </w:p>
        </w:tc>
        <w:tc>
          <w:tcPr>
            <w:tcW w:w="1098" w:type="dxa"/>
            <w:vMerge w:val="continue"/>
            <w:vAlign w:val="center"/>
          </w:tcPr>
          <w:p w14:paraId="13E59DE1">
            <w:pPr>
              <w:pStyle w:val="26"/>
              <w:spacing w:line="320" w:lineRule="exact"/>
              <w:jc w:val="center"/>
              <w:rPr>
                <w:rFonts w:hint="eastAsia" w:hAnsi="宋体" w:cs="宋体"/>
                <w:color w:val="auto"/>
                <w:highlight w:val="none"/>
              </w:rPr>
            </w:pPr>
          </w:p>
        </w:tc>
        <w:tc>
          <w:tcPr>
            <w:tcW w:w="2744" w:type="dxa"/>
            <w:vAlign w:val="center"/>
          </w:tcPr>
          <w:p w14:paraId="6AE677F5">
            <w:pPr>
              <w:pStyle w:val="26"/>
              <w:spacing w:line="320" w:lineRule="exact"/>
              <w:jc w:val="left"/>
              <w:rPr>
                <w:rFonts w:hint="eastAsia" w:hAnsi="宋体" w:cs="宋体"/>
                <w:color w:val="auto"/>
                <w:highlight w:val="none"/>
              </w:rPr>
            </w:pPr>
            <w:r>
              <w:rPr>
                <w:rFonts w:hint="eastAsia" w:hAnsi="宋体" w:cs="宋体"/>
                <w:color w:val="auto"/>
                <w:highlight w:val="none"/>
              </w:rPr>
              <w:t>┆</w:t>
            </w:r>
          </w:p>
        </w:tc>
        <w:tc>
          <w:tcPr>
            <w:tcW w:w="2195" w:type="dxa"/>
            <w:vAlign w:val="center"/>
          </w:tcPr>
          <w:p w14:paraId="2694ED30">
            <w:pPr>
              <w:pStyle w:val="26"/>
              <w:spacing w:line="320" w:lineRule="exact"/>
              <w:jc w:val="left"/>
              <w:rPr>
                <w:rFonts w:hint="eastAsia" w:hAnsi="宋体" w:cs="宋体"/>
                <w:color w:val="auto"/>
                <w:highlight w:val="none"/>
              </w:rPr>
            </w:pPr>
          </w:p>
        </w:tc>
        <w:tc>
          <w:tcPr>
            <w:tcW w:w="2052" w:type="dxa"/>
            <w:vAlign w:val="center"/>
          </w:tcPr>
          <w:p w14:paraId="3A5C1597">
            <w:pPr>
              <w:pStyle w:val="26"/>
              <w:spacing w:line="320" w:lineRule="exact"/>
              <w:jc w:val="left"/>
              <w:rPr>
                <w:rFonts w:hint="eastAsia" w:hAnsi="宋体" w:cs="宋体"/>
                <w:color w:val="auto"/>
                <w:highlight w:val="none"/>
              </w:rPr>
            </w:pPr>
          </w:p>
        </w:tc>
      </w:tr>
      <w:tr w14:paraId="23D1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14:paraId="3505610D">
            <w:pPr>
              <w:pStyle w:val="26"/>
              <w:spacing w:line="320" w:lineRule="exact"/>
              <w:jc w:val="center"/>
              <w:rPr>
                <w:rFonts w:hint="eastAsia" w:hAnsi="宋体" w:cs="宋体"/>
                <w:color w:val="auto"/>
                <w:highlight w:val="none"/>
              </w:rPr>
            </w:pPr>
            <w:r>
              <w:rPr>
                <w:rFonts w:hint="eastAsia" w:hAnsi="宋体" w:cs="宋体"/>
                <w:color w:val="auto"/>
                <w:highlight w:val="none"/>
              </w:rPr>
              <w:t>3</w:t>
            </w:r>
          </w:p>
        </w:tc>
        <w:tc>
          <w:tcPr>
            <w:tcW w:w="1098" w:type="dxa"/>
            <w:vMerge w:val="restart"/>
            <w:vAlign w:val="center"/>
          </w:tcPr>
          <w:p w14:paraId="2A690152">
            <w:pPr>
              <w:pStyle w:val="26"/>
              <w:spacing w:line="320" w:lineRule="exact"/>
              <w:jc w:val="center"/>
              <w:rPr>
                <w:rFonts w:hint="eastAsia" w:hAnsi="宋体" w:cs="宋体"/>
                <w:color w:val="auto"/>
                <w:highlight w:val="none"/>
              </w:rPr>
            </w:pPr>
          </w:p>
        </w:tc>
        <w:tc>
          <w:tcPr>
            <w:tcW w:w="2744" w:type="dxa"/>
            <w:vAlign w:val="center"/>
          </w:tcPr>
          <w:p w14:paraId="19647936">
            <w:pPr>
              <w:pStyle w:val="26"/>
              <w:spacing w:line="320" w:lineRule="exact"/>
              <w:jc w:val="left"/>
              <w:rPr>
                <w:rFonts w:hint="eastAsia" w:hAnsi="宋体" w:cs="宋体"/>
                <w:color w:val="auto"/>
                <w:highlight w:val="none"/>
              </w:rPr>
            </w:pPr>
          </w:p>
        </w:tc>
        <w:tc>
          <w:tcPr>
            <w:tcW w:w="2195" w:type="dxa"/>
            <w:vAlign w:val="center"/>
          </w:tcPr>
          <w:p w14:paraId="3E8ADEF7">
            <w:pPr>
              <w:pStyle w:val="26"/>
              <w:spacing w:line="320" w:lineRule="exact"/>
              <w:jc w:val="left"/>
              <w:rPr>
                <w:rFonts w:hint="eastAsia" w:hAnsi="宋体" w:cs="宋体"/>
                <w:color w:val="auto"/>
                <w:highlight w:val="none"/>
              </w:rPr>
            </w:pPr>
          </w:p>
        </w:tc>
        <w:tc>
          <w:tcPr>
            <w:tcW w:w="2052" w:type="dxa"/>
            <w:vAlign w:val="center"/>
          </w:tcPr>
          <w:p w14:paraId="7098751B">
            <w:pPr>
              <w:pStyle w:val="26"/>
              <w:spacing w:line="320" w:lineRule="exact"/>
              <w:jc w:val="left"/>
              <w:rPr>
                <w:rFonts w:hint="eastAsia" w:hAnsi="宋体" w:cs="宋体"/>
                <w:color w:val="auto"/>
                <w:highlight w:val="none"/>
              </w:rPr>
            </w:pPr>
          </w:p>
        </w:tc>
      </w:tr>
      <w:tr w14:paraId="71E8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14:paraId="378ECFAF">
            <w:pPr>
              <w:pStyle w:val="26"/>
              <w:spacing w:line="320" w:lineRule="exact"/>
              <w:jc w:val="center"/>
              <w:rPr>
                <w:rFonts w:hint="eastAsia" w:hAnsi="宋体" w:cs="宋体"/>
                <w:color w:val="auto"/>
                <w:highlight w:val="none"/>
              </w:rPr>
            </w:pPr>
          </w:p>
        </w:tc>
        <w:tc>
          <w:tcPr>
            <w:tcW w:w="1098" w:type="dxa"/>
            <w:vMerge w:val="continue"/>
            <w:vAlign w:val="center"/>
          </w:tcPr>
          <w:p w14:paraId="7CC2462F">
            <w:pPr>
              <w:pStyle w:val="26"/>
              <w:spacing w:line="320" w:lineRule="exact"/>
              <w:jc w:val="center"/>
              <w:rPr>
                <w:rFonts w:hint="eastAsia" w:hAnsi="宋体" w:cs="宋体"/>
                <w:color w:val="auto"/>
                <w:highlight w:val="none"/>
              </w:rPr>
            </w:pPr>
          </w:p>
        </w:tc>
        <w:tc>
          <w:tcPr>
            <w:tcW w:w="2744" w:type="dxa"/>
            <w:vAlign w:val="center"/>
          </w:tcPr>
          <w:p w14:paraId="440B8291">
            <w:pPr>
              <w:pStyle w:val="26"/>
              <w:spacing w:line="320" w:lineRule="exact"/>
              <w:jc w:val="left"/>
              <w:rPr>
                <w:rFonts w:hint="eastAsia" w:hAnsi="宋体" w:cs="宋体"/>
                <w:color w:val="auto"/>
                <w:highlight w:val="none"/>
              </w:rPr>
            </w:pPr>
          </w:p>
        </w:tc>
        <w:tc>
          <w:tcPr>
            <w:tcW w:w="2195" w:type="dxa"/>
            <w:vAlign w:val="center"/>
          </w:tcPr>
          <w:p w14:paraId="089CDA82">
            <w:pPr>
              <w:pStyle w:val="26"/>
              <w:spacing w:line="320" w:lineRule="exact"/>
              <w:jc w:val="left"/>
              <w:rPr>
                <w:rFonts w:hint="eastAsia" w:hAnsi="宋体" w:cs="宋体"/>
                <w:color w:val="auto"/>
                <w:highlight w:val="none"/>
              </w:rPr>
            </w:pPr>
          </w:p>
        </w:tc>
        <w:tc>
          <w:tcPr>
            <w:tcW w:w="2052" w:type="dxa"/>
            <w:vAlign w:val="center"/>
          </w:tcPr>
          <w:p w14:paraId="04775AF0">
            <w:pPr>
              <w:pStyle w:val="26"/>
              <w:spacing w:line="320" w:lineRule="exact"/>
              <w:jc w:val="left"/>
              <w:rPr>
                <w:rFonts w:hint="eastAsia" w:hAnsi="宋体" w:cs="宋体"/>
                <w:color w:val="auto"/>
                <w:highlight w:val="none"/>
              </w:rPr>
            </w:pPr>
          </w:p>
        </w:tc>
      </w:tr>
      <w:tr w14:paraId="2C27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14:paraId="7912849E">
            <w:pPr>
              <w:pStyle w:val="26"/>
              <w:spacing w:line="320" w:lineRule="exact"/>
              <w:jc w:val="center"/>
              <w:rPr>
                <w:rFonts w:hint="eastAsia" w:hAnsi="宋体" w:cs="宋体"/>
                <w:color w:val="auto"/>
                <w:highlight w:val="none"/>
              </w:rPr>
            </w:pPr>
          </w:p>
        </w:tc>
        <w:tc>
          <w:tcPr>
            <w:tcW w:w="1098" w:type="dxa"/>
            <w:vMerge w:val="continue"/>
            <w:vAlign w:val="center"/>
          </w:tcPr>
          <w:p w14:paraId="56769F80">
            <w:pPr>
              <w:pStyle w:val="26"/>
              <w:spacing w:line="320" w:lineRule="exact"/>
              <w:jc w:val="center"/>
              <w:rPr>
                <w:rFonts w:hint="eastAsia" w:hAnsi="宋体" w:cs="宋体"/>
                <w:color w:val="auto"/>
                <w:highlight w:val="none"/>
              </w:rPr>
            </w:pPr>
          </w:p>
        </w:tc>
        <w:tc>
          <w:tcPr>
            <w:tcW w:w="2744" w:type="dxa"/>
            <w:vAlign w:val="center"/>
          </w:tcPr>
          <w:p w14:paraId="1FD1E651">
            <w:pPr>
              <w:pStyle w:val="26"/>
              <w:spacing w:line="320" w:lineRule="exact"/>
              <w:jc w:val="left"/>
              <w:rPr>
                <w:rFonts w:hint="eastAsia" w:hAnsi="宋体" w:cs="宋体"/>
                <w:color w:val="auto"/>
                <w:highlight w:val="none"/>
              </w:rPr>
            </w:pPr>
            <w:r>
              <w:rPr>
                <w:rFonts w:hint="eastAsia" w:hAnsi="宋体" w:cs="宋体"/>
                <w:color w:val="auto"/>
                <w:highlight w:val="none"/>
              </w:rPr>
              <w:t>┆</w:t>
            </w:r>
          </w:p>
        </w:tc>
        <w:tc>
          <w:tcPr>
            <w:tcW w:w="2195" w:type="dxa"/>
            <w:vAlign w:val="center"/>
          </w:tcPr>
          <w:p w14:paraId="527D6BB8">
            <w:pPr>
              <w:pStyle w:val="26"/>
              <w:spacing w:line="320" w:lineRule="exact"/>
              <w:jc w:val="left"/>
              <w:rPr>
                <w:rFonts w:hint="eastAsia" w:hAnsi="宋体" w:cs="宋体"/>
                <w:color w:val="auto"/>
                <w:highlight w:val="none"/>
              </w:rPr>
            </w:pPr>
          </w:p>
        </w:tc>
        <w:tc>
          <w:tcPr>
            <w:tcW w:w="2052" w:type="dxa"/>
            <w:vAlign w:val="center"/>
          </w:tcPr>
          <w:p w14:paraId="309A57D3">
            <w:pPr>
              <w:pStyle w:val="26"/>
              <w:spacing w:line="320" w:lineRule="exact"/>
              <w:jc w:val="left"/>
              <w:rPr>
                <w:rFonts w:hint="eastAsia" w:hAnsi="宋体" w:cs="宋体"/>
                <w:color w:val="auto"/>
                <w:highlight w:val="none"/>
              </w:rPr>
            </w:pPr>
          </w:p>
        </w:tc>
      </w:tr>
    </w:tbl>
    <w:p w14:paraId="13FA2E91">
      <w:pPr>
        <w:pStyle w:val="26"/>
        <w:rPr>
          <w:rFonts w:hint="eastAsia" w:hAnsi="宋体" w:cs="宋体"/>
          <w:b/>
          <w:bCs/>
          <w:color w:val="auto"/>
          <w:highlight w:val="none"/>
        </w:rPr>
      </w:pPr>
    </w:p>
    <w:p w14:paraId="7FD92EDD">
      <w:pPr>
        <w:pStyle w:val="26"/>
        <w:spacing w:line="360" w:lineRule="auto"/>
        <w:ind w:firstLine="420" w:firstLineChars="200"/>
        <w:rPr>
          <w:rFonts w:hint="eastAsia" w:hAnsi="宋体" w:cs="宋体"/>
          <w:color w:val="auto"/>
          <w:highlight w:val="none"/>
        </w:rPr>
      </w:pPr>
      <w:r>
        <w:rPr>
          <w:rFonts w:hint="eastAsia" w:hAnsi="宋体" w:cs="宋体"/>
          <w:color w:val="auto"/>
          <w:highlight w:val="none"/>
        </w:rPr>
        <w:t>注：1.依据商务评审中的业绩要求填写本表并提供相关证明材料，请投标人严格按照要求提交相关证明材料，否则有可能影响评审结果。</w:t>
      </w:r>
    </w:p>
    <w:p w14:paraId="49E7CB59">
      <w:pPr>
        <w:pStyle w:val="26"/>
        <w:spacing w:line="360" w:lineRule="auto"/>
        <w:ind w:firstLine="808" w:firstLineChars="400"/>
        <w:rPr>
          <w:rFonts w:hint="eastAsia" w:hAnsi="宋体" w:cs="宋体"/>
          <w:color w:val="auto"/>
          <w:spacing w:val="-4"/>
          <w:highlight w:val="none"/>
        </w:rPr>
      </w:pPr>
      <w:r>
        <w:rPr>
          <w:rFonts w:hint="eastAsia" w:hAnsi="宋体" w:cs="宋体"/>
          <w:color w:val="auto"/>
          <w:spacing w:val="-4"/>
          <w:highlight w:val="none"/>
        </w:rPr>
        <w:t>2.如本表格式内容不能满足需要，投标人可根据本表格格式自行划表填写。</w:t>
      </w:r>
    </w:p>
    <w:p w14:paraId="5C70E0EF">
      <w:pPr>
        <w:pStyle w:val="26"/>
        <w:spacing w:line="360" w:lineRule="auto"/>
        <w:rPr>
          <w:rFonts w:hint="eastAsia" w:hAnsi="宋体" w:cs="宋体"/>
          <w:color w:val="auto"/>
          <w:highlight w:val="none"/>
        </w:rPr>
      </w:pPr>
    </w:p>
    <w:p w14:paraId="7172153A">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40A53B32">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1DDCC10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8E54D62">
      <w:pPr>
        <w:spacing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highlight w:val="none"/>
        </w:rPr>
        <w:t>7.《用户需求书》响应表格式</w:t>
      </w:r>
    </w:p>
    <w:p w14:paraId="4FD67268">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《用户需求书》响应表</w:t>
      </w:r>
    </w:p>
    <w:p w14:paraId="70EFD665">
      <w:pPr>
        <w:spacing w:before="0" w:beforeLines="0" w:line="360" w:lineRule="auto"/>
        <w:ind w:firstLine="210" w:firstLineChars="100"/>
        <w:rPr>
          <w:rFonts w:hint="eastAsia" w:ascii="宋体" w:hAnsi="宋体" w:eastAsia="宋体" w:cs="宋体"/>
          <w:bCs/>
          <w:color w:val="auto"/>
          <w:highlight w:val="none"/>
          <w:lang w:eastAsia="zh-CN"/>
        </w:rPr>
      </w:pPr>
      <w:r>
        <w:rPr>
          <w:rFonts w:hint="eastAsia" w:ascii="宋体" w:hAnsi="宋体" w:cs="宋体"/>
          <w:color w:val="auto"/>
          <w:szCs w:val="21"/>
          <w:highlight w:val="none"/>
        </w:rPr>
        <w:t>项目名称：</w:t>
      </w:r>
      <w:r>
        <w:rPr>
          <w:rFonts w:hint="eastAsia" w:ascii="宋体" w:hAnsi="宋体" w:cs="宋体"/>
          <w:bCs/>
          <w:color w:val="auto"/>
          <w:highlight w:val="none"/>
          <w:lang w:eastAsia="zh-CN"/>
        </w:rPr>
        <w:t>征集2026年—2028年校园桶装饮用水服务商</w:t>
      </w:r>
    </w:p>
    <w:p w14:paraId="3C00DFFF">
      <w:pPr>
        <w:spacing w:before="0" w:beforeLines="0" w:line="360" w:lineRule="auto"/>
        <w:ind w:firstLine="210" w:firstLineChars="100"/>
        <w:rPr>
          <w:rFonts w:hint="eastAsia" w:ascii="宋体" w:hAnsi="宋体" w:cs="宋体"/>
          <w:color w:val="auto"/>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CQZB260018</w:t>
      </w:r>
      <w:r>
        <w:rPr>
          <w:rFonts w:hint="eastAsia" w:ascii="宋体" w:hAnsi="宋体" w:cs="宋体"/>
          <w:color w:val="auto"/>
          <w:szCs w:val="28"/>
          <w:highlight w:val="none"/>
        </w:rPr>
        <w:t xml:space="preserve"> </w:t>
      </w:r>
      <w:r>
        <w:rPr>
          <w:rFonts w:hint="eastAsia" w:ascii="宋体" w:hAnsi="宋体" w:cs="宋体"/>
          <w:bCs/>
          <w:color w:val="auto"/>
          <w:highlight w:val="none"/>
        </w:rPr>
        <w:t xml:space="preserve">                                                     </w:t>
      </w:r>
    </w:p>
    <w:p w14:paraId="089E047E">
      <w:pPr>
        <w:spacing w:line="360" w:lineRule="auto"/>
        <w:ind w:left="618" w:hanging="618"/>
        <w:rPr>
          <w:rFonts w:hint="eastAsia" w:ascii="宋体" w:hAnsi="宋体" w:cs="宋体"/>
          <w:color w:val="auto"/>
          <w:highlight w:val="none"/>
          <w:u w:val="single"/>
        </w:rPr>
      </w:pPr>
      <w:r>
        <w:rPr>
          <w:rFonts w:hint="eastAsia" w:ascii="宋体" w:hAnsi="宋体" w:cs="宋体"/>
          <w:color w:val="auto"/>
          <w:highlight w:val="none"/>
        </w:rPr>
        <w:t>[说明]投标人应对照</w:t>
      </w:r>
      <w:r>
        <w:rPr>
          <w:rFonts w:hint="eastAsia" w:ascii="宋体" w:hAnsi="宋体" w:cs="宋体"/>
          <w:bCs/>
          <w:color w:val="auto"/>
          <w:highlight w:val="none"/>
        </w:rPr>
        <w:t>招标文件</w:t>
      </w:r>
      <w:r>
        <w:rPr>
          <w:rFonts w:hint="eastAsia" w:ascii="宋体" w:hAnsi="宋体" w:cs="宋体"/>
          <w:color w:val="auto"/>
          <w:highlight w:val="none"/>
        </w:rPr>
        <w:t>要求与投标的实际情况对</w:t>
      </w:r>
      <w:r>
        <w:rPr>
          <w:rFonts w:hint="eastAsia" w:ascii="宋体" w:hAnsi="宋体" w:cs="宋体"/>
          <w:bCs/>
          <w:color w:val="auto"/>
          <w:highlight w:val="none"/>
        </w:rPr>
        <w:t>招标文件</w:t>
      </w:r>
      <w:r>
        <w:rPr>
          <w:rFonts w:hint="eastAsia" w:ascii="宋体" w:hAnsi="宋体" w:cs="宋体"/>
          <w:color w:val="auto"/>
          <w:highlight w:val="none"/>
        </w:rPr>
        <w:t>中“用户需求书”的条款内容作全面响应。完全满足的在“响应”栏中打“√”，若有差异的请在</w:t>
      </w:r>
      <w:r>
        <w:rPr>
          <w:rFonts w:hint="eastAsia" w:ascii="宋体" w:hAnsi="宋体" w:cs="宋体"/>
          <w:color w:val="auto"/>
          <w:szCs w:val="21"/>
          <w:highlight w:val="none"/>
        </w:rPr>
        <w:t>“</w:t>
      </w:r>
      <w:r>
        <w:rPr>
          <w:rFonts w:hint="eastAsia" w:ascii="宋体" w:hAnsi="宋体" w:cs="宋体"/>
          <w:b/>
          <w:color w:val="auto"/>
          <w:highlight w:val="none"/>
        </w:rPr>
        <w:t>差异</w:t>
      </w:r>
      <w:r>
        <w:rPr>
          <w:rFonts w:hint="eastAsia" w:ascii="宋体" w:hAnsi="宋体" w:cs="宋体"/>
          <w:color w:val="auto"/>
          <w:szCs w:val="21"/>
          <w:highlight w:val="none"/>
        </w:rPr>
        <w:t>”栏内如实注明是“正偏差”或“负偏差”，（“正偏差”指报</w:t>
      </w:r>
      <w:r>
        <w:rPr>
          <w:rFonts w:hint="eastAsia" w:ascii="宋体" w:hAnsi="宋体" w:cs="宋体"/>
          <w:color w:val="auto"/>
          <w:szCs w:val="21"/>
          <w:highlight w:val="none"/>
          <w:lang w:val="en-US" w:eastAsia="zh-CN"/>
        </w:rPr>
        <w:t>货物或</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或工程</w:t>
      </w:r>
      <w:r>
        <w:rPr>
          <w:rFonts w:hint="eastAsia" w:ascii="宋体" w:hAnsi="宋体" w:cs="宋体"/>
          <w:color w:val="auto"/>
          <w:szCs w:val="21"/>
          <w:highlight w:val="none"/>
        </w:rPr>
        <w:t>的技术参数优于招标文件中要求，“负偏差”指所报</w:t>
      </w:r>
      <w:r>
        <w:rPr>
          <w:rFonts w:hint="eastAsia" w:ascii="宋体" w:hAnsi="宋体" w:cs="宋体"/>
          <w:color w:val="auto"/>
          <w:szCs w:val="21"/>
          <w:highlight w:val="none"/>
          <w:lang w:val="en-US" w:eastAsia="zh-CN"/>
        </w:rPr>
        <w:t>货物或</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或工程</w:t>
      </w:r>
      <w:r>
        <w:rPr>
          <w:rFonts w:hint="eastAsia" w:ascii="宋体" w:hAnsi="宋体" w:cs="宋体"/>
          <w:color w:val="auto"/>
          <w:szCs w:val="21"/>
          <w:highlight w:val="none"/>
        </w:rPr>
        <w:t>的技术参数低于招标文件中要求）</w:t>
      </w:r>
      <w:r>
        <w:rPr>
          <w:rFonts w:hint="eastAsia" w:ascii="宋体" w:hAnsi="宋体" w:cs="宋体"/>
          <w:color w:val="auto"/>
          <w:highlight w:val="none"/>
        </w:rPr>
        <w:t>，并将差异情况在技术差异表说明。（</w:t>
      </w:r>
      <w:r>
        <w:rPr>
          <w:rFonts w:hint="eastAsia" w:ascii="宋体" w:hAnsi="宋体" w:cs="宋体"/>
          <w:color w:val="auto"/>
          <w:highlight w:val="none"/>
          <w:u w:val="single"/>
        </w:rPr>
        <w:t>不填写或漏填的内容，该条款不响应）</w:t>
      </w:r>
    </w:p>
    <w:tbl>
      <w:tblPr>
        <w:tblStyle w:val="49"/>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552"/>
        <w:gridCol w:w="2874"/>
        <w:gridCol w:w="903"/>
        <w:gridCol w:w="2141"/>
      </w:tblGrid>
      <w:tr w14:paraId="2141F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top w:val="single" w:color="auto" w:sz="6" w:space="0"/>
              <w:left w:val="single" w:color="auto" w:sz="6" w:space="0"/>
            </w:tcBorders>
            <w:vAlign w:val="center"/>
          </w:tcPr>
          <w:p w14:paraId="311F1ADC">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52" w:type="dxa"/>
            <w:tcBorders>
              <w:top w:val="single" w:color="auto" w:sz="6" w:space="0"/>
            </w:tcBorders>
            <w:vAlign w:val="center"/>
          </w:tcPr>
          <w:p w14:paraId="11562F8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用户需求书要求</w:t>
            </w:r>
          </w:p>
        </w:tc>
        <w:tc>
          <w:tcPr>
            <w:tcW w:w="2874" w:type="dxa"/>
            <w:tcBorders>
              <w:top w:val="single" w:color="auto" w:sz="6" w:space="0"/>
            </w:tcBorders>
            <w:vAlign w:val="center"/>
          </w:tcPr>
          <w:p w14:paraId="326A446E">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实际响应的具体内容</w:t>
            </w:r>
          </w:p>
        </w:tc>
        <w:tc>
          <w:tcPr>
            <w:tcW w:w="903" w:type="dxa"/>
            <w:tcBorders>
              <w:top w:val="single" w:color="auto" w:sz="6" w:space="0"/>
            </w:tcBorders>
            <w:vAlign w:val="center"/>
          </w:tcPr>
          <w:p w14:paraId="31D00980">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w:t>
            </w:r>
          </w:p>
        </w:tc>
        <w:tc>
          <w:tcPr>
            <w:tcW w:w="2141" w:type="dxa"/>
            <w:tcBorders>
              <w:top w:val="single" w:color="auto" w:sz="6" w:space="0"/>
              <w:right w:val="single" w:color="auto" w:sz="6" w:space="0"/>
            </w:tcBorders>
            <w:vAlign w:val="center"/>
          </w:tcPr>
          <w:p w14:paraId="15094FAA">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差异</w:t>
            </w:r>
          </w:p>
        </w:tc>
      </w:tr>
      <w:tr w14:paraId="27439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14:paraId="79AB53CA">
            <w:pPr>
              <w:spacing w:line="360" w:lineRule="auto"/>
              <w:ind w:right="196" w:firstLine="152"/>
              <w:jc w:val="distribute"/>
              <w:rPr>
                <w:rFonts w:hint="eastAsia" w:ascii="宋体" w:hAnsi="宋体" w:cs="宋体"/>
                <w:color w:val="auto"/>
                <w:szCs w:val="21"/>
                <w:highlight w:val="none"/>
              </w:rPr>
            </w:pPr>
            <w:r>
              <w:rPr>
                <w:rFonts w:hint="eastAsia" w:ascii="宋体" w:hAnsi="宋体" w:cs="宋体"/>
                <w:color w:val="auto"/>
                <w:szCs w:val="21"/>
                <w:highlight w:val="none"/>
              </w:rPr>
              <w:t>1</w:t>
            </w:r>
          </w:p>
        </w:tc>
        <w:tc>
          <w:tcPr>
            <w:tcW w:w="2552" w:type="dxa"/>
            <w:vAlign w:val="center"/>
          </w:tcPr>
          <w:p w14:paraId="3CBA6C96">
            <w:pPr>
              <w:tabs>
                <w:tab w:val="left" w:pos="3210"/>
              </w:tabs>
              <w:spacing w:line="360" w:lineRule="auto"/>
              <w:jc w:val="center"/>
              <w:rPr>
                <w:rFonts w:hint="eastAsia" w:ascii="宋体" w:hAnsi="宋体" w:cs="宋体"/>
                <w:bCs/>
                <w:color w:val="auto"/>
                <w:highlight w:val="none"/>
              </w:rPr>
            </w:pPr>
          </w:p>
        </w:tc>
        <w:tc>
          <w:tcPr>
            <w:tcW w:w="2874" w:type="dxa"/>
            <w:vAlign w:val="center"/>
          </w:tcPr>
          <w:p w14:paraId="56E4883D">
            <w:pPr>
              <w:spacing w:line="360" w:lineRule="auto"/>
              <w:rPr>
                <w:rFonts w:hint="eastAsia" w:ascii="宋体" w:hAnsi="宋体" w:cs="宋体"/>
                <w:color w:val="auto"/>
                <w:szCs w:val="21"/>
                <w:highlight w:val="none"/>
              </w:rPr>
            </w:pPr>
          </w:p>
        </w:tc>
        <w:tc>
          <w:tcPr>
            <w:tcW w:w="903" w:type="dxa"/>
            <w:vAlign w:val="center"/>
          </w:tcPr>
          <w:p w14:paraId="184B6C85">
            <w:pPr>
              <w:spacing w:line="360" w:lineRule="auto"/>
              <w:jc w:val="center"/>
              <w:rPr>
                <w:rFonts w:hint="eastAsia" w:ascii="宋体" w:hAnsi="宋体" w:cs="宋体"/>
                <w:color w:val="auto"/>
                <w:szCs w:val="21"/>
                <w:highlight w:val="none"/>
              </w:rPr>
            </w:pPr>
          </w:p>
        </w:tc>
        <w:tc>
          <w:tcPr>
            <w:tcW w:w="2141" w:type="dxa"/>
            <w:tcBorders>
              <w:right w:val="single" w:color="auto" w:sz="6" w:space="0"/>
            </w:tcBorders>
          </w:tcPr>
          <w:p w14:paraId="208EF46C">
            <w:pPr>
              <w:spacing w:line="360" w:lineRule="auto"/>
              <w:rPr>
                <w:rFonts w:hint="eastAsia" w:ascii="宋体" w:hAnsi="宋体" w:cs="宋体"/>
                <w:color w:val="auto"/>
                <w:szCs w:val="21"/>
                <w:highlight w:val="none"/>
              </w:rPr>
            </w:pPr>
          </w:p>
        </w:tc>
      </w:tr>
      <w:tr w14:paraId="11180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14:paraId="68457B3D">
            <w:pPr>
              <w:spacing w:line="360" w:lineRule="auto"/>
              <w:ind w:right="196" w:firstLine="152"/>
              <w:jc w:val="distribute"/>
              <w:rPr>
                <w:rFonts w:hint="eastAsia" w:ascii="宋体" w:hAnsi="宋体" w:cs="宋体"/>
                <w:color w:val="auto"/>
                <w:szCs w:val="21"/>
                <w:highlight w:val="none"/>
              </w:rPr>
            </w:pPr>
            <w:r>
              <w:rPr>
                <w:rFonts w:hint="eastAsia" w:ascii="宋体" w:hAnsi="宋体" w:cs="宋体"/>
                <w:color w:val="auto"/>
                <w:szCs w:val="21"/>
                <w:highlight w:val="none"/>
              </w:rPr>
              <w:t>2</w:t>
            </w:r>
          </w:p>
        </w:tc>
        <w:tc>
          <w:tcPr>
            <w:tcW w:w="2552" w:type="dxa"/>
            <w:vAlign w:val="center"/>
          </w:tcPr>
          <w:p w14:paraId="4C95C5CD">
            <w:pPr>
              <w:spacing w:line="360" w:lineRule="auto"/>
              <w:jc w:val="center"/>
              <w:rPr>
                <w:rFonts w:hint="eastAsia" w:ascii="宋体" w:hAnsi="宋体" w:cs="宋体"/>
                <w:color w:val="auto"/>
                <w:szCs w:val="21"/>
                <w:highlight w:val="none"/>
              </w:rPr>
            </w:pPr>
          </w:p>
        </w:tc>
        <w:tc>
          <w:tcPr>
            <w:tcW w:w="2874" w:type="dxa"/>
            <w:vAlign w:val="center"/>
          </w:tcPr>
          <w:p w14:paraId="28D21FDE">
            <w:pPr>
              <w:spacing w:line="360" w:lineRule="auto"/>
              <w:rPr>
                <w:rFonts w:hint="eastAsia" w:ascii="宋体" w:hAnsi="宋体" w:cs="宋体"/>
                <w:color w:val="auto"/>
                <w:szCs w:val="21"/>
                <w:highlight w:val="none"/>
              </w:rPr>
            </w:pPr>
          </w:p>
        </w:tc>
        <w:tc>
          <w:tcPr>
            <w:tcW w:w="903" w:type="dxa"/>
            <w:vAlign w:val="center"/>
          </w:tcPr>
          <w:p w14:paraId="201D4BB0">
            <w:pPr>
              <w:spacing w:line="360" w:lineRule="auto"/>
              <w:jc w:val="center"/>
              <w:rPr>
                <w:rFonts w:hint="eastAsia" w:ascii="宋体" w:hAnsi="宋体" w:cs="宋体"/>
                <w:color w:val="auto"/>
                <w:szCs w:val="21"/>
                <w:highlight w:val="none"/>
              </w:rPr>
            </w:pPr>
          </w:p>
        </w:tc>
        <w:tc>
          <w:tcPr>
            <w:tcW w:w="2141" w:type="dxa"/>
            <w:tcBorders>
              <w:right w:val="single" w:color="auto" w:sz="6" w:space="0"/>
            </w:tcBorders>
          </w:tcPr>
          <w:p w14:paraId="1EED4FB8">
            <w:pPr>
              <w:spacing w:line="360" w:lineRule="auto"/>
              <w:rPr>
                <w:rFonts w:hint="eastAsia" w:ascii="宋体" w:hAnsi="宋体" w:cs="宋体"/>
                <w:color w:val="auto"/>
                <w:szCs w:val="21"/>
                <w:highlight w:val="none"/>
              </w:rPr>
            </w:pPr>
          </w:p>
        </w:tc>
      </w:tr>
      <w:tr w14:paraId="40A25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816" w:type="dxa"/>
            <w:tcBorders>
              <w:left w:val="single" w:color="auto" w:sz="6" w:space="0"/>
            </w:tcBorders>
            <w:vAlign w:val="center"/>
          </w:tcPr>
          <w:p w14:paraId="6131A009">
            <w:pPr>
              <w:spacing w:line="360" w:lineRule="auto"/>
              <w:ind w:right="196" w:firstLine="152"/>
              <w:jc w:val="distribute"/>
              <w:rPr>
                <w:rFonts w:hint="eastAsia" w:ascii="宋体" w:hAnsi="宋体" w:cs="宋体"/>
                <w:bCs/>
                <w:color w:val="auto"/>
                <w:highlight w:val="none"/>
              </w:rPr>
            </w:pPr>
            <w:r>
              <w:rPr>
                <w:rFonts w:hint="eastAsia" w:ascii="宋体" w:hAnsi="宋体" w:cs="宋体"/>
                <w:bCs/>
                <w:color w:val="auto"/>
                <w:highlight w:val="none"/>
              </w:rPr>
              <w:t>3</w:t>
            </w:r>
          </w:p>
        </w:tc>
        <w:tc>
          <w:tcPr>
            <w:tcW w:w="2552" w:type="dxa"/>
            <w:vAlign w:val="center"/>
          </w:tcPr>
          <w:p w14:paraId="47D5605F">
            <w:pPr>
              <w:spacing w:line="360" w:lineRule="auto"/>
              <w:jc w:val="center"/>
              <w:rPr>
                <w:rFonts w:hint="eastAsia" w:ascii="宋体" w:hAnsi="宋体" w:cs="宋体"/>
                <w:color w:val="auto"/>
                <w:szCs w:val="21"/>
                <w:highlight w:val="none"/>
              </w:rPr>
            </w:pPr>
          </w:p>
        </w:tc>
        <w:tc>
          <w:tcPr>
            <w:tcW w:w="2874" w:type="dxa"/>
            <w:vAlign w:val="center"/>
          </w:tcPr>
          <w:p w14:paraId="5FDEF3F4">
            <w:pPr>
              <w:tabs>
                <w:tab w:val="left" w:pos="3210"/>
              </w:tabs>
              <w:spacing w:line="360" w:lineRule="auto"/>
              <w:rPr>
                <w:rFonts w:hint="eastAsia" w:ascii="宋体" w:hAnsi="宋体" w:cs="宋体"/>
                <w:bCs/>
                <w:color w:val="auto"/>
                <w:highlight w:val="none"/>
              </w:rPr>
            </w:pPr>
          </w:p>
        </w:tc>
        <w:tc>
          <w:tcPr>
            <w:tcW w:w="903" w:type="dxa"/>
            <w:vAlign w:val="center"/>
          </w:tcPr>
          <w:p w14:paraId="0741B082">
            <w:pPr>
              <w:tabs>
                <w:tab w:val="left" w:pos="3210"/>
              </w:tabs>
              <w:spacing w:line="360" w:lineRule="auto"/>
              <w:jc w:val="center"/>
              <w:rPr>
                <w:rFonts w:hint="eastAsia" w:ascii="宋体" w:hAnsi="宋体" w:cs="宋体"/>
                <w:bCs/>
                <w:color w:val="auto"/>
                <w:highlight w:val="none"/>
              </w:rPr>
            </w:pPr>
          </w:p>
        </w:tc>
        <w:tc>
          <w:tcPr>
            <w:tcW w:w="2141" w:type="dxa"/>
            <w:tcBorders>
              <w:right w:val="single" w:color="auto" w:sz="6" w:space="0"/>
            </w:tcBorders>
          </w:tcPr>
          <w:p w14:paraId="7E1D2F09">
            <w:pPr>
              <w:tabs>
                <w:tab w:val="left" w:pos="3210"/>
              </w:tabs>
              <w:spacing w:line="360" w:lineRule="auto"/>
              <w:rPr>
                <w:rFonts w:hint="eastAsia" w:ascii="宋体" w:hAnsi="宋体" w:cs="宋体"/>
                <w:bCs/>
                <w:color w:val="auto"/>
                <w:highlight w:val="none"/>
              </w:rPr>
            </w:pPr>
          </w:p>
        </w:tc>
      </w:tr>
      <w:tr w14:paraId="48269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816" w:type="dxa"/>
            <w:tcBorders>
              <w:top w:val="single" w:color="auto" w:sz="4" w:space="0"/>
              <w:left w:val="single" w:color="auto" w:sz="6" w:space="0"/>
              <w:bottom w:val="single" w:color="auto" w:sz="4" w:space="0"/>
            </w:tcBorders>
            <w:vAlign w:val="center"/>
          </w:tcPr>
          <w:p w14:paraId="2E9EB85E">
            <w:pPr>
              <w:spacing w:line="360" w:lineRule="auto"/>
              <w:ind w:right="196" w:firstLine="152"/>
              <w:jc w:val="distribute"/>
              <w:rPr>
                <w:rFonts w:hint="eastAsia"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bottom w:val="single" w:color="auto" w:sz="4" w:space="0"/>
            </w:tcBorders>
            <w:vAlign w:val="center"/>
          </w:tcPr>
          <w:p w14:paraId="1A13C152">
            <w:pPr>
              <w:spacing w:line="360" w:lineRule="auto"/>
              <w:jc w:val="center"/>
              <w:rPr>
                <w:rFonts w:hint="eastAsia" w:ascii="宋体" w:hAnsi="宋体" w:cs="宋体"/>
                <w:color w:val="auto"/>
                <w:szCs w:val="21"/>
                <w:highlight w:val="none"/>
              </w:rPr>
            </w:pPr>
          </w:p>
        </w:tc>
        <w:tc>
          <w:tcPr>
            <w:tcW w:w="2874" w:type="dxa"/>
            <w:tcBorders>
              <w:top w:val="single" w:color="auto" w:sz="4" w:space="0"/>
              <w:bottom w:val="single" w:color="auto" w:sz="4" w:space="0"/>
            </w:tcBorders>
            <w:vAlign w:val="center"/>
          </w:tcPr>
          <w:p w14:paraId="02EC3219">
            <w:pPr>
              <w:spacing w:line="360" w:lineRule="auto"/>
              <w:rPr>
                <w:rFonts w:hint="eastAsia" w:ascii="宋体" w:hAnsi="宋体" w:cs="宋体"/>
                <w:color w:val="auto"/>
                <w:szCs w:val="21"/>
                <w:highlight w:val="none"/>
              </w:rPr>
            </w:pPr>
          </w:p>
        </w:tc>
        <w:tc>
          <w:tcPr>
            <w:tcW w:w="903" w:type="dxa"/>
            <w:tcBorders>
              <w:top w:val="single" w:color="auto" w:sz="4" w:space="0"/>
              <w:bottom w:val="single" w:color="auto" w:sz="4" w:space="0"/>
            </w:tcBorders>
            <w:vAlign w:val="center"/>
          </w:tcPr>
          <w:p w14:paraId="3A4A8B40">
            <w:pPr>
              <w:spacing w:line="360" w:lineRule="auto"/>
              <w:jc w:val="center"/>
              <w:rPr>
                <w:rFonts w:hint="eastAsia" w:ascii="宋体" w:hAnsi="宋体" w:cs="宋体"/>
                <w:color w:val="auto"/>
                <w:szCs w:val="21"/>
                <w:highlight w:val="none"/>
              </w:rPr>
            </w:pPr>
          </w:p>
        </w:tc>
        <w:tc>
          <w:tcPr>
            <w:tcW w:w="2141" w:type="dxa"/>
            <w:tcBorders>
              <w:top w:val="single" w:color="auto" w:sz="4" w:space="0"/>
              <w:bottom w:val="single" w:color="auto" w:sz="4" w:space="0"/>
              <w:right w:val="single" w:color="auto" w:sz="6" w:space="0"/>
            </w:tcBorders>
          </w:tcPr>
          <w:p w14:paraId="58CCE97F">
            <w:pPr>
              <w:spacing w:line="360" w:lineRule="auto"/>
              <w:rPr>
                <w:rFonts w:hint="eastAsia" w:ascii="宋体" w:hAnsi="宋体" w:cs="宋体"/>
                <w:color w:val="auto"/>
                <w:szCs w:val="21"/>
                <w:highlight w:val="none"/>
              </w:rPr>
            </w:pPr>
          </w:p>
        </w:tc>
      </w:tr>
      <w:tr w14:paraId="67D8D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816" w:type="dxa"/>
            <w:tcBorders>
              <w:top w:val="single" w:color="auto" w:sz="4" w:space="0"/>
              <w:left w:val="single" w:color="auto" w:sz="6" w:space="0"/>
              <w:bottom w:val="single" w:color="auto" w:sz="4" w:space="0"/>
            </w:tcBorders>
            <w:vAlign w:val="center"/>
          </w:tcPr>
          <w:p w14:paraId="0B651BDB">
            <w:pPr>
              <w:spacing w:line="360" w:lineRule="auto"/>
              <w:ind w:right="196" w:firstLine="152"/>
              <w:jc w:val="distribute"/>
              <w:rPr>
                <w:rFonts w:hint="eastAsia"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bottom w:val="single" w:color="auto" w:sz="4" w:space="0"/>
            </w:tcBorders>
            <w:vAlign w:val="center"/>
          </w:tcPr>
          <w:p w14:paraId="40EA4EA4">
            <w:pPr>
              <w:spacing w:line="360" w:lineRule="auto"/>
              <w:jc w:val="center"/>
              <w:rPr>
                <w:rFonts w:hint="eastAsia" w:ascii="宋体" w:hAnsi="宋体" w:cs="宋体"/>
                <w:color w:val="auto"/>
                <w:szCs w:val="21"/>
                <w:highlight w:val="none"/>
              </w:rPr>
            </w:pPr>
          </w:p>
        </w:tc>
        <w:tc>
          <w:tcPr>
            <w:tcW w:w="2874" w:type="dxa"/>
            <w:tcBorders>
              <w:top w:val="single" w:color="auto" w:sz="4" w:space="0"/>
              <w:bottom w:val="single" w:color="auto" w:sz="4" w:space="0"/>
            </w:tcBorders>
            <w:vAlign w:val="center"/>
          </w:tcPr>
          <w:p w14:paraId="77D7B840">
            <w:pPr>
              <w:spacing w:line="360" w:lineRule="auto"/>
              <w:rPr>
                <w:rFonts w:hint="eastAsia" w:ascii="宋体" w:hAnsi="宋体" w:cs="宋体"/>
                <w:color w:val="auto"/>
                <w:szCs w:val="21"/>
                <w:highlight w:val="none"/>
              </w:rPr>
            </w:pPr>
          </w:p>
        </w:tc>
        <w:tc>
          <w:tcPr>
            <w:tcW w:w="903" w:type="dxa"/>
            <w:tcBorders>
              <w:top w:val="single" w:color="auto" w:sz="4" w:space="0"/>
              <w:bottom w:val="single" w:color="auto" w:sz="4" w:space="0"/>
            </w:tcBorders>
            <w:vAlign w:val="center"/>
          </w:tcPr>
          <w:p w14:paraId="29C464D0">
            <w:pPr>
              <w:spacing w:line="360" w:lineRule="auto"/>
              <w:jc w:val="center"/>
              <w:rPr>
                <w:rFonts w:hint="eastAsia" w:ascii="宋体" w:hAnsi="宋体" w:cs="宋体"/>
                <w:color w:val="auto"/>
                <w:szCs w:val="21"/>
                <w:highlight w:val="none"/>
              </w:rPr>
            </w:pPr>
          </w:p>
        </w:tc>
        <w:tc>
          <w:tcPr>
            <w:tcW w:w="2141" w:type="dxa"/>
            <w:tcBorders>
              <w:top w:val="single" w:color="auto" w:sz="4" w:space="0"/>
              <w:bottom w:val="single" w:color="auto" w:sz="4" w:space="0"/>
              <w:right w:val="single" w:color="auto" w:sz="6" w:space="0"/>
            </w:tcBorders>
          </w:tcPr>
          <w:p w14:paraId="6E5C5940">
            <w:pPr>
              <w:spacing w:line="360" w:lineRule="auto"/>
              <w:rPr>
                <w:rFonts w:hint="eastAsia" w:ascii="宋体" w:hAnsi="宋体" w:cs="宋体"/>
                <w:color w:val="auto"/>
                <w:szCs w:val="21"/>
                <w:highlight w:val="none"/>
              </w:rPr>
            </w:pPr>
          </w:p>
        </w:tc>
      </w:tr>
      <w:tr w14:paraId="037AF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16" w:type="dxa"/>
            <w:tcBorders>
              <w:top w:val="single" w:color="auto" w:sz="4" w:space="0"/>
              <w:left w:val="single" w:color="auto" w:sz="6" w:space="0"/>
              <w:bottom w:val="single" w:color="auto" w:sz="4" w:space="0"/>
            </w:tcBorders>
            <w:vAlign w:val="center"/>
          </w:tcPr>
          <w:p w14:paraId="04A3F5F8">
            <w:pPr>
              <w:spacing w:line="360" w:lineRule="auto"/>
              <w:ind w:right="196" w:firstLine="152"/>
              <w:jc w:val="distribute"/>
              <w:rPr>
                <w:rFonts w:hint="eastAsia" w:ascii="宋体" w:hAnsi="宋体" w:cs="宋体"/>
                <w:color w:val="auto"/>
                <w:szCs w:val="21"/>
                <w:highlight w:val="none"/>
              </w:rPr>
            </w:pPr>
            <w:r>
              <w:rPr>
                <w:rFonts w:hint="eastAsia" w:ascii="宋体" w:hAnsi="宋体" w:cs="宋体"/>
                <w:color w:val="auto"/>
                <w:szCs w:val="21"/>
                <w:highlight w:val="none"/>
              </w:rPr>
              <w:t>6</w:t>
            </w:r>
          </w:p>
        </w:tc>
        <w:tc>
          <w:tcPr>
            <w:tcW w:w="2552" w:type="dxa"/>
            <w:tcBorders>
              <w:top w:val="single" w:color="auto" w:sz="4" w:space="0"/>
              <w:bottom w:val="single" w:color="auto" w:sz="4" w:space="0"/>
            </w:tcBorders>
            <w:vAlign w:val="center"/>
          </w:tcPr>
          <w:p w14:paraId="211FD235">
            <w:pPr>
              <w:spacing w:line="360" w:lineRule="auto"/>
              <w:jc w:val="center"/>
              <w:rPr>
                <w:rFonts w:hint="eastAsia" w:ascii="宋体" w:hAnsi="宋体" w:cs="宋体"/>
                <w:color w:val="auto"/>
                <w:szCs w:val="21"/>
                <w:highlight w:val="none"/>
              </w:rPr>
            </w:pPr>
          </w:p>
        </w:tc>
        <w:tc>
          <w:tcPr>
            <w:tcW w:w="2874" w:type="dxa"/>
            <w:tcBorders>
              <w:top w:val="single" w:color="auto" w:sz="4" w:space="0"/>
              <w:bottom w:val="single" w:color="auto" w:sz="4" w:space="0"/>
            </w:tcBorders>
            <w:vAlign w:val="center"/>
          </w:tcPr>
          <w:p w14:paraId="5CD00E0C">
            <w:pPr>
              <w:spacing w:line="360" w:lineRule="auto"/>
              <w:rPr>
                <w:rFonts w:hint="eastAsia" w:ascii="宋体" w:hAnsi="宋体" w:cs="宋体"/>
                <w:color w:val="auto"/>
                <w:szCs w:val="21"/>
                <w:highlight w:val="none"/>
              </w:rPr>
            </w:pPr>
          </w:p>
        </w:tc>
        <w:tc>
          <w:tcPr>
            <w:tcW w:w="903" w:type="dxa"/>
            <w:tcBorders>
              <w:top w:val="single" w:color="auto" w:sz="4" w:space="0"/>
              <w:bottom w:val="single" w:color="auto" w:sz="4" w:space="0"/>
            </w:tcBorders>
            <w:vAlign w:val="center"/>
          </w:tcPr>
          <w:p w14:paraId="34B7D78C">
            <w:pPr>
              <w:spacing w:line="360" w:lineRule="auto"/>
              <w:jc w:val="center"/>
              <w:rPr>
                <w:rFonts w:hint="eastAsia" w:ascii="宋体" w:hAnsi="宋体" w:cs="宋体"/>
                <w:color w:val="auto"/>
                <w:szCs w:val="21"/>
                <w:highlight w:val="none"/>
              </w:rPr>
            </w:pPr>
          </w:p>
        </w:tc>
        <w:tc>
          <w:tcPr>
            <w:tcW w:w="2141" w:type="dxa"/>
            <w:tcBorders>
              <w:top w:val="single" w:color="auto" w:sz="4" w:space="0"/>
              <w:bottom w:val="single" w:color="auto" w:sz="4" w:space="0"/>
              <w:right w:val="single" w:color="auto" w:sz="6" w:space="0"/>
            </w:tcBorders>
          </w:tcPr>
          <w:p w14:paraId="0BD4F300">
            <w:pPr>
              <w:spacing w:line="360" w:lineRule="auto"/>
              <w:rPr>
                <w:rFonts w:hint="eastAsia" w:ascii="宋体" w:hAnsi="宋体" w:cs="宋体"/>
                <w:color w:val="auto"/>
                <w:szCs w:val="21"/>
                <w:highlight w:val="none"/>
              </w:rPr>
            </w:pPr>
          </w:p>
        </w:tc>
      </w:tr>
      <w:tr w14:paraId="61D83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16" w:type="dxa"/>
            <w:tcBorders>
              <w:top w:val="single" w:color="auto" w:sz="4" w:space="0"/>
              <w:left w:val="single" w:color="auto" w:sz="6" w:space="0"/>
              <w:bottom w:val="single" w:color="auto" w:sz="4" w:space="0"/>
            </w:tcBorders>
            <w:vAlign w:val="center"/>
          </w:tcPr>
          <w:p w14:paraId="1EA31A9C">
            <w:pPr>
              <w:spacing w:line="360" w:lineRule="auto"/>
              <w:ind w:right="196" w:firstLine="152"/>
              <w:jc w:val="distribute"/>
              <w:rPr>
                <w:rFonts w:hint="eastAsia"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bottom w:val="single" w:color="auto" w:sz="4" w:space="0"/>
            </w:tcBorders>
            <w:vAlign w:val="center"/>
          </w:tcPr>
          <w:p w14:paraId="72408B04">
            <w:pPr>
              <w:spacing w:line="360" w:lineRule="auto"/>
              <w:jc w:val="center"/>
              <w:rPr>
                <w:rFonts w:hint="eastAsia" w:ascii="宋体" w:hAnsi="宋体" w:cs="宋体"/>
                <w:color w:val="auto"/>
                <w:szCs w:val="21"/>
                <w:highlight w:val="none"/>
              </w:rPr>
            </w:pPr>
          </w:p>
        </w:tc>
        <w:tc>
          <w:tcPr>
            <w:tcW w:w="2874" w:type="dxa"/>
            <w:tcBorders>
              <w:top w:val="single" w:color="auto" w:sz="4" w:space="0"/>
              <w:bottom w:val="single" w:color="auto" w:sz="4" w:space="0"/>
            </w:tcBorders>
            <w:vAlign w:val="center"/>
          </w:tcPr>
          <w:p w14:paraId="31220912">
            <w:pPr>
              <w:spacing w:line="360" w:lineRule="auto"/>
              <w:rPr>
                <w:rFonts w:hint="eastAsia" w:ascii="宋体" w:hAnsi="宋体" w:cs="宋体"/>
                <w:color w:val="auto"/>
                <w:szCs w:val="21"/>
                <w:highlight w:val="none"/>
              </w:rPr>
            </w:pPr>
          </w:p>
        </w:tc>
        <w:tc>
          <w:tcPr>
            <w:tcW w:w="903" w:type="dxa"/>
            <w:tcBorders>
              <w:top w:val="single" w:color="auto" w:sz="4" w:space="0"/>
              <w:bottom w:val="single" w:color="auto" w:sz="4" w:space="0"/>
            </w:tcBorders>
            <w:vAlign w:val="center"/>
          </w:tcPr>
          <w:p w14:paraId="01C2D1AF">
            <w:pPr>
              <w:spacing w:line="360" w:lineRule="auto"/>
              <w:jc w:val="center"/>
              <w:rPr>
                <w:rFonts w:hint="eastAsia" w:ascii="宋体" w:hAnsi="宋体" w:cs="宋体"/>
                <w:color w:val="auto"/>
                <w:szCs w:val="21"/>
                <w:highlight w:val="none"/>
              </w:rPr>
            </w:pPr>
          </w:p>
        </w:tc>
        <w:tc>
          <w:tcPr>
            <w:tcW w:w="2141" w:type="dxa"/>
            <w:tcBorders>
              <w:top w:val="single" w:color="auto" w:sz="4" w:space="0"/>
              <w:bottom w:val="single" w:color="auto" w:sz="4" w:space="0"/>
              <w:right w:val="single" w:color="auto" w:sz="6" w:space="0"/>
            </w:tcBorders>
          </w:tcPr>
          <w:p w14:paraId="29F2C765">
            <w:pPr>
              <w:spacing w:line="360" w:lineRule="auto"/>
              <w:rPr>
                <w:rFonts w:hint="eastAsia" w:ascii="宋体" w:hAnsi="宋体" w:cs="宋体"/>
                <w:color w:val="auto"/>
                <w:szCs w:val="21"/>
                <w:highlight w:val="none"/>
              </w:rPr>
            </w:pPr>
          </w:p>
        </w:tc>
      </w:tr>
      <w:tr w14:paraId="28091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16" w:type="dxa"/>
            <w:tcBorders>
              <w:top w:val="single" w:color="auto" w:sz="4" w:space="0"/>
              <w:left w:val="single" w:color="auto" w:sz="6" w:space="0"/>
              <w:bottom w:val="single" w:color="auto" w:sz="4" w:space="0"/>
            </w:tcBorders>
            <w:vAlign w:val="center"/>
          </w:tcPr>
          <w:p w14:paraId="3EB3724F">
            <w:pPr>
              <w:spacing w:line="360" w:lineRule="auto"/>
              <w:ind w:right="196" w:firstLine="152"/>
              <w:jc w:val="distribute"/>
              <w:rPr>
                <w:rFonts w:hint="eastAsia"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bottom w:val="single" w:color="auto" w:sz="4" w:space="0"/>
            </w:tcBorders>
            <w:vAlign w:val="center"/>
          </w:tcPr>
          <w:p w14:paraId="05351BAB">
            <w:pPr>
              <w:spacing w:line="360" w:lineRule="auto"/>
              <w:jc w:val="center"/>
              <w:rPr>
                <w:rFonts w:hint="eastAsia" w:ascii="宋体" w:hAnsi="宋体" w:cs="宋体"/>
                <w:color w:val="auto"/>
                <w:szCs w:val="21"/>
                <w:highlight w:val="none"/>
              </w:rPr>
            </w:pPr>
          </w:p>
        </w:tc>
        <w:tc>
          <w:tcPr>
            <w:tcW w:w="2874" w:type="dxa"/>
            <w:tcBorders>
              <w:top w:val="single" w:color="auto" w:sz="4" w:space="0"/>
              <w:bottom w:val="single" w:color="auto" w:sz="4" w:space="0"/>
            </w:tcBorders>
            <w:vAlign w:val="center"/>
          </w:tcPr>
          <w:p w14:paraId="61730FDD">
            <w:pPr>
              <w:spacing w:line="360" w:lineRule="auto"/>
              <w:rPr>
                <w:rFonts w:hint="eastAsia" w:ascii="宋体" w:hAnsi="宋体" w:cs="宋体"/>
                <w:color w:val="auto"/>
                <w:szCs w:val="21"/>
                <w:highlight w:val="none"/>
              </w:rPr>
            </w:pPr>
          </w:p>
        </w:tc>
        <w:tc>
          <w:tcPr>
            <w:tcW w:w="903" w:type="dxa"/>
            <w:tcBorders>
              <w:top w:val="single" w:color="auto" w:sz="4" w:space="0"/>
              <w:bottom w:val="single" w:color="auto" w:sz="4" w:space="0"/>
            </w:tcBorders>
            <w:vAlign w:val="center"/>
          </w:tcPr>
          <w:p w14:paraId="16347997">
            <w:pPr>
              <w:spacing w:line="360" w:lineRule="auto"/>
              <w:jc w:val="center"/>
              <w:rPr>
                <w:rFonts w:hint="eastAsia" w:ascii="宋体" w:hAnsi="宋体" w:cs="宋体"/>
                <w:color w:val="auto"/>
                <w:szCs w:val="21"/>
                <w:highlight w:val="none"/>
              </w:rPr>
            </w:pPr>
          </w:p>
        </w:tc>
        <w:tc>
          <w:tcPr>
            <w:tcW w:w="2141" w:type="dxa"/>
            <w:tcBorders>
              <w:top w:val="single" w:color="auto" w:sz="4" w:space="0"/>
              <w:bottom w:val="single" w:color="auto" w:sz="4" w:space="0"/>
              <w:right w:val="single" w:color="auto" w:sz="6" w:space="0"/>
            </w:tcBorders>
          </w:tcPr>
          <w:p w14:paraId="76294355">
            <w:pPr>
              <w:spacing w:line="360" w:lineRule="auto"/>
              <w:rPr>
                <w:rFonts w:hint="eastAsia" w:ascii="宋体" w:hAnsi="宋体" w:cs="宋体"/>
                <w:color w:val="auto"/>
                <w:szCs w:val="21"/>
                <w:highlight w:val="none"/>
              </w:rPr>
            </w:pPr>
          </w:p>
        </w:tc>
      </w:tr>
      <w:tr w14:paraId="14703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16" w:type="dxa"/>
            <w:tcBorders>
              <w:top w:val="single" w:color="auto" w:sz="4" w:space="0"/>
              <w:left w:val="single" w:color="auto" w:sz="6" w:space="0"/>
              <w:bottom w:val="single" w:color="auto" w:sz="4" w:space="0"/>
            </w:tcBorders>
            <w:vAlign w:val="center"/>
          </w:tcPr>
          <w:p w14:paraId="00CCCA83">
            <w:pPr>
              <w:spacing w:line="360" w:lineRule="auto"/>
              <w:ind w:right="196" w:firstLine="152"/>
              <w:jc w:val="distribute"/>
              <w:rPr>
                <w:rFonts w:hint="eastAsia"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bottom w:val="single" w:color="auto" w:sz="4" w:space="0"/>
            </w:tcBorders>
            <w:vAlign w:val="center"/>
          </w:tcPr>
          <w:p w14:paraId="4B81C1C8">
            <w:pPr>
              <w:spacing w:line="360" w:lineRule="auto"/>
              <w:jc w:val="center"/>
              <w:rPr>
                <w:rFonts w:hint="eastAsia" w:ascii="宋体" w:hAnsi="宋体" w:cs="宋体"/>
                <w:color w:val="auto"/>
                <w:szCs w:val="21"/>
                <w:highlight w:val="none"/>
              </w:rPr>
            </w:pPr>
          </w:p>
        </w:tc>
        <w:tc>
          <w:tcPr>
            <w:tcW w:w="2874" w:type="dxa"/>
            <w:tcBorders>
              <w:top w:val="single" w:color="auto" w:sz="4" w:space="0"/>
              <w:bottom w:val="single" w:color="auto" w:sz="4" w:space="0"/>
            </w:tcBorders>
            <w:vAlign w:val="center"/>
          </w:tcPr>
          <w:p w14:paraId="4BF3E65B">
            <w:pPr>
              <w:spacing w:line="360" w:lineRule="auto"/>
              <w:rPr>
                <w:rFonts w:hint="eastAsia" w:ascii="宋体" w:hAnsi="宋体" w:cs="宋体"/>
                <w:color w:val="auto"/>
                <w:szCs w:val="21"/>
                <w:highlight w:val="none"/>
              </w:rPr>
            </w:pPr>
          </w:p>
        </w:tc>
        <w:tc>
          <w:tcPr>
            <w:tcW w:w="903" w:type="dxa"/>
            <w:tcBorders>
              <w:top w:val="single" w:color="auto" w:sz="4" w:space="0"/>
              <w:bottom w:val="single" w:color="auto" w:sz="4" w:space="0"/>
            </w:tcBorders>
            <w:vAlign w:val="center"/>
          </w:tcPr>
          <w:p w14:paraId="66D9080C">
            <w:pPr>
              <w:spacing w:line="360" w:lineRule="auto"/>
              <w:jc w:val="center"/>
              <w:rPr>
                <w:rFonts w:hint="eastAsia" w:ascii="宋体" w:hAnsi="宋体" w:cs="宋体"/>
                <w:color w:val="auto"/>
                <w:szCs w:val="21"/>
                <w:highlight w:val="none"/>
              </w:rPr>
            </w:pPr>
          </w:p>
        </w:tc>
        <w:tc>
          <w:tcPr>
            <w:tcW w:w="2141" w:type="dxa"/>
            <w:tcBorders>
              <w:top w:val="single" w:color="auto" w:sz="4" w:space="0"/>
              <w:bottom w:val="single" w:color="auto" w:sz="4" w:space="0"/>
              <w:right w:val="single" w:color="auto" w:sz="6" w:space="0"/>
            </w:tcBorders>
          </w:tcPr>
          <w:p w14:paraId="2F16B024">
            <w:pPr>
              <w:spacing w:line="360" w:lineRule="auto"/>
              <w:rPr>
                <w:rFonts w:hint="eastAsia" w:ascii="宋体" w:hAnsi="宋体" w:cs="宋体"/>
                <w:color w:val="auto"/>
                <w:szCs w:val="21"/>
                <w:highlight w:val="none"/>
              </w:rPr>
            </w:pPr>
          </w:p>
        </w:tc>
      </w:tr>
    </w:tbl>
    <w:p w14:paraId="2F2C3A63">
      <w:pPr>
        <w:ind w:left="840" w:hanging="840" w:hangingChars="400"/>
        <w:rPr>
          <w:rFonts w:hint="eastAsia" w:ascii="宋体" w:hAnsi="宋体" w:cs="宋体"/>
          <w:color w:val="auto"/>
          <w:highlight w:val="none"/>
        </w:rPr>
      </w:pPr>
    </w:p>
    <w:p w14:paraId="4EC8C673">
      <w:pPr>
        <w:snapToGrid w:val="0"/>
        <w:spacing w:line="360" w:lineRule="auto"/>
        <w:rPr>
          <w:rFonts w:hint="eastAsia" w:ascii="宋体" w:hAnsi="宋体" w:cs="宋体"/>
          <w:color w:val="auto"/>
          <w:szCs w:val="21"/>
          <w:highlight w:val="none"/>
        </w:rPr>
      </w:pPr>
    </w:p>
    <w:p w14:paraId="0772057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3C4972D6">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68C7613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3E892C1">
      <w:pPr>
        <w:spacing w:line="360" w:lineRule="auto"/>
        <w:rPr>
          <w:rFonts w:hint="eastAsia" w:ascii="宋体" w:hAnsi="宋体" w:cs="宋体"/>
          <w:color w:val="auto"/>
          <w:highlight w:val="none"/>
        </w:rPr>
      </w:pPr>
    </w:p>
    <w:p w14:paraId="4C52DCEA">
      <w:pPr>
        <w:spacing w:line="360" w:lineRule="auto"/>
        <w:rPr>
          <w:rFonts w:hint="eastAsia" w:ascii="宋体" w:hAnsi="宋体" w:cs="宋体"/>
          <w:color w:val="auto"/>
          <w:highlight w:val="none"/>
        </w:rPr>
      </w:pPr>
    </w:p>
    <w:p w14:paraId="21F1DEF1">
      <w:pPr>
        <w:rPr>
          <w:rFonts w:hint="eastAsia" w:ascii="宋体" w:hAnsi="宋体" w:cs="宋体"/>
          <w:color w:val="auto"/>
          <w:highlight w:val="none"/>
        </w:rPr>
      </w:pPr>
    </w:p>
    <w:p w14:paraId="57028689">
      <w:pPr>
        <w:spacing w:line="360" w:lineRule="auto"/>
        <w:rPr>
          <w:rFonts w:hint="eastAsia" w:ascii="宋体" w:hAnsi="宋体" w:cs="宋体"/>
          <w:color w:val="auto"/>
          <w:szCs w:val="21"/>
          <w:highlight w:val="none"/>
        </w:rPr>
      </w:pPr>
    </w:p>
    <w:p w14:paraId="16F01E72">
      <w:pPr>
        <w:spacing w:line="360" w:lineRule="auto"/>
        <w:rPr>
          <w:rFonts w:hint="eastAsia" w:ascii="宋体" w:hAnsi="宋体" w:cs="宋体"/>
          <w:color w:val="auto"/>
          <w:szCs w:val="21"/>
          <w:highlight w:val="none"/>
        </w:rPr>
      </w:pPr>
    </w:p>
    <w:p w14:paraId="14CCCBBD">
      <w:pPr>
        <w:spacing w:line="360" w:lineRule="auto"/>
        <w:rPr>
          <w:rFonts w:hint="eastAsia" w:ascii="宋体" w:hAnsi="宋体" w:cs="宋体"/>
          <w:color w:val="auto"/>
          <w:szCs w:val="21"/>
          <w:highlight w:val="none"/>
        </w:rPr>
      </w:pPr>
    </w:p>
    <w:p w14:paraId="727F641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8. 《合同书》响应表格式</w:t>
      </w:r>
    </w:p>
    <w:p w14:paraId="1C30B7E7">
      <w:pPr>
        <w:tabs>
          <w:tab w:val="left" w:pos="840"/>
        </w:tabs>
        <w:spacing w:line="360" w:lineRule="auto"/>
        <w:jc w:val="center"/>
        <w:rPr>
          <w:rFonts w:hint="eastAsia" w:ascii="宋体" w:hAnsi="宋体" w:cs="宋体"/>
          <w:color w:val="auto"/>
          <w:szCs w:val="21"/>
          <w:highlight w:val="none"/>
        </w:rPr>
      </w:pPr>
      <w:r>
        <w:rPr>
          <w:rFonts w:hint="eastAsia" w:ascii="宋体" w:hAnsi="宋体" w:cs="宋体"/>
          <w:b/>
          <w:color w:val="auto"/>
          <w:sz w:val="28"/>
          <w:highlight w:val="none"/>
        </w:rPr>
        <w:t>《合同书》响应表</w:t>
      </w:r>
    </w:p>
    <w:p w14:paraId="140BED11">
      <w:pPr>
        <w:ind w:firstLine="105" w:firstLineChars="50"/>
        <w:rPr>
          <w:rFonts w:hint="eastAsia" w:ascii="宋体" w:hAnsi="宋体" w:cs="宋体"/>
          <w:bCs/>
          <w:color w:val="auto"/>
          <w:highlight w:val="none"/>
        </w:rPr>
      </w:pPr>
    </w:p>
    <w:p w14:paraId="289257FB">
      <w:pPr>
        <w:spacing w:before="0" w:beforeLines="0" w:line="360" w:lineRule="auto"/>
        <w:ind w:firstLine="210" w:firstLineChars="100"/>
        <w:rPr>
          <w:rFonts w:hint="eastAsia" w:ascii="宋体" w:hAnsi="宋体" w:eastAsia="宋体" w:cs="宋体"/>
          <w:bCs/>
          <w:color w:val="auto"/>
          <w:highlight w:val="none"/>
          <w:lang w:eastAsia="zh-CN"/>
        </w:rPr>
      </w:pPr>
      <w:r>
        <w:rPr>
          <w:rFonts w:hint="eastAsia" w:ascii="宋体" w:hAnsi="宋体" w:cs="宋体"/>
          <w:color w:val="auto"/>
          <w:szCs w:val="21"/>
          <w:highlight w:val="none"/>
        </w:rPr>
        <w:t>项目名称：</w:t>
      </w:r>
      <w:r>
        <w:rPr>
          <w:rFonts w:hint="eastAsia" w:ascii="宋体" w:hAnsi="宋体" w:cs="宋体"/>
          <w:bCs/>
          <w:color w:val="auto"/>
          <w:highlight w:val="none"/>
          <w:lang w:eastAsia="zh-CN"/>
        </w:rPr>
        <w:t>征集2026年—2028年校园桶装饮用水服务商</w:t>
      </w:r>
    </w:p>
    <w:p w14:paraId="1145F182">
      <w:pPr>
        <w:spacing w:before="0" w:beforeLines="0" w:line="360" w:lineRule="auto"/>
        <w:ind w:firstLine="210" w:firstLineChars="100"/>
        <w:rPr>
          <w:rFonts w:hint="eastAsia" w:ascii="宋体" w:hAnsi="宋体" w:cs="宋体"/>
          <w:color w:val="auto"/>
          <w:szCs w:val="28"/>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CQZB260018</w:t>
      </w:r>
      <w:r>
        <w:rPr>
          <w:rFonts w:hint="eastAsia" w:ascii="宋体" w:hAnsi="宋体" w:cs="宋体"/>
          <w:color w:val="auto"/>
          <w:szCs w:val="28"/>
          <w:highlight w:val="none"/>
        </w:rPr>
        <w:t xml:space="preserve"> </w:t>
      </w:r>
    </w:p>
    <w:p w14:paraId="434EB9FB">
      <w:pPr>
        <w:spacing w:line="360" w:lineRule="auto"/>
        <w:ind w:left="825" w:hanging="825" w:hangingChars="393"/>
        <w:rPr>
          <w:rFonts w:hint="eastAsia" w:ascii="宋体" w:hAnsi="宋体" w:cs="宋体"/>
          <w:color w:val="auto"/>
          <w:highlight w:val="none"/>
        </w:rPr>
      </w:pPr>
      <w:r>
        <w:rPr>
          <w:rFonts w:hint="eastAsia" w:ascii="宋体" w:hAnsi="宋体" w:cs="宋体"/>
          <w:color w:val="auto"/>
          <w:highlight w:val="none"/>
        </w:rPr>
        <w:t xml:space="preserve"> [说明]投标人应对照招标文件要求与投标的实际情况对招标文件中《合同书》的条款内容作全面响应。完全满足的在“响应”栏中打“√”，若有差异的请在“差异”栏中</w:t>
      </w:r>
      <w:r>
        <w:rPr>
          <w:rFonts w:hint="eastAsia" w:ascii="宋体" w:hAnsi="宋体" w:cs="宋体"/>
          <w:color w:val="auto"/>
          <w:szCs w:val="21"/>
          <w:highlight w:val="none"/>
        </w:rPr>
        <w:t>如实注明是“正偏差”或“负偏差”，（“正偏差”指投标人响应的合同条款优于招标文件中要求，“负偏差”指投标人响应的合同条款低于招标文件中要求）</w:t>
      </w:r>
      <w:r>
        <w:rPr>
          <w:rFonts w:hint="eastAsia" w:ascii="宋体" w:hAnsi="宋体" w:cs="宋体"/>
          <w:color w:val="auto"/>
          <w:highlight w:val="none"/>
        </w:rPr>
        <w:t>，并将差异情况在差异表说明。（</w:t>
      </w:r>
      <w:r>
        <w:rPr>
          <w:rFonts w:hint="eastAsia" w:ascii="宋体" w:hAnsi="宋体" w:cs="宋体"/>
          <w:color w:val="auto"/>
          <w:highlight w:val="none"/>
          <w:u w:val="single"/>
        </w:rPr>
        <w:t>不填写或漏填的内容，该条款不响应）。</w:t>
      </w:r>
    </w:p>
    <w:tbl>
      <w:tblPr>
        <w:tblStyle w:val="49"/>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21"/>
        <w:gridCol w:w="1890"/>
        <w:gridCol w:w="2082"/>
        <w:gridCol w:w="913"/>
        <w:gridCol w:w="2169"/>
      </w:tblGrid>
      <w:tr w14:paraId="21A8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6" w:type="dxa"/>
            <w:vAlign w:val="center"/>
          </w:tcPr>
          <w:p w14:paraId="3E419D0A">
            <w:pPr>
              <w:spacing w:line="200" w:lineRule="atLeast"/>
              <w:jc w:val="center"/>
              <w:rPr>
                <w:rFonts w:hint="eastAsia" w:ascii="宋体" w:hAnsi="宋体" w:cs="宋体"/>
                <w:b/>
                <w:color w:val="auto"/>
                <w:highlight w:val="none"/>
              </w:rPr>
            </w:pPr>
            <w:r>
              <w:rPr>
                <w:rFonts w:hint="eastAsia" w:ascii="宋体" w:hAnsi="宋体" w:cs="宋体"/>
                <w:b/>
                <w:color w:val="auto"/>
                <w:highlight w:val="none"/>
              </w:rPr>
              <w:t>序号</w:t>
            </w:r>
          </w:p>
        </w:tc>
        <w:tc>
          <w:tcPr>
            <w:tcW w:w="1521" w:type="dxa"/>
            <w:vAlign w:val="center"/>
          </w:tcPr>
          <w:p w14:paraId="76324DB7">
            <w:pPr>
              <w:spacing w:line="200" w:lineRule="atLeast"/>
              <w:jc w:val="center"/>
              <w:rPr>
                <w:rFonts w:hint="eastAsia" w:ascii="宋体" w:hAnsi="宋体" w:cs="宋体"/>
                <w:b/>
                <w:color w:val="auto"/>
                <w:highlight w:val="none"/>
              </w:rPr>
            </w:pPr>
            <w:r>
              <w:rPr>
                <w:rFonts w:hint="eastAsia" w:ascii="宋体" w:hAnsi="宋体" w:cs="宋体"/>
                <w:b/>
                <w:color w:val="auto"/>
                <w:highlight w:val="none"/>
              </w:rPr>
              <w:t>条款号</w:t>
            </w:r>
          </w:p>
        </w:tc>
        <w:tc>
          <w:tcPr>
            <w:tcW w:w="1890" w:type="dxa"/>
            <w:vAlign w:val="center"/>
          </w:tcPr>
          <w:p w14:paraId="02DC5175">
            <w:pPr>
              <w:spacing w:line="200" w:lineRule="atLeast"/>
              <w:jc w:val="center"/>
              <w:rPr>
                <w:rFonts w:hint="eastAsia" w:ascii="宋体" w:hAnsi="宋体" w:cs="宋体"/>
                <w:b/>
                <w:bCs/>
                <w:color w:val="auto"/>
                <w:highlight w:val="none"/>
              </w:rPr>
            </w:pPr>
            <w:r>
              <w:rPr>
                <w:rFonts w:hint="eastAsia" w:ascii="宋体" w:hAnsi="宋体" w:cs="宋体"/>
                <w:b/>
                <w:bCs/>
                <w:color w:val="auto"/>
                <w:highlight w:val="none"/>
              </w:rPr>
              <w:t>招标文件要求</w:t>
            </w:r>
          </w:p>
        </w:tc>
        <w:tc>
          <w:tcPr>
            <w:tcW w:w="2082" w:type="dxa"/>
            <w:vAlign w:val="center"/>
          </w:tcPr>
          <w:p w14:paraId="592D9F3D">
            <w:pPr>
              <w:spacing w:line="200" w:lineRule="atLeast"/>
              <w:jc w:val="center"/>
              <w:rPr>
                <w:rFonts w:hint="eastAsia" w:ascii="宋体" w:hAnsi="宋体" w:cs="宋体"/>
                <w:b/>
                <w:bCs/>
                <w:color w:val="auto"/>
                <w:highlight w:val="none"/>
              </w:rPr>
            </w:pPr>
            <w:r>
              <w:rPr>
                <w:rFonts w:hint="eastAsia" w:ascii="宋体" w:hAnsi="宋体" w:cs="宋体"/>
                <w:b/>
                <w:bCs/>
                <w:color w:val="auto"/>
                <w:highlight w:val="none"/>
              </w:rPr>
              <w:t>投标文件内容</w:t>
            </w:r>
          </w:p>
        </w:tc>
        <w:tc>
          <w:tcPr>
            <w:tcW w:w="913" w:type="dxa"/>
            <w:vAlign w:val="center"/>
          </w:tcPr>
          <w:p w14:paraId="4642C7AC">
            <w:pPr>
              <w:spacing w:line="200" w:lineRule="atLeast"/>
              <w:jc w:val="center"/>
              <w:rPr>
                <w:rFonts w:hint="eastAsia" w:ascii="宋体" w:hAnsi="宋体" w:cs="宋体"/>
                <w:b/>
                <w:color w:val="auto"/>
                <w:highlight w:val="none"/>
              </w:rPr>
            </w:pPr>
            <w:r>
              <w:rPr>
                <w:rFonts w:hint="eastAsia" w:ascii="宋体" w:hAnsi="宋体" w:cs="宋体"/>
                <w:b/>
                <w:color w:val="auto"/>
                <w:highlight w:val="none"/>
              </w:rPr>
              <w:t>响应</w:t>
            </w:r>
          </w:p>
        </w:tc>
        <w:tc>
          <w:tcPr>
            <w:tcW w:w="2169" w:type="dxa"/>
            <w:vAlign w:val="center"/>
          </w:tcPr>
          <w:p w14:paraId="0AF2DA2B">
            <w:pPr>
              <w:spacing w:line="200" w:lineRule="atLeast"/>
              <w:jc w:val="center"/>
              <w:rPr>
                <w:rFonts w:hint="eastAsia" w:ascii="宋体" w:hAnsi="宋体" w:cs="宋体"/>
                <w:b/>
                <w:color w:val="auto"/>
                <w:highlight w:val="none"/>
              </w:rPr>
            </w:pPr>
            <w:r>
              <w:rPr>
                <w:rFonts w:hint="eastAsia" w:ascii="宋体" w:hAnsi="宋体" w:cs="宋体"/>
                <w:b/>
                <w:color w:val="auto"/>
                <w:highlight w:val="none"/>
              </w:rPr>
              <w:t>差异</w:t>
            </w:r>
          </w:p>
        </w:tc>
      </w:tr>
      <w:tr w14:paraId="5920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vAlign w:val="center"/>
          </w:tcPr>
          <w:p w14:paraId="533BDF14">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1</w:t>
            </w:r>
          </w:p>
        </w:tc>
        <w:tc>
          <w:tcPr>
            <w:tcW w:w="1521" w:type="dxa"/>
            <w:vAlign w:val="center"/>
          </w:tcPr>
          <w:p w14:paraId="3AE9EDCA">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第一条</w:t>
            </w:r>
          </w:p>
        </w:tc>
        <w:tc>
          <w:tcPr>
            <w:tcW w:w="1890" w:type="dxa"/>
            <w:vAlign w:val="center"/>
          </w:tcPr>
          <w:p w14:paraId="3B542AF6">
            <w:pPr>
              <w:spacing w:line="200" w:lineRule="atLeast"/>
              <w:rPr>
                <w:rFonts w:hint="eastAsia" w:ascii="宋体" w:hAnsi="宋体" w:cs="宋体"/>
                <w:color w:val="auto"/>
                <w:highlight w:val="none"/>
              </w:rPr>
            </w:pPr>
          </w:p>
        </w:tc>
        <w:tc>
          <w:tcPr>
            <w:tcW w:w="2082" w:type="dxa"/>
            <w:vAlign w:val="center"/>
          </w:tcPr>
          <w:p w14:paraId="2700EB45">
            <w:pPr>
              <w:spacing w:line="200" w:lineRule="atLeast"/>
              <w:rPr>
                <w:rFonts w:hint="eastAsia" w:ascii="宋体" w:hAnsi="宋体" w:cs="宋体"/>
                <w:color w:val="auto"/>
                <w:highlight w:val="none"/>
              </w:rPr>
            </w:pPr>
          </w:p>
        </w:tc>
        <w:tc>
          <w:tcPr>
            <w:tcW w:w="913" w:type="dxa"/>
            <w:vAlign w:val="center"/>
          </w:tcPr>
          <w:p w14:paraId="694E8FFA">
            <w:pPr>
              <w:spacing w:line="200" w:lineRule="atLeast"/>
              <w:jc w:val="center"/>
              <w:rPr>
                <w:rFonts w:hint="eastAsia" w:ascii="宋体" w:hAnsi="宋体" w:cs="宋体"/>
                <w:color w:val="auto"/>
                <w:highlight w:val="none"/>
              </w:rPr>
            </w:pPr>
          </w:p>
        </w:tc>
        <w:tc>
          <w:tcPr>
            <w:tcW w:w="2169" w:type="dxa"/>
          </w:tcPr>
          <w:p w14:paraId="05F668D4">
            <w:pPr>
              <w:spacing w:line="200" w:lineRule="atLeast"/>
              <w:rPr>
                <w:rFonts w:hint="eastAsia" w:ascii="宋体" w:hAnsi="宋体" w:cs="宋体"/>
                <w:color w:val="auto"/>
                <w:highlight w:val="none"/>
              </w:rPr>
            </w:pPr>
          </w:p>
        </w:tc>
      </w:tr>
      <w:tr w14:paraId="2B0C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6" w:type="dxa"/>
            <w:vAlign w:val="center"/>
          </w:tcPr>
          <w:p w14:paraId="44A79B56">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2</w:t>
            </w:r>
          </w:p>
        </w:tc>
        <w:tc>
          <w:tcPr>
            <w:tcW w:w="1521" w:type="dxa"/>
            <w:vAlign w:val="center"/>
          </w:tcPr>
          <w:p w14:paraId="6CFEFA78">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第二条</w:t>
            </w:r>
          </w:p>
        </w:tc>
        <w:tc>
          <w:tcPr>
            <w:tcW w:w="1890" w:type="dxa"/>
            <w:vAlign w:val="center"/>
          </w:tcPr>
          <w:p w14:paraId="0CDBD1B2">
            <w:pPr>
              <w:pStyle w:val="28"/>
              <w:spacing w:line="200" w:lineRule="atLeast"/>
              <w:ind w:left="5250"/>
              <w:rPr>
                <w:rFonts w:hint="eastAsia" w:ascii="宋体" w:hAnsi="宋体" w:cs="宋体"/>
                <w:color w:val="auto"/>
                <w:highlight w:val="none"/>
              </w:rPr>
            </w:pPr>
          </w:p>
        </w:tc>
        <w:tc>
          <w:tcPr>
            <w:tcW w:w="2082" w:type="dxa"/>
            <w:vAlign w:val="center"/>
          </w:tcPr>
          <w:p w14:paraId="68085621">
            <w:pPr>
              <w:pStyle w:val="28"/>
              <w:spacing w:line="200" w:lineRule="atLeast"/>
              <w:ind w:left="5250"/>
              <w:rPr>
                <w:rFonts w:hint="eastAsia" w:ascii="宋体" w:hAnsi="宋体" w:cs="宋体"/>
                <w:color w:val="auto"/>
                <w:highlight w:val="none"/>
              </w:rPr>
            </w:pPr>
          </w:p>
        </w:tc>
        <w:tc>
          <w:tcPr>
            <w:tcW w:w="913" w:type="dxa"/>
            <w:vAlign w:val="center"/>
          </w:tcPr>
          <w:p w14:paraId="22DD203C">
            <w:pPr>
              <w:pStyle w:val="28"/>
              <w:ind w:left="5250"/>
              <w:rPr>
                <w:rFonts w:hint="eastAsia" w:ascii="宋体" w:hAnsi="宋体" w:cs="宋体"/>
                <w:color w:val="auto"/>
                <w:highlight w:val="none"/>
              </w:rPr>
            </w:pPr>
          </w:p>
        </w:tc>
        <w:tc>
          <w:tcPr>
            <w:tcW w:w="2169" w:type="dxa"/>
          </w:tcPr>
          <w:p w14:paraId="182A5506">
            <w:pPr>
              <w:spacing w:line="200" w:lineRule="atLeast"/>
              <w:rPr>
                <w:rFonts w:hint="eastAsia" w:ascii="宋体" w:hAnsi="宋体" w:cs="宋体"/>
                <w:color w:val="auto"/>
                <w:highlight w:val="none"/>
              </w:rPr>
            </w:pPr>
          </w:p>
        </w:tc>
      </w:tr>
      <w:tr w14:paraId="52B8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vAlign w:val="center"/>
          </w:tcPr>
          <w:p w14:paraId="1809B95F">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3</w:t>
            </w:r>
          </w:p>
        </w:tc>
        <w:tc>
          <w:tcPr>
            <w:tcW w:w="1521" w:type="dxa"/>
            <w:vAlign w:val="center"/>
          </w:tcPr>
          <w:p w14:paraId="48192C1B">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第三条</w:t>
            </w:r>
          </w:p>
        </w:tc>
        <w:tc>
          <w:tcPr>
            <w:tcW w:w="1890" w:type="dxa"/>
            <w:vAlign w:val="center"/>
          </w:tcPr>
          <w:p w14:paraId="08BDE34D">
            <w:pPr>
              <w:spacing w:line="200" w:lineRule="atLeast"/>
              <w:rPr>
                <w:rFonts w:hint="eastAsia" w:ascii="宋体" w:hAnsi="宋体" w:cs="宋体"/>
                <w:color w:val="auto"/>
                <w:highlight w:val="none"/>
              </w:rPr>
            </w:pPr>
          </w:p>
        </w:tc>
        <w:tc>
          <w:tcPr>
            <w:tcW w:w="2082" w:type="dxa"/>
            <w:vAlign w:val="center"/>
          </w:tcPr>
          <w:p w14:paraId="77C5AC21">
            <w:pPr>
              <w:spacing w:line="200" w:lineRule="atLeast"/>
              <w:rPr>
                <w:rFonts w:hint="eastAsia" w:ascii="宋体" w:hAnsi="宋体" w:cs="宋体"/>
                <w:color w:val="auto"/>
                <w:highlight w:val="none"/>
              </w:rPr>
            </w:pPr>
          </w:p>
        </w:tc>
        <w:tc>
          <w:tcPr>
            <w:tcW w:w="913" w:type="dxa"/>
            <w:vAlign w:val="center"/>
          </w:tcPr>
          <w:p w14:paraId="75695FCD">
            <w:pPr>
              <w:spacing w:line="200" w:lineRule="atLeast"/>
              <w:jc w:val="center"/>
              <w:rPr>
                <w:rFonts w:hint="eastAsia" w:ascii="宋体" w:hAnsi="宋体" w:cs="宋体"/>
                <w:color w:val="auto"/>
                <w:highlight w:val="none"/>
              </w:rPr>
            </w:pPr>
          </w:p>
        </w:tc>
        <w:tc>
          <w:tcPr>
            <w:tcW w:w="2169" w:type="dxa"/>
          </w:tcPr>
          <w:p w14:paraId="668D3860">
            <w:pPr>
              <w:spacing w:line="200" w:lineRule="atLeast"/>
              <w:rPr>
                <w:rFonts w:hint="eastAsia" w:ascii="宋体" w:hAnsi="宋体" w:cs="宋体"/>
                <w:color w:val="auto"/>
                <w:highlight w:val="none"/>
              </w:rPr>
            </w:pPr>
          </w:p>
        </w:tc>
      </w:tr>
      <w:tr w14:paraId="6474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vAlign w:val="center"/>
          </w:tcPr>
          <w:p w14:paraId="12C2CD64">
            <w:pPr>
              <w:spacing w:line="200" w:lineRule="atLeast"/>
              <w:ind w:right="196" w:firstLine="152"/>
              <w:jc w:val="distribute"/>
              <w:rPr>
                <w:rFonts w:hint="eastAsia" w:ascii="宋体" w:hAnsi="宋体" w:cs="宋体"/>
                <w:color w:val="auto"/>
                <w:highlight w:val="none"/>
              </w:rPr>
            </w:pPr>
          </w:p>
        </w:tc>
        <w:tc>
          <w:tcPr>
            <w:tcW w:w="1521" w:type="dxa"/>
            <w:vAlign w:val="center"/>
          </w:tcPr>
          <w:p w14:paraId="564E2EF2">
            <w:pPr>
              <w:spacing w:line="200" w:lineRule="atLeast"/>
              <w:ind w:right="196" w:firstLine="152"/>
              <w:jc w:val="center"/>
              <w:rPr>
                <w:rFonts w:hint="eastAsia" w:ascii="宋体" w:hAnsi="宋体" w:cs="宋体"/>
                <w:color w:val="auto"/>
                <w:highlight w:val="none"/>
              </w:rPr>
            </w:pPr>
            <w:r>
              <w:rPr>
                <w:rFonts w:hint="eastAsia" w:ascii="宋体" w:hAnsi="宋体" w:cs="宋体"/>
                <w:color w:val="auto"/>
                <w:highlight w:val="none"/>
              </w:rPr>
              <w:t>……</w:t>
            </w:r>
          </w:p>
        </w:tc>
        <w:tc>
          <w:tcPr>
            <w:tcW w:w="1890" w:type="dxa"/>
            <w:vAlign w:val="center"/>
          </w:tcPr>
          <w:p w14:paraId="106BEDE8">
            <w:pPr>
              <w:spacing w:line="200" w:lineRule="atLeast"/>
              <w:rPr>
                <w:rFonts w:hint="eastAsia" w:ascii="宋体" w:hAnsi="宋体" w:cs="宋体"/>
                <w:color w:val="auto"/>
                <w:highlight w:val="none"/>
              </w:rPr>
            </w:pPr>
          </w:p>
        </w:tc>
        <w:tc>
          <w:tcPr>
            <w:tcW w:w="2082" w:type="dxa"/>
            <w:vAlign w:val="center"/>
          </w:tcPr>
          <w:p w14:paraId="179297A7">
            <w:pPr>
              <w:spacing w:line="200" w:lineRule="atLeast"/>
              <w:rPr>
                <w:rFonts w:hint="eastAsia" w:ascii="宋体" w:hAnsi="宋体" w:cs="宋体"/>
                <w:color w:val="auto"/>
                <w:highlight w:val="none"/>
              </w:rPr>
            </w:pPr>
          </w:p>
        </w:tc>
        <w:tc>
          <w:tcPr>
            <w:tcW w:w="913" w:type="dxa"/>
            <w:vAlign w:val="center"/>
          </w:tcPr>
          <w:p w14:paraId="6DD0A83F">
            <w:pPr>
              <w:spacing w:line="200" w:lineRule="atLeast"/>
              <w:jc w:val="center"/>
              <w:rPr>
                <w:rFonts w:hint="eastAsia" w:ascii="宋体" w:hAnsi="宋体" w:cs="宋体"/>
                <w:color w:val="auto"/>
                <w:highlight w:val="none"/>
              </w:rPr>
            </w:pPr>
          </w:p>
        </w:tc>
        <w:tc>
          <w:tcPr>
            <w:tcW w:w="2169" w:type="dxa"/>
          </w:tcPr>
          <w:p w14:paraId="78D37D22">
            <w:pPr>
              <w:spacing w:line="200" w:lineRule="atLeast"/>
              <w:rPr>
                <w:rFonts w:hint="eastAsia" w:ascii="宋体" w:hAnsi="宋体" w:cs="宋体"/>
                <w:color w:val="auto"/>
                <w:highlight w:val="none"/>
              </w:rPr>
            </w:pPr>
          </w:p>
        </w:tc>
      </w:tr>
      <w:tr w14:paraId="2843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vAlign w:val="center"/>
          </w:tcPr>
          <w:p w14:paraId="624AD0F9">
            <w:pPr>
              <w:spacing w:line="200" w:lineRule="atLeast"/>
              <w:ind w:right="196" w:firstLine="152"/>
              <w:jc w:val="distribute"/>
              <w:rPr>
                <w:rFonts w:hint="eastAsia" w:ascii="宋体" w:hAnsi="宋体" w:cs="宋体"/>
                <w:color w:val="auto"/>
                <w:highlight w:val="none"/>
              </w:rPr>
            </w:pPr>
          </w:p>
        </w:tc>
        <w:tc>
          <w:tcPr>
            <w:tcW w:w="1521" w:type="dxa"/>
            <w:vAlign w:val="center"/>
          </w:tcPr>
          <w:p w14:paraId="6B3FC5C2">
            <w:pPr>
              <w:spacing w:line="200" w:lineRule="atLeast"/>
              <w:ind w:right="196" w:firstLine="152"/>
              <w:jc w:val="center"/>
              <w:rPr>
                <w:rFonts w:hint="eastAsia" w:ascii="宋体" w:hAnsi="宋体" w:cs="宋体"/>
                <w:color w:val="auto"/>
                <w:highlight w:val="none"/>
              </w:rPr>
            </w:pPr>
          </w:p>
        </w:tc>
        <w:tc>
          <w:tcPr>
            <w:tcW w:w="1890" w:type="dxa"/>
            <w:vAlign w:val="center"/>
          </w:tcPr>
          <w:p w14:paraId="08929380">
            <w:pPr>
              <w:spacing w:line="200" w:lineRule="atLeast"/>
              <w:rPr>
                <w:rFonts w:hint="eastAsia" w:ascii="宋体" w:hAnsi="宋体" w:cs="宋体"/>
                <w:color w:val="auto"/>
                <w:highlight w:val="none"/>
              </w:rPr>
            </w:pPr>
          </w:p>
        </w:tc>
        <w:tc>
          <w:tcPr>
            <w:tcW w:w="2082" w:type="dxa"/>
            <w:vAlign w:val="center"/>
          </w:tcPr>
          <w:p w14:paraId="7A3137E4">
            <w:pPr>
              <w:spacing w:line="200" w:lineRule="atLeast"/>
              <w:rPr>
                <w:rFonts w:hint="eastAsia" w:ascii="宋体" w:hAnsi="宋体" w:cs="宋体"/>
                <w:color w:val="auto"/>
                <w:highlight w:val="none"/>
              </w:rPr>
            </w:pPr>
          </w:p>
        </w:tc>
        <w:tc>
          <w:tcPr>
            <w:tcW w:w="913" w:type="dxa"/>
            <w:vAlign w:val="center"/>
          </w:tcPr>
          <w:p w14:paraId="4D3A0DFA">
            <w:pPr>
              <w:spacing w:line="200" w:lineRule="atLeast"/>
              <w:jc w:val="center"/>
              <w:rPr>
                <w:rFonts w:hint="eastAsia" w:ascii="宋体" w:hAnsi="宋体" w:cs="宋体"/>
                <w:color w:val="auto"/>
                <w:highlight w:val="none"/>
              </w:rPr>
            </w:pPr>
          </w:p>
        </w:tc>
        <w:tc>
          <w:tcPr>
            <w:tcW w:w="2169" w:type="dxa"/>
          </w:tcPr>
          <w:p w14:paraId="47371C3E">
            <w:pPr>
              <w:spacing w:line="200" w:lineRule="atLeast"/>
              <w:rPr>
                <w:rFonts w:hint="eastAsia" w:ascii="宋体" w:hAnsi="宋体" w:cs="宋体"/>
                <w:color w:val="auto"/>
                <w:highlight w:val="none"/>
              </w:rPr>
            </w:pPr>
          </w:p>
        </w:tc>
      </w:tr>
    </w:tbl>
    <w:p w14:paraId="387A7C73">
      <w:pPr>
        <w:spacing w:line="360" w:lineRule="auto"/>
        <w:rPr>
          <w:rFonts w:hint="eastAsia" w:ascii="宋体" w:hAnsi="宋体" w:cs="宋体"/>
          <w:color w:val="auto"/>
          <w:highlight w:val="none"/>
        </w:rPr>
      </w:pPr>
    </w:p>
    <w:p w14:paraId="4E052630">
      <w:pPr>
        <w:spacing w:line="360" w:lineRule="auto"/>
        <w:ind w:left="2940" w:firstLine="420"/>
        <w:rPr>
          <w:rFonts w:hint="eastAsia" w:ascii="宋体" w:hAnsi="宋体" w:cs="宋体"/>
          <w:color w:val="auto"/>
          <w:highlight w:val="none"/>
        </w:rPr>
      </w:pPr>
    </w:p>
    <w:p w14:paraId="3696D42F">
      <w:pPr>
        <w:spacing w:line="360" w:lineRule="auto"/>
        <w:ind w:left="2940" w:firstLine="420"/>
        <w:rPr>
          <w:rFonts w:hint="eastAsia" w:ascii="宋体" w:hAnsi="宋体" w:cs="宋体"/>
          <w:color w:val="auto"/>
          <w:highlight w:val="none"/>
        </w:rPr>
      </w:pPr>
    </w:p>
    <w:p w14:paraId="4A1EA433">
      <w:pPr>
        <w:pStyle w:val="26"/>
        <w:ind w:firstLine="3968" w:firstLineChars="1890"/>
        <w:rPr>
          <w:rFonts w:hint="eastAsia" w:hAnsi="宋体" w:cs="宋体"/>
          <w:color w:val="auto"/>
          <w:highlight w:val="none"/>
        </w:rPr>
      </w:pPr>
    </w:p>
    <w:p w14:paraId="148E0D93">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28AB7A19">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5577E5A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3B2FA75">
      <w:pPr>
        <w:spacing w:line="360" w:lineRule="auto"/>
        <w:rPr>
          <w:rFonts w:hint="eastAsia" w:ascii="宋体" w:hAnsi="宋体" w:cs="宋体"/>
          <w:b/>
          <w:color w:val="auto"/>
          <w:sz w:val="24"/>
          <w:highlight w:val="none"/>
        </w:rPr>
      </w:pPr>
    </w:p>
    <w:p w14:paraId="343F47D3">
      <w:pPr>
        <w:spacing w:line="360" w:lineRule="auto"/>
        <w:rPr>
          <w:rFonts w:hint="eastAsia" w:ascii="宋体" w:hAnsi="宋体" w:cs="宋体"/>
          <w:b/>
          <w:color w:val="auto"/>
          <w:sz w:val="24"/>
          <w:highlight w:val="none"/>
        </w:rPr>
      </w:pPr>
    </w:p>
    <w:p w14:paraId="7AB34416">
      <w:pPr>
        <w:spacing w:line="360" w:lineRule="auto"/>
        <w:rPr>
          <w:rFonts w:hint="eastAsia" w:ascii="宋体" w:hAnsi="宋体" w:cs="宋体"/>
          <w:b/>
          <w:color w:val="auto"/>
          <w:sz w:val="24"/>
          <w:highlight w:val="none"/>
        </w:rPr>
      </w:pPr>
    </w:p>
    <w:p w14:paraId="4A480969">
      <w:pPr>
        <w:spacing w:line="360" w:lineRule="auto"/>
        <w:rPr>
          <w:rFonts w:hint="eastAsia" w:ascii="宋体" w:hAnsi="宋体" w:cs="宋体"/>
          <w:b/>
          <w:color w:val="auto"/>
          <w:sz w:val="24"/>
          <w:highlight w:val="none"/>
        </w:rPr>
      </w:pPr>
    </w:p>
    <w:p w14:paraId="4A46AD65">
      <w:pPr>
        <w:widowControl/>
        <w:spacing w:before="100" w:beforeAutospacing="1" w:after="100" w:afterAutospacing="1" w:line="360" w:lineRule="auto"/>
        <w:jc w:val="left"/>
        <w:rPr>
          <w:rFonts w:hint="eastAsia" w:ascii="宋体" w:hAnsi="宋体" w:cs="宋体"/>
          <w:b/>
          <w:bCs/>
          <w:color w:val="auto"/>
          <w:highlight w:val="none"/>
        </w:rPr>
      </w:pPr>
    </w:p>
    <w:p w14:paraId="489DE014">
      <w:pPr>
        <w:widowControl/>
        <w:spacing w:before="100" w:beforeAutospacing="1" w:after="100" w:afterAutospacing="1" w:line="360" w:lineRule="auto"/>
        <w:jc w:val="left"/>
        <w:rPr>
          <w:rFonts w:hint="eastAsia" w:ascii="宋体" w:hAnsi="宋体" w:cs="宋体"/>
          <w:b/>
          <w:bCs/>
          <w:color w:val="auto"/>
          <w:highlight w:val="none"/>
        </w:rPr>
      </w:pPr>
      <w:r>
        <w:rPr>
          <w:rFonts w:hint="eastAsia" w:ascii="宋体" w:hAnsi="宋体" w:cs="宋体"/>
          <w:b/>
          <w:bCs/>
          <w:color w:val="auto"/>
          <w:highlight w:val="none"/>
        </w:rPr>
        <w:t>9.投标人简介</w:t>
      </w:r>
    </w:p>
    <w:p w14:paraId="6BAA3E6C">
      <w:pPr>
        <w:pStyle w:val="26"/>
        <w:spacing w:line="288" w:lineRule="auto"/>
        <w:ind w:left="527" w:hanging="527"/>
        <w:jc w:val="center"/>
        <w:rPr>
          <w:rFonts w:hint="eastAsia" w:hAnsi="宋体" w:cs="宋体"/>
          <w:b/>
          <w:bCs/>
          <w:color w:val="auto"/>
          <w:sz w:val="28"/>
          <w:szCs w:val="28"/>
          <w:highlight w:val="none"/>
        </w:rPr>
      </w:pPr>
      <w:r>
        <w:rPr>
          <w:rFonts w:hint="eastAsia" w:hAnsi="宋体" w:cs="宋体"/>
          <w:b/>
          <w:bCs/>
          <w:color w:val="auto"/>
          <w:sz w:val="28"/>
          <w:szCs w:val="28"/>
          <w:highlight w:val="none"/>
        </w:rPr>
        <w:t>投标人基本情况一览表</w:t>
      </w:r>
    </w:p>
    <w:tbl>
      <w:tblPr>
        <w:tblStyle w:val="49"/>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110"/>
        <w:gridCol w:w="1100"/>
        <w:gridCol w:w="1020"/>
        <w:gridCol w:w="1080"/>
        <w:gridCol w:w="1270"/>
        <w:gridCol w:w="1170"/>
        <w:gridCol w:w="720"/>
        <w:gridCol w:w="934"/>
      </w:tblGrid>
      <w:tr w14:paraId="3DBC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3" w:type="dxa"/>
            <w:vAlign w:val="center"/>
          </w:tcPr>
          <w:p w14:paraId="7D29A94B">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单位名称</w:t>
            </w:r>
          </w:p>
        </w:tc>
        <w:tc>
          <w:tcPr>
            <w:tcW w:w="2210" w:type="dxa"/>
            <w:gridSpan w:val="2"/>
            <w:vAlign w:val="center"/>
          </w:tcPr>
          <w:p w14:paraId="4250B063">
            <w:pPr>
              <w:tabs>
                <w:tab w:val="left" w:pos="4320"/>
              </w:tabs>
              <w:spacing w:line="360" w:lineRule="auto"/>
              <w:rPr>
                <w:rFonts w:hint="eastAsia" w:ascii="宋体" w:hAnsi="宋体" w:cs="宋体"/>
                <w:color w:val="auto"/>
                <w:szCs w:val="21"/>
                <w:highlight w:val="none"/>
              </w:rPr>
            </w:pPr>
          </w:p>
        </w:tc>
        <w:tc>
          <w:tcPr>
            <w:tcW w:w="1020" w:type="dxa"/>
            <w:vAlign w:val="center"/>
          </w:tcPr>
          <w:p w14:paraId="2C8B8F79">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080" w:type="dxa"/>
            <w:vAlign w:val="center"/>
          </w:tcPr>
          <w:p w14:paraId="010BCFB4">
            <w:pPr>
              <w:tabs>
                <w:tab w:val="left" w:pos="4320"/>
              </w:tabs>
              <w:spacing w:line="360" w:lineRule="auto"/>
              <w:rPr>
                <w:rFonts w:hint="eastAsia" w:ascii="宋体" w:hAnsi="宋体" w:cs="宋体"/>
                <w:color w:val="auto"/>
                <w:szCs w:val="21"/>
                <w:highlight w:val="none"/>
              </w:rPr>
            </w:pPr>
          </w:p>
        </w:tc>
        <w:tc>
          <w:tcPr>
            <w:tcW w:w="1270" w:type="dxa"/>
            <w:vAlign w:val="center"/>
          </w:tcPr>
          <w:p w14:paraId="3D2BEF74">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1170" w:type="dxa"/>
            <w:vAlign w:val="center"/>
          </w:tcPr>
          <w:p w14:paraId="598DFE6C">
            <w:pPr>
              <w:tabs>
                <w:tab w:val="left" w:pos="4320"/>
              </w:tabs>
              <w:spacing w:line="360" w:lineRule="auto"/>
              <w:rPr>
                <w:rFonts w:hint="eastAsia" w:ascii="宋体" w:hAnsi="宋体" w:cs="宋体"/>
                <w:color w:val="auto"/>
                <w:szCs w:val="21"/>
                <w:highlight w:val="none"/>
              </w:rPr>
            </w:pPr>
          </w:p>
        </w:tc>
        <w:tc>
          <w:tcPr>
            <w:tcW w:w="720" w:type="dxa"/>
            <w:vAlign w:val="center"/>
          </w:tcPr>
          <w:p w14:paraId="37664CE7">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934" w:type="dxa"/>
            <w:vAlign w:val="center"/>
          </w:tcPr>
          <w:p w14:paraId="6AA10153">
            <w:pPr>
              <w:tabs>
                <w:tab w:val="left" w:pos="4320"/>
              </w:tabs>
              <w:spacing w:line="360" w:lineRule="auto"/>
              <w:rPr>
                <w:rFonts w:hint="eastAsia" w:ascii="宋体" w:hAnsi="宋体" w:cs="宋体"/>
                <w:color w:val="auto"/>
                <w:szCs w:val="21"/>
                <w:highlight w:val="none"/>
              </w:rPr>
            </w:pPr>
          </w:p>
        </w:tc>
      </w:tr>
      <w:tr w14:paraId="04B4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3" w:type="dxa"/>
            <w:vAlign w:val="center"/>
          </w:tcPr>
          <w:p w14:paraId="09F78918">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地址</w:t>
            </w:r>
          </w:p>
        </w:tc>
        <w:tc>
          <w:tcPr>
            <w:tcW w:w="2210" w:type="dxa"/>
            <w:gridSpan w:val="2"/>
            <w:vAlign w:val="center"/>
          </w:tcPr>
          <w:p w14:paraId="78531C81">
            <w:pPr>
              <w:tabs>
                <w:tab w:val="left" w:pos="4320"/>
              </w:tabs>
              <w:spacing w:line="360" w:lineRule="auto"/>
              <w:rPr>
                <w:rFonts w:hint="eastAsia" w:ascii="宋体" w:hAnsi="宋体" w:cs="宋体"/>
                <w:color w:val="auto"/>
                <w:szCs w:val="21"/>
                <w:highlight w:val="none"/>
              </w:rPr>
            </w:pPr>
          </w:p>
        </w:tc>
        <w:tc>
          <w:tcPr>
            <w:tcW w:w="1020" w:type="dxa"/>
            <w:vAlign w:val="center"/>
          </w:tcPr>
          <w:p w14:paraId="2779894F">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1080" w:type="dxa"/>
            <w:vAlign w:val="center"/>
          </w:tcPr>
          <w:p w14:paraId="7C956CB1">
            <w:pPr>
              <w:tabs>
                <w:tab w:val="left" w:pos="4320"/>
              </w:tabs>
              <w:spacing w:line="360" w:lineRule="auto"/>
              <w:rPr>
                <w:rFonts w:hint="eastAsia" w:ascii="宋体" w:hAnsi="宋体" w:cs="宋体"/>
                <w:color w:val="auto"/>
                <w:szCs w:val="21"/>
                <w:highlight w:val="none"/>
              </w:rPr>
            </w:pPr>
          </w:p>
        </w:tc>
        <w:tc>
          <w:tcPr>
            <w:tcW w:w="1270" w:type="dxa"/>
            <w:vAlign w:val="center"/>
          </w:tcPr>
          <w:p w14:paraId="0B77D012">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被授权人</w:t>
            </w:r>
          </w:p>
        </w:tc>
        <w:tc>
          <w:tcPr>
            <w:tcW w:w="1170" w:type="dxa"/>
            <w:vAlign w:val="center"/>
          </w:tcPr>
          <w:p w14:paraId="0E75E921">
            <w:pPr>
              <w:tabs>
                <w:tab w:val="left" w:pos="4320"/>
              </w:tabs>
              <w:spacing w:line="360" w:lineRule="auto"/>
              <w:rPr>
                <w:rFonts w:hint="eastAsia" w:ascii="宋体" w:hAnsi="宋体" w:cs="宋体"/>
                <w:color w:val="auto"/>
                <w:szCs w:val="21"/>
                <w:highlight w:val="none"/>
              </w:rPr>
            </w:pPr>
          </w:p>
        </w:tc>
        <w:tc>
          <w:tcPr>
            <w:tcW w:w="720" w:type="dxa"/>
            <w:vAlign w:val="center"/>
          </w:tcPr>
          <w:p w14:paraId="5C7D5F5E">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934" w:type="dxa"/>
            <w:vAlign w:val="center"/>
          </w:tcPr>
          <w:p w14:paraId="50C084D2">
            <w:pPr>
              <w:tabs>
                <w:tab w:val="left" w:pos="4320"/>
              </w:tabs>
              <w:spacing w:line="360" w:lineRule="auto"/>
              <w:rPr>
                <w:rFonts w:hint="eastAsia" w:ascii="宋体" w:hAnsi="宋体" w:cs="宋体"/>
                <w:color w:val="auto"/>
                <w:szCs w:val="21"/>
                <w:highlight w:val="none"/>
              </w:rPr>
            </w:pPr>
          </w:p>
        </w:tc>
      </w:tr>
      <w:tr w14:paraId="32CA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343" w:type="dxa"/>
            <w:vAlign w:val="center"/>
          </w:tcPr>
          <w:p w14:paraId="130D1080">
            <w:pPr>
              <w:tabs>
                <w:tab w:val="left" w:pos="4320"/>
              </w:tabs>
              <w:spacing w:line="360" w:lineRule="auto"/>
              <w:ind w:left="210" w:hanging="210" w:hangingChars="100"/>
              <w:rPr>
                <w:rFonts w:hint="eastAsia" w:ascii="宋体" w:hAnsi="宋体" w:cs="宋体"/>
                <w:color w:val="auto"/>
                <w:szCs w:val="21"/>
                <w:highlight w:val="none"/>
              </w:rPr>
            </w:pPr>
            <w:r>
              <w:rPr>
                <w:rFonts w:hint="eastAsia" w:ascii="宋体" w:hAnsi="宋体" w:cs="宋体"/>
                <w:color w:val="auto"/>
                <w:szCs w:val="21"/>
                <w:highlight w:val="none"/>
              </w:rPr>
              <w:t>一、单位简历及隶属关系</w:t>
            </w:r>
          </w:p>
        </w:tc>
        <w:tc>
          <w:tcPr>
            <w:tcW w:w="3230" w:type="dxa"/>
            <w:gridSpan w:val="3"/>
            <w:vAlign w:val="center"/>
          </w:tcPr>
          <w:p w14:paraId="773EB2CC">
            <w:pPr>
              <w:tabs>
                <w:tab w:val="left" w:pos="4320"/>
              </w:tabs>
              <w:spacing w:line="360" w:lineRule="auto"/>
              <w:rPr>
                <w:rFonts w:hint="eastAsia" w:ascii="宋体" w:hAnsi="宋体" w:cs="宋体"/>
                <w:color w:val="auto"/>
                <w:szCs w:val="21"/>
                <w:highlight w:val="none"/>
              </w:rPr>
            </w:pPr>
          </w:p>
        </w:tc>
        <w:tc>
          <w:tcPr>
            <w:tcW w:w="1080" w:type="dxa"/>
            <w:vAlign w:val="center"/>
          </w:tcPr>
          <w:p w14:paraId="3B5E3412">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单位优势及特长</w:t>
            </w:r>
          </w:p>
        </w:tc>
        <w:tc>
          <w:tcPr>
            <w:tcW w:w="4094" w:type="dxa"/>
            <w:gridSpan w:val="4"/>
            <w:vAlign w:val="center"/>
          </w:tcPr>
          <w:p w14:paraId="28006909">
            <w:pPr>
              <w:tabs>
                <w:tab w:val="left" w:pos="4320"/>
              </w:tabs>
              <w:spacing w:line="360" w:lineRule="auto"/>
              <w:rPr>
                <w:rFonts w:hint="eastAsia" w:ascii="宋体" w:hAnsi="宋体" w:cs="宋体"/>
                <w:color w:val="auto"/>
                <w:szCs w:val="21"/>
                <w:highlight w:val="none"/>
              </w:rPr>
            </w:pPr>
          </w:p>
        </w:tc>
      </w:tr>
      <w:tr w14:paraId="1AFA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3" w:type="dxa"/>
            <w:vMerge w:val="restart"/>
            <w:vAlign w:val="center"/>
          </w:tcPr>
          <w:p w14:paraId="178EDCC0">
            <w:pPr>
              <w:tabs>
                <w:tab w:val="left" w:pos="4320"/>
              </w:tabs>
              <w:spacing w:line="360" w:lineRule="auto"/>
              <w:ind w:left="233" w:hanging="233" w:hangingChars="111"/>
              <w:rPr>
                <w:rFonts w:hint="eastAsia" w:ascii="宋体" w:hAnsi="宋体" w:cs="宋体"/>
                <w:color w:val="auto"/>
                <w:szCs w:val="21"/>
                <w:highlight w:val="none"/>
              </w:rPr>
            </w:pPr>
            <w:r>
              <w:rPr>
                <w:rFonts w:hint="eastAsia" w:ascii="宋体" w:hAnsi="宋体" w:cs="宋体"/>
                <w:color w:val="auto"/>
                <w:szCs w:val="21"/>
                <w:highlight w:val="none"/>
              </w:rPr>
              <w:t>二、单位概况</w:t>
            </w:r>
          </w:p>
        </w:tc>
        <w:tc>
          <w:tcPr>
            <w:tcW w:w="1110" w:type="dxa"/>
            <w:vAlign w:val="center"/>
          </w:tcPr>
          <w:p w14:paraId="5EB7819F">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职工总数</w:t>
            </w:r>
          </w:p>
        </w:tc>
        <w:tc>
          <w:tcPr>
            <w:tcW w:w="1100" w:type="dxa"/>
            <w:vAlign w:val="center"/>
          </w:tcPr>
          <w:p w14:paraId="40F4A2BA">
            <w:pPr>
              <w:tabs>
                <w:tab w:val="left" w:pos="4320"/>
              </w:tabs>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020" w:type="dxa"/>
            <w:vMerge w:val="restart"/>
            <w:vAlign w:val="center"/>
          </w:tcPr>
          <w:p w14:paraId="04139DFA">
            <w:pPr>
              <w:tabs>
                <w:tab w:val="left" w:pos="432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上一年主要经济指标</w:t>
            </w:r>
          </w:p>
        </w:tc>
        <w:tc>
          <w:tcPr>
            <w:tcW w:w="1080" w:type="dxa"/>
            <w:vAlign w:val="center"/>
          </w:tcPr>
          <w:p w14:paraId="7FA04294">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营业额</w:t>
            </w:r>
          </w:p>
        </w:tc>
        <w:tc>
          <w:tcPr>
            <w:tcW w:w="1270" w:type="dxa"/>
            <w:vAlign w:val="center"/>
          </w:tcPr>
          <w:p w14:paraId="422721E6">
            <w:pPr>
              <w:tabs>
                <w:tab w:val="left" w:pos="4320"/>
              </w:tabs>
              <w:spacing w:line="360" w:lineRule="auto"/>
              <w:rPr>
                <w:rFonts w:hint="eastAsia" w:ascii="宋体" w:hAnsi="宋体" w:cs="宋体"/>
                <w:color w:val="auto"/>
                <w:szCs w:val="21"/>
                <w:highlight w:val="none"/>
              </w:rPr>
            </w:pPr>
          </w:p>
        </w:tc>
        <w:tc>
          <w:tcPr>
            <w:tcW w:w="1170" w:type="dxa"/>
            <w:vAlign w:val="center"/>
          </w:tcPr>
          <w:p w14:paraId="724C5163">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实现利润</w:t>
            </w:r>
          </w:p>
        </w:tc>
        <w:tc>
          <w:tcPr>
            <w:tcW w:w="1654" w:type="dxa"/>
            <w:gridSpan w:val="2"/>
            <w:vAlign w:val="center"/>
          </w:tcPr>
          <w:p w14:paraId="74DB4530">
            <w:pPr>
              <w:tabs>
                <w:tab w:val="left" w:pos="4320"/>
              </w:tabs>
              <w:spacing w:line="360" w:lineRule="auto"/>
              <w:rPr>
                <w:rFonts w:hint="eastAsia" w:ascii="宋体" w:hAnsi="宋体" w:cs="宋体"/>
                <w:color w:val="auto"/>
                <w:szCs w:val="21"/>
                <w:highlight w:val="none"/>
              </w:rPr>
            </w:pPr>
          </w:p>
        </w:tc>
      </w:tr>
      <w:tr w14:paraId="06A4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3" w:type="dxa"/>
            <w:vMerge w:val="continue"/>
            <w:vAlign w:val="center"/>
          </w:tcPr>
          <w:p w14:paraId="0C1AF381">
            <w:pPr>
              <w:tabs>
                <w:tab w:val="left" w:pos="4320"/>
              </w:tabs>
              <w:spacing w:line="360" w:lineRule="auto"/>
              <w:ind w:left="233" w:hanging="233" w:hangingChars="111"/>
              <w:rPr>
                <w:rFonts w:hint="eastAsia" w:ascii="宋体" w:hAnsi="宋体" w:cs="宋体"/>
                <w:color w:val="auto"/>
                <w:szCs w:val="21"/>
                <w:highlight w:val="none"/>
              </w:rPr>
            </w:pPr>
          </w:p>
        </w:tc>
        <w:tc>
          <w:tcPr>
            <w:tcW w:w="1110" w:type="dxa"/>
            <w:vAlign w:val="center"/>
          </w:tcPr>
          <w:p w14:paraId="00FC4C92">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流动资金</w:t>
            </w:r>
          </w:p>
        </w:tc>
        <w:tc>
          <w:tcPr>
            <w:tcW w:w="1100" w:type="dxa"/>
            <w:vAlign w:val="center"/>
          </w:tcPr>
          <w:p w14:paraId="6A12330F">
            <w:pPr>
              <w:tabs>
                <w:tab w:val="left" w:pos="4320"/>
              </w:tabs>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020" w:type="dxa"/>
            <w:vMerge w:val="continue"/>
            <w:vAlign w:val="center"/>
          </w:tcPr>
          <w:p w14:paraId="573DC53A">
            <w:pPr>
              <w:tabs>
                <w:tab w:val="left" w:pos="4320"/>
              </w:tabs>
              <w:spacing w:line="360" w:lineRule="auto"/>
              <w:rPr>
                <w:rFonts w:hint="eastAsia" w:ascii="宋体" w:hAnsi="宋体" w:cs="宋体"/>
                <w:color w:val="auto"/>
                <w:szCs w:val="21"/>
                <w:highlight w:val="none"/>
              </w:rPr>
            </w:pPr>
          </w:p>
        </w:tc>
        <w:tc>
          <w:tcPr>
            <w:tcW w:w="1080" w:type="dxa"/>
            <w:vMerge w:val="restart"/>
            <w:vAlign w:val="center"/>
          </w:tcPr>
          <w:p w14:paraId="77C43442">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主要项目</w:t>
            </w:r>
          </w:p>
        </w:tc>
        <w:tc>
          <w:tcPr>
            <w:tcW w:w="4094" w:type="dxa"/>
            <w:gridSpan w:val="4"/>
            <w:vAlign w:val="center"/>
          </w:tcPr>
          <w:p w14:paraId="3D15C149">
            <w:pPr>
              <w:tabs>
                <w:tab w:val="left" w:pos="4320"/>
              </w:tabs>
              <w:spacing w:before="120" w:after="120" w:line="360" w:lineRule="auto"/>
              <w:rPr>
                <w:rFonts w:hint="eastAsia" w:ascii="宋体" w:hAnsi="宋体" w:cs="宋体"/>
                <w:color w:val="auto"/>
                <w:szCs w:val="21"/>
                <w:highlight w:val="none"/>
              </w:rPr>
            </w:pPr>
            <w:r>
              <w:rPr>
                <w:rFonts w:hint="eastAsia" w:ascii="宋体" w:hAnsi="宋体" w:cs="宋体"/>
                <w:color w:val="auto"/>
                <w:szCs w:val="21"/>
                <w:highlight w:val="none"/>
              </w:rPr>
              <w:t>1.</w:t>
            </w:r>
          </w:p>
        </w:tc>
      </w:tr>
      <w:tr w14:paraId="4840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3" w:type="dxa"/>
            <w:vMerge w:val="continue"/>
            <w:vAlign w:val="center"/>
          </w:tcPr>
          <w:p w14:paraId="7FBF80EB">
            <w:pPr>
              <w:tabs>
                <w:tab w:val="left" w:pos="4320"/>
              </w:tabs>
              <w:spacing w:line="360" w:lineRule="auto"/>
              <w:ind w:left="233" w:hanging="233" w:hangingChars="111"/>
              <w:rPr>
                <w:rFonts w:hint="eastAsia" w:ascii="宋体" w:hAnsi="宋体" w:cs="宋体"/>
                <w:color w:val="auto"/>
                <w:szCs w:val="21"/>
                <w:highlight w:val="none"/>
              </w:rPr>
            </w:pPr>
          </w:p>
        </w:tc>
        <w:tc>
          <w:tcPr>
            <w:tcW w:w="1110" w:type="dxa"/>
            <w:vAlign w:val="center"/>
          </w:tcPr>
          <w:p w14:paraId="70C1ABBB">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固定资产</w:t>
            </w:r>
          </w:p>
          <w:p w14:paraId="50E62895">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100" w:type="dxa"/>
            <w:vAlign w:val="center"/>
          </w:tcPr>
          <w:p w14:paraId="28AFBB84">
            <w:pPr>
              <w:tabs>
                <w:tab w:val="left" w:pos="-48"/>
                <w:tab w:val="left" w:pos="4320"/>
              </w:tabs>
              <w:spacing w:line="360" w:lineRule="auto"/>
              <w:ind w:right="-133" w:hanging="48"/>
              <w:rPr>
                <w:rFonts w:hint="eastAsia" w:ascii="宋体" w:hAnsi="宋体" w:cs="宋体"/>
                <w:color w:val="auto"/>
                <w:szCs w:val="21"/>
                <w:highlight w:val="none"/>
              </w:rPr>
            </w:pPr>
            <w:r>
              <w:rPr>
                <w:rFonts w:hint="eastAsia" w:ascii="宋体" w:hAnsi="宋体" w:cs="宋体"/>
                <w:color w:val="auto"/>
                <w:szCs w:val="21"/>
                <w:highlight w:val="none"/>
              </w:rPr>
              <w:t>原值：</w:t>
            </w:r>
          </w:p>
          <w:p w14:paraId="78B97331">
            <w:pPr>
              <w:tabs>
                <w:tab w:val="left" w:pos="-48"/>
                <w:tab w:val="left" w:pos="4320"/>
              </w:tabs>
              <w:spacing w:line="360" w:lineRule="auto"/>
              <w:ind w:hanging="48"/>
              <w:jc w:val="right"/>
              <w:rPr>
                <w:rFonts w:hint="eastAsia" w:ascii="宋体" w:hAnsi="宋体" w:cs="宋体"/>
                <w:color w:val="auto"/>
                <w:szCs w:val="21"/>
                <w:highlight w:val="none"/>
              </w:rPr>
            </w:pPr>
          </w:p>
          <w:p w14:paraId="7D852080">
            <w:pPr>
              <w:tabs>
                <w:tab w:val="left" w:pos="-48"/>
                <w:tab w:val="left" w:pos="4320"/>
              </w:tabs>
              <w:spacing w:line="360" w:lineRule="auto"/>
              <w:ind w:right="-133" w:hanging="48"/>
              <w:rPr>
                <w:rFonts w:hint="eastAsia" w:ascii="宋体" w:hAnsi="宋体" w:cs="宋体"/>
                <w:color w:val="auto"/>
                <w:szCs w:val="21"/>
                <w:highlight w:val="none"/>
              </w:rPr>
            </w:pPr>
            <w:r>
              <w:rPr>
                <w:rFonts w:hint="eastAsia" w:ascii="宋体" w:hAnsi="宋体" w:cs="宋体"/>
                <w:color w:val="auto"/>
                <w:szCs w:val="21"/>
                <w:highlight w:val="none"/>
              </w:rPr>
              <w:t>净值：</w:t>
            </w:r>
          </w:p>
          <w:p w14:paraId="773CB885">
            <w:pPr>
              <w:tabs>
                <w:tab w:val="left" w:pos="-48"/>
                <w:tab w:val="left" w:pos="4320"/>
              </w:tabs>
              <w:spacing w:line="360" w:lineRule="auto"/>
              <w:ind w:hanging="48"/>
              <w:jc w:val="right"/>
              <w:rPr>
                <w:rFonts w:hint="eastAsia" w:ascii="宋体" w:hAnsi="宋体" w:cs="宋体"/>
                <w:color w:val="auto"/>
                <w:szCs w:val="21"/>
                <w:highlight w:val="none"/>
              </w:rPr>
            </w:pPr>
          </w:p>
        </w:tc>
        <w:tc>
          <w:tcPr>
            <w:tcW w:w="1020" w:type="dxa"/>
            <w:vMerge w:val="continue"/>
            <w:vAlign w:val="center"/>
          </w:tcPr>
          <w:p w14:paraId="6F7FC76A">
            <w:pPr>
              <w:tabs>
                <w:tab w:val="left" w:pos="4320"/>
              </w:tabs>
              <w:spacing w:line="360" w:lineRule="auto"/>
              <w:rPr>
                <w:rFonts w:hint="eastAsia" w:ascii="宋体" w:hAnsi="宋体" w:cs="宋体"/>
                <w:color w:val="auto"/>
                <w:szCs w:val="21"/>
                <w:highlight w:val="none"/>
              </w:rPr>
            </w:pPr>
          </w:p>
        </w:tc>
        <w:tc>
          <w:tcPr>
            <w:tcW w:w="1080" w:type="dxa"/>
            <w:vMerge w:val="continue"/>
            <w:vAlign w:val="center"/>
          </w:tcPr>
          <w:p w14:paraId="14122C84">
            <w:pPr>
              <w:tabs>
                <w:tab w:val="left" w:pos="4320"/>
              </w:tabs>
              <w:spacing w:line="360" w:lineRule="auto"/>
              <w:jc w:val="center"/>
              <w:rPr>
                <w:rFonts w:hint="eastAsia" w:ascii="宋体" w:hAnsi="宋体" w:cs="宋体"/>
                <w:color w:val="auto"/>
                <w:szCs w:val="21"/>
                <w:highlight w:val="none"/>
              </w:rPr>
            </w:pPr>
          </w:p>
        </w:tc>
        <w:tc>
          <w:tcPr>
            <w:tcW w:w="4094" w:type="dxa"/>
            <w:gridSpan w:val="4"/>
            <w:vAlign w:val="center"/>
          </w:tcPr>
          <w:p w14:paraId="184272F0">
            <w:pPr>
              <w:tabs>
                <w:tab w:val="left" w:pos="432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p>
        </w:tc>
      </w:tr>
      <w:tr w14:paraId="6614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3" w:type="dxa"/>
            <w:vMerge w:val="continue"/>
            <w:vAlign w:val="center"/>
          </w:tcPr>
          <w:p w14:paraId="5CC1B6CD">
            <w:pPr>
              <w:tabs>
                <w:tab w:val="left" w:pos="4320"/>
              </w:tabs>
              <w:spacing w:line="360" w:lineRule="auto"/>
              <w:ind w:left="233" w:hanging="233" w:hangingChars="111"/>
              <w:rPr>
                <w:rFonts w:hint="eastAsia" w:ascii="宋体" w:hAnsi="宋体" w:cs="宋体"/>
                <w:color w:val="auto"/>
                <w:szCs w:val="21"/>
                <w:highlight w:val="none"/>
              </w:rPr>
            </w:pPr>
          </w:p>
        </w:tc>
        <w:tc>
          <w:tcPr>
            <w:tcW w:w="1110" w:type="dxa"/>
            <w:vAlign w:val="center"/>
          </w:tcPr>
          <w:p w14:paraId="0E8EB496">
            <w:pPr>
              <w:tabs>
                <w:tab w:val="left" w:pos="43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占地面积</w:t>
            </w:r>
          </w:p>
        </w:tc>
        <w:tc>
          <w:tcPr>
            <w:tcW w:w="1100" w:type="dxa"/>
            <w:vAlign w:val="center"/>
          </w:tcPr>
          <w:p w14:paraId="13B2975E">
            <w:pPr>
              <w:tabs>
                <w:tab w:val="left" w:pos="4320"/>
              </w:tabs>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M</w:t>
            </w:r>
            <w:r>
              <w:rPr>
                <w:rFonts w:hint="eastAsia" w:ascii="宋体" w:hAnsi="宋体" w:cs="宋体"/>
                <w:color w:val="auto"/>
                <w:szCs w:val="21"/>
                <w:highlight w:val="none"/>
                <w:vertAlign w:val="superscript"/>
              </w:rPr>
              <w:t>2</w:t>
            </w:r>
          </w:p>
        </w:tc>
        <w:tc>
          <w:tcPr>
            <w:tcW w:w="1020" w:type="dxa"/>
            <w:vMerge w:val="continue"/>
            <w:vAlign w:val="center"/>
          </w:tcPr>
          <w:p w14:paraId="45659F74">
            <w:pPr>
              <w:tabs>
                <w:tab w:val="left" w:pos="4320"/>
              </w:tabs>
              <w:spacing w:line="360" w:lineRule="auto"/>
              <w:rPr>
                <w:rFonts w:hint="eastAsia" w:ascii="宋体" w:hAnsi="宋体" w:cs="宋体"/>
                <w:color w:val="auto"/>
                <w:szCs w:val="21"/>
                <w:highlight w:val="none"/>
              </w:rPr>
            </w:pPr>
          </w:p>
        </w:tc>
        <w:tc>
          <w:tcPr>
            <w:tcW w:w="1080" w:type="dxa"/>
            <w:vMerge w:val="continue"/>
            <w:vAlign w:val="center"/>
          </w:tcPr>
          <w:p w14:paraId="66A308B8">
            <w:pPr>
              <w:tabs>
                <w:tab w:val="left" w:pos="4320"/>
              </w:tabs>
              <w:spacing w:line="360" w:lineRule="auto"/>
              <w:jc w:val="center"/>
              <w:rPr>
                <w:rFonts w:hint="eastAsia" w:ascii="宋体" w:hAnsi="宋体" w:cs="宋体"/>
                <w:color w:val="auto"/>
                <w:szCs w:val="21"/>
                <w:highlight w:val="none"/>
              </w:rPr>
            </w:pPr>
          </w:p>
        </w:tc>
        <w:tc>
          <w:tcPr>
            <w:tcW w:w="4094" w:type="dxa"/>
            <w:gridSpan w:val="4"/>
            <w:vAlign w:val="center"/>
          </w:tcPr>
          <w:p w14:paraId="1792640C">
            <w:pPr>
              <w:tabs>
                <w:tab w:val="left" w:pos="4320"/>
              </w:tabs>
              <w:spacing w:before="120" w:after="120" w:line="360" w:lineRule="auto"/>
              <w:rPr>
                <w:rFonts w:hint="eastAsia" w:ascii="宋体" w:hAnsi="宋体" w:cs="宋体"/>
                <w:color w:val="auto"/>
                <w:szCs w:val="21"/>
                <w:highlight w:val="none"/>
              </w:rPr>
            </w:pPr>
            <w:r>
              <w:rPr>
                <w:rFonts w:hint="eastAsia" w:ascii="宋体" w:hAnsi="宋体" w:cs="宋体"/>
                <w:color w:val="auto"/>
                <w:szCs w:val="21"/>
                <w:highlight w:val="none"/>
              </w:rPr>
              <w:t>3.</w:t>
            </w:r>
          </w:p>
        </w:tc>
      </w:tr>
      <w:tr w14:paraId="1DDA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3" w:type="dxa"/>
            <w:vMerge w:val="restart"/>
            <w:vAlign w:val="center"/>
          </w:tcPr>
          <w:p w14:paraId="483208DD">
            <w:pPr>
              <w:tabs>
                <w:tab w:val="left" w:pos="432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三、其他</w:t>
            </w:r>
          </w:p>
        </w:tc>
        <w:tc>
          <w:tcPr>
            <w:tcW w:w="4310" w:type="dxa"/>
            <w:gridSpan w:val="4"/>
            <w:vAlign w:val="center"/>
          </w:tcPr>
          <w:p w14:paraId="428AD496">
            <w:pPr>
              <w:tabs>
                <w:tab w:val="left" w:pos="4320"/>
              </w:tabs>
              <w:spacing w:before="60" w:after="60" w:line="360" w:lineRule="auto"/>
              <w:rPr>
                <w:rFonts w:hint="eastAsia" w:ascii="宋体" w:hAnsi="宋体" w:cs="宋体"/>
                <w:color w:val="auto"/>
                <w:szCs w:val="21"/>
                <w:highlight w:val="none"/>
              </w:rPr>
            </w:pPr>
            <w:r>
              <w:rPr>
                <w:rFonts w:hint="eastAsia" w:ascii="宋体" w:hAnsi="宋体" w:cs="宋体"/>
                <w:color w:val="auto"/>
                <w:szCs w:val="21"/>
                <w:highlight w:val="none"/>
              </w:rPr>
              <w:t>近3年完成及正在执行的合同中发生的由于投标人违约或部分违约而引起诉讼和受到索赔的案件具体情况及结果（须如实填写，若对此进行隐瞒，而后又被招标人或招标代理机构发现，或被他人举证成立，其投标资格将被取消）。</w:t>
            </w:r>
          </w:p>
        </w:tc>
        <w:tc>
          <w:tcPr>
            <w:tcW w:w="4094" w:type="dxa"/>
            <w:gridSpan w:val="4"/>
            <w:vAlign w:val="center"/>
          </w:tcPr>
          <w:p w14:paraId="630A5136">
            <w:pPr>
              <w:tabs>
                <w:tab w:val="left" w:pos="4320"/>
              </w:tabs>
              <w:spacing w:before="60" w:after="60" w:line="360" w:lineRule="auto"/>
              <w:rPr>
                <w:rFonts w:hint="eastAsia" w:ascii="宋体" w:hAnsi="宋体" w:cs="宋体"/>
                <w:color w:val="auto"/>
                <w:szCs w:val="21"/>
                <w:highlight w:val="none"/>
              </w:rPr>
            </w:pPr>
            <w:r>
              <w:rPr>
                <w:rFonts w:hint="eastAsia" w:ascii="宋体" w:hAnsi="宋体" w:cs="宋体"/>
                <w:color w:val="auto"/>
                <w:szCs w:val="21"/>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67A1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343" w:type="dxa"/>
            <w:vMerge w:val="continue"/>
            <w:vAlign w:val="center"/>
          </w:tcPr>
          <w:p w14:paraId="60745CFF">
            <w:pPr>
              <w:tabs>
                <w:tab w:val="left" w:pos="4320"/>
              </w:tabs>
              <w:spacing w:line="360" w:lineRule="auto"/>
              <w:rPr>
                <w:rFonts w:hint="eastAsia" w:ascii="宋体" w:hAnsi="宋体" w:cs="宋体"/>
                <w:color w:val="auto"/>
                <w:szCs w:val="21"/>
                <w:highlight w:val="none"/>
              </w:rPr>
            </w:pPr>
          </w:p>
        </w:tc>
        <w:tc>
          <w:tcPr>
            <w:tcW w:w="4310" w:type="dxa"/>
            <w:gridSpan w:val="4"/>
            <w:vAlign w:val="center"/>
          </w:tcPr>
          <w:p w14:paraId="6B2099FF">
            <w:pPr>
              <w:tabs>
                <w:tab w:val="left" w:pos="4320"/>
              </w:tabs>
              <w:spacing w:line="360" w:lineRule="auto"/>
              <w:rPr>
                <w:rFonts w:hint="eastAsia" w:ascii="宋体" w:hAnsi="宋体" w:cs="宋体"/>
                <w:color w:val="auto"/>
                <w:szCs w:val="21"/>
                <w:highlight w:val="none"/>
              </w:rPr>
            </w:pPr>
          </w:p>
        </w:tc>
        <w:tc>
          <w:tcPr>
            <w:tcW w:w="4094" w:type="dxa"/>
            <w:gridSpan w:val="4"/>
            <w:vAlign w:val="center"/>
          </w:tcPr>
          <w:p w14:paraId="5CC0B309">
            <w:pPr>
              <w:tabs>
                <w:tab w:val="left" w:pos="4320"/>
              </w:tabs>
              <w:spacing w:line="360" w:lineRule="auto"/>
              <w:rPr>
                <w:rFonts w:hint="eastAsia" w:ascii="宋体" w:hAnsi="宋体" w:cs="宋体"/>
                <w:color w:val="auto"/>
                <w:szCs w:val="21"/>
                <w:highlight w:val="none"/>
              </w:rPr>
            </w:pPr>
          </w:p>
        </w:tc>
      </w:tr>
    </w:tbl>
    <w:p w14:paraId="331069E0">
      <w:pPr>
        <w:pStyle w:val="242"/>
        <w:spacing w:before="0" w:after="0" w:line="360" w:lineRule="auto"/>
        <w:ind w:left="840" w:hanging="840" w:hangingChars="400"/>
        <w:rPr>
          <w:rFonts w:hint="eastAsia" w:ascii="宋体" w:hAnsi="宋体" w:cs="宋体"/>
          <w:bCs w:val="0"/>
          <w:color w:val="auto"/>
          <w:spacing w:val="0"/>
          <w:kern w:val="2"/>
          <w:sz w:val="21"/>
          <w:szCs w:val="21"/>
          <w:highlight w:val="none"/>
          <w:lang w:val="en-GB"/>
        </w:rPr>
      </w:pPr>
      <w:r>
        <w:rPr>
          <w:rFonts w:hint="eastAsia" w:ascii="宋体" w:hAnsi="宋体" w:cs="宋体"/>
          <w:bCs w:val="0"/>
          <w:color w:val="auto"/>
          <w:spacing w:val="0"/>
          <w:kern w:val="2"/>
          <w:sz w:val="21"/>
          <w:szCs w:val="21"/>
          <w:highlight w:val="none"/>
          <w:lang w:val="en-GB"/>
        </w:rPr>
        <w:t>注：1</w:t>
      </w:r>
      <w:r>
        <w:rPr>
          <w:rFonts w:hint="eastAsia" w:ascii="宋体" w:hAnsi="宋体" w:cs="宋体"/>
          <w:bCs w:val="0"/>
          <w:color w:val="auto"/>
          <w:spacing w:val="0"/>
          <w:kern w:val="2"/>
          <w:sz w:val="21"/>
          <w:szCs w:val="21"/>
          <w:highlight w:val="none"/>
        </w:rPr>
        <w:t>.</w:t>
      </w:r>
      <w:r>
        <w:rPr>
          <w:rFonts w:hint="eastAsia" w:ascii="宋体" w:hAnsi="宋体" w:cs="宋体"/>
          <w:bCs w:val="0"/>
          <w:color w:val="auto"/>
          <w:spacing w:val="0"/>
          <w:kern w:val="2"/>
          <w:sz w:val="21"/>
          <w:szCs w:val="21"/>
          <w:highlight w:val="none"/>
          <w:lang w:val="en-GB"/>
        </w:rPr>
        <w:t>文字描述：单位性质、发展历程、经营规模及服务理念、主营产品、技术力量等。</w:t>
      </w:r>
    </w:p>
    <w:p w14:paraId="17BA7BB0">
      <w:pPr>
        <w:pStyle w:val="242"/>
        <w:spacing w:before="0" w:after="0" w:line="360" w:lineRule="auto"/>
        <w:ind w:left="840" w:hanging="840" w:hangingChars="400"/>
        <w:rPr>
          <w:rFonts w:hint="eastAsia" w:ascii="宋体" w:hAnsi="宋体" w:cs="宋体"/>
          <w:bCs w:val="0"/>
          <w:color w:val="auto"/>
          <w:spacing w:val="0"/>
          <w:kern w:val="2"/>
          <w:sz w:val="21"/>
          <w:szCs w:val="21"/>
          <w:highlight w:val="none"/>
          <w:lang w:val="en-GB"/>
        </w:rPr>
      </w:pPr>
      <w:r>
        <w:rPr>
          <w:rFonts w:hint="eastAsia" w:ascii="宋体" w:hAnsi="宋体" w:cs="宋体"/>
          <w:bCs w:val="0"/>
          <w:color w:val="auto"/>
          <w:spacing w:val="0"/>
          <w:kern w:val="2"/>
          <w:sz w:val="21"/>
          <w:szCs w:val="21"/>
          <w:highlight w:val="none"/>
          <w:lang w:val="en-GB"/>
        </w:rPr>
        <w:t xml:space="preserve">    2.图片描述：经营场所、主要或关键产品介绍、生产场所及工艺流程等。</w:t>
      </w:r>
    </w:p>
    <w:p w14:paraId="6827C316">
      <w:pPr>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lang w:val="en-GB"/>
        </w:rPr>
        <w:t>3.如投标人此表数据有虚假，一经查实，自行承担相关责任。</w:t>
      </w:r>
    </w:p>
    <w:p w14:paraId="58740D04">
      <w:pPr>
        <w:snapToGrid w:val="0"/>
        <w:spacing w:line="300" w:lineRule="auto"/>
        <w:rPr>
          <w:rFonts w:hint="eastAsia" w:ascii="宋体" w:hAnsi="宋体" w:cs="宋体"/>
          <w:color w:val="auto"/>
          <w:szCs w:val="21"/>
          <w:highlight w:val="none"/>
        </w:rPr>
      </w:pPr>
    </w:p>
    <w:p w14:paraId="77242D1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41E3A97F">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55EA3FA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00B3A9E">
      <w:pPr>
        <w:spacing w:line="360" w:lineRule="auto"/>
        <w:rPr>
          <w:rFonts w:hint="eastAsia" w:ascii="宋体" w:hAnsi="宋体" w:cs="宋体"/>
          <w:b/>
          <w:bCs/>
          <w:color w:val="auto"/>
          <w:sz w:val="30"/>
          <w:highlight w:val="none"/>
        </w:rPr>
      </w:pPr>
      <w:r>
        <w:rPr>
          <w:rFonts w:hint="eastAsia" w:ascii="宋体" w:hAnsi="宋体" w:cs="宋体"/>
          <w:b/>
          <w:bCs/>
          <w:color w:val="auto"/>
          <w:szCs w:val="21"/>
          <w:highlight w:val="none"/>
        </w:rPr>
        <w:t>10.</w:t>
      </w:r>
      <w:r>
        <w:rPr>
          <w:rFonts w:hint="eastAsia" w:ascii="宋体" w:hAnsi="宋体" w:cs="宋体"/>
          <w:b/>
          <w:bCs/>
          <w:color w:val="auto"/>
          <w:highlight w:val="none"/>
        </w:rPr>
        <w:t>投标人管理人员一览表</w:t>
      </w:r>
    </w:p>
    <w:p w14:paraId="49D464A3">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投标人管理人员一览表</w:t>
      </w:r>
    </w:p>
    <w:p w14:paraId="7425A59E">
      <w:pPr>
        <w:spacing w:before="142" w:beforeLines="50" w:line="320" w:lineRule="exact"/>
        <w:rPr>
          <w:rFonts w:hint="eastAsia" w:ascii="宋体" w:hAnsi="宋体" w:eastAsia="宋体" w:cs="宋体"/>
          <w:bCs/>
          <w:color w:val="auto"/>
          <w:highlight w:val="none"/>
          <w:lang w:eastAsia="zh-CN"/>
        </w:rPr>
      </w:pPr>
      <w:r>
        <w:rPr>
          <w:rFonts w:hint="eastAsia" w:ascii="宋体" w:hAnsi="宋体" w:cs="宋体"/>
          <w:color w:val="auto"/>
          <w:szCs w:val="21"/>
          <w:highlight w:val="none"/>
        </w:rPr>
        <w:t>项目名称：</w:t>
      </w:r>
      <w:r>
        <w:rPr>
          <w:rFonts w:hint="eastAsia" w:ascii="宋体" w:hAnsi="宋体" w:cs="宋体"/>
          <w:bCs/>
          <w:color w:val="auto"/>
          <w:highlight w:val="none"/>
          <w:lang w:eastAsia="zh-CN"/>
        </w:rPr>
        <w:t>征集2026年—2028年校园桶装饮用水服务商</w:t>
      </w:r>
    </w:p>
    <w:p w14:paraId="634F9528">
      <w:pPr>
        <w:spacing w:line="360" w:lineRule="auto"/>
        <w:rPr>
          <w:rFonts w:hint="eastAsia" w:ascii="宋体" w:hAnsi="宋体" w:cs="宋体"/>
          <w:bCs/>
          <w:color w:val="auto"/>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CQZB260018</w:t>
      </w:r>
      <w:r>
        <w:rPr>
          <w:rFonts w:hint="eastAsia" w:ascii="宋体" w:hAnsi="宋体" w:cs="宋体"/>
          <w:color w:val="auto"/>
          <w:szCs w:val="28"/>
          <w:highlight w:val="none"/>
        </w:rPr>
        <w:t xml:space="preserve"> </w:t>
      </w:r>
      <w:r>
        <w:rPr>
          <w:rFonts w:hint="eastAsia" w:ascii="宋体" w:hAnsi="宋体" w:cs="宋体"/>
          <w:bCs/>
          <w:color w:val="auto"/>
          <w:highlight w:val="none"/>
        </w:rPr>
        <w:t xml:space="preserve">                                                           </w:t>
      </w:r>
    </w:p>
    <w:tbl>
      <w:tblPr>
        <w:tblStyle w:val="49"/>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45"/>
        <w:gridCol w:w="897"/>
        <w:gridCol w:w="216"/>
        <w:gridCol w:w="144"/>
        <w:gridCol w:w="720"/>
        <w:gridCol w:w="461"/>
        <w:gridCol w:w="175"/>
        <w:gridCol w:w="30"/>
        <w:gridCol w:w="414"/>
        <w:gridCol w:w="900"/>
        <w:gridCol w:w="184"/>
        <w:gridCol w:w="329"/>
        <w:gridCol w:w="843"/>
        <w:gridCol w:w="147"/>
        <w:gridCol w:w="547"/>
        <w:gridCol w:w="152"/>
        <w:gridCol w:w="678"/>
        <w:gridCol w:w="1440"/>
      </w:tblGrid>
      <w:tr w14:paraId="27B0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40" w:type="dxa"/>
            <w:gridSpan w:val="19"/>
            <w:vAlign w:val="center"/>
          </w:tcPr>
          <w:p w14:paraId="7F1A1BFC">
            <w:pPr>
              <w:jc w:val="center"/>
              <w:rPr>
                <w:rFonts w:hint="eastAsia" w:ascii="宋体" w:hAnsi="宋体" w:cs="宋体"/>
                <w:color w:val="auto"/>
                <w:szCs w:val="21"/>
                <w:highlight w:val="none"/>
              </w:rPr>
            </w:pPr>
            <w:r>
              <w:rPr>
                <w:rFonts w:hint="eastAsia" w:ascii="宋体" w:hAnsi="宋体" w:cs="宋体"/>
                <w:color w:val="auto"/>
                <w:szCs w:val="21"/>
                <w:highlight w:val="none"/>
              </w:rPr>
              <w:t>拟派项目经理资料情况</w:t>
            </w:r>
          </w:p>
        </w:tc>
      </w:tr>
      <w:tr w14:paraId="7276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63" w:type="dxa"/>
            <w:gridSpan w:val="2"/>
            <w:vAlign w:val="center"/>
          </w:tcPr>
          <w:p w14:paraId="3A4894F3">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13" w:type="dxa"/>
            <w:gridSpan w:val="2"/>
            <w:vAlign w:val="center"/>
          </w:tcPr>
          <w:p w14:paraId="0D871023">
            <w:pPr>
              <w:jc w:val="center"/>
              <w:rPr>
                <w:rFonts w:hint="eastAsia" w:ascii="宋体" w:hAnsi="宋体" w:cs="宋体"/>
                <w:color w:val="auto"/>
                <w:szCs w:val="21"/>
                <w:highlight w:val="none"/>
              </w:rPr>
            </w:pPr>
          </w:p>
        </w:tc>
        <w:tc>
          <w:tcPr>
            <w:tcW w:w="1325" w:type="dxa"/>
            <w:gridSpan w:val="3"/>
            <w:vAlign w:val="center"/>
          </w:tcPr>
          <w:p w14:paraId="1182CABC">
            <w:pPr>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703" w:type="dxa"/>
            <w:gridSpan w:val="5"/>
            <w:vAlign w:val="center"/>
          </w:tcPr>
          <w:p w14:paraId="61A854BA">
            <w:pPr>
              <w:jc w:val="center"/>
              <w:rPr>
                <w:rFonts w:hint="eastAsia" w:ascii="宋体" w:hAnsi="宋体" w:cs="宋体"/>
                <w:color w:val="auto"/>
                <w:szCs w:val="21"/>
                <w:highlight w:val="none"/>
              </w:rPr>
            </w:pPr>
          </w:p>
        </w:tc>
        <w:tc>
          <w:tcPr>
            <w:tcW w:w="1866" w:type="dxa"/>
            <w:gridSpan w:val="4"/>
            <w:vAlign w:val="center"/>
          </w:tcPr>
          <w:p w14:paraId="11C759E3">
            <w:pPr>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2270" w:type="dxa"/>
            <w:gridSpan w:val="3"/>
            <w:vAlign w:val="center"/>
          </w:tcPr>
          <w:p w14:paraId="27D005AD">
            <w:pPr>
              <w:jc w:val="center"/>
              <w:rPr>
                <w:rFonts w:hint="eastAsia" w:ascii="宋体" w:hAnsi="宋体" w:cs="宋体"/>
                <w:color w:val="auto"/>
                <w:szCs w:val="21"/>
                <w:highlight w:val="none"/>
              </w:rPr>
            </w:pPr>
          </w:p>
        </w:tc>
      </w:tr>
      <w:tr w14:paraId="79D6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63" w:type="dxa"/>
            <w:gridSpan w:val="2"/>
            <w:vAlign w:val="center"/>
          </w:tcPr>
          <w:p w14:paraId="45DD83B4">
            <w:pPr>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113" w:type="dxa"/>
            <w:gridSpan w:val="2"/>
            <w:vAlign w:val="center"/>
          </w:tcPr>
          <w:p w14:paraId="5E1260A3">
            <w:pPr>
              <w:jc w:val="center"/>
              <w:rPr>
                <w:rFonts w:hint="eastAsia" w:ascii="宋体" w:hAnsi="宋体" w:cs="宋体"/>
                <w:color w:val="auto"/>
                <w:szCs w:val="21"/>
                <w:highlight w:val="none"/>
              </w:rPr>
            </w:pPr>
          </w:p>
        </w:tc>
        <w:tc>
          <w:tcPr>
            <w:tcW w:w="1325" w:type="dxa"/>
            <w:gridSpan w:val="3"/>
            <w:vAlign w:val="center"/>
          </w:tcPr>
          <w:p w14:paraId="02123BAA">
            <w:pPr>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703" w:type="dxa"/>
            <w:gridSpan w:val="5"/>
            <w:vAlign w:val="center"/>
          </w:tcPr>
          <w:p w14:paraId="10879232">
            <w:pPr>
              <w:jc w:val="center"/>
              <w:rPr>
                <w:rFonts w:hint="eastAsia" w:ascii="宋体" w:hAnsi="宋体" w:cs="宋体"/>
                <w:color w:val="auto"/>
                <w:szCs w:val="21"/>
                <w:highlight w:val="none"/>
              </w:rPr>
            </w:pPr>
          </w:p>
        </w:tc>
        <w:tc>
          <w:tcPr>
            <w:tcW w:w="1866" w:type="dxa"/>
            <w:gridSpan w:val="4"/>
            <w:vAlign w:val="center"/>
          </w:tcPr>
          <w:p w14:paraId="3C004CCD">
            <w:pPr>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2270" w:type="dxa"/>
            <w:gridSpan w:val="3"/>
            <w:vAlign w:val="center"/>
          </w:tcPr>
          <w:p w14:paraId="728F2DA2">
            <w:pPr>
              <w:jc w:val="center"/>
              <w:rPr>
                <w:rFonts w:hint="eastAsia" w:ascii="宋体" w:hAnsi="宋体" w:cs="宋体"/>
                <w:color w:val="auto"/>
                <w:szCs w:val="21"/>
                <w:highlight w:val="none"/>
              </w:rPr>
            </w:pPr>
          </w:p>
        </w:tc>
      </w:tr>
      <w:tr w14:paraId="3731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63" w:type="dxa"/>
            <w:gridSpan w:val="2"/>
            <w:vAlign w:val="center"/>
          </w:tcPr>
          <w:p w14:paraId="3AA740BF">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643" w:type="dxa"/>
            <w:gridSpan w:val="7"/>
            <w:vAlign w:val="center"/>
          </w:tcPr>
          <w:p w14:paraId="3D6BB149">
            <w:pPr>
              <w:jc w:val="center"/>
              <w:rPr>
                <w:rFonts w:hint="eastAsia" w:ascii="宋体" w:hAnsi="宋体" w:cs="宋体"/>
                <w:color w:val="auto"/>
                <w:szCs w:val="21"/>
                <w:highlight w:val="none"/>
              </w:rPr>
            </w:pPr>
          </w:p>
        </w:tc>
        <w:tc>
          <w:tcPr>
            <w:tcW w:w="2817" w:type="dxa"/>
            <w:gridSpan w:val="6"/>
            <w:vAlign w:val="center"/>
          </w:tcPr>
          <w:p w14:paraId="677D0573">
            <w:pPr>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2817" w:type="dxa"/>
            <w:gridSpan w:val="4"/>
            <w:vAlign w:val="center"/>
          </w:tcPr>
          <w:p w14:paraId="4246F501">
            <w:pPr>
              <w:jc w:val="center"/>
              <w:rPr>
                <w:rFonts w:hint="eastAsia" w:ascii="宋体" w:hAnsi="宋体" w:cs="宋体"/>
                <w:color w:val="auto"/>
                <w:szCs w:val="21"/>
                <w:highlight w:val="none"/>
              </w:rPr>
            </w:pPr>
          </w:p>
        </w:tc>
      </w:tr>
      <w:tr w14:paraId="47C8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263" w:type="dxa"/>
            <w:gridSpan w:val="2"/>
            <w:vAlign w:val="center"/>
          </w:tcPr>
          <w:p w14:paraId="1273AFF0">
            <w:pPr>
              <w:jc w:val="center"/>
              <w:rPr>
                <w:rFonts w:hint="eastAsia" w:ascii="宋体" w:hAnsi="宋体" w:cs="宋体"/>
                <w:color w:val="auto"/>
                <w:szCs w:val="21"/>
                <w:highlight w:val="none"/>
              </w:rPr>
            </w:pPr>
            <w:r>
              <w:rPr>
                <w:rFonts w:hint="eastAsia" w:ascii="宋体" w:hAnsi="宋体" w:cs="宋体"/>
                <w:color w:val="auto"/>
                <w:szCs w:val="21"/>
                <w:highlight w:val="none"/>
              </w:rPr>
              <w:t>参加工作时间</w:t>
            </w:r>
          </w:p>
        </w:tc>
        <w:tc>
          <w:tcPr>
            <w:tcW w:w="2643" w:type="dxa"/>
            <w:gridSpan w:val="7"/>
            <w:vAlign w:val="center"/>
          </w:tcPr>
          <w:p w14:paraId="7B31539D">
            <w:pPr>
              <w:jc w:val="center"/>
              <w:rPr>
                <w:rFonts w:hint="eastAsia" w:ascii="宋体" w:hAnsi="宋体" w:cs="宋体"/>
                <w:color w:val="auto"/>
                <w:szCs w:val="21"/>
                <w:highlight w:val="none"/>
              </w:rPr>
            </w:pPr>
          </w:p>
        </w:tc>
        <w:tc>
          <w:tcPr>
            <w:tcW w:w="2817" w:type="dxa"/>
            <w:gridSpan w:val="6"/>
            <w:vAlign w:val="center"/>
          </w:tcPr>
          <w:p w14:paraId="2E61AE8A">
            <w:pPr>
              <w:jc w:val="center"/>
              <w:rPr>
                <w:rFonts w:hint="eastAsia" w:ascii="宋体" w:hAnsi="宋体" w:cs="宋体"/>
                <w:color w:val="auto"/>
                <w:szCs w:val="21"/>
                <w:highlight w:val="none"/>
              </w:rPr>
            </w:pPr>
            <w:r>
              <w:rPr>
                <w:rFonts w:hint="eastAsia" w:ascii="宋体" w:hAnsi="宋体" w:cs="宋体"/>
                <w:color w:val="auto"/>
                <w:szCs w:val="21"/>
                <w:highlight w:val="none"/>
              </w:rPr>
              <w:t>从事同类项目负责人年限</w:t>
            </w:r>
          </w:p>
        </w:tc>
        <w:tc>
          <w:tcPr>
            <w:tcW w:w="2817" w:type="dxa"/>
            <w:gridSpan w:val="4"/>
            <w:vAlign w:val="center"/>
          </w:tcPr>
          <w:p w14:paraId="7471AB63">
            <w:pPr>
              <w:jc w:val="center"/>
              <w:rPr>
                <w:rFonts w:hint="eastAsia" w:ascii="宋体" w:hAnsi="宋体" w:cs="宋体"/>
                <w:color w:val="auto"/>
                <w:szCs w:val="21"/>
                <w:highlight w:val="none"/>
              </w:rPr>
            </w:pPr>
          </w:p>
        </w:tc>
      </w:tr>
      <w:tr w14:paraId="78FB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63" w:type="dxa"/>
            <w:gridSpan w:val="2"/>
            <w:vAlign w:val="center"/>
          </w:tcPr>
          <w:p w14:paraId="01F3F5A6">
            <w:pPr>
              <w:jc w:val="center"/>
              <w:rPr>
                <w:rFonts w:hint="eastAsia" w:ascii="宋体" w:hAnsi="宋体" w:cs="宋体"/>
                <w:color w:val="auto"/>
                <w:szCs w:val="21"/>
                <w:highlight w:val="none"/>
              </w:rPr>
            </w:pPr>
            <w:r>
              <w:rPr>
                <w:rFonts w:hint="eastAsia" w:ascii="宋体" w:hAnsi="宋体" w:cs="宋体"/>
                <w:color w:val="auto"/>
                <w:szCs w:val="21"/>
                <w:highlight w:val="none"/>
              </w:rPr>
              <w:t>具有认证资质</w:t>
            </w:r>
          </w:p>
        </w:tc>
        <w:tc>
          <w:tcPr>
            <w:tcW w:w="8277" w:type="dxa"/>
            <w:gridSpan w:val="17"/>
            <w:vAlign w:val="center"/>
          </w:tcPr>
          <w:p w14:paraId="072386EC">
            <w:pPr>
              <w:jc w:val="center"/>
              <w:rPr>
                <w:rFonts w:hint="eastAsia" w:ascii="宋体" w:hAnsi="宋体" w:cs="宋体"/>
                <w:color w:val="auto"/>
                <w:szCs w:val="21"/>
                <w:highlight w:val="none"/>
              </w:rPr>
            </w:pPr>
          </w:p>
        </w:tc>
      </w:tr>
      <w:tr w14:paraId="683F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540" w:type="dxa"/>
            <w:gridSpan w:val="19"/>
            <w:vAlign w:val="center"/>
          </w:tcPr>
          <w:p w14:paraId="6DF19720">
            <w:pPr>
              <w:jc w:val="center"/>
              <w:rPr>
                <w:rFonts w:hint="eastAsia" w:ascii="宋体" w:hAnsi="宋体" w:cs="宋体"/>
                <w:color w:val="auto"/>
                <w:szCs w:val="21"/>
                <w:highlight w:val="none"/>
              </w:rPr>
            </w:pPr>
            <w:r>
              <w:rPr>
                <w:rFonts w:hint="eastAsia" w:ascii="宋体" w:hAnsi="宋体" w:cs="宋体"/>
                <w:color w:val="auto"/>
                <w:szCs w:val="21"/>
                <w:highlight w:val="none"/>
              </w:rPr>
              <w:t>已完成的部分同类项目情况</w:t>
            </w:r>
          </w:p>
        </w:tc>
      </w:tr>
      <w:tr w14:paraId="179D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vAlign w:val="center"/>
          </w:tcPr>
          <w:p w14:paraId="68AB95E7">
            <w:pPr>
              <w:jc w:val="center"/>
              <w:rPr>
                <w:rFonts w:hint="eastAsia" w:ascii="宋体" w:hAnsi="宋体" w:cs="宋体"/>
                <w:color w:val="auto"/>
                <w:szCs w:val="21"/>
                <w:highlight w:val="none"/>
              </w:rPr>
            </w:pPr>
            <w:r>
              <w:rPr>
                <w:rFonts w:hint="eastAsia" w:ascii="宋体" w:hAnsi="宋体" w:cs="宋体"/>
                <w:color w:val="auto"/>
                <w:szCs w:val="21"/>
                <w:highlight w:val="none"/>
              </w:rPr>
              <w:t>项目</w:t>
            </w:r>
          </w:p>
          <w:p w14:paraId="19A2BEC0">
            <w:pPr>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502" w:type="dxa"/>
            <w:gridSpan w:val="4"/>
            <w:vAlign w:val="center"/>
          </w:tcPr>
          <w:p w14:paraId="137C7A95">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56" w:type="dxa"/>
            <w:gridSpan w:val="3"/>
            <w:vAlign w:val="center"/>
          </w:tcPr>
          <w:p w14:paraId="29776DC3">
            <w:pPr>
              <w:jc w:val="center"/>
              <w:rPr>
                <w:rFonts w:hint="eastAsia" w:ascii="宋体" w:hAnsi="宋体" w:cs="宋体"/>
                <w:color w:val="auto"/>
                <w:szCs w:val="21"/>
                <w:highlight w:val="none"/>
              </w:rPr>
            </w:pPr>
            <w:r>
              <w:rPr>
                <w:rFonts w:hint="eastAsia" w:ascii="宋体" w:hAnsi="宋体" w:cs="宋体"/>
                <w:color w:val="auto"/>
                <w:szCs w:val="21"/>
                <w:highlight w:val="none"/>
              </w:rPr>
              <w:t>工作内容</w:t>
            </w:r>
          </w:p>
        </w:tc>
        <w:tc>
          <w:tcPr>
            <w:tcW w:w="1344" w:type="dxa"/>
            <w:gridSpan w:val="3"/>
            <w:vAlign w:val="center"/>
          </w:tcPr>
          <w:p w14:paraId="65BA9E31">
            <w:pPr>
              <w:jc w:val="center"/>
              <w:rPr>
                <w:rFonts w:hint="eastAsia" w:ascii="宋体" w:hAnsi="宋体" w:cs="宋体"/>
                <w:color w:val="auto"/>
                <w:szCs w:val="21"/>
                <w:highlight w:val="none"/>
              </w:rPr>
            </w:pPr>
            <w:r>
              <w:rPr>
                <w:rFonts w:hint="eastAsia" w:ascii="宋体" w:hAnsi="宋体" w:cs="宋体"/>
                <w:color w:val="auto"/>
                <w:szCs w:val="21"/>
                <w:highlight w:val="none"/>
              </w:rPr>
              <w:t>项目金额</w:t>
            </w:r>
          </w:p>
        </w:tc>
        <w:tc>
          <w:tcPr>
            <w:tcW w:w="1356" w:type="dxa"/>
            <w:gridSpan w:val="3"/>
            <w:vAlign w:val="center"/>
          </w:tcPr>
          <w:p w14:paraId="43539B29">
            <w:pPr>
              <w:jc w:val="center"/>
              <w:rPr>
                <w:rFonts w:hint="eastAsia" w:ascii="宋体" w:hAnsi="宋体" w:cs="宋体"/>
                <w:color w:val="auto"/>
                <w:szCs w:val="21"/>
                <w:highlight w:val="none"/>
              </w:rPr>
            </w:pPr>
            <w:r>
              <w:rPr>
                <w:rFonts w:hint="eastAsia" w:ascii="宋体" w:hAnsi="宋体" w:cs="宋体"/>
                <w:color w:val="auto"/>
                <w:szCs w:val="21"/>
                <w:highlight w:val="none"/>
              </w:rPr>
              <w:t>完工日期</w:t>
            </w:r>
          </w:p>
        </w:tc>
        <w:tc>
          <w:tcPr>
            <w:tcW w:w="1524" w:type="dxa"/>
            <w:gridSpan w:val="4"/>
            <w:vAlign w:val="center"/>
          </w:tcPr>
          <w:p w14:paraId="79745A2B">
            <w:pPr>
              <w:jc w:val="center"/>
              <w:rPr>
                <w:rFonts w:hint="eastAsia" w:ascii="宋体" w:hAnsi="宋体" w:cs="宋体"/>
                <w:color w:val="auto"/>
                <w:szCs w:val="21"/>
                <w:highlight w:val="none"/>
              </w:rPr>
            </w:pPr>
            <w:r>
              <w:rPr>
                <w:rFonts w:hint="eastAsia" w:ascii="宋体" w:hAnsi="宋体" w:cs="宋体"/>
                <w:color w:val="auto"/>
                <w:szCs w:val="21"/>
                <w:highlight w:val="none"/>
              </w:rPr>
              <w:t>成果质量</w:t>
            </w:r>
          </w:p>
          <w:p w14:paraId="7FB4217F">
            <w:pPr>
              <w:jc w:val="center"/>
              <w:rPr>
                <w:rFonts w:hint="eastAsia" w:ascii="宋体" w:hAnsi="宋体" w:cs="宋体"/>
                <w:color w:val="auto"/>
                <w:szCs w:val="21"/>
                <w:highlight w:val="none"/>
              </w:rPr>
            </w:pPr>
            <w:r>
              <w:rPr>
                <w:rFonts w:hint="eastAsia" w:ascii="宋体" w:hAnsi="宋体" w:cs="宋体"/>
                <w:color w:val="auto"/>
                <w:szCs w:val="21"/>
                <w:highlight w:val="none"/>
              </w:rPr>
              <w:t>等级评定</w:t>
            </w:r>
          </w:p>
        </w:tc>
        <w:tc>
          <w:tcPr>
            <w:tcW w:w="1440" w:type="dxa"/>
            <w:vAlign w:val="center"/>
          </w:tcPr>
          <w:p w14:paraId="3C760B55">
            <w:pPr>
              <w:jc w:val="center"/>
              <w:rPr>
                <w:rFonts w:hint="eastAsia" w:ascii="宋体" w:hAnsi="宋体" w:cs="宋体"/>
                <w:color w:val="auto"/>
                <w:szCs w:val="21"/>
                <w:highlight w:val="none"/>
              </w:rPr>
            </w:pPr>
            <w:r>
              <w:rPr>
                <w:rFonts w:hint="eastAsia" w:ascii="宋体" w:hAnsi="宋体" w:cs="宋体"/>
                <w:color w:val="auto"/>
                <w:szCs w:val="21"/>
                <w:highlight w:val="none"/>
              </w:rPr>
              <w:t>项目获奖情况</w:t>
            </w:r>
          </w:p>
        </w:tc>
      </w:tr>
      <w:tr w14:paraId="2EF4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vAlign w:val="center"/>
          </w:tcPr>
          <w:p w14:paraId="155CF04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02" w:type="dxa"/>
            <w:gridSpan w:val="4"/>
            <w:vAlign w:val="center"/>
          </w:tcPr>
          <w:p w14:paraId="297BC86A">
            <w:pPr>
              <w:jc w:val="center"/>
              <w:rPr>
                <w:rFonts w:hint="eastAsia" w:ascii="宋体" w:hAnsi="宋体" w:cs="宋体"/>
                <w:color w:val="auto"/>
                <w:szCs w:val="21"/>
                <w:highlight w:val="none"/>
              </w:rPr>
            </w:pPr>
          </w:p>
        </w:tc>
        <w:tc>
          <w:tcPr>
            <w:tcW w:w="1356" w:type="dxa"/>
            <w:gridSpan w:val="3"/>
            <w:vAlign w:val="center"/>
          </w:tcPr>
          <w:p w14:paraId="0CC44973">
            <w:pPr>
              <w:jc w:val="center"/>
              <w:rPr>
                <w:rFonts w:hint="eastAsia" w:ascii="宋体" w:hAnsi="宋体" w:cs="宋体"/>
                <w:color w:val="auto"/>
                <w:szCs w:val="21"/>
                <w:highlight w:val="none"/>
              </w:rPr>
            </w:pPr>
          </w:p>
        </w:tc>
        <w:tc>
          <w:tcPr>
            <w:tcW w:w="1344" w:type="dxa"/>
            <w:gridSpan w:val="3"/>
            <w:vAlign w:val="center"/>
          </w:tcPr>
          <w:p w14:paraId="61428A6E">
            <w:pPr>
              <w:jc w:val="center"/>
              <w:rPr>
                <w:rFonts w:hint="eastAsia" w:ascii="宋体" w:hAnsi="宋体" w:cs="宋体"/>
                <w:color w:val="auto"/>
                <w:szCs w:val="21"/>
                <w:highlight w:val="none"/>
              </w:rPr>
            </w:pPr>
          </w:p>
        </w:tc>
        <w:tc>
          <w:tcPr>
            <w:tcW w:w="1356" w:type="dxa"/>
            <w:gridSpan w:val="3"/>
            <w:vAlign w:val="center"/>
          </w:tcPr>
          <w:p w14:paraId="50C58D01">
            <w:pPr>
              <w:jc w:val="center"/>
              <w:rPr>
                <w:rFonts w:hint="eastAsia" w:ascii="宋体" w:hAnsi="宋体" w:cs="宋体"/>
                <w:color w:val="auto"/>
                <w:szCs w:val="21"/>
                <w:highlight w:val="none"/>
              </w:rPr>
            </w:pPr>
          </w:p>
        </w:tc>
        <w:tc>
          <w:tcPr>
            <w:tcW w:w="1524" w:type="dxa"/>
            <w:gridSpan w:val="4"/>
            <w:vAlign w:val="center"/>
          </w:tcPr>
          <w:p w14:paraId="45BF408C">
            <w:pPr>
              <w:jc w:val="center"/>
              <w:rPr>
                <w:rFonts w:hint="eastAsia" w:ascii="宋体" w:hAnsi="宋体" w:cs="宋体"/>
                <w:color w:val="auto"/>
                <w:szCs w:val="21"/>
                <w:highlight w:val="none"/>
              </w:rPr>
            </w:pPr>
          </w:p>
        </w:tc>
        <w:tc>
          <w:tcPr>
            <w:tcW w:w="1440" w:type="dxa"/>
            <w:vAlign w:val="center"/>
          </w:tcPr>
          <w:p w14:paraId="551C04E3">
            <w:pPr>
              <w:jc w:val="center"/>
              <w:rPr>
                <w:rFonts w:hint="eastAsia" w:ascii="宋体" w:hAnsi="宋体" w:cs="宋体"/>
                <w:color w:val="auto"/>
                <w:szCs w:val="21"/>
                <w:highlight w:val="none"/>
              </w:rPr>
            </w:pPr>
          </w:p>
        </w:tc>
      </w:tr>
      <w:tr w14:paraId="684C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14:paraId="70ACAD7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02" w:type="dxa"/>
            <w:gridSpan w:val="4"/>
            <w:vAlign w:val="center"/>
          </w:tcPr>
          <w:p w14:paraId="2B886050">
            <w:pPr>
              <w:jc w:val="center"/>
              <w:rPr>
                <w:rFonts w:hint="eastAsia" w:ascii="宋体" w:hAnsi="宋体" w:cs="宋体"/>
                <w:color w:val="auto"/>
                <w:szCs w:val="21"/>
                <w:highlight w:val="none"/>
              </w:rPr>
            </w:pPr>
          </w:p>
        </w:tc>
        <w:tc>
          <w:tcPr>
            <w:tcW w:w="1356" w:type="dxa"/>
            <w:gridSpan w:val="3"/>
            <w:vAlign w:val="center"/>
          </w:tcPr>
          <w:p w14:paraId="29E3B70E">
            <w:pPr>
              <w:jc w:val="center"/>
              <w:rPr>
                <w:rFonts w:hint="eastAsia" w:ascii="宋体" w:hAnsi="宋体" w:cs="宋体"/>
                <w:color w:val="auto"/>
                <w:szCs w:val="21"/>
                <w:highlight w:val="none"/>
              </w:rPr>
            </w:pPr>
          </w:p>
        </w:tc>
        <w:tc>
          <w:tcPr>
            <w:tcW w:w="1344" w:type="dxa"/>
            <w:gridSpan w:val="3"/>
            <w:vAlign w:val="center"/>
          </w:tcPr>
          <w:p w14:paraId="1FF24D55">
            <w:pPr>
              <w:jc w:val="center"/>
              <w:rPr>
                <w:rFonts w:hint="eastAsia" w:ascii="宋体" w:hAnsi="宋体" w:cs="宋体"/>
                <w:color w:val="auto"/>
                <w:szCs w:val="21"/>
                <w:highlight w:val="none"/>
              </w:rPr>
            </w:pPr>
          </w:p>
        </w:tc>
        <w:tc>
          <w:tcPr>
            <w:tcW w:w="1356" w:type="dxa"/>
            <w:gridSpan w:val="3"/>
            <w:vAlign w:val="center"/>
          </w:tcPr>
          <w:p w14:paraId="2D8D8707">
            <w:pPr>
              <w:jc w:val="center"/>
              <w:rPr>
                <w:rFonts w:hint="eastAsia" w:ascii="宋体" w:hAnsi="宋体" w:cs="宋体"/>
                <w:color w:val="auto"/>
                <w:szCs w:val="21"/>
                <w:highlight w:val="none"/>
              </w:rPr>
            </w:pPr>
          </w:p>
        </w:tc>
        <w:tc>
          <w:tcPr>
            <w:tcW w:w="1524" w:type="dxa"/>
            <w:gridSpan w:val="4"/>
            <w:vAlign w:val="center"/>
          </w:tcPr>
          <w:p w14:paraId="2981E685">
            <w:pPr>
              <w:jc w:val="center"/>
              <w:rPr>
                <w:rFonts w:hint="eastAsia" w:ascii="宋体" w:hAnsi="宋体" w:cs="宋体"/>
                <w:color w:val="auto"/>
                <w:szCs w:val="21"/>
                <w:highlight w:val="none"/>
              </w:rPr>
            </w:pPr>
          </w:p>
        </w:tc>
        <w:tc>
          <w:tcPr>
            <w:tcW w:w="1440" w:type="dxa"/>
            <w:vAlign w:val="center"/>
          </w:tcPr>
          <w:p w14:paraId="77754106">
            <w:pPr>
              <w:jc w:val="center"/>
              <w:rPr>
                <w:rFonts w:hint="eastAsia" w:ascii="宋体" w:hAnsi="宋体" w:cs="宋体"/>
                <w:color w:val="auto"/>
                <w:szCs w:val="21"/>
                <w:highlight w:val="none"/>
              </w:rPr>
            </w:pPr>
          </w:p>
        </w:tc>
      </w:tr>
      <w:tr w14:paraId="6729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14:paraId="57D8151D">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502" w:type="dxa"/>
            <w:gridSpan w:val="4"/>
            <w:vAlign w:val="center"/>
          </w:tcPr>
          <w:p w14:paraId="17AED134">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56" w:type="dxa"/>
            <w:gridSpan w:val="3"/>
            <w:vAlign w:val="center"/>
          </w:tcPr>
          <w:p w14:paraId="289C7F4D">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44" w:type="dxa"/>
            <w:gridSpan w:val="3"/>
            <w:vAlign w:val="center"/>
          </w:tcPr>
          <w:p w14:paraId="16CC646C">
            <w:pPr>
              <w:jc w:val="center"/>
              <w:rPr>
                <w:rFonts w:hint="eastAsia" w:ascii="宋体" w:hAnsi="宋体" w:cs="宋体"/>
                <w:color w:val="auto"/>
                <w:szCs w:val="21"/>
                <w:highlight w:val="none"/>
              </w:rPr>
            </w:pPr>
          </w:p>
        </w:tc>
        <w:tc>
          <w:tcPr>
            <w:tcW w:w="1356" w:type="dxa"/>
            <w:gridSpan w:val="3"/>
            <w:vAlign w:val="center"/>
          </w:tcPr>
          <w:p w14:paraId="3A354698">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524" w:type="dxa"/>
            <w:gridSpan w:val="4"/>
            <w:vAlign w:val="center"/>
          </w:tcPr>
          <w:p w14:paraId="28E21A60">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40" w:type="dxa"/>
            <w:vAlign w:val="center"/>
          </w:tcPr>
          <w:p w14:paraId="051A9099">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2F30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540" w:type="dxa"/>
            <w:gridSpan w:val="19"/>
            <w:vAlign w:val="center"/>
          </w:tcPr>
          <w:p w14:paraId="4DBB8D83">
            <w:pPr>
              <w:jc w:val="center"/>
              <w:rPr>
                <w:rFonts w:hint="eastAsia" w:ascii="宋体" w:hAnsi="宋体" w:cs="宋体"/>
                <w:color w:val="auto"/>
                <w:szCs w:val="21"/>
                <w:highlight w:val="none"/>
              </w:rPr>
            </w:pPr>
            <w:r>
              <w:rPr>
                <w:rFonts w:hint="eastAsia" w:ascii="宋体" w:hAnsi="宋体" w:cs="宋体"/>
                <w:color w:val="auto"/>
                <w:szCs w:val="21"/>
                <w:highlight w:val="none"/>
              </w:rPr>
              <w:t>拟参与本项目主要技术人员情况</w:t>
            </w:r>
          </w:p>
        </w:tc>
      </w:tr>
      <w:tr w14:paraId="1DB2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14:paraId="793660C3">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42" w:type="dxa"/>
            <w:gridSpan w:val="2"/>
            <w:vAlign w:val="center"/>
          </w:tcPr>
          <w:p w14:paraId="362B0809">
            <w:pPr>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080" w:type="dxa"/>
            <w:gridSpan w:val="3"/>
            <w:vAlign w:val="center"/>
          </w:tcPr>
          <w:p w14:paraId="2BE00A07">
            <w:pPr>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80" w:type="dxa"/>
            <w:gridSpan w:val="4"/>
            <w:vAlign w:val="center"/>
          </w:tcPr>
          <w:p w14:paraId="4CED7054">
            <w:pPr>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413" w:type="dxa"/>
            <w:gridSpan w:val="3"/>
            <w:vAlign w:val="center"/>
          </w:tcPr>
          <w:p w14:paraId="4BFB32C9">
            <w:pPr>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689" w:type="dxa"/>
            <w:gridSpan w:val="4"/>
            <w:vAlign w:val="center"/>
          </w:tcPr>
          <w:p w14:paraId="7ED834EA">
            <w:pPr>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2118" w:type="dxa"/>
            <w:gridSpan w:val="2"/>
            <w:vAlign w:val="center"/>
          </w:tcPr>
          <w:p w14:paraId="4772E46D">
            <w:pPr>
              <w:jc w:val="center"/>
              <w:rPr>
                <w:rFonts w:hint="eastAsia" w:ascii="宋体" w:hAnsi="宋体" w:cs="宋体"/>
                <w:color w:val="auto"/>
                <w:szCs w:val="21"/>
                <w:highlight w:val="none"/>
              </w:rPr>
            </w:pPr>
            <w:r>
              <w:rPr>
                <w:rFonts w:hint="eastAsia" w:ascii="宋体" w:hAnsi="宋体" w:cs="宋体"/>
                <w:color w:val="auto"/>
                <w:szCs w:val="21"/>
                <w:highlight w:val="none"/>
              </w:rPr>
              <w:t>经验年限</w:t>
            </w:r>
          </w:p>
        </w:tc>
      </w:tr>
      <w:tr w14:paraId="5F4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14:paraId="51D02AA2">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42" w:type="dxa"/>
            <w:gridSpan w:val="2"/>
            <w:vAlign w:val="center"/>
          </w:tcPr>
          <w:p w14:paraId="3A007220">
            <w:pPr>
              <w:jc w:val="center"/>
              <w:rPr>
                <w:rFonts w:hint="eastAsia" w:ascii="宋体" w:hAnsi="宋体" w:cs="宋体"/>
                <w:color w:val="auto"/>
                <w:szCs w:val="21"/>
                <w:highlight w:val="none"/>
              </w:rPr>
            </w:pPr>
          </w:p>
        </w:tc>
        <w:tc>
          <w:tcPr>
            <w:tcW w:w="1080" w:type="dxa"/>
            <w:gridSpan w:val="3"/>
            <w:vAlign w:val="center"/>
          </w:tcPr>
          <w:p w14:paraId="3E271755">
            <w:pPr>
              <w:jc w:val="center"/>
              <w:rPr>
                <w:rFonts w:hint="eastAsia" w:ascii="宋体" w:hAnsi="宋体" w:cs="宋体"/>
                <w:color w:val="auto"/>
                <w:szCs w:val="21"/>
                <w:highlight w:val="none"/>
              </w:rPr>
            </w:pPr>
          </w:p>
        </w:tc>
        <w:tc>
          <w:tcPr>
            <w:tcW w:w="1080" w:type="dxa"/>
            <w:gridSpan w:val="4"/>
            <w:vAlign w:val="center"/>
          </w:tcPr>
          <w:p w14:paraId="7CB6EC52">
            <w:pPr>
              <w:jc w:val="center"/>
              <w:rPr>
                <w:rFonts w:hint="eastAsia" w:ascii="宋体" w:hAnsi="宋体" w:cs="宋体"/>
                <w:color w:val="auto"/>
                <w:szCs w:val="21"/>
                <w:highlight w:val="none"/>
              </w:rPr>
            </w:pPr>
          </w:p>
        </w:tc>
        <w:tc>
          <w:tcPr>
            <w:tcW w:w="1413" w:type="dxa"/>
            <w:gridSpan w:val="3"/>
            <w:vAlign w:val="center"/>
          </w:tcPr>
          <w:p w14:paraId="1094FAD5">
            <w:pPr>
              <w:jc w:val="center"/>
              <w:rPr>
                <w:rFonts w:hint="eastAsia" w:ascii="宋体" w:hAnsi="宋体" w:cs="宋体"/>
                <w:color w:val="auto"/>
                <w:szCs w:val="21"/>
                <w:highlight w:val="none"/>
              </w:rPr>
            </w:pPr>
          </w:p>
        </w:tc>
        <w:tc>
          <w:tcPr>
            <w:tcW w:w="1689" w:type="dxa"/>
            <w:gridSpan w:val="4"/>
            <w:vAlign w:val="center"/>
          </w:tcPr>
          <w:p w14:paraId="3E67665D">
            <w:pPr>
              <w:jc w:val="center"/>
              <w:rPr>
                <w:rFonts w:hint="eastAsia" w:ascii="宋体" w:hAnsi="宋体" w:cs="宋体"/>
                <w:color w:val="auto"/>
                <w:szCs w:val="21"/>
                <w:highlight w:val="none"/>
              </w:rPr>
            </w:pPr>
          </w:p>
        </w:tc>
        <w:tc>
          <w:tcPr>
            <w:tcW w:w="2118" w:type="dxa"/>
            <w:gridSpan w:val="2"/>
            <w:vAlign w:val="center"/>
          </w:tcPr>
          <w:p w14:paraId="1FCEE557">
            <w:pPr>
              <w:jc w:val="center"/>
              <w:rPr>
                <w:rFonts w:hint="eastAsia" w:ascii="宋体" w:hAnsi="宋体" w:cs="宋体"/>
                <w:color w:val="auto"/>
                <w:szCs w:val="21"/>
                <w:highlight w:val="none"/>
              </w:rPr>
            </w:pPr>
          </w:p>
        </w:tc>
      </w:tr>
      <w:tr w14:paraId="4423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14:paraId="5922AB7D">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42" w:type="dxa"/>
            <w:gridSpan w:val="2"/>
            <w:vAlign w:val="center"/>
          </w:tcPr>
          <w:p w14:paraId="2219C6D5">
            <w:pPr>
              <w:jc w:val="center"/>
              <w:rPr>
                <w:rFonts w:hint="eastAsia" w:ascii="宋体" w:hAnsi="宋体" w:cs="宋体"/>
                <w:color w:val="auto"/>
                <w:szCs w:val="21"/>
                <w:highlight w:val="none"/>
              </w:rPr>
            </w:pPr>
          </w:p>
        </w:tc>
        <w:tc>
          <w:tcPr>
            <w:tcW w:w="1080" w:type="dxa"/>
            <w:gridSpan w:val="3"/>
            <w:vAlign w:val="center"/>
          </w:tcPr>
          <w:p w14:paraId="51EDACD9">
            <w:pPr>
              <w:jc w:val="center"/>
              <w:rPr>
                <w:rFonts w:hint="eastAsia" w:ascii="宋体" w:hAnsi="宋体" w:cs="宋体"/>
                <w:color w:val="auto"/>
                <w:szCs w:val="21"/>
                <w:highlight w:val="none"/>
              </w:rPr>
            </w:pPr>
          </w:p>
        </w:tc>
        <w:tc>
          <w:tcPr>
            <w:tcW w:w="1080" w:type="dxa"/>
            <w:gridSpan w:val="4"/>
            <w:vAlign w:val="center"/>
          </w:tcPr>
          <w:p w14:paraId="260CE803">
            <w:pPr>
              <w:jc w:val="center"/>
              <w:rPr>
                <w:rFonts w:hint="eastAsia" w:ascii="宋体" w:hAnsi="宋体" w:cs="宋体"/>
                <w:color w:val="auto"/>
                <w:szCs w:val="21"/>
                <w:highlight w:val="none"/>
              </w:rPr>
            </w:pPr>
          </w:p>
        </w:tc>
        <w:tc>
          <w:tcPr>
            <w:tcW w:w="1413" w:type="dxa"/>
            <w:gridSpan w:val="3"/>
            <w:vAlign w:val="center"/>
          </w:tcPr>
          <w:p w14:paraId="582D7323">
            <w:pPr>
              <w:jc w:val="center"/>
              <w:rPr>
                <w:rFonts w:hint="eastAsia" w:ascii="宋体" w:hAnsi="宋体" w:cs="宋体"/>
                <w:color w:val="auto"/>
                <w:szCs w:val="21"/>
                <w:highlight w:val="none"/>
              </w:rPr>
            </w:pPr>
          </w:p>
        </w:tc>
        <w:tc>
          <w:tcPr>
            <w:tcW w:w="1689" w:type="dxa"/>
            <w:gridSpan w:val="4"/>
            <w:vAlign w:val="center"/>
          </w:tcPr>
          <w:p w14:paraId="62A6DA75">
            <w:pPr>
              <w:jc w:val="center"/>
              <w:rPr>
                <w:rFonts w:hint="eastAsia" w:ascii="宋体" w:hAnsi="宋体" w:cs="宋体"/>
                <w:color w:val="auto"/>
                <w:szCs w:val="21"/>
                <w:highlight w:val="none"/>
              </w:rPr>
            </w:pPr>
          </w:p>
        </w:tc>
        <w:tc>
          <w:tcPr>
            <w:tcW w:w="2118" w:type="dxa"/>
            <w:gridSpan w:val="2"/>
            <w:vAlign w:val="center"/>
          </w:tcPr>
          <w:p w14:paraId="3617A50E">
            <w:pPr>
              <w:jc w:val="center"/>
              <w:rPr>
                <w:rFonts w:hint="eastAsia" w:ascii="宋体" w:hAnsi="宋体" w:cs="宋体"/>
                <w:color w:val="auto"/>
                <w:szCs w:val="21"/>
                <w:highlight w:val="none"/>
              </w:rPr>
            </w:pPr>
          </w:p>
        </w:tc>
      </w:tr>
      <w:tr w14:paraId="1019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14:paraId="2BDB3B96">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42" w:type="dxa"/>
            <w:gridSpan w:val="2"/>
            <w:vAlign w:val="center"/>
          </w:tcPr>
          <w:p w14:paraId="1489BE8A">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080" w:type="dxa"/>
            <w:gridSpan w:val="3"/>
            <w:vAlign w:val="center"/>
          </w:tcPr>
          <w:p w14:paraId="035F6DD5">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080" w:type="dxa"/>
            <w:gridSpan w:val="4"/>
            <w:vAlign w:val="center"/>
          </w:tcPr>
          <w:p w14:paraId="7F05329B">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13" w:type="dxa"/>
            <w:gridSpan w:val="3"/>
            <w:vAlign w:val="center"/>
          </w:tcPr>
          <w:p w14:paraId="0573674A">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689" w:type="dxa"/>
            <w:gridSpan w:val="4"/>
            <w:vAlign w:val="center"/>
          </w:tcPr>
          <w:p w14:paraId="374E227A">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118" w:type="dxa"/>
            <w:gridSpan w:val="2"/>
            <w:vAlign w:val="center"/>
          </w:tcPr>
          <w:p w14:paraId="4B8D7CAF">
            <w:pPr>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DF521AA">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r>
    </w:tbl>
    <w:p w14:paraId="31D1E1D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注：1.在合同执行期间，中标人须设立驻场项目负责人和专业专职的主要技术及服务人员，并在上表中列明；</w:t>
      </w:r>
    </w:p>
    <w:p w14:paraId="5BD10E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2.此表格式供参照，投标人可以根据本表格式内容自行划表填写。</w:t>
      </w:r>
    </w:p>
    <w:p w14:paraId="7E2FD74E">
      <w:pPr>
        <w:snapToGrid w:val="0"/>
        <w:spacing w:line="300" w:lineRule="auto"/>
        <w:rPr>
          <w:rFonts w:hint="eastAsia" w:ascii="宋体" w:hAnsi="宋体" w:cs="宋体"/>
          <w:color w:val="auto"/>
          <w:szCs w:val="21"/>
          <w:highlight w:val="none"/>
        </w:rPr>
      </w:pPr>
    </w:p>
    <w:p w14:paraId="0C63B95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68C9BE3B">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1E93BAC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471E406">
      <w:pPr>
        <w:spacing w:line="360" w:lineRule="auto"/>
        <w:rPr>
          <w:rFonts w:hint="eastAsia" w:ascii="宋体" w:hAnsi="宋体" w:cs="宋体"/>
          <w:color w:val="auto"/>
          <w:highlight w:val="none"/>
        </w:rPr>
      </w:pPr>
    </w:p>
    <w:p w14:paraId="404591B2">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58F1A330">
      <w:pPr>
        <w:spacing w:line="360" w:lineRule="auto"/>
        <w:rPr>
          <w:rFonts w:hint="eastAsia" w:ascii="宋体" w:hAnsi="宋体" w:cs="宋体"/>
          <w:b/>
          <w:bCs/>
          <w:color w:val="auto"/>
          <w:highlight w:val="none"/>
        </w:rPr>
      </w:pPr>
      <w:r>
        <w:rPr>
          <w:rFonts w:hint="eastAsia" w:ascii="宋体" w:hAnsi="宋体" w:cs="宋体"/>
          <w:b/>
          <w:bCs/>
          <w:color w:val="auto"/>
          <w:highlight w:val="none"/>
        </w:rPr>
        <w:t>11.交纳招标代理服务费承诺书</w:t>
      </w:r>
    </w:p>
    <w:p w14:paraId="490E5169">
      <w:pPr>
        <w:spacing w:line="360" w:lineRule="auto"/>
        <w:ind w:firstLine="4975" w:firstLineChars="2073"/>
        <w:rPr>
          <w:rFonts w:hint="eastAsia" w:ascii="宋体" w:hAnsi="宋体" w:cs="宋体"/>
          <w:color w:val="auto"/>
          <w:sz w:val="24"/>
          <w:highlight w:val="none"/>
        </w:rPr>
      </w:pPr>
    </w:p>
    <w:p w14:paraId="45561557">
      <w:pPr>
        <w:spacing w:line="360" w:lineRule="auto"/>
        <w:jc w:val="center"/>
        <w:rPr>
          <w:rFonts w:hint="eastAsia" w:ascii="宋体" w:hAnsi="宋体" w:cs="宋体"/>
          <w:b/>
          <w:bCs/>
          <w:color w:val="auto"/>
          <w:sz w:val="28"/>
          <w:highlight w:val="none"/>
        </w:rPr>
      </w:pPr>
      <w:r>
        <w:rPr>
          <w:rFonts w:hint="eastAsia" w:ascii="宋体" w:hAnsi="宋体" w:cs="宋体"/>
          <w:b/>
          <w:bCs/>
          <w:color w:val="auto"/>
          <w:sz w:val="28"/>
          <w:highlight w:val="none"/>
        </w:rPr>
        <w:t>交纳招标代理服务费承诺书</w:t>
      </w:r>
    </w:p>
    <w:p w14:paraId="127D8F89">
      <w:pPr>
        <w:wordWrap w:val="0"/>
        <w:spacing w:line="360" w:lineRule="auto"/>
        <w:jc w:val="right"/>
        <w:rPr>
          <w:rFonts w:hint="eastAsia" w:ascii="宋体" w:hAnsi="宋体" w:cs="宋体"/>
          <w:color w:val="auto"/>
          <w:highlight w:val="none"/>
          <w:u w:val="single"/>
        </w:rPr>
      </w:pPr>
    </w:p>
    <w:p w14:paraId="75F847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致：广东远东招标代理有限公司</w:t>
      </w:r>
    </w:p>
    <w:p w14:paraId="50ECEC33">
      <w:pPr>
        <w:widowControl/>
        <w:autoSpaceDE w:val="0"/>
        <w:autoSpaceDN w:val="0"/>
        <w:spacing w:line="360" w:lineRule="auto"/>
        <w:ind w:right="17" w:firstLine="420" w:firstLineChars="200"/>
        <w:textAlignment w:val="bottom"/>
        <w:rPr>
          <w:rFonts w:hint="eastAsia" w:ascii="宋体" w:hAnsi="宋体" w:cs="宋体"/>
          <w:color w:val="auto"/>
          <w:highlight w:val="none"/>
        </w:rPr>
      </w:pPr>
      <w:r>
        <w:rPr>
          <w:rFonts w:hint="eastAsia" w:ascii="宋体" w:hAnsi="宋体" w:cs="宋体"/>
          <w:color w:val="auto"/>
          <w:highlight w:val="none"/>
        </w:rPr>
        <w:t>我方在贵司代理的</w:t>
      </w:r>
      <w:r>
        <w:rPr>
          <w:rFonts w:hint="eastAsia" w:ascii="宋体" w:hAnsi="宋体" w:cs="宋体"/>
          <w:color w:val="auto"/>
          <w:szCs w:val="21"/>
          <w:highlight w:val="none"/>
          <w:u w:val="single"/>
          <w:lang w:eastAsia="zh-CN"/>
        </w:rPr>
        <w:t>征集2026年—2028年校园桶装饮用水服务商</w:t>
      </w:r>
      <w:r>
        <w:rPr>
          <w:rFonts w:hint="eastAsia" w:ascii="宋体" w:hAnsi="宋体" w:cs="宋体"/>
          <w:color w:val="auto"/>
          <w:highlight w:val="none"/>
        </w:rPr>
        <w:t>（项目编号：</w:t>
      </w:r>
      <w:r>
        <w:rPr>
          <w:rFonts w:hint="eastAsia" w:ascii="宋体" w:hAnsi="宋体" w:cs="宋体"/>
          <w:color w:val="auto"/>
          <w:szCs w:val="21"/>
          <w:highlight w:val="none"/>
          <w:u w:val="single"/>
          <w:lang w:eastAsia="zh-CN"/>
        </w:rPr>
        <w:t>CQZB260018</w:t>
      </w:r>
      <w:r>
        <w:rPr>
          <w:rFonts w:hint="eastAsia" w:ascii="宋体" w:hAnsi="宋体" w:cs="宋体"/>
          <w:color w:val="auto"/>
          <w:highlight w:val="none"/>
        </w:rPr>
        <w:t>）</w:t>
      </w:r>
      <w:r>
        <w:rPr>
          <w:rFonts w:hint="eastAsia" w:ascii="宋体" w:hAnsi="宋体" w:cs="宋体"/>
          <w:color w:val="auto"/>
          <w:highlight w:val="none"/>
          <w:lang w:val="zh-CN"/>
        </w:rPr>
        <w:t>招标中若获中标</w:t>
      </w:r>
      <w:r>
        <w:rPr>
          <w:rFonts w:hint="eastAsia" w:ascii="宋体" w:hAnsi="宋体" w:cs="宋体"/>
          <w:color w:val="auto"/>
          <w:highlight w:val="none"/>
        </w:rPr>
        <w:t>，我方保证按招标文件的规定，以支票、汇票、电汇、现金或经贵公司认可的一种方式，向贵公司即广东远东招标代理有限公司指定的银行账号，支付招标代理服务费。</w:t>
      </w:r>
    </w:p>
    <w:p w14:paraId="2C2E3FEA">
      <w:pPr>
        <w:widowControl/>
        <w:autoSpaceDE w:val="0"/>
        <w:autoSpaceDN w:val="0"/>
        <w:spacing w:line="360" w:lineRule="auto"/>
        <w:ind w:right="893"/>
        <w:textAlignment w:val="bottom"/>
        <w:rPr>
          <w:rFonts w:hint="eastAsia" w:ascii="宋体" w:hAnsi="宋体" w:cs="宋体"/>
          <w:color w:val="auto"/>
          <w:highlight w:val="none"/>
        </w:rPr>
      </w:pPr>
    </w:p>
    <w:p w14:paraId="0556B041">
      <w:pPr>
        <w:widowControl/>
        <w:autoSpaceDE w:val="0"/>
        <w:autoSpaceDN w:val="0"/>
        <w:spacing w:line="360" w:lineRule="auto"/>
        <w:ind w:right="893"/>
        <w:textAlignment w:val="bottom"/>
        <w:rPr>
          <w:rFonts w:hint="eastAsia" w:ascii="宋体" w:hAnsi="宋体" w:cs="宋体"/>
          <w:color w:val="auto"/>
          <w:highlight w:val="none"/>
        </w:rPr>
      </w:pPr>
    </w:p>
    <w:p w14:paraId="69B46296">
      <w:pPr>
        <w:widowControl/>
        <w:autoSpaceDE w:val="0"/>
        <w:autoSpaceDN w:val="0"/>
        <w:spacing w:line="360" w:lineRule="auto"/>
        <w:ind w:right="893" w:firstLine="420" w:firstLineChars="200"/>
        <w:textAlignment w:val="bottom"/>
        <w:rPr>
          <w:rFonts w:hint="eastAsia" w:ascii="宋体" w:hAnsi="宋体" w:cs="宋体"/>
          <w:color w:val="auto"/>
          <w:highlight w:val="none"/>
        </w:rPr>
      </w:pPr>
      <w:r>
        <w:rPr>
          <w:rFonts w:hint="eastAsia" w:ascii="宋体" w:hAnsi="宋体" w:cs="宋体"/>
          <w:color w:val="auto"/>
          <w:highlight w:val="none"/>
        </w:rPr>
        <w:t>特此承诺。</w:t>
      </w:r>
    </w:p>
    <w:p w14:paraId="4836FE71">
      <w:pPr>
        <w:widowControl/>
        <w:autoSpaceDE w:val="0"/>
        <w:autoSpaceDN w:val="0"/>
        <w:spacing w:line="360" w:lineRule="auto"/>
        <w:ind w:right="893"/>
        <w:textAlignment w:val="bottom"/>
        <w:rPr>
          <w:rFonts w:hint="eastAsia" w:ascii="宋体" w:hAnsi="宋体" w:cs="宋体"/>
          <w:color w:val="auto"/>
          <w:highlight w:val="none"/>
        </w:rPr>
      </w:pPr>
    </w:p>
    <w:p w14:paraId="00CC08C0">
      <w:pPr>
        <w:widowControl/>
        <w:autoSpaceDE w:val="0"/>
        <w:autoSpaceDN w:val="0"/>
        <w:spacing w:line="360" w:lineRule="auto"/>
        <w:ind w:right="893"/>
        <w:textAlignment w:val="bottom"/>
        <w:rPr>
          <w:rFonts w:hint="eastAsia" w:ascii="宋体" w:hAnsi="宋体" w:cs="宋体"/>
          <w:color w:val="auto"/>
          <w:highlight w:val="none"/>
        </w:rPr>
      </w:pPr>
    </w:p>
    <w:p w14:paraId="2E785D1B">
      <w:pPr>
        <w:widowControl/>
        <w:autoSpaceDE w:val="0"/>
        <w:autoSpaceDN w:val="0"/>
        <w:spacing w:line="360" w:lineRule="auto"/>
        <w:ind w:right="893"/>
        <w:textAlignment w:val="bottom"/>
        <w:rPr>
          <w:rFonts w:hint="eastAsia" w:ascii="宋体" w:hAnsi="宋体" w:cs="宋体"/>
          <w:color w:val="auto"/>
          <w:highlight w:val="none"/>
        </w:rPr>
      </w:pPr>
      <w:r>
        <w:rPr>
          <w:rFonts w:hint="eastAsia" w:ascii="宋体" w:hAnsi="宋体" w:cs="宋体"/>
          <w:color w:val="auto"/>
          <w:highlight w:val="none"/>
        </w:rPr>
        <w:t>承诺方法定名称：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（承诺方盖章）</w:t>
      </w:r>
    </w:p>
    <w:p w14:paraId="5A98A6DB">
      <w:pPr>
        <w:widowControl/>
        <w:autoSpaceDE w:val="0"/>
        <w:autoSpaceDN w:val="0"/>
        <w:spacing w:line="360" w:lineRule="auto"/>
        <w:ind w:right="893"/>
        <w:textAlignment w:val="bottom"/>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2D4600EE">
      <w:pPr>
        <w:widowControl/>
        <w:autoSpaceDE w:val="0"/>
        <w:autoSpaceDN w:val="0"/>
        <w:spacing w:line="360" w:lineRule="auto"/>
        <w:ind w:right="893"/>
        <w:textAlignment w:val="bottom"/>
        <w:rPr>
          <w:rFonts w:hint="eastAsia" w:ascii="宋体" w:hAnsi="宋体" w:cs="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719E72B0">
      <w:pPr>
        <w:widowControl/>
        <w:autoSpaceDE w:val="0"/>
        <w:autoSpaceDN w:val="0"/>
        <w:spacing w:line="360" w:lineRule="auto"/>
        <w:ind w:right="893"/>
        <w:textAlignment w:val="bottom"/>
        <w:rPr>
          <w:rFonts w:hint="eastAsia" w:ascii="宋体" w:hAnsi="宋体" w:cs="宋体"/>
          <w:color w:val="auto"/>
          <w:highlight w:val="none"/>
        </w:rPr>
      </w:pPr>
      <w:r>
        <w:rPr>
          <w:rFonts w:hint="eastAsia" w:ascii="宋体" w:hAnsi="宋体" w:cs="宋体"/>
          <w:color w:val="auto"/>
          <w:highlight w:val="none"/>
        </w:rPr>
        <w:t>邮箱：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邮编：</w:t>
      </w:r>
      <w:r>
        <w:rPr>
          <w:rFonts w:hint="eastAsia" w:ascii="宋体" w:hAnsi="宋体" w:cs="宋体"/>
          <w:color w:val="auto"/>
          <w:highlight w:val="none"/>
          <w:u w:val="single"/>
        </w:rPr>
        <w:t xml:space="preserve">                    </w:t>
      </w:r>
    </w:p>
    <w:p w14:paraId="66A2CE09">
      <w:pPr>
        <w:widowControl/>
        <w:autoSpaceDE w:val="0"/>
        <w:autoSpaceDN w:val="0"/>
        <w:spacing w:line="360" w:lineRule="auto"/>
        <w:ind w:right="893"/>
        <w:textAlignment w:val="bottom"/>
        <w:rPr>
          <w:rFonts w:hint="eastAsia" w:ascii="宋体" w:hAnsi="宋体" w:cs="宋体"/>
          <w:color w:val="auto"/>
          <w:highlight w:val="none"/>
        </w:rPr>
      </w:pPr>
      <w:r>
        <w:rPr>
          <w:rFonts w:hint="eastAsia" w:ascii="宋体" w:hAnsi="宋体" w:cs="宋体"/>
          <w:color w:val="auto"/>
          <w:highlight w:val="none"/>
        </w:rPr>
        <w:t>承诺方授权代表签名或盖私章：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0EC7121A">
      <w:pPr>
        <w:widowControl/>
        <w:autoSpaceDE w:val="0"/>
        <w:autoSpaceDN w:val="0"/>
        <w:spacing w:line="360" w:lineRule="auto"/>
        <w:ind w:right="893"/>
        <w:textAlignment w:val="bottom"/>
        <w:rPr>
          <w:rFonts w:hint="eastAsia" w:ascii="宋体" w:hAnsi="宋体" w:cs="宋体"/>
          <w:color w:val="auto"/>
          <w:highlight w:val="none"/>
          <w:u w:val="single"/>
        </w:rPr>
      </w:pPr>
      <w:r>
        <w:rPr>
          <w:rFonts w:hint="eastAsia" w:ascii="宋体" w:hAnsi="宋体" w:cs="宋体"/>
          <w:color w:val="auto"/>
          <w:highlight w:val="none"/>
        </w:rPr>
        <w:t>承诺日期：</w:t>
      </w:r>
      <w:r>
        <w:rPr>
          <w:rFonts w:hint="eastAsia" w:ascii="宋体" w:hAnsi="宋体" w:cs="宋体"/>
          <w:color w:val="auto"/>
          <w:highlight w:val="none"/>
          <w:u w:val="single"/>
        </w:rPr>
        <w:t xml:space="preserve">               </w:t>
      </w:r>
    </w:p>
    <w:p w14:paraId="0CC5B04C">
      <w:pPr>
        <w:widowControl/>
        <w:autoSpaceDE w:val="0"/>
        <w:autoSpaceDN w:val="0"/>
        <w:spacing w:line="360" w:lineRule="auto"/>
        <w:ind w:right="893"/>
        <w:textAlignment w:val="bottom"/>
        <w:rPr>
          <w:rFonts w:hint="eastAsia" w:ascii="宋体" w:hAnsi="宋体" w:cs="宋体"/>
          <w:color w:val="auto"/>
          <w:highlight w:val="none"/>
          <w:u w:val="single"/>
        </w:rPr>
      </w:pPr>
    </w:p>
    <w:p w14:paraId="4001A525">
      <w:pPr>
        <w:widowControl/>
        <w:autoSpaceDE w:val="0"/>
        <w:autoSpaceDN w:val="0"/>
        <w:spacing w:line="360" w:lineRule="auto"/>
        <w:ind w:right="893"/>
        <w:textAlignment w:val="bottom"/>
        <w:rPr>
          <w:rFonts w:hint="eastAsia" w:ascii="宋体" w:hAnsi="宋体" w:cs="宋体"/>
          <w:color w:val="auto"/>
          <w:highlight w:val="none"/>
          <w:u w:val="single"/>
        </w:rPr>
      </w:pPr>
    </w:p>
    <w:p w14:paraId="7F050C14">
      <w:pPr>
        <w:spacing w:line="360" w:lineRule="auto"/>
        <w:ind w:left="-1" w:firstLine="1"/>
        <w:rPr>
          <w:rFonts w:hint="eastAsia" w:ascii="宋体" w:hAnsi="宋体" w:cs="宋体"/>
          <w:b/>
          <w:color w:val="auto"/>
          <w:sz w:val="24"/>
          <w:highlight w:val="none"/>
        </w:rPr>
      </w:pPr>
    </w:p>
    <w:p w14:paraId="410A40DC">
      <w:pPr>
        <w:spacing w:line="360" w:lineRule="auto"/>
        <w:ind w:left="-1" w:firstLine="1"/>
        <w:rPr>
          <w:rFonts w:hint="eastAsia" w:ascii="宋体" w:hAnsi="宋体" w:cs="宋体"/>
          <w:b/>
          <w:color w:val="auto"/>
          <w:sz w:val="24"/>
          <w:highlight w:val="none"/>
        </w:rPr>
      </w:pPr>
    </w:p>
    <w:p w14:paraId="435FC85F">
      <w:pPr>
        <w:snapToGrid w:val="0"/>
        <w:spacing w:line="380" w:lineRule="exact"/>
        <w:rPr>
          <w:rFonts w:hint="eastAsia"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b/>
          <w:bCs/>
          <w:color w:val="auto"/>
          <w:highlight w:val="none"/>
          <w:lang w:val="en-US" w:eastAsia="zh-CN"/>
        </w:rPr>
        <w:t>2</w:t>
      </w:r>
      <w:r>
        <w:rPr>
          <w:rFonts w:hint="eastAsia" w:ascii="宋体" w:hAnsi="宋体" w:cs="宋体"/>
          <w:b/>
          <w:bCs/>
          <w:color w:val="auto"/>
          <w:highlight w:val="none"/>
        </w:rPr>
        <w:t>.其他文件：</w:t>
      </w:r>
    </w:p>
    <w:p w14:paraId="6E8B8582">
      <w:pPr>
        <w:snapToGrid w:val="0"/>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A.</w:t>
      </w:r>
      <w:r>
        <w:rPr>
          <w:rFonts w:hint="eastAsia" w:ascii="宋体" w:hAnsi="宋体" w:cs="宋体"/>
          <w:color w:val="auto"/>
          <w:szCs w:val="21"/>
          <w:highlight w:val="none"/>
        </w:rPr>
        <w:t>商务评分标准中的证明资料</w:t>
      </w:r>
      <w:r>
        <w:rPr>
          <w:rFonts w:hint="eastAsia" w:ascii="宋体" w:hAnsi="宋体" w:cs="宋体"/>
          <w:color w:val="auto"/>
          <w:highlight w:val="none"/>
        </w:rPr>
        <w:t>；</w:t>
      </w:r>
    </w:p>
    <w:p w14:paraId="64264343">
      <w:pPr>
        <w:snapToGrid w:val="0"/>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B.《用户需求书》所要求提供的证明资料文件。</w:t>
      </w:r>
    </w:p>
    <w:p w14:paraId="093DF560">
      <w:pPr>
        <w:spacing w:line="360" w:lineRule="auto"/>
        <w:ind w:left="-1" w:firstLine="1"/>
        <w:rPr>
          <w:rFonts w:hint="eastAsia" w:ascii="宋体" w:hAnsi="宋体" w:cs="宋体"/>
          <w:b/>
          <w:color w:val="auto"/>
          <w:sz w:val="24"/>
          <w:highlight w:val="none"/>
        </w:rPr>
      </w:pPr>
    </w:p>
    <w:p w14:paraId="169F6DA9">
      <w:pPr>
        <w:spacing w:line="360" w:lineRule="auto"/>
        <w:ind w:left="-1" w:firstLine="1"/>
        <w:rPr>
          <w:rFonts w:hint="eastAsia" w:ascii="宋体" w:hAnsi="宋体" w:cs="宋体"/>
          <w:b/>
          <w:color w:val="auto"/>
          <w:sz w:val="24"/>
          <w:highlight w:val="none"/>
        </w:rPr>
      </w:pPr>
    </w:p>
    <w:p w14:paraId="5221B3C9">
      <w:pPr>
        <w:spacing w:line="360" w:lineRule="auto"/>
        <w:ind w:left="-1" w:firstLine="1"/>
        <w:rPr>
          <w:rFonts w:hint="eastAsia" w:ascii="宋体" w:hAnsi="宋体" w:cs="宋体"/>
          <w:b/>
          <w:color w:val="auto"/>
          <w:sz w:val="24"/>
          <w:highlight w:val="none"/>
        </w:rPr>
      </w:pPr>
    </w:p>
    <w:p w14:paraId="5F64CCB3">
      <w:pPr>
        <w:spacing w:line="360" w:lineRule="auto"/>
        <w:ind w:left="-1" w:firstLine="1"/>
        <w:rPr>
          <w:rFonts w:hint="eastAsia" w:ascii="宋体" w:hAnsi="宋体" w:cs="宋体"/>
          <w:b/>
          <w:color w:val="auto"/>
          <w:sz w:val="24"/>
          <w:highlight w:val="none"/>
        </w:rPr>
      </w:pPr>
    </w:p>
    <w:p w14:paraId="6B225B83">
      <w:pPr>
        <w:spacing w:line="360" w:lineRule="auto"/>
        <w:ind w:left="-1" w:firstLine="1"/>
        <w:rPr>
          <w:rFonts w:hint="eastAsia" w:ascii="宋体" w:hAnsi="宋体" w:cs="宋体"/>
          <w:b/>
          <w:color w:val="auto"/>
          <w:sz w:val="24"/>
          <w:highlight w:val="none"/>
        </w:rPr>
      </w:pPr>
      <w:r>
        <w:rPr>
          <w:rFonts w:hint="eastAsia" w:ascii="宋体" w:hAnsi="宋体" w:cs="宋体"/>
          <w:b/>
          <w:color w:val="auto"/>
          <w:sz w:val="24"/>
          <w:highlight w:val="none"/>
        </w:rPr>
        <w:t>（四）技术部分的投标文件格式</w:t>
      </w:r>
    </w:p>
    <w:p w14:paraId="201DAFE5">
      <w:pPr>
        <w:jc w:val="center"/>
        <w:rPr>
          <w:rFonts w:hint="eastAsia" w:ascii="宋体" w:hAnsi="宋体" w:cs="宋体"/>
          <w:b/>
          <w:color w:val="auto"/>
          <w:highlight w:val="none"/>
        </w:rPr>
      </w:pPr>
    </w:p>
    <w:p w14:paraId="2DF1AF0C">
      <w:pPr>
        <w:spacing w:line="480" w:lineRule="exact"/>
        <w:ind w:left="709" w:hanging="709"/>
        <w:rPr>
          <w:rFonts w:hint="eastAsia" w:ascii="宋体" w:hAnsi="宋体" w:cs="宋体"/>
          <w:color w:val="auto"/>
          <w:szCs w:val="21"/>
          <w:highlight w:val="none"/>
        </w:rPr>
      </w:pPr>
      <w:r>
        <w:rPr>
          <w:rFonts w:hint="eastAsia" w:ascii="宋体" w:hAnsi="宋体" w:cs="宋体"/>
          <w:b/>
          <w:color w:val="auto"/>
          <w:szCs w:val="21"/>
          <w:highlight w:val="none"/>
        </w:rPr>
        <w:t>[说明]</w:t>
      </w:r>
      <w:r>
        <w:rPr>
          <w:rFonts w:hint="eastAsia" w:ascii="宋体" w:hAnsi="宋体" w:cs="宋体"/>
          <w:color w:val="auto"/>
          <w:szCs w:val="21"/>
          <w:highlight w:val="none"/>
        </w:rPr>
        <w:t xml:space="preserve"> 投标人应按照招标文件要求，根据“用户需求书”内容作出全面响应。编制和提交的内容应包括但不限于以下各项。对必须满足的内容，必须完全满足。对响应有差异的，则说明差异的内容。</w:t>
      </w:r>
    </w:p>
    <w:p w14:paraId="2BD52472">
      <w:pPr>
        <w:spacing w:line="360" w:lineRule="auto"/>
        <w:rPr>
          <w:rFonts w:hint="eastAsia" w:ascii="宋体" w:hAnsi="宋体" w:cs="宋体"/>
          <w:color w:val="auto"/>
          <w:highlight w:val="none"/>
        </w:rPr>
      </w:pPr>
    </w:p>
    <w:p w14:paraId="2AE3EF06">
      <w:pPr>
        <w:spacing w:line="336"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1.技术方案（根据技术部分评分表内容要求提供）</w:t>
      </w:r>
    </w:p>
    <w:p w14:paraId="05558935">
      <w:pPr>
        <w:spacing w:line="336" w:lineRule="auto"/>
        <w:ind w:firstLine="840" w:firstLineChars="400"/>
        <w:rPr>
          <w:rFonts w:hint="eastAsia" w:ascii="宋体" w:hAnsi="宋体" w:cs="宋体"/>
          <w:color w:val="auto"/>
          <w:szCs w:val="21"/>
          <w:highlight w:val="none"/>
          <w:lang w:val="en-GB"/>
        </w:rPr>
      </w:pPr>
      <w:r>
        <w:rPr>
          <w:rFonts w:hint="eastAsia" w:ascii="宋体" w:hAnsi="宋体" w:cs="宋体"/>
          <w:color w:val="auto"/>
          <w:szCs w:val="21"/>
          <w:highlight w:val="none"/>
        </w:rPr>
        <w:t>2.</w:t>
      </w:r>
      <w:r>
        <w:rPr>
          <w:rFonts w:hint="eastAsia" w:ascii="宋体" w:hAnsi="宋体" w:cs="宋体"/>
          <w:color w:val="auto"/>
          <w:szCs w:val="21"/>
          <w:highlight w:val="none"/>
          <w:lang w:val="en-GB"/>
        </w:rPr>
        <w:t>招标人配合的条件</w:t>
      </w:r>
    </w:p>
    <w:p w14:paraId="3D7D696E">
      <w:pPr>
        <w:spacing w:line="336" w:lineRule="auto"/>
        <w:ind w:firstLine="840" w:firstLineChars="400"/>
        <w:rPr>
          <w:rFonts w:hint="eastAsia" w:ascii="宋体" w:hAnsi="宋体" w:cs="宋体"/>
          <w:color w:val="auto"/>
          <w:szCs w:val="21"/>
          <w:highlight w:val="none"/>
          <w:lang w:val="en-GB"/>
        </w:rPr>
      </w:pPr>
      <w:r>
        <w:rPr>
          <w:rFonts w:hint="eastAsia" w:ascii="宋体" w:hAnsi="宋体" w:cs="宋体"/>
          <w:color w:val="auto"/>
          <w:szCs w:val="21"/>
          <w:highlight w:val="none"/>
        </w:rPr>
        <w:t>3</w:t>
      </w:r>
      <w:r>
        <w:rPr>
          <w:rFonts w:hint="eastAsia" w:ascii="宋体" w:hAnsi="宋体" w:cs="宋体"/>
          <w:color w:val="auto"/>
          <w:szCs w:val="21"/>
          <w:highlight w:val="none"/>
          <w:lang w:val="en-GB"/>
        </w:rPr>
        <w:t>.技术响应表格式</w:t>
      </w:r>
    </w:p>
    <w:p w14:paraId="0F427D20">
      <w:pPr>
        <w:spacing w:line="336" w:lineRule="auto"/>
        <w:ind w:firstLine="840" w:firstLineChars="400"/>
        <w:rPr>
          <w:rFonts w:hint="eastAsia" w:ascii="宋体" w:hAnsi="宋体" w:cs="宋体"/>
          <w:color w:val="auto"/>
          <w:szCs w:val="21"/>
          <w:highlight w:val="none"/>
          <w:lang w:val="en-GB"/>
        </w:rPr>
      </w:pPr>
      <w:r>
        <w:rPr>
          <w:rFonts w:hint="eastAsia" w:ascii="宋体" w:hAnsi="宋体" w:cs="宋体"/>
          <w:color w:val="auto"/>
          <w:szCs w:val="21"/>
          <w:highlight w:val="none"/>
        </w:rPr>
        <w:t>4</w:t>
      </w:r>
      <w:r>
        <w:rPr>
          <w:rFonts w:hint="eastAsia" w:ascii="宋体" w:hAnsi="宋体" w:cs="宋体"/>
          <w:color w:val="auto"/>
          <w:szCs w:val="21"/>
          <w:highlight w:val="none"/>
          <w:lang w:val="en-GB"/>
        </w:rPr>
        <w:t>.实质性响应技术条款（“★”项）响应表格式（如有）</w:t>
      </w:r>
    </w:p>
    <w:p w14:paraId="04C6F824">
      <w:pPr>
        <w:spacing w:line="336" w:lineRule="auto"/>
        <w:ind w:firstLine="840" w:firstLineChars="400"/>
        <w:rPr>
          <w:rFonts w:hint="eastAsia" w:ascii="宋体" w:hAnsi="宋体" w:cs="宋体"/>
          <w:color w:val="auto"/>
          <w:szCs w:val="21"/>
          <w:highlight w:val="none"/>
          <w:lang w:val="en-GB"/>
        </w:rPr>
      </w:pPr>
      <w:r>
        <w:rPr>
          <w:rFonts w:hint="eastAsia" w:ascii="宋体" w:hAnsi="宋体" w:cs="宋体"/>
          <w:color w:val="auto"/>
          <w:szCs w:val="21"/>
          <w:highlight w:val="none"/>
        </w:rPr>
        <w:t>5</w:t>
      </w:r>
      <w:r>
        <w:rPr>
          <w:rFonts w:hint="eastAsia" w:ascii="宋体" w:hAnsi="宋体" w:cs="宋体"/>
          <w:color w:val="auto"/>
          <w:szCs w:val="21"/>
          <w:highlight w:val="none"/>
          <w:lang w:val="en-GB"/>
        </w:rPr>
        <w:t>.重要技术条款（“▲”项）响应表（如有）</w:t>
      </w:r>
    </w:p>
    <w:p w14:paraId="602A2371">
      <w:pPr>
        <w:spacing w:line="336" w:lineRule="auto"/>
        <w:ind w:firstLine="840" w:firstLineChars="400"/>
        <w:rPr>
          <w:rFonts w:hint="eastAsia" w:ascii="宋体" w:hAnsi="宋体" w:cs="宋体"/>
          <w:color w:val="auto"/>
          <w:szCs w:val="21"/>
          <w:highlight w:val="none"/>
          <w:lang w:val="en-GB"/>
        </w:rPr>
      </w:pPr>
      <w:r>
        <w:rPr>
          <w:rFonts w:hint="eastAsia" w:ascii="宋体" w:hAnsi="宋体" w:cs="宋体"/>
          <w:color w:val="auto"/>
          <w:szCs w:val="21"/>
          <w:highlight w:val="none"/>
        </w:rPr>
        <w:t>6</w:t>
      </w:r>
      <w:r>
        <w:rPr>
          <w:rFonts w:hint="eastAsia" w:ascii="宋体" w:hAnsi="宋体" w:cs="宋体"/>
          <w:color w:val="auto"/>
          <w:szCs w:val="21"/>
          <w:highlight w:val="none"/>
          <w:lang w:val="en-GB"/>
        </w:rPr>
        <w:t>.其他文件</w:t>
      </w:r>
    </w:p>
    <w:p w14:paraId="4B9E7FE4">
      <w:pPr>
        <w:spacing w:line="336" w:lineRule="auto"/>
        <w:ind w:firstLine="1050" w:firstLineChars="500"/>
        <w:rPr>
          <w:rFonts w:hint="eastAsia" w:ascii="宋体" w:hAnsi="宋体" w:cs="宋体"/>
          <w:color w:val="auto"/>
          <w:szCs w:val="21"/>
          <w:highlight w:val="none"/>
          <w:lang w:val="en-GB"/>
        </w:rPr>
      </w:pPr>
      <w:r>
        <w:rPr>
          <w:rFonts w:hint="eastAsia" w:ascii="宋体" w:hAnsi="宋体" w:cs="宋体"/>
          <w:color w:val="auto"/>
          <w:szCs w:val="21"/>
          <w:highlight w:val="none"/>
          <w:lang w:val="en-GB"/>
        </w:rPr>
        <w:t>A.技术评分标准中的证明资料</w:t>
      </w:r>
    </w:p>
    <w:p w14:paraId="1A9D1F81">
      <w:pPr>
        <w:spacing w:line="336" w:lineRule="auto"/>
        <w:ind w:firstLine="1050" w:firstLineChars="500"/>
        <w:rPr>
          <w:rFonts w:hint="eastAsia" w:ascii="宋体" w:hAnsi="宋体" w:cs="宋体"/>
          <w:color w:val="auto"/>
          <w:szCs w:val="21"/>
          <w:highlight w:val="none"/>
          <w:lang w:val="en-GB"/>
        </w:rPr>
      </w:pPr>
      <w:r>
        <w:rPr>
          <w:rFonts w:hint="eastAsia" w:ascii="宋体" w:hAnsi="宋体" w:cs="宋体"/>
          <w:color w:val="auto"/>
          <w:szCs w:val="21"/>
          <w:highlight w:val="none"/>
          <w:lang w:val="en-GB"/>
        </w:rPr>
        <w:t>B.《用户需求书》所要求提供的证明资料文件</w:t>
      </w:r>
    </w:p>
    <w:p w14:paraId="18CE4AE4">
      <w:pPr>
        <w:spacing w:line="360" w:lineRule="auto"/>
        <w:rPr>
          <w:rFonts w:hint="eastAsia" w:ascii="宋体" w:hAnsi="宋体" w:cs="宋体"/>
          <w:b/>
          <w:color w:val="auto"/>
          <w:szCs w:val="21"/>
          <w:highlight w:val="none"/>
        </w:rPr>
      </w:pPr>
    </w:p>
    <w:p w14:paraId="3D1BDB0E">
      <w:pPr>
        <w:spacing w:line="360" w:lineRule="auto"/>
        <w:rPr>
          <w:rFonts w:hint="eastAsia" w:ascii="宋体" w:hAnsi="宋体" w:cs="宋体"/>
          <w:color w:val="auto"/>
          <w:szCs w:val="21"/>
          <w:highlight w:val="none"/>
        </w:rPr>
      </w:pPr>
    </w:p>
    <w:p w14:paraId="70AF73D6">
      <w:pPr>
        <w:spacing w:line="480" w:lineRule="exact"/>
        <w:rPr>
          <w:rFonts w:hint="eastAsia" w:ascii="宋体" w:hAnsi="宋体" w:cs="宋体"/>
          <w:color w:val="auto"/>
          <w:szCs w:val="21"/>
          <w:highlight w:val="none"/>
        </w:rPr>
      </w:pPr>
    </w:p>
    <w:p w14:paraId="15FBCB16">
      <w:pPr>
        <w:spacing w:line="480" w:lineRule="exact"/>
        <w:rPr>
          <w:rFonts w:hint="eastAsia" w:ascii="宋体" w:hAnsi="宋体" w:cs="宋体"/>
          <w:color w:val="auto"/>
          <w:szCs w:val="21"/>
          <w:highlight w:val="none"/>
        </w:rPr>
      </w:pPr>
    </w:p>
    <w:p w14:paraId="77AAC5A8">
      <w:pPr>
        <w:spacing w:line="480" w:lineRule="exact"/>
        <w:rPr>
          <w:rFonts w:hint="eastAsia" w:ascii="宋体" w:hAnsi="宋体" w:cs="宋体"/>
          <w:color w:val="auto"/>
          <w:szCs w:val="21"/>
          <w:highlight w:val="none"/>
        </w:rPr>
      </w:pPr>
    </w:p>
    <w:p w14:paraId="6D6DC6D9">
      <w:pPr>
        <w:spacing w:line="480" w:lineRule="exact"/>
        <w:rPr>
          <w:rFonts w:hint="eastAsia" w:ascii="宋体" w:hAnsi="宋体" w:cs="宋体"/>
          <w:color w:val="auto"/>
          <w:szCs w:val="21"/>
          <w:highlight w:val="none"/>
        </w:rPr>
      </w:pPr>
    </w:p>
    <w:p w14:paraId="277266BF">
      <w:pPr>
        <w:spacing w:line="480" w:lineRule="exact"/>
        <w:rPr>
          <w:rFonts w:hint="eastAsia" w:ascii="宋体" w:hAnsi="宋体" w:cs="宋体"/>
          <w:color w:val="auto"/>
          <w:szCs w:val="21"/>
          <w:highlight w:val="none"/>
        </w:rPr>
      </w:pPr>
    </w:p>
    <w:p w14:paraId="6ADC8739">
      <w:pPr>
        <w:spacing w:line="480" w:lineRule="exact"/>
        <w:rPr>
          <w:rFonts w:hint="eastAsia" w:ascii="宋体" w:hAnsi="宋体" w:cs="宋体"/>
          <w:color w:val="auto"/>
          <w:szCs w:val="21"/>
          <w:highlight w:val="none"/>
        </w:rPr>
      </w:pPr>
    </w:p>
    <w:p w14:paraId="293C8DBE">
      <w:pPr>
        <w:spacing w:line="480" w:lineRule="exact"/>
        <w:rPr>
          <w:rFonts w:hint="eastAsia" w:ascii="宋体" w:hAnsi="宋体" w:cs="宋体"/>
          <w:color w:val="auto"/>
          <w:szCs w:val="21"/>
          <w:highlight w:val="none"/>
        </w:rPr>
      </w:pPr>
    </w:p>
    <w:p w14:paraId="13168B91">
      <w:pPr>
        <w:spacing w:line="480" w:lineRule="exact"/>
        <w:rPr>
          <w:rFonts w:hint="eastAsia" w:ascii="宋体" w:hAnsi="宋体" w:cs="宋体"/>
          <w:color w:val="auto"/>
          <w:szCs w:val="21"/>
          <w:highlight w:val="none"/>
        </w:rPr>
      </w:pPr>
    </w:p>
    <w:p w14:paraId="62F4EF79">
      <w:pPr>
        <w:spacing w:line="360" w:lineRule="auto"/>
        <w:rPr>
          <w:rFonts w:hint="eastAsia" w:ascii="宋体" w:hAnsi="宋体" w:cs="宋体"/>
          <w:color w:val="auto"/>
          <w:szCs w:val="21"/>
          <w:highlight w:val="none"/>
        </w:rPr>
      </w:pPr>
      <w:bookmarkStart w:id="109" w:name="_Toc10548709"/>
      <w:bookmarkStart w:id="110" w:name="_Toc4471833"/>
    </w:p>
    <w:p w14:paraId="6993DED4">
      <w:pPr>
        <w:spacing w:line="360" w:lineRule="auto"/>
        <w:rPr>
          <w:rFonts w:hint="eastAsia" w:ascii="宋体" w:hAnsi="宋体" w:cs="宋体"/>
          <w:color w:val="auto"/>
          <w:szCs w:val="21"/>
          <w:highlight w:val="none"/>
        </w:rPr>
      </w:pPr>
    </w:p>
    <w:p w14:paraId="68D85E1A">
      <w:pPr>
        <w:spacing w:line="360" w:lineRule="auto"/>
        <w:rPr>
          <w:rFonts w:hint="eastAsia" w:ascii="宋体" w:hAnsi="宋体" w:cs="宋体"/>
          <w:color w:val="auto"/>
          <w:szCs w:val="21"/>
          <w:highlight w:val="none"/>
        </w:rPr>
      </w:pPr>
    </w:p>
    <w:p w14:paraId="4F9F0BA6">
      <w:pPr>
        <w:spacing w:line="360" w:lineRule="auto"/>
        <w:rPr>
          <w:rFonts w:hint="eastAsia" w:ascii="宋体" w:hAnsi="宋体" w:cs="宋体"/>
          <w:color w:val="auto"/>
          <w:szCs w:val="21"/>
          <w:highlight w:val="none"/>
        </w:rPr>
      </w:pPr>
    </w:p>
    <w:p w14:paraId="238EB0FB">
      <w:pPr>
        <w:spacing w:line="360" w:lineRule="auto"/>
        <w:rPr>
          <w:rFonts w:hint="eastAsia" w:ascii="宋体" w:hAnsi="宋体" w:cs="宋体"/>
          <w:color w:val="auto"/>
          <w:szCs w:val="21"/>
          <w:highlight w:val="none"/>
        </w:rPr>
      </w:pPr>
    </w:p>
    <w:p w14:paraId="34284036">
      <w:pPr>
        <w:spacing w:line="360" w:lineRule="auto"/>
        <w:rPr>
          <w:rFonts w:hint="eastAsia" w:ascii="宋体" w:hAnsi="宋体" w:cs="宋体"/>
          <w:color w:val="auto"/>
          <w:szCs w:val="21"/>
          <w:highlight w:val="none"/>
        </w:rPr>
      </w:pPr>
    </w:p>
    <w:p w14:paraId="073425D9">
      <w:pPr>
        <w:spacing w:line="360" w:lineRule="auto"/>
        <w:rPr>
          <w:rFonts w:hint="eastAsia" w:ascii="宋体" w:hAnsi="宋体" w:cs="宋体"/>
          <w:color w:val="auto"/>
          <w:szCs w:val="21"/>
          <w:highlight w:val="none"/>
        </w:rPr>
      </w:pPr>
    </w:p>
    <w:p w14:paraId="01100B9C">
      <w:pPr>
        <w:spacing w:line="360" w:lineRule="auto"/>
        <w:rPr>
          <w:rFonts w:hint="eastAsia" w:ascii="宋体" w:hAnsi="宋体" w:cs="宋体"/>
          <w:b/>
          <w:bCs/>
          <w:color w:val="auto"/>
          <w:highlight w:val="none"/>
        </w:rPr>
      </w:pPr>
      <w:r>
        <w:rPr>
          <w:rFonts w:hint="eastAsia" w:ascii="宋体" w:hAnsi="宋体" w:cs="宋体"/>
          <w:b/>
          <w:bCs/>
          <w:color w:val="auto"/>
          <w:highlight w:val="none"/>
        </w:rPr>
        <w:t>1.技术方案（根据技术部分评分表内容要求提供）</w:t>
      </w:r>
    </w:p>
    <w:p w14:paraId="5F9A1BD6">
      <w:pPr>
        <w:spacing w:line="480" w:lineRule="exact"/>
        <w:rPr>
          <w:rFonts w:hint="eastAsia" w:ascii="宋体" w:hAnsi="宋体" w:cs="宋体"/>
          <w:b/>
          <w:color w:val="auto"/>
          <w:highlight w:val="none"/>
        </w:rPr>
      </w:pPr>
    </w:p>
    <w:p w14:paraId="362ADB7A">
      <w:pPr>
        <w:spacing w:line="480" w:lineRule="exact"/>
        <w:jc w:val="center"/>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技术方案</w:t>
      </w:r>
    </w:p>
    <w:p w14:paraId="2532AA7E">
      <w:pPr>
        <w:spacing w:line="360" w:lineRule="auto"/>
        <w:ind w:firstLine="525" w:firstLineChars="250"/>
        <w:jc w:val="center"/>
        <w:rPr>
          <w:rFonts w:hint="eastAsia" w:ascii="宋体" w:hAnsi="宋体" w:cs="宋体"/>
          <w:color w:val="auto"/>
          <w:szCs w:val="21"/>
          <w:highlight w:val="none"/>
        </w:rPr>
      </w:pPr>
    </w:p>
    <w:p w14:paraId="23C36F14">
      <w:pPr>
        <w:spacing w:line="360" w:lineRule="auto"/>
        <w:ind w:firstLine="525" w:firstLineChars="250"/>
        <w:jc w:val="center"/>
        <w:rPr>
          <w:rFonts w:hint="eastAsia" w:ascii="宋体" w:hAnsi="宋体" w:cs="宋体"/>
          <w:color w:val="auto"/>
          <w:szCs w:val="21"/>
          <w:highlight w:val="none"/>
        </w:rPr>
      </w:pPr>
    </w:p>
    <w:p w14:paraId="7F5DAB87">
      <w:pPr>
        <w:numPr>
          <w:ilvl w:val="1"/>
          <w:numId w:val="0"/>
        </w:numPr>
        <w:spacing w:line="360" w:lineRule="auto"/>
        <w:ind w:firstLine="525" w:firstLineChars="250"/>
        <w:jc w:val="left"/>
        <w:rPr>
          <w:rFonts w:hint="eastAsia" w:ascii="宋体" w:hAnsi="宋体" w:cs="宋体"/>
          <w:color w:val="auto"/>
          <w:highlight w:val="none"/>
        </w:rPr>
      </w:pPr>
      <w:r>
        <w:rPr>
          <w:rFonts w:hint="eastAsia" w:ascii="宋体" w:hAnsi="宋体" w:cs="宋体"/>
          <w:color w:val="auto"/>
          <w:highlight w:val="none"/>
          <w:lang w:val="en-US" w:eastAsia="zh-CN"/>
        </w:rPr>
        <w:t xml:space="preserve">1.1 </w:t>
      </w:r>
      <w:r>
        <w:rPr>
          <w:rFonts w:hint="eastAsia" w:ascii="宋体" w:hAnsi="宋体" w:cs="宋体"/>
          <w:color w:val="auto"/>
          <w:highlight w:val="none"/>
        </w:rPr>
        <w:t>配送服务方案（根据技术部分评分表内容要求提供）</w:t>
      </w:r>
    </w:p>
    <w:p w14:paraId="3757DE00">
      <w:pPr>
        <w:numPr>
          <w:ilvl w:val="1"/>
          <w:numId w:val="0"/>
        </w:numPr>
        <w:spacing w:line="360" w:lineRule="auto"/>
        <w:ind w:firstLine="525" w:firstLineChars="250"/>
        <w:jc w:val="left"/>
        <w:rPr>
          <w:rFonts w:hint="eastAsia" w:ascii="宋体" w:hAnsi="宋体" w:cs="宋体"/>
          <w:color w:val="auto"/>
          <w:highlight w:val="none"/>
        </w:rPr>
      </w:pPr>
      <w:r>
        <w:rPr>
          <w:rFonts w:hint="eastAsia" w:ascii="宋体" w:hAnsi="宋体" w:cs="宋体"/>
          <w:color w:val="auto"/>
          <w:highlight w:val="none"/>
          <w:lang w:val="en-US" w:eastAsia="zh-CN"/>
        </w:rPr>
        <w:t xml:space="preserve">1.2 </w:t>
      </w:r>
      <w:r>
        <w:rPr>
          <w:rFonts w:hint="eastAsia" w:ascii="宋体" w:hAnsi="宋体" w:cs="宋体"/>
          <w:color w:val="auto"/>
          <w:highlight w:val="none"/>
        </w:rPr>
        <w:t>质量及安全保证措施方案（根据技术部分评分表内容要求提供）</w:t>
      </w:r>
    </w:p>
    <w:p w14:paraId="60AE9F9C">
      <w:pPr>
        <w:numPr>
          <w:ilvl w:val="1"/>
          <w:numId w:val="0"/>
        </w:numPr>
        <w:spacing w:line="360" w:lineRule="auto"/>
        <w:ind w:firstLine="525" w:firstLineChars="250"/>
        <w:jc w:val="left"/>
        <w:rPr>
          <w:rFonts w:hint="eastAsia" w:ascii="宋体" w:hAnsi="宋体" w:cs="宋体"/>
          <w:color w:val="auto"/>
          <w:highlight w:val="none"/>
        </w:rPr>
      </w:pPr>
      <w:r>
        <w:rPr>
          <w:rFonts w:hint="eastAsia" w:ascii="宋体" w:hAnsi="宋体" w:cs="宋体"/>
          <w:color w:val="auto"/>
          <w:highlight w:val="none"/>
          <w:lang w:val="en-US" w:eastAsia="zh-CN"/>
        </w:rPr>
        <w:t xml:space="preserve">1.3 </w:t>
      </w:r>
      <w:r>
        <w:rPr>
          <w:rFonts w:hint="eastAsia" w:ascii="宋体" w:hAnsi="宋体" w:cs="宋体"/>
          <w:color w:val="auto"/>
          <w:highlight w:val="none"/>
        </w:rPr>
        <w:t>应急管理方案（根据技术部分评分表内容要求提供）</w:t>
      </w:r>
    </w:p>
    <w:p w14:paraId="142F5F84">
      <w:pPr>
        <w:numPr>
          <w:ilvl w:val="1"/>
          <w:numId w:val="0"/>
        </w:numPr>
        <w:spacing w:line="360" w:lineRule="auto"/>
        <w:ind w:firstLine="525" w:firstLineChars="250"/>
        <w:jc w:val="left"/>
        <w:rPr>
          <w:rFonts w:hint="eastAsia" w:ascii="宋体" w:hAnsi="宋体" w:cs="宋体"/>
          <w:color w:val="auto"/>
          <w:highlight w:val="none"/>
        </w:rPr>
      </w:pPr>
      <w:r>
        <w:rPr>
          <w:rFonts w:hint="eastAsia" w:ascii="宋体" w:hAnsi="宋体" w:cs="宋体"/>
          <w:color w:val="auto"/>
          <w:highlight w:val="none"/>
          <w:lang w:val="en-US" w:eastAsia="zh-CN"/>
        </w:rPr>
        <w:t xml:space="preserve">1.4 </w:t>
      </w:r>
      <w:r>
        <w:rPr>
          <w:rFonts w:hint="eastAsia" w:ascii="宋体" w:hAnsi="宋体" w:cs="宋体"/>
          <w:color w:val="auto"/>
          <w:highlight w:val="none"/>
        </w:rPr>
        <w:t>售后服务方案（根据技术部分评分表内容要求提供）</w:t>
      </w:r>
    </w:p>
    <w:p w14:paraId="67C1AE1C">
      <w:pPr>
        <w:numPr>
          <w:ilvl w:val="1"/>
          <w:numId w:val="0"/>
        </w:numPr>
        <w:spacing w:line="360" w:lineRule="auto"/>
        <w:ind w:firstLine="525" w:firstLineChars="250"/>
        <w:jc w:val="left"/>
        <w:rPr>
          <w:rFonts w:hint="eastAsia" w:ascii="宋体" w:hAnsi="宋体" w:cs="宋体"/>
          <w:color w:val="auto"/>
          <w:highlight w:val="none"/>
        </w:rPr>
      </w:pPr>
    </w:p>
    <w:p w14:paraId="755E1264">
      <w:pPr>
        <w:numPr>
          <w:ilvl w:val="1"/>
          <w:numId w:val="0"/>
        </w:numPr>
        <w:spacing w:line="360" w:lineRule="auto"/>
        <w:ind w:firstLine="525" w:firstLineChars="250"/>
        <w:jc w:val="left"/>
        <w:rPr>
          <w:rFonts w:hint="eastAsia" w:ascii="宋体" w:hAnsi="宋体" w:cs="宋体"/>
          <w:color w:val="auto"/>
          <w:highlight w:val="none"/>
        </w:rPr>
      </w:pPr>
    </w:p>
    <w:p w14:paraId="34F4839C">
      <w:pPr>
        <w:numPr>
          <w:ilvl w:val="1"/>
          <w:numId w:val="0"/>
        </w:numPr>
        <w:spacing w:line="360" w:lineRule="auto"/>
        <w:ind w:firstLine="525" w:firstLineChars="250"/>
        <w:jc w:val="left"/>
        <w:rPr>
          <w:rFonts w:hint="eastAsia" w:ascii="宋体" w:hAnsi="宋体" w:cs="宋体"/>
          <w:color w:val="auto"/>
          <w:highlight w:val="none"/>
        </w:rPr>
      </w:pPr>
    </w:p>
    <w:p w14:paraId="2BE273EC">
      <w:pPr>
        <w:snapToGrid w:val="0"/>
        <w:spacing w:line="360" w:lineRule="auto"/>
        <w:rPr>
          <w:rFonts w:hint="eastAsia" w:ascii="宋体" w:hAnsi="宋体" w:cs="宋体"/>
          <w:color w:val="auto"/>
          <w:szCs w:val="21"/>
          <w:highlight w:val="none"/>
        </w:rPr>
      </w:pPr>
    </w:p>
    <w:p w14:paraId="2985E45A">
      <w:pPr>
        <w:snapToGrid w:val="0"/>
        <w:spacing w:line="360" w:lineRule="auto"/>
        <w:rPr>
          <w:rFonts w:hint="eastAsia" w:ascii="宋体" w:hAnsi="宋体" w:cs="宋体"/>
          <w:color w:val="auto"/>
          <w:szCs w:val="21"/>
          <w:highlight w:val="none"/>
        </w:rPr>
      </w:pPr>
    </w:p>
    <w:p w14:paraId="10960C57">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67642F8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9816582">
      <w:pPr>
        <w:snapToGrid w:val="0"/>
        <w:spacing w:line="360" w:lineRule="auto"/>
        <w:rPr>
          <w:rFonts w:hint="eastAsia" w:ascii="宋体" w:hAnsi="宋体" w:cs="宋体"/>
          <w:color w:val="auto"/>
          <w:szCs w:val="21"/>
          <w:highlight w:val="none"/>
        </w:rPr>
      </w:pPr>
    </w:p>
    <w:p w14:paraId="441FD690">
      <w:pPr>
        <w:spacing w:line="360" w:lineRule="auto"/>
        <w:rPr>
          <w:rFonts w:hint="eastAsia" w:ascii="宋体" w:hAnsi="宋体" w:cs="宋体"/>
          <w:color w:val="auto"/>
          <w:szCs w:val="21"/>
          <w:highlight w:val="none"/>
        </w:rPr>
      </w:pPr>
    </w:p>
    <w:p w14:paraId="14771DD8">
      <w:pPr>
        <w:spacing w:line="360" w:lineRule="auto"/>
        <w:rPr>
          <w:rFonts w:hint="eastAsia" w:ascii="宋体" w:hAnsi="宋体" w:cs="宋体"/>
          <w:b/>
          <w:bCs/>
          <w:color w:val="auto"/>
          <w:highlight w:val="none"/>
        </w:rPr>
      </w:pPr>
      <w:r>
        <w:rPr>
          <w:rFonts w:hint="eastAsia" w:ascii="宋体" w:hAnsi="宋体" w:cs="宋体"/>
          <w:b/>
          <w:bCs/>
          <w:color w:val="auto"/>
          <w:szCs w:val="21"/>
          <w:highlight w:val="none"/>
        </w:rPr>
        <w:t>2.招标人配合的条件</w:t>
      </w:r>
    </w:p>
    <w:p w14:paraId="38C09E8B">
      <w:pPr>
        <w:spacing w:line="480" w:lineRule="exact"/>
        <w:rPr>
          <w:rFonts w:hint="eastAsia" w:ascii="宋体" w:hAnsi="宋体" w:cs="宋体"/>
          <w:b/>
          <w:color w:val="auto"/>
          <w:highlight w:val="none"/>
        </w:rPr>
      </w:pPr>
    </w:p>
    <w:p w14:paraId="508F0161">
      <w:pPr>
        <w:spacing w:line="480" w:lineRule="exact"/>
        <w:rPr>
          <w:rFonts w:hint="eastAsia" w:ascii="宋体" w:hAnsi="宋体" w:cs="宋体"/>
          <w:b/>
          <w:color w:val="auto"/>
          <w:highlight w:val="none"/>
        </w:rPr>
      </w:pPr>
    </w:p>
    <w:p w14:paraId="1934B9A3">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招标人配合的条件</w:t>
      </w:r>
    </w:p>
    <w:p w14:paraId="16C25C10">
      <w:pPr>
        <w:spacing w:line="480" w:lineRule="exact"/>
        <w:jc w:val="center"/>
        <w:rPr>
          <w:rFonts w:hint="eastAsia" w:ascii="宋体" w:hAnsi="宋体" w:cs="宋体"/>
          <w:color w:val="auto"/>
          <w:highlight w:val="none"/>
        </w:rPr>
      </w:pPr>
    </w:p>
    <w:p w14:paraId="39528DFB">
      <w:pPr>
        <w:spacing w:line="480" w:lineRule="exact"/>
        <w:ind w:firstLine="403"/>
        <w:rPr>
          <w:rFonts w:hint="eastAsia" w:ascii="宋体" w:hAnsi="宋体" w:cs="宋体"/>
          <w:color w:val="auto"/>
          <w:szCs w:val="21"/>
          <w:highlight w:val="none"/>
        </w:rPr>
      </w:pPr>
      <w:r>
        <w:rPr>
          <w:rFonts w:hint="eastAsia" w:ascii="宋体" w:hAnsi="宋体" w:cs="宋体"/>
          <w:color w:val="auto"/>
          <w:szCs w:val="21"/>
          <w:highlight w:val="none"/>
        </w:rPr>
        <w:t>为配合本项目计划进度时间表所进行的各阶段工作，投标人必须列明需要招标人配合的工作内容和具体要求。</w:t>
      </w:r>
    </w:p>
    <w:p w14:paraId="2F1DAA8E">
      <w:pPr>
        <w:spacing w:line="480" w:lineRule="exact"/>
        <w:ind w:firstLine="403"/>
        <w:rPr>
          <w:rFonts w:hint="eastAsia" w:ascii="宋体" w:hAnsi="宋体" w:cs="宋体"/>
          <w:color w:val="auto"/>
          <w:szCs w:val="21"/>
          <w:highlight w:val="none"/>
        </w:rPr>
      </w:pPr>
    </w:p>
    <w:p w14:paraId="2024D14B">
      <w:pPr>
        <w:spacing w:line="480" w:lineRule="exact"/>
        <w:rPr>
          <w:rFonts w:hint="eastAsia" w:ascii="宋体" w:hAnsi="宋体" w:cs="宋体"/>
          <w:color w:val="auto"/>
          <w:szCs w:val="21"/>
          <w:highlight w:val="none"/>
        </w:rPr>
      </w:pPr>
    </w:p>
    <w:p w14:paraId="3F7DFD91">
      <w:pPr>
        <w:spacing w:line="480" w:lineRule="exact"/>
        <w:ind w:firstLine="403"/>
        <w:rPr>
          <w:rFonts w:hint="eastAsia" w:ascii="宋体" w:hAnsi="宋体" w:cs="宋体"/>
          <w:color w:val="auto"/>
          <w:szCs w:val="21"/>
          <w:highlight w:val="none"/>
        </w:rPr>
      </w:pPr>
    </w:p>
    <w:p w14:paraId="5F757CEA">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394603A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6F14D8F">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72392882">
      <w:pPr>
        <w:rPr>
          <w:rFonts w:hint="eastAsia" w:ascii="宋体" w:hAnsi="宋体" w:cs="宋体"/>
          <w:b/>
          <w:bCs/>
          <w:color w:val="auto"/>
          <w:szCs w:val="21"/>
          <w:highlight w:val="none"/>
        </w:rPr>
      </w:pPr>
      <w:r>
        <w:rPr>
          <w:rFonts w:hint="eastAsia" w:ascii="宋体" w:hAnsi="宋体" w:cs="宋体"/>
          <w:b/>
          <w:bCs/>
          <w:color w:val="auto"/>
          <w:szCs w:val="21"/>
          <w:highlight w:val="none"/>
        </w:rPr>
        <w:t>3.技术响应表格式</w:t>
      </w:r>
      <w:bookmarkEnd w:id="109"/>
      <w:bookmarkEnd w:id="110"/>
    </w:p>
    <w:p w14:paraId="15D400F6">
      <w:pPr>
        <w:pStyle w:val="33"/>
        <w:jc w:val="center"/>
        <w:rPr>
          <w:rFonts w:hint="eastAsia" w:ascii="宋体" w:hAnsi="宋体" w:cs="宋体"/>
          <w:caps w:val="0"/>
          <w:color w:val="auto"/>
          <w:sz w:val="32"/>
          <w:szCs w:val="32"/>
          <w:highlight w:val="none"/>
        </w:rPr>
      </w:pPr>
      <w:r>
        <w:rPr>
          <w:rFonts w:hint="eastAsia" w:ascii="宋体" w:hAnsi="宋体" w:cs="宋体"/>
          <w:caps w:val="0"/>
          <w:color w:val="auto"/>
          <w:sz w:val="32"/>
          <w:szCs w:val="32"/>
          <w:highlight w:val="none"/>
        </w:rPr>
        <w:t>技术响应表</w:t>
      </w:r>
    </w:p>
    <w:p w14:paraId="0135890E">
      <w:pPr>
        <w:spacing w:line="360" w:lineRule="auto"/>
        <w:rPr>
          <w:rFonts w:hint="eastAsia" w:ascii="宋体" w:hAnsi="宋体" w:eastAsia="宋体" w:cs="宋体"/>
          <w:bCs/>
          <w:color w:val="auto"/>
          <w:highlight w:val="none"/>
          <w:lang w:eastAsia="zh-CN"/>
        </w:rPr>
      </w:pPr>
      <w:r>
        <w:rPr>
          <w:rFonts w:hint="eastAsia" w:ascii="宋体" w:hAnsi="宋体" w:cs="宋体"/>
          <w:bCs/>
          <w:color w:val="auto"/>
          <w:highlight w:val="none"/>
        </w:rPr>
        <w:t>项目名称：</w:t>
      </w:r>
      <w:r>
        <w:rPr>
          <w:rFonts w:hint="eastAsia" w:ascii="宋体" w:hAnsi="宋体" w:cs="宋体"/>
          <w:bCs/>
          <w:color w:val="auto"/>
          <w:highlight w:val="none"/>
          <w:lang w:eastAsia="zh-CN"/>
        </w:rPr>
        <w:t>征集2026年—2028年校园桶装饮用水服务商</w:t>
      </w:r>
    </w:p>
    <w:p w14:paraId="7DD78D96">
      <w:pPr>
        <w:spacing w:line="360" w:lineRule="auto"/>
        <w:rPr>
          <w:rFonts w:hint="eastAsia" w:ascii="宋体" w:hAnsi="宋体" w:cs="宋体"/>
          <w:color w:val="auto"/>
          <w:highlight w:val="none"/>
        </w:rPr>
      </w:pPr>
      <w:r>
        <w:rPr>
          <w:rFonts w:hint="eastAsia" w:ascii="宋体" w:hAnsi="宋体" w:cs="宋体"/>
          <w:bCs/>
          <w:color w:val="auto"/>
          <w:highlight w:val="none"/>
        </w:rPr>
        <w:t>项目编号：</w:t>
      </w:r>
      <w:r>
        <w:rPr>
          <w:rFonts w:hint="eastAsia" w:ascii="宋体" w:hAnsi="宋体" w:cs="宋体"/>
          <w:bCs/>
          <w:color w:val="auto"/>
          <w:highlight w:val="none"/>
          <w:lang w:eastAsia="zh-CN"/>
        </w:rPr>
        <w:t>CQZB260018</w:t>
      </w:r>
      <w:r>
        <w:rPr>
          <w:rFonts w:hint="eastAsia" w:ascii="宋体" w:hAnsi="宋体" w:cs="宋体"/>
          <w:bCs/>
          <w:color w:val="auto"/>
          <w:highlight w:val="none"/>
        </w:rPr>
        <w:t xml:space="preserve">                                                        </w:t>
      </w:r>
    </w:p>
    <w:p w14:paraId="515FB9D7">
      <w:pPr>
        <w:spacing w:before="156" w:after="156" w:line="360" w:lineRule="auto"/>
        <w:rPr>
          <w:rFonts w:hint="eastAsia" w:ascii="宋体" w:hAnsi="宋体" w:cs="宋体"/>
          <w:color w:val="auto"/>
          <w:highlight w:val="none"/>
        </w:rPr>
      </w:pPr>
      <w:r>
        <w:rPr>
          <w:rFonts w:hint="eastAsia" w:ascii="宋体" w:hAnsi="宋体" w:cs="宋体"/>
          <w:color w:val="auto"/>
          <w:highlight w:val="none"/>
        </w:rPr>
        <w:t>[说明]投标人应对照</w:t>
      </w:r>
      <w:r>
        <w:rPr>
          <w:rFonts w:hint="eastAsia" w:ascii="宋体" w:hAnsi="宋体" w:cs="宋体"/>
          <w:bCs/>
          <w:color w:val="auto"/>
          <w:highlight w:val="none"/>
        </w:rPr>
        <w:t>招标文件</w:t>
      </w:r>
      <w:r>
        <w:rPr>
          <w:rFonts w:hint="eastAsia" w:ascii="宋体" w:hAnsi="宋体" w:cs="宋体"/>
          <w:color w:val="auto"/>
          <w:highlight w:val="none"/>
        </w:rPr>
        <w:t>要求与投标的实际情况对</w:t>
      </w:r>
      <w:r>
        <w:rPr>
          <w:rFonts w:hint="eastAsia" w:ascii="宋体" w:hAnsi="宋体" w:cs="宋体"/>
          <w:bCs/>
          <w:color w:val="auto"/>
          <w:highlight w:val="none"/>
        </w:rPr>
        <w:t>招标文件</w:t>
      </w:r>
      <w:r>
        <w:rPr>
          <w:rFonts w:hint="eastAsia" w:ascii="宋体" w:hAnsi="宋体" w:cs="宋体"/>
          <w:color w:val="auto"/>
          <w:highlight w:val="none"/>
        </w:rPr>
        <w:t>中“用</w:t>
      </w:r>
      <w:r>
        <w:rPr>
          <w:rFonts w:hint="eastAsia" w:ascii="宋体" w:hAnsi="宋体" w:cs="宋体"/>
          <w:color w:val="auto"/>
          <w:szCs w:val="21"/>
          <w:highlight w:val="none"/>
        </w:rPr>
        <w:t>户</w:t>
      </w:r>
      <w:r>
        <w:rPr>
          <w:rFonts w:hint="eastAsia" w:ascii="宋体" w:hAnsi="宋体" w:cs="宋体"/>
          <w:color w:val="auto"/>
          <w:highlight w:val="none"/>
        </w:rPr>
        <w:t>需求书” 的技术条款内容作全面响应。完全满足的在“响应”栏中打“√”，若有差异的请在“差异”栏内如实注</w:t>
      </w:r>
      <w:r>
        <w:rPr>
          <w:rFonts w:hint="eastAsia" w:ascii="宋体" w:hAnsi="宋体" w:cs="宋体"/>
          <w:color w:val="auto"/>
          <w:szCs w:val="21"/>
          <w:highlight w:val="none"/>
        </w:rPr>
        <w:t>明是“正偏差”或“负偏差”，（“正偏差”指所报</w:t>
      </w:r>
      <w:r>
        <w:rPr>
          <w:rFonts w:hint="eastAsia" w:ascii="宋体" w:hAnsi="宋体" w:cs="宋体"/>
          <w:color w:val="auto"/>
          <w:szCs w:val="21"/>
          <w:highlight w:val="none"/>
          <w:lang w:val="en-US" w:eastAsia="zh-CN"/>
        </w:rPr>
        <w:t>货物或</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或工程</w:t>
      </w:r>
      <w:r>
        <w:rPr>
          <w:rFonts w:hint="eastAsia" w:ascii="宋体" w:hAnsi="宋体" w:cs="宋体"/>
          <w:color w:val="auto"/>
          <w:szCs w:val="21"/>
          <w:highlight w:val="none"/>
        </w:rPr>
        <w:t>的技术参数优于招标文件中要求，“负偏差”指所报</w:t>
      </w:r>
      <w:r>
        <w:rPr>
          <w:rFonts w:hint="eastAsia" w:ascii="宋体" w:hAnsi="宋体" w:cs="宋体"/>
          <w:color w:val="auto"/>
          <w:szCs w:val="21"/>
          <w:highlight w:val="none"/>
          <w:lang w:val="en-US" w:eastAsia="zh-CN"/>
        </w:rPr>
        <w:t>货物或</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或工程</w:t>
      </w:r>
      <w:r>
        <w:rPr>
          <w:rFonts w:hint="eastAsia" w:ascii="宋体" w:hAnsi="宋体" w:cs="宋体"/>
          <w:color w:val="auto"/>
          <w:szCs w:val="21"/>
          <w:highlight w:val="none"/>
        </w:rPr>
        <w:t>的技术参数低于招标文件中要求）</w:t>
      </w:r>
      <w:r>
        <w:rPr>
          <w:rFonts w:hint="eastAsia" w:ascii="宋体" w:hAnsi="宋体" w:cs="宋体"/>
          <w:color w:val="auto"/>
          <w:highlight w:val="none"/>
        </w:rPr>
        <w:t>，并将差异情况在技术差异表说明。（</w:t>
      </w:r>
      <w:r>
        <w:rPr>
          <w:rFonts w:hint="eastAsia" w:ascii="宋体" w:hAnsi="宋体" w:cs="宋体"/>
          <w:color w:val="auto"/>
          <w:highlight w:val="none"/>
          <w:u w:val="single"/>
        </w:rPr>
        <w:t>不填写或漏填的内容，该条款不响应）</w:t>
      </w:r>
    </w:p>
    <w:tbl>
      <w:tblPr>
        <w:tblStyle w:val="49"/>
        <w:tblW w:w="9286"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087"/>
        <w:gridCol w:w="3339"/>
        <w:gridCol w:w="903"/>
        <w:gridCol w:w="2141"/>
      </w:tblGrid>
      <w:tr w14:paraId="563643C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vAlign w:val="center"/>
          </w:tcPr>
          <w:p w14:paraId="60694658">
            <w:pPr>
              <w:spacing w:line="200" w:lineRule="atLeast"/>
              <w:jc w:val="center"/>
              <w:rPr>
                <w:rFonts w:hint="eastAsia" w:ascii="宋体" w:hAnsi="宋体" w:cs="宋体"/>
                <w:b/>
                <w:color w:val="auto"/>
                <w:highlight w:val="none"/>
              </w:rPr>
            </w:pPr>
            <w:r>
              <w:rPr>
                <w:rFonts w:hint="eastAsia" w:ascii="宋体" w:hAnsi="宋体" w:cs="宋体"/>
                <w:b/>
                <w:color w:val="auto"/>
                <w:highlight w:val="none"/>
              </w:rPr>
              <w:t>序号</w:t>
            </w:r>
          </w:p>
        </w:tc>
        <w:tc>
          <w:tcPr>
            <w:tcW w:w="2087" w:type="dxa"/>
            <w:vAlign w:val="center"/>
          </w:tcPr>
          <w:p w14:paraId="41BC849F">
            <w:pPr>
              <w:spacing w:line="200" w:lineRule="atLeast"/>
              <w:jc w:val="center"/>
              <w:rPr>
                <w:rFonts w:hint="eastAsia" w:ascii="宋体" w:hAnsi="宋体" w:cs="宋体"/>
                <w:b/>
                <w:bCs/>
                <w:color w:val="auto"/>
                <w:highlight w:val="none"/>
              </w:rPr>
            </w:pPr>
            <w:r>
              <w:rPr>
                <w:rFonts w:hint="eastAsia" w:ascii="宋体" w:hAnsi="宋体" w:cs="宋体"/>
                <w:b/>
                <w:bCs/>
                <w:color w:val="auto"/>
                <w:highlight w:val="none"/>
              </w:rPr>
              <w:t>用户需求书要求</w:t>
            </w:r>
          </w:p>
        </w:tc>
        <w:tc>
          <w:tcPr>
            <w:tcW w:w="3339" w:type="dxa"/>
            <w:vAlign w:val="center"/>
          </w:tcPr>
          <w:p w14:paraId="78389BC1">
            <w:pPr>
              <w:spacing w:line="200" w:lineRule="atLeast"/>
              <w:jc w:val="center"/>
              <w:rPr>
                <w:rFonts w:hint="eastAsia" w:ascii="宋体" w:hAnsi="宋体" w:cs="宋体"/>
                <w:b/>
                <w:bCs/>
                <w:color w:val="auto"/>
                <w:highlight w:val="none"/>
              </w:rPr>
            </w:pPr>
            <w:r>
              <w:rPr>
                <w:rFonts w:hint="eastAsia" w:ascii="宋体" w:hAnsi="宋体" w:cs="宋体"/>
                <w:b/>
                <w:bCs/>
                <w:color w:val="auto"/>
                <w:highlight w:val="none"/>
              </w:rPr>
              <w:t>实际响应的具体内容</w:t>
            </w:r>
          </w:p>
        </w:tc>
        <w:tc>
          <w:tcPr>
            <w:tcW w:w="903" w:type="dxa"/>
            <w:vAlign w:val="center"/>
          </w:tcPr>
          <w:p w14:paraId="2EBC2CB5">
            <w:pPr>
              <w:spacing w:line="200" w:lineRule="atLeast"/>
              <w:jc w:val="center"/>
              <w:rPr>
                <w:rFonts w:hint="eastAsia" w:ascii="宋体" w:hAnsi="宋体" w:cs="宋体"/>
                <w:b/>
                <w:color w:val="auto"/>
                <w:highlight w:val="none"/>
              </w:rPr>
            </w:pPr>
            <w:r>
              <w:rPr>
                <w:rFonts w:hint="eastAsia" w:ascii="宋体" w:hAnsi="宋体" w:cs="宋体"/>
                <w:b/>
                <w:color w:val="auto"/>
                <w:highlight w:val="none"/>
              </w:rPr>
              <w:t>响应</w:t>
            </w:r>
          </w:p>
        </w:tc>
        <w:tc>
          <w:tcPr>
            <w:tcW w:w="2141" w:type="dxa"/>
            <w:vAlign w:val="center"/>
          </w:tcPr>
          <w:p w14:paraId="040BDD52">
            <w:pPr>
              <w:spacing w:line="200" w:lineRule="atLeast"/>
              <w:jc w:val="center"/>
              <w:rPr>
                <w:rFonts w:hint="eastAsia" w:ascii="宋体" w:hAnsi="宋体" w:cs="宋体"/>
                <w:b/>
                <w:color w:val="auto"/>
                <w:highlight w:val="none"/>
              </w:rPr>
            </w:pPr>
            <w:r>
              <w:rPr>
                <w:rFonts w:hint="eastAsia" w:ascii="宋体" w:hAnsi="宋体" w:cs="宋体"/>
                <w:b/>
                <w:color w:val="auto"/>
                <w:highlight w:val="none"/>
              </w:rPr>
              <w:t>差异</w:t>
            </w:r>
          </w:p>
        </w:tc>
      </w:tr>
      <w:tr w14:paraId="03DE5FC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vAlign w:val="center"/>
          </w:tcPr>
          <w:p w14:paraId="7AD394A4">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1</w:t>
            </w:r>
          </w:p>
        </w:tc>
        <w:tc>
          <w:tcPr>
            <w:tcW w:w="2087" w:type="dxa"/>
            <w:vAlign w:val="center"/>
          </w:tcPr>
          <w:p w14:paraId="21FA45E0">
            <w:pPr>
              <w:spacing w:line="200" w:lineRule="atLeast"/>
              <w:ind w:right="196" w:firstLine="152"/>
              <w:jc w:val="distribute"/>
              <w:rPr>
                <w:rFonts w:hint="eastAsia" w:ascii="宋体" w:hAnsi="宋体" w:cs="宋体"/>
                <w:color w:val="auto"/>
                <w:highlight w:val="none"/>
              </w:rPr>
            </w:pPr>
          </w:p>
        </w:tc>
        <w:tc>
          <w:tcPr>
            <w:tcW w:w="3339" w:type="dxa"/>
            <w:vAlign w:val="center"/>
          </w:tcPr>
          <w:p w14:paraId="1957643D">
            <w:pPr>
              <w:spacing w:line="200" w:lineRule="atLeast"/>
              <w:rPr>
                <w:rFonts w:hint="eastAsia" w:ascii="宋体" w:hAnsi="宋体" w:cs="宋体"/>
                <w:color w:val="auto"/>
                <w:highlight w:val="none"/>
              </w:rPr>
            </w:pPr>
          </w:p>
        </w:tc>
        <w:tc>
          <w:tcPr>
            <w:tcW w:w="903" w:type="dxa"/>
            <w:vAlign w:val="center"/>
          </w:tcPr>
          <w:p w14:paraId="48AD4509">
            <w:pPr>
              <w:spacing w:line="200" w:lineRule="atLeast"/>
              <w:jc w:val="center"/>
              <w:rPr>
                <w:rFonts w:hint="eastAsia" w:ascii="宋体" w:hAnsi="宋体" w:cs="宋体"/>
                <w:color w:val="auto"/>
                <w:highlight w:val="none"/>
              </w:rPr>
            </w:pPr>
          </w:p>
        </w:tc>
        <w:tc>
          <w:tcPr>
            <w:tcW w:w="2141" w:type="dxa"/>
          </w:tcPr>
          <w:p w14:paraId="3A3E520C">
            <w:pPr>
              <w:spacing w:line="200" w:lineRule="atLeast"/>
              <w:rPr>
                <w:rFonts w:hint="eastAsia" w:ascii="宋体" w:hAnsi="宋体" w:cs="宋体"/>
                <w:color w:val="auto"/>
                <w:highlight w:val="none"/>
              </w:rPr>
            </w:pPr>
          </w:p>
        </w:tc>
      </w:tr>
      <w:tr w14:paraId="59BA754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vAlign w:val="center"/>
          </w:tcPr>
          <w:p w14:paraId="050DA287">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2</w:t>
            </w:r>
          </w:p>
        </w:tc>
        <w:tc>
          <w:tcPr>
            <w:tcW w:w="2087" w:type="dxa"/>
            <w:vAlign w:val="center"/>
          </w:tcPr>
          <w:p w14:paraId="7720B5DC">
            <w:pPr>
              <w:spacing w:line="200" w:lineRule="atLeast"/>
              <w:ind w:right="196" w:firstLine="152"/>
              <w:jc w:val="distribute"/>
              <w:rPr>
                <w:rFonts w:hint="eastAsia" w:ascii="宋体" w:hAnsi="宋体" w:cs="宋体"/>
                <w:color w:val="auto"/>
                <w:highlight w:val="none"/>
              </w:rPr>
            </w:pPr>
          </w:p>
        </w:tc>
        <w:tc>
          <w:tcPr>
            <w:tcW w:w="3339" w:type="dxa"/>
            <w:vAlign w:val="center"/>
          </w:tcPr>
          <w:p w14:paraId="3CEDA831">
            <w:pPr>
              <w:spacing w:line="200" w:lineRule="atLeast"/>
              <w:rPr>
                <w:rFonts w:hint="eastAsia" w:ascii="宋体" w:hAnsi="宋体" w:cs="宋体"/>
                <w:color w:val="auto"/>
                <w:highlight w:val="none"/>
              </w:rPr>
            </w:pPr>
          </w:p>
        </w:tc>
        <w:tc>
          <w:tcPr>
            <w:tcW w:w="903" w:type="dxa"/>
            <w:vAlign w:val="center"/>
          </w:tcPr>
          <w:p w14:paraId="045A2F9A">
            <w:pPr>
              <w:spacing w:line="200" w:lineRule="atLeast"/>
              <w:jc w:val="center"/>
              <w:rPr>
                <w:rFonts w:hint="eastAsia" w:ascii="宋体" w:hAnsi="宋体" w:cs="宋体"/>
                <w:color w:val="auto"/>
                <w:highlight w:val="none"/>
              </w:rPr>
            </w:pPr>
          </w:p>
        </w:tc>
        <w:tc>
          <w:tcPr>
            <w:tcW w:w="2141" w:type="dxa"/>
          </w:tcPr>
          <w:p w14:paraId="12E0EB95">
            <w:pPr>
              <w:spacing w:line="200" w:lineRule="atLeast"/>
              <w:rPr>
                <w:rFonts w:hint="eastAsia" w:ascii="宋体" w:hAnsi="宋体" w:cs="宋体"/>
                <w:color w:val="auto"/>
                <w:highlight w:val="none"/>
              </w:rPr>
            </w:pPr>
          </w:p>
        </w:tc>
      </w:tr>
      <w:tr w14:paraId="70CF1BA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vAlign w:val="center"/>
          </w:tcPr>
          <w:p w14:paraId="613280A2">
            <w:pPr>
              <w:spacing w:line="200" w:lineRule="atLeast"/>
              <w:ind w:right="196" w:firstLine="152"/>
              <w:jc w:val="distribute"/>
              <w:rPr>
                <w:rFonts w:hint="eastAsia" w:ascii="宋体" w:hAnsi="宋体" w:cs="宋体"/>
                <w:color w:val="auto"/>
                <w:highlight w:val="none"/>
              </w:rPr>
            </w:pPr>
            <w:r>
              <w:rPr>
                <w:rFonts w:hint="eastAsia" w:ascii="宋体" w:hAnsi="宋体" w:cs="宋体"/>
                <w:color w:val="auto"/>
                <w:highlight w:val="none"/>
              </w:rPr>
              <w:t>3</w:t>
            </w:r>
          </w:p>
        </w:tc>
        <w:tc>
          <w:tcPr>
            <w:tcW w:w="2087" w:type="dxa"/>
            <w:vAlign w:val="center"/>
          </w:tcPr>
          <w:p w14:paraId="697D9E24">
            <w:pPr>
              <w:spacing w:line="200" w:lineRule="atLeast"/>
              <w:ind w:right="196" w:firstLine="152"/>
              <w:jc w:val="distribute"/>
              <w:rPr>
                <w:rFonts w:hint="eastAsia" w:ascii="宋体" w:hAnsi="宋体" w:cs="宋体"/>
                <w:color w:val="auto"/>
                <w:highlight w:val="none"/>
              </w:rPr>
            </w:pPr>
          </w:p>
        </w:tc>
        <w:tc>
          <w:tcPr>
            <w:tcW w:w="3339" w:type="dxa"/>
            <w:vAlign w:val="center"/>
          </w:tcPr>
          <w:p w14:paraId="1328BC5F">
            <w:pPr>
              <w:spacing w:line="200" w:lineRule="atLeast"/>
              <w:rPr>
                <w:rFonts w:hint="eastAsia" w:ascii="宋体" w:hAnsi="宋体" w:cs="宋体"/>
                <w:color w:val="auto"/>
                <w:highlight w:val="none"/>
              </w:rPr>
            </w:pPr>
          </w:p>
        </w:tc>
        <w:tc>
          <w:tcPr>
            <w:tcW w:w="903" w:type="dxa"/>
            <w:vAlign w:val="center"/>
          </w:tcPr>
          <w:p w14:paraId="1CCF5491">
            <w:pPr>
              <w:spacing w:line="200" w:lineRule="atLeast"/>
              <w:jc w:val="center"/>
              <w:rPr>
                <w:rFonts w:hint="eastAsia" w:ascii="宋体" w:hAnsi="宋体" w:cs="宋体"/>
                <w:color w:val="auto"/>
                <w:highlight w:val="none"/>
              </w:rPr>
            </w:pPr>
          </w:p>
        </w:tc>
        <w:tc>
          <w:tcPr>
            <w:tcW w:w="2141" w:type="dxa"/>
          </w:tcPr>
          <w:p w14:paraId="58EC0029">
            <w:pPr>
              <w:spacing w:line="200" w:lineRule="atLeast"/>
              <w:rPr>
                <w:rFonts w:hint="eastAsia" w:ascii="宋体" w:hAnsi="宋体" w:cs="宋体"/>
                <w:color w:val="auto"/>
                <w:highlight w:val="none"/>
              </w:rPr>
            </w:pPr>
          </w:p>
        </w:tc>
      </w:tr>
      <w:tr w14:paraId="1BFB441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Pr>
          <w:p w14:paraId="5464D20C">
            <w:pPr>
              <w:autoSpaceDE w:val="0"/>
              <w:autoSpaceDN w:val="0"/>
              <w:adjustRightInd w:val="0"/>
              <w:jc w:val="center"/>
              <w:rPr>
                <w:rFonts w:hint="eastAsia" w:ascii="宋体" w:hAnsi="宋体" w:cs="宋体"/>
                <w:color w:val="auto"/>
                <w:highlight w:val="none"/>
              </w:rPr>
            </w:pPr>
          </w:p>
        </w:tc>
        <w:tc>
          <w:tcPr>
            <w:tcW w:w="2087" w:type="dxa"/>
          </w:tcPr>
          <w:p w14:paraId="3ADB0448">
            <w:pPr>
              <w:autoSpaceDE w:val="0"/>
              <w:autoSpaceDN w:val="0"/>
              <w:adjustRightInd w:val="0"/>
              <w:jc w:val="center"/>
              <w:rPr>
                <w:rFonts w:hint="eastAsia" w:ascii="宋体" w:hAnsi="宋体" w:cs="宋体"/>
                <w:color w:val="auto"/>
                <w:highlight w:val="none"/>
              </w:rPr>
            </w:pPr>
          </w:p>
        </w:tc>
        <w:tc>
          <w:tcPr>
            <w:tcW w:w="3339" w:type="dxa"/>
            <w:vAlign w:val="center"/>
          </w:tcPr>
          <w:p w14:paraId="7F400389">
            <w:pPr>
              <w:spacing w:line="200" w:lineRule="atLeast"/>
              <w:rPr>
                <w:rFonts w:hint="eastAsia" w:ascii="宋体" w:hAnsi="宋体" w:cs="宋体"/>
                <w:color w:val="auto"/>
                <w:highlight w:val="none"/>
              </w:rPr>
            </w:pPr>
          </w:p>
        </w:tc>
        <w:tc>
          <w:tcPr>
            <w:tcW w:w="903" w:type="dxa"/>
            <w:vAlign w:val="center"/>
          </w:tcPr>
          <w:p w14:paraId="55D4A69D">
            <w:pPr>
              <w:spacing w:line="200" w:lineRule="atLeast"/>
              <w:jc w:val="center"/>
              <w:rPr>
                <w:rFonts w:hint="eastAsia" w:ascii="宋体" w:hAnsi="宋体" w:cs="宋体"/>
                <w:color w:val="auto"/>
                <w:highlight w:val="none"/>
              </w:rPr>
            </w:pPr>
          </w:p>
        </w:tc>
        <w:tc>
          <w:tcPr>
            <w:tcW w:w="2141" w:type="dxa"/>
          </w:tcPr>
          <w:p w14:paraId="5A08BB03">
            <w:pPr>
              <w:spacing w:line="200" w:lineRule="atLeast"/>
              <w:rPr>
                <w:rFonts w:hint="eastAsia" w:ascii="宋体" w:hAnsi="宋体" w:cs="宋体"/>
                <w:color w:val="auto"/>
                <w:highlight w:val="none"/>
              </w:rPr>
            </w:pPr>
          </w:p>
        </w:tc>
      </w:tr>
      <w:tr w14:paraId="3A89135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vAlign w:val="center"/>
          </w:tcPr>
          <w:p w14:paraId="11703D0A">
            <w:pPr>
              <w:spacing w:line="200" w:lineRule="atLeast"/>
              <w:ind w:right="196" w:firstLine="152"/>
              <w:jc w:val="distribute"/>
              <w:rPr>
                <w:rFonts w:hint="eastAsia" w:ascii="宋体" w:hAnsi="宋体" w:cs="宋体"/>
                <w:color w:val="auto"/>
                <w:highlight w:val="none"/>
              </w:rPr>
            </w:pPr>
          </w:p>
        </w:tc>
        <w:tc>
          <w:tcPr>
            <w:tcW w:w="2087" w:type="dxa"/>
            <w:vAlign w:val="center"/>
          </w:tcPr>
          <w:p w14:paraId="19E266D3">
            <w:pPr>
              <w:spacing w:line="200" w:lineRule="atLeast"/>
              <w:ind w:right="196" w:firstLine="152"/>
              <w:jc w:val="center"/>
              <w:rPr>
                <w:rFonts w:hint="eastAsia" w:ascii="宋体" w:hAnsi="宋体" w:cs="宋体"/>
                <w:color w:val="auto"/>
                <w:highlight w:val="none"/>
              </w:rPr>
            </w:pPr>
          </w:p>
        </w:tc>
        <w:tc>
          <w:tcPr>
            <w:tcW w:w="3339" w:type="dxa"/>
            <w:vAlign w:val="center"/>
          </w:tcPr>
          <w:p w14:paraId="1D8F7D5A">
            <w:pPr>
              <w:spacing w:line="200" w:lineRule="atLeast"/>
              <w:rPr>
                <w:rFonts w:hint="eastAsia" w:ascii="宋体" w:hAnsi="宋体" w:cs="宋体"/>
                <w:color w:val="auto"/>
                <w:highlight w:val="none"/>
              </w:rPr>
            </w:pPr>
          </w:p>
        </w:tc>
        <w:tc>
          <w:tcPr>
            <w:tcW w:w="903" w:type="dxa"/>
            <w:vAlign w:val="center"/>
          </w:tcPr>
          <w:p w14:paraId="24C8B13A">
            <w:pPr>
              <w:spacing w:line="200" w:lineRule="atLeast"/>
              <w:jc w:val="center"/>
              <w:rPr>
                <w:rFonts w:hint="eastAsia" w:ascii="宋体" w:hAnsi="宋体" w:cs="宋体"/>
                <w:color w:val="auto"/>
                <w:highlight w:val="none"/>
              </w:rPr>
            </w:pPr>
          </w:p>
        </w:tc>
        <w:tc>
          <w:tcPr>
            <w:tcW w:w="2141" w:type="dxa"/>
          </w:tcPr>
          <w:p w14:paraId="4243B525">
            <w:pPr>
              <w:spacing w:line="200" w:lineRule="atLeast"/>
              <w:rPr>
                <w:rFonts w:hint="eastAsia" w:ascii="宋体" w:hAnsi="宋体" w:cs="宋体"/>
                <w:color w:val="auto"/>
                <w:highlight w:val="none"/>
              </w:rPr>
            </w:pPr>
          </w:p>
        </w:tc>
      </w:tr>
    </w:tbl>
    <w:p w14:paraId="37B72A8C">
      <w:pPr>
        <w:ind w:left="840" w:hanging="840" w:hangingChars="400"/>
        <w:rPr>
          <w:rFonts w:hint="eastAsia" w:ascii="宋体" w:hAnsi="宋体" w:cs="宋体"/>
          <w:color w:val="auto"/>
          <w:highlight w:val="none"/>
        </w:rPr>
      </w:pPr>
    </w:p>
    <w:p w14:paraId="08E81D12">
      <w:pPr>
        <w:rPr>
          <w:rFonts w:hint="eastAsia" w:ascii="宋体" w:hAnsi="宋体" w:cs="宋体"/>
          <w:color w:val="auto"/>
          <w:highlight w:val="none"/>
        </w:rPr>
      </w:pPr>
    </w:p>
    <w:p w14:paraId="4BAFF7B5">
      <w:pPr>
        <w:rPr>
          <w:rFonts w:hint="eastAsia" w:ascii="宋体" w:hAnsi="宋体" w:cs="宋体"/>
          <w:color w:val="auto"/>
          <w:highlight w:val="none"/>
        </w:rPr>
      </w:pPr>
    </w:p>
    <w:p w14:paraId="38BEAF2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06512656">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72385E3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782A3C4">
      <w:pPr>
        <w:spacing w:line="360" w:lineRule="auto"/>
        <w:ind w:firstLine="4389" w:firstLineChars="2090"/>
        <w:rPr>
          <w:rFonts w:hint="eastAsia" w:ascii="宋体" w:hAnsi="宋体" w:cs="宋体"/>
          <w:color w:val="auto"/>
          <w:highlight w:val="none"/>
        </w:rPr>
      </w:pPr>
    </w:p>
    <w:p w14:paraId="69D17CED">
      <w:pPr>
        <w:spacing w:line="360" w:lineRule="auto"/>
        <w:rPr>
          <w:rFonts w:hint="eastAsia" w:ascii="宋体" w:hAnsi="宋体" w:cs="宋体"/>
          <w:color w:val="auto"/>
          <w:highlight w:val="none"/>
        </w:rPr>
      </w:pPr>
    </w:p>
    <w:p w14:paraId="24B29180">
      <w:pPr>
        <w:spacing w:line="360" w:lineRule="auto"/>
        <w:ind w:firstLine="3045"/>
        <w:rPr>
          <w:rFonts w:hint="eastAsia" w:ascii="宋体" w:hAnsi="宋体" w:cs="宋体"/>
          <w:color w:val="auto"/>
          <w:highlight w:val="none"/>
        </w:rPr>
      </w:pPr>
    </w:p>
    <w:p w14:paraId="7184A993">
      <w:pPr>
        <w:spacing w:line="360" w:lineRule="auto"/>
        <w:ind w:firstLine="3045"/>
        <w:rPr>
          <w:rFonts w:hint="eastAsia" w:ascii="宋体" w:hAnsi="宋体" w:cs="宋体"/>
          <w:color w:val="auto"/>
          <w:highlight w:val="none"/>
        </w:rPr>
      </w:pPr>
    </w:p>
    <w:p w14:paraId="096A5096">
      <w:pPr>
        <w:spacing w:line="360" w:lineRule="auto"/>
        <w:ind w:firstLine="3045"/>
        <w:rPr>
          <w:rFonts w:hint="eastAsia" w:ascii="宋体" w:hAnsi="宋体" w:cs="宋体"/>
          <w:color w:val="auto"/>
          <w:highlight w:val="none"/>
        </w:rPr>
      </w:pPr>
    </w:p>
    <w:p w14:paraId="4EA2386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4.实质性响应技术条款（“★”项）响应表格式（如有）</w:t>
      </w:r>
    </w:p>
    <w:p w14:paraId="405B6E56">
      <w:pPr>
        <w:spacing w:line="360" w:lineRule="auto"/>
        <w:jc w:val="center"/>
        <w:rPr>
          <w:rFonts w:hint="eastAsia" w:ascii="宋体" w:hAnsi="宋体" w:cs="宋体"/>
          <w:b/>
          <w:color w:val="auto"/>
          <w:sz w:val="28"/>
          <w:szCs w:val="28"/>
          <w:highlight w:val="none"/>
        </w:rPr>
      </w:pPr>
    </w:p>
    <w:p w14:paraId="0EA4B0B0">
      <w:pPr>
        <w:spacing w:line="360" w:lineRule="auto"/>
        <w:jc w:val="center"/>
        <w:rPr>
          <w:rFonts w:hint="eastAsia" w:ascii="宋体" w:hAnsi="宋体" w:cs="宋体"/>
          <w:color w:val="auto"/>
          <w:szCs w:val="21"/>
          <w:highlight w:val="none"/>
          <w:u w:val="single"/>
        </w:rPr>
      </w:pPr>
      <w:r>
        <w:rPr>
          <w:rFonts w:hint="eastAsia" w:ascii="宋体" w:hAnsi="宋体" w:cs="宋体"/>
          <w:b/>
          <w:color w:val="auto"/>
          <w:sz w:val="28"/>
          <w:szCs w:val="28"/>
          <w:highlight w:val="none"/>
        </w:rPr>
        <w:t>实质性响应技术条款（“★”项）响应表</w:t>
      </w:r>
    </w:p>
    <w:p w14:paraId="5F1B0270">
      <w:pPr>
        <w:spacing w:line="360" w:lineRule="auto"/>
        <w:rPr>
          <w:rFonts w:hint="eastAsia" w:ascii="宋体" w:hAnsi="宋体" w:eastAsia="宋体" w:cs="宋体"/>
          <w:bCs/>
          <w:color w:val="auto"/>
          <w:highlight w:val="none"/>
          <w:lang w:eastAsia="zh-CN"/>
        </w:rPr>
      </w:pPr>
      <w:r>
        <w:rPr>
          <w:rFonts w:hint="eastAsia" w:ascii="宋体" w:hAnsi="宋体" w:cs="宋体"/>
          <w:bCs/>
          <w:color w:val="auto"/>
          <w:highlight w:val="none"/>
        </w:rPr>
        <w:t>项目名称：</w:t>
      </w:r>
      <w:r>
        <w:rPr>
          <w:rFonts w:hint="eastAsia" w:ascii="宋体" w:hAnsi="宋体" w:cs="宋体"/>
          <w:bCs/>
          <w:color w:val="auto"/>
          <w:highlight w:val="none"/>
          <w:lang w:eastAsia="zh-CN"/>
        </w:rPr>
        <w:t>征集2026年—2028年校园桶装饮用水服务商</w:t>
      </w:r>
    </w:p>
    <w:p w14:paraId="2A396CDD">
      <w:pPr>
        <w:rPr>
          <w:rFonts w:hint="eastAsia" w:ascii="宋体" w:hAnsi="宋体" w:cs="宋体"/>
          <w:b/>
          <w:color w:val="auto"/>
          <w:highlight w:val="none"/>
        </w:rPr>
      </w:pPr>
      <w:r>
        <w:rPr>
          <w:rFonts w:hint="eastAsia" w:ascii="宋体" w:hAnsi="宋体" w:cs="宋体"/>
          <w:bCs/>
          <w:color w:val="auto"/>
          <w:highlight w:val="none"/>
        </w:rPr>
        <w:t>项目编号：</w:t>
      </w:r>
      <w:r>
        <w:rPr>
          <w:rFonts w:hint="eastAsia" w:ascii="宋体" w:hAnsi="宋体" w:cs="宋体"/>
          <w:bCs/>
          <w:color w:val="auto"/>
          <w:highlight w:val="none"/>
          <w:lang w:eastAsia="zh-CN"/>
        </w:rPr>
        <w:t>CQZB260018</w:t>
      </w:r>
      <w:r>
        <w:rPr>
          <w:rFonts w:hint="eastAsia" w:ascii="宋体" w:hAnsi="宋体" w:cs="宋体"/>
          <w:bCs/>
          <w:color w:val="auto"/>
          <w:highlight w:val="none"/>
        </w:rPr>
        <w:t xml:space="preserve">   </w:t>
      </w:r>
    </w:p>
    <w:tbl>
      <w:tblPr>
        <w:tblStyle w:val="49"/>
        <w:tblW w:w="98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7"/>
        <w:gridCol w:w="2270"/>
        <w:gridCol w:w="3138"/>
        <w:gridCol w:w="2145"/>
        <w:gridCol w:w="1318"/>
      </w:tblGrid>
      <w:tr w14:paraId="58AC8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957" w:type="dxa"/>
            <w:vAlign w:val="center"/>
          </w:tcPr>
          <w:p w14:paraId="78121C8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270" w:type="dxa"/>
            <w:vAlign w:val="center"/>
          </w:tcPr>
          <w:p w14:paraId="69DD0A0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招标规格/要求</w:t>
            </w:r>
          </w:p>
        </w:tc>
        <w:tc>
          <w:tcPr>
            <w:tcW w:w="3138" w:type="dxa"/>
            <w:vAlign w:val="center"/>
          </w:tcPr>
          <w:p w14:paraId="5FD6CE8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投标实际参数</w:t>
            </w:r>
          </w:p>
          <w:p w14:paraId="4EBD7039">
            <w:pPr>
              <w:spacing w:line="360" w:lineRule="auto"/>
              <w:jc w:val="center"/>
              <w:rPr>
                <w:rFonts w:hint="eastAsia" w:ascii="宋体" w:hAnsi="宋体" w:cs="宋体"/>
                <w:b/>
                <w:color w:val="auto"/>
                <w:szCs w:val="21"/>
                <w:highlight w:val="none"/>
              </w:rPr>
            </w:pPr>
            <w:r>
              <w:rPr>
                <w:rFonts w:hint="eastAsia" w:ascii="宋体" w:hAnsi="宋体" w:cs="宋体"/>
                <w:b/>
                <w:bCs/>
                <w:color w:val="auto"/>
                <w:szCs w:val="21"/>
                <w:highlight w:val="none"/>
              </w:rPr>
              <w:t>（投标人应按投标货物/服务实际数据填写）</w:t>
            </w:r>
          </w:p>
        </w:tc>
        <w:tc>
          <w:tcPr>
            <w:tcW w:w="2145" w:type="dxa"/>
            <w:vAlign w:val="center"/>
          </w:tcPr>
          <w:p w14:paraId="5487257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是否偏离（无偏离/正偏离/负偏离）</w:t>
            </w:r>
          </w:p>
        </w:tc>
        <w:tc>
          <w:tcPr>
            <w:tcW w:w="1318" w:type="dxa"/>
            <w:vAlign w:val="center"/>
          </w:tcPr>
          <w:p w14:paraId="5FB5B34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偏离简述</w:t>
            </w:r>
          </w:p>
        </w:tc>
      </w:tr>
      <w:tr w14:paraId="2E4FF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957" w:type="dxa"/>
            <w:vAlign w:val="center"/>
          </w:tcPr>
          <w:p w14:paraId="6DA0D0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70" w:type="dxa"/>
          </w:tcPr>
          <w:p w14:paraId="4D5E8A63">
            <w:pPr>
              <w:spacing w:line="360" w:lineRule="auto"/>
              <w:rPr>
                <w:rFonts w:hint="eastAsia" w:ascii="宋体" w:hAnsi="宋体" w:cs="宋体"/>
                <w:color w:val="auto"/>
                <w:szCs w:val="21"/>
                <w:highlight w:val="none"/>
              </w:rPr>
            </w:pPr>
          </w:p>
        </w:tc>
        <w:tc>
          <w:tcPr>
            <w:tcW w:w="3138" w:type="dxa"/>
          </w:tcPr>
          <w:p w14:paraId="3EEFDB8C">
            <w:pPr>
              <w:spacing w:line="360" w:lineRule="auto"/>
              <w:rPr>
                <w:rFonts w:hint="eastAsia" w:ascii="宋体" w:hAnsi="宋体" w:cs="宋体"/>
                <w:color w:val="auto"/>
                <w:szCs w:val="21"/>
                <w:highlight w:val="none"/>
              </w:rPr>
            </w:pPr>
          </w:p>
        </w:tc>
        <w:tc>
          <w:tcPr>
            <w:tcW w:w="2145" w:type="dxa"/>
          </w:tcPr>
          <w:p w14:paraId="12C64CB3">
            <w:pPr>
              <w:spacing w:line="360" w:lineRule="auto"/>
              <w:rPr>
                <w:rFonts w:hint="eastAsia" w:ascii="宋体" w:hAnsi="宋体" w:cs="宋体"/>
                <w:color w:val="auto"/>
                <w:szCs w:val="21"/>
                <w:highlight w:val="none"/>
              </w:rPr>
            </w:pPr>
          </w:p>
        </w:tc>
        <w:tc>
          <w:tcPr>
            <w:tcW w:w="1318" w:type="dxa"/>
          </w:tcPr>
          <w:p w14:paraId="5C792367">
            <w:pPr>
              <w:spacing w:line="360" w:lineRule="auto"/>
              <w:rPr>
                <w:rFonts w:hint="eastAsia" w:ascii="宋体" w:hAnsi="宋体" w:cs="宋体"/>
                <w:color w:val="auto"/>
                <w:szCs w:val="21"/>
                <w:highlight w:val="none"/>
              </w:rPr>
            </w:pPr>
          </w:p>
        </w:tc>
      </w:tr>
      <w:tr w14:paraId="2E085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957" w:type="dxa"/>
            <w:vAlign w:val="center"/>
          </w:tcPr>
          <w:p w14:paraId="4DF5D7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70" w:type="dxa"/>
          </w:tcPr>
          <w:p w14:paraId="6B66728D">
            <w:pPr>
              <w:spacing w:line="360" w:lineRule="auto"/>
              <w:rPr>
                <w:rFonts w:hint="eastAsia" w:ascii="宋体" w:hAnsi="宋体" w:cs="宋体"/>
                <w:color w:val="auto"/>
                <w:szCs w:val="21"/>
                <w:highlight w:val="none"/>
              </w:rPr>
            </w:pPr>
          </w:p>
        </w:tc>
        <w:tc>
          <w:tcPr>
            <w:tcW w:w="3138" w:type="dxa"/>
          </w:tcPr>
          <w:p w14:paraId="54457971">
            <w:pPr>
              <w:spacing w:line="360" w:lineRule="auto"/>
              <w:rPr>
                <w:rFonts w:hint="eastAsia" w:ascii="宋体" w:hAnsi="宋体" w:cs="宋体"/>
                <w:color w:val="auto"/>
                <w:szCs w:val="21"/>
                <w:highlight w:val="none"/>
              </w:rPr>
            </w:pPr>
          </w:p>
        </w:tc>
        <w:tc>
          <w:tcPr>
            <w:tcW w:w="2145" w:type="dxa"/>
          </w:tcPr>
          <w:p w14:paraId="0850C563">
            <w:pPr>
              <w:spacing w:line="360" w:lineRule="auto"/>
              <w:rPr>
                <w:rFonts w:hint="eastAsia" w:ascii="宋体" w:hAnsi="宋体" w:cs="宋体"/>
                <w:color w:val="auto"/>
                <w:szCs w:val="21"/>
                <w:highlight w:val="none"/>
              </w:rPr>
            </w:pPr>
          </w:p>
        </w:tc>
        <w:tc>
          <w:tcPr>
            <w:tcW w:w="1318" w:type="dxa"/>
          </w:tcPr>
          <w:p w14:paraId="1DB11892">
            <w:pPr>
              <w:spacing w:line="360" w:lineRule="auto"/>
              <w:rPr>
                <w:rFonts w:hint="eastAsia" w:ascii="宋体" w:hAnsi="宋体" w:cs="宋体"/>
                <w:color w:val="auto"/>
                <w:szCs w:val="21"/>
                <w:highlight w:val="none"/>
              </w:rPr>
            </w:pPr>
          </w:p>
        </w:tc>
      </w:tr>
      <w:tr w14:paraId="6D985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957" w:type="dxa"/>
            <w:vAlign w:val="center"/>
          </w:tcPr>
          <w:p w14:paraId="10D665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70" w:type="dxa"/>
          </w:tcPr>
          <w:p w14:paraId="0BFA32BE">
            <w:pPr>
              <w:spacing w:line="360" w:lineRule="auto"/>
              <w:rPr>
                <w:rFonts w:hint="eastAsia" w:ascii="宋体" w:hAnsi="宋体" w:cs="宋体"/>
                <w:color w:val="auto"/>
                <w:szCs w:val="21"/>
                <w:highlight w:val="none"/>
              </w:rPr>
            </w:pPr>
          </w:p>
        </w:tc>
        <w:tc>
          <w:tcPr>
            <w:tcW w:w="3138" w:type="dxa"/>
          </w:tcPr>
          <w:p w14:paraId="187953BB">
            <w:pPr>
              <w:spacing w:line="360" w:lineRule="auto"/>
              <w:rPr>
                <w:rFonts w:hint="eastAsia" w:ascii="宋体" w:hAnsi="宋体" w:cs="宋体"/>
                <w:color w:val="auto"/>
                <w:szCs w:val="21"/>
                <w:highlight w:val="none"/>
              </w:rPr>
            </w:pPr>
          </w:p>
        </w:tc>
        <w:tc>
          <w:tcPr>
            <w:tcW w:w="2145" w:type="dxa"/>
          </w:tcPr>
          <w:p w14:paraId="018DE2F6">
            <w:pPr>
              <w:spacing w:line="360" w:lineRule="auto"/>
              <w:rPr>
                <w:rFonts w:hint="eastAsia" w:ascii="宋体" w:hAnsi="宋体" w:cs="宋体"/>
                <w:color w:val="auto"/>
                <w:szCs w:val="21"/>
                <w:highlight w:val="none"/>
              </w:rPr>
            </w:pPr>
          </w:p>
        </w:tc>
        <w:tc>
          <w:tcPr>
            <w:tcW w:w="1318" w:type="dxa"/>
          </w:tcPr>
          <w:p w14:paraId="3B48A96B">
            <w:pPr>
              <w:spacing w:line="360" w:lineRule="auto"/>
              <w:rPr>
                <w:rFonts w:hint="eastAsia" w:ascii="宋体" w:hAnsi="宋体" w:cs="宋体"/>
                <w:color w:val="auto"/>
                <w:szCs w:val="21"/>
                <w:highlight w:val="none"/>
              </w:rPr>
            </w:pPr>
          </w:p>
        </w:tc>
      </w:tr>
      <w:tr w14:paraId="3DC0A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957" w:type="dxa"/>
            <w:vAlign w:val="center"/>
          </w:tcPr>
          <w:p w14:paraId="07F258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70" w:type="dxa"/>
          </w:tcPr>
          <w:p w14:paraId="77272A40">
            <w:pPr>
              <w:spacing w:line="360" w:lineRule="auto"/>
              <w:rPr>
                <w:rFonts w:hint="eastAsia" w:ascii="宋体" w:hAnsi="宋体" w:cs="宋体"/>
                <w:color w:val="auto"/>
                <w:szCs w:val="21"/>
                <w:highlight w:val="none"/>
              </w:rPr>
            </w:pPr>
          </w:p>
        </w:tc>
        <w:tc>
          <w:tcPr>
            <w:tcW w:w="3138" w:type="dxa"/>
          </w:tcPr>
          <w:p w14:paraId="348CDE2C">
            <w:pPr>
              <w:spacing w:line="360" w:lineRule="auto"/>
              <w:rPr>
                <w:rFonts w:hint="eastAsia" w:ascii="宋体" w:hAnsi="宋体" w:cs="宋体"/>
                <w:color w:val="auto"/>
                <w:szCs w:val="21"/>
                <w:highlight w:val="none"/>
              </w:rPr>
            </w:pPr>
          </w:p>
        </w:tc>
        <w:tc>
          <w:tcPr>
            <w:tcW w:w="2145" w:type="dxa"/>
          </w:tcPr>
          <w:p w14:paraId="1B3420D1">
            <w:pPr>
              <w:spacing w:line="360" w:lineRule="auto"/>
              <w:rPr>
                <w:rFonts w:hint="eastAsia" w:ascii="宋体" w:hAnsi="宋体" w:cs="宋体"/>
                <w:color w:val="auto"/>
                <w:szCs w:val="21"/>
                <w:highlight w:val="none"/>
              </w:rPr>
            </w:pPr>
          </w:p>
        </w:tc>
        <w:tc>
          <w:tcPr>
            <w:tcW w:w="1318" w:type="dxa"/>
          </w:tcPr>
          <w:p w14:paraId="39DBBBCE">
            <w:pPr>
              <w:spacing w:line="360" w:lineRule="auto"/>
              <w:rPr>
                <w:rFonts w:hint="eastAsia" w:ascii="宋体" w:hAnsi="宋体" w:cs="宋体"/>
                <w:color w:val="auto"/>
                <w:szCs w:val="21"/>
                <w:highlight w:val="none"/>
              </w:rPr>
            </w:pPr>
          </w:p>
        </w:tc>
      </w:tr>
      <w:tr w14:paraId="3ECE9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957" w:type="dxa"/>
            <w:vAlign w:val="center"/>
          </w:tcPr>
          <w:p w14:paraId="237D23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270" w:type="dxa"/>
          </w:tcPr>
          <w:p w14:paraId="12B69B3E">
            <w:pPr>
              <w:spacing w:line="360" w:lineRule="auto"/>
              <w:rPr>
                <w:rFonts w:hint="eastAsia" w:ascii="宋体" w:hAnsi="宋体" w:cs="宋体"/>
                <w:color w:val="auto"/>
                <w:szCs w:val="21"/>
                <w:highlight w:val="none"/>
              </w:rPr>
            </w:pPr>
          </w:p>
        </w:tc>
        <w:tc>
          <w:tcPr>
            <w:tcW w:w="3138" w:type="dxa"/>
          </w:tcPr>
          <w:p w14:paraId="026E541F">
            <w:pPr>
              <w:spacing w:line="360" w:lineRule="auto"/>
              <w:rPr>
                <w:rFonts w:hint="eastAsia" w:ascii="宋体" w:hAnsi="宋体" w:cs="宋体"/>
                <w:color w:val="auto"/>
                <w:szCs w:val="21"/>
                <w:highlight w:val="none"/>
              </w:rPr>
            </w:pPr>
          </w:p>
        </w:tc>
        <w:tc>
          <w:tcPr>
            <w:tcW w:w="2145" w:type="dxa"/>
          </w:tcPr>
          <w:p w14:paraId="5D9DDE62">
            <w:pPr>
              <w:spacing w:line="360" w:lineRule="auto"/>
              <w:rPr>
                <w:rFonts w:hint="eastAsia" w:ascii="宋体" w:hAnsi="宋体" w:cs="宋体"/>
                <w:color w:val="auto"/>
                <w:szCs w:val="21"/>
                <w:highlight w:val="none"/>
              </w:rPr>
            </w:pPr>
          </w:p>
        </w:tc>
        <w:tc>
          <w:tcPr>
            <w:tcW w:w="1318" w:type="dxa"/>
          </w:tcPr>
          <w:p w14:paraId="0C694D7E">
            <w:pPr>
              <w:spacing w:line="360" w:lineRule="auto"/>
              <w:rPr>
                <w:rFonts w:hint="eastAsia" w:ascii="宋体" w:hAnsi="宋体" w:cs="宋体"/>
                <w:color w:val="auto"/>
                <w:szCs w:val="21"/>
                <w:highlight w:val="none"/>
              </w:rPr>
            </w:pPr>
          </w:p>
        </w:tc>
      </w:tr>
      <w:tr w14:paraId="53253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957" w:type="dxa"/>
            <w:vAlign w:val="center"/>
          </w:tcPr>
          <w:p w14:paraId="167E90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70" w:type="dxa"/>
          </w:tcPr>
          <w:p w14:paraId="10690E8E">
            <w:pPr>
              <w:spacing w:line="360" w:lineRule="auto"/>
              <w:rPr>
                <w:rFonts w:hint="eastAsia" w:ascii="宋体" w:hAnsi="宋体" w:cs="宋体"/>
                <w:color w:val="auto"/>
                <w:szCs w:val="21"/>
                <w:highlight w:val="none"/>
              </w:rPr>
            </w:pPr>
          </w:p>
        </w:tc>
        <w:tc>
          <w:tcPr>
            <w:tcW w:w="3138" w:type="dxa"/>
          </w:tcPr>
          <w:p w14:paraId="29600A2C">
            <w:pPr>
              <w:spacing w:line="360" w:lineRule="auto"/>
              <w:rPr>
                <w:rFonts w:hint="eastAsia" w:ascii="宋体" w:hAnsi="宋体" w:cs="宋体"/>
                <w:color w:val="auto"/>
                <w:szCs w:val="21"/>
                <w:highlight w:val="none"/>
              </w:rPr>
            </w:pPr>
          </w:p>
        </w:tc>
        <w:tc>
          <w:tcPr>
            <w:tcW w:w="2145" w:type="dxa"/>
          </w:tcPr>
          <w:p w14:paraId="6472F061">
            <w:pPr>
              <w:spacing w:line="360" w:lineRule="auto"/>
              <w:rPr>
                <w:rFonts w:hint="eastAsia" w:ascii="宋体" w:hAnsi="宋体" w:cs="宋体"/>
                <w:color w:val="auto"/>
                <w:szCs w:val="21"/>
                <w:highlight w:val="none"/>
              </w:rPr>
            </w:pPr>
          </w:p>
        </w:tc>
        <w:tc>
          <w:tcPr>
            <w:tcW w:w="1318" w:type="dxa"/>
          </w:tcPr>
          <w:p w14:paraId="287CB47F">
            <w:pPr>
              <w:spacing w:line="360" w:lineRule="auto"/>
              <w:rPr>
                <w:rFonts w:hint="eastAsia" w:ascii="宋体" w:hAnsi="宋体" w:cs="宋体"/>
                <w:color w:val="auto"/>
                <w:szCs w:val="21"/>
                <w:highlight w:val="none"/>
              </w:rPr>
            </w:pPr>
          </w:p>
        </w:tc>
      </w:tr>
    </w:tbl>
    <w:p w14:paraId="56D246D0">
      <w:pPr>
        <w:snapToGrid w:val="0"/>
        <w:spacing w:line="360" w:lineRule="auto"/>
        <w:ind w:left="420" w:hanging="420" w:hangingChars="200"/>
        <w:rPr>
          <w:rFonts w:hint="eastAsia" w:ascii="宋体" w:hAnsi="宋体" w:cs="宋体"/>
          <w:color w:val="auto"/>
          <w:szCs w:val="21"/>
          <w:highlight w:val="none"/>
        </w:rPr>
      </w:pPr>
    </w:p>
    <w:p w14:paraId="5BF3756C">
      <w:pPr>
        <w:snapToGrid w:val="0"/>
        <w:spacing w:line="360" w:lineRule="auto"/>
        <w:ind w:left="420" w:hanging="420" w:hangingChars="200"/>
        <w:rPr>
          <w:rFonts w:hint="eastAsia" w:ascii="宋体" w:hAnsi="宋体" w:cs="宋体"/>
          <w:color w:val="auto"/>
          <w:szCs w:val="21"/>
          <w:highlight w:val="none"/>
        </w:rPr>
      </w:pPr>
      <w:r>
        <w:rPr>
          <w:rFonts w:hint="eastAsia" w:ascii="宋体" w:hAnsi="宋体" w:cs="宋体"/>
          <w:color w:val="auto"/>
          <w:szCs w:val="21"/>
          <w:highlight w:val="none"/>
        </w:rPr>
        <w:t>注：1.投标人必须对应招标文件“第三篇用户需求书”的</w:t>
      </w:r>
      <w:r>
        <w:rPr>
          <w:rFonts w:hint="eastAsia" w:ascii="宋体" w:hAnsi="宋体" w:cs="宋体"/>
          <w:color w:val="auto"/>
          <w:szCs w:val="21"/>
          <w:highlight w:val="none"/>
          <w:lang w:val="en-GB"/>
        </w:rPr>
        <w:t>“★” 项</w:t>
      </w:r>
      <w:r>
        <w:rPr>
          <w:rFonts w:hint="eastAsia" w:ascii="宋体" w:hAnsi="宋体" w:cs="宋体"/>
          <w:color w:val="auto"/>
          <w:szCs w:val="21"/>
          <w:highlight w:val="none"/>
        </w:rPr>
        <w:t>内容逐条响应。如有缺漏，缺漏项视同不符合招标要求。</w:t>
      </w:r>
      <w:r>
        <w:rPr>
          <w:rFonts w:hint="eastAsia" w:ascii="宋体" w:hAnsi="宋体" w:cs="宋体"/>
          <w:color w:val="auto"/>
          <w:szCs w:val="21"/>
          <w:highlight w:val="none"/>
          <w:lang w:val="en-GB"/>
        </w:rPr>
        <w:t>打“★” 项为不可负偏离（劣于）的重要项。</w:t>
      </w:r>
    </w:p>
    <w:p w14:paraId="25ECA49A">
      <w:pPr>
        <w:snapToGrid w:val="0"/>
        <w:spacing w:line="360" w:lineRule="auto"/>
        <w:ind w:left="420" w:left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lang w:val="en-GB"/>
        </w:rPr>
        <w:t>2.投标人</w:t>
      </w:r>
      <w:r>
        <w:rPr>
          <w:rFonts w:hint="eastAsia" w:ascii="宋体" w:hAnsi="宋体" w:cs="宋体"/>
          <w:b/>
          <w:color w:val="auto"/>
          <w:szCs w:val="21"/>
          <w:highlight w:val="none"/>
          <w:u w:val="single"/>
        </w:rPr>
        <w:t>响应招标需求应具体、明确；含糊不清、不确切或伪造、变造证明材料的，按照不完全响应或者完全不响应处理。构成提供虚假材料的，移送监管部门查处。</w:t>
      </w:r>
    </w:p>
    <w:p w14:paraId="02735ECC">
      <w:pPr>
        <w:spacing w:line="360" w:lineRule="exact"/>
        <w:ind w:left="641" w:leftChars="219" w:hanging="181" w:hangingChars="86"/>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3.如有证明材料请附于本表后。</w:t>
      </w:r>
    </w:p>
    <w:p w14:paraId="1F086A17">
      <w:pPr>
        <w:spacing w:line="360" w:lineRule="exact"/>
        <w:ind w:left="640" w:leftChars="219" w:hanging="180" w:hangingChars="86"/>
        <w:rPr>
          <w:rFonts w:hint="eastAsia" w:ascii="宋体" w:hAnsi="宋体" w:cs="宋体"/>
          <w:color w:val="auto"/>
          <w:szCs w:val="21"/>
          <w:highlight w:val="none"/>
        </w:rPr>
      </w:pPr>
      <w:r>
        <w:rPr>
          <w:rFonts w:hint="eastAsia" w:ascii="宋体" w:hAnsi="宋体" w:cs="宋体"/>
          <w:color w:val="auto"/>
          <w:szCs w:val="21"/>
          <w:highlight w:val="none"/>
          <w:lang w:val="en-GB"/>
        </w:rPr>
        <w:t>4.如招标文件无“★”项，则此项无需填写。</w:t>
      </w:r>
    </w:p>
    <w:p w14:paraId="20DAADC1">
      <w:pPr>
        <w:spacing w:line="360" w:lineRule="auto"/>
        <w:ind w:firstLine="420" w:firstLineChars="200"/>
        <w:rPr>
          <w:rFonts w:hint="eastAsia" w:ascii="宋体" w:hAnsi="宋体" w:cs="宋体"/>
          <w:color w:val="auto"/>
          <w:szCs w:val="21"/>
          <w:highlight w:val="none"/>
        </w:rPr>
      </w:pPr>
    </w:p>
    <w:p w14:paraId="004894D7">
      <w:pPr>
        <w:spacing w:line="360" w:lineRule="auto"/>
        <w:ind w:firstLine="420" w:firstLineChars="200"/>
        <w:rPr>
          <w:rFonts w:hint="eastAsia" w:ascii="宋体" w:hAnsi="宋体" w:cs="宋体"/>
          <w:color w:val="auto"/>
          <w:szCs w:val="21"/>
          <w:highlight w:val="none"/>
        </w:rPr>
      </w:pPr>
    </w:p>
    <w:p w14:paraId="7B82B9C5">
      <w:pPr>
        <w:spacing w:line="360" w:lineRule="auto"/>
        <w:ind w:firstLine="420" w:firstLineChars="200"/>
        <w:rPr>
          <w:rFonts w:hint="eastAsia" w:ascii="宋体" w:hAnsi="宋体" w:cs="宋体"/>
          <w:color w:val="auto"/>
          <w:szCs w:val="21"/>
          <w:highlight w:val="none"/>
        </w:rPr>
      </w:pPr>
    </w:p>
    <w:p w14:paraId="611DA73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法定代表人（或法定代表人授权代表）签名或盖私章：</w:t>
      </w:r>
      <w:r>
        <w:rPr>
          <w:rFonts w:hint="eastAsia" w:ascii="宋体" w:hAnsi="宋体" w:cs="宋体"/>
          <w:color w:val="auto"/>
          <w:szCs w:val="21"/>
          <w:highlight w:val="none"/>
          <w:u w:val="single"/>
        </w:rPr>
        <w:t xml:space="preserve">                   </w:t>
      </w:r>
    </w:p>
    <w:p w14:paraId="49A4B961">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4F689441">
      <w:pPr>
        <w:snapToGrid w:val="0"/>
        <w:spacing w:line="300" w:lineRule="auto"/>
        <w:rPr>
          <w:rFonts w:hint="eastAsia" w:ascii="宋体" w:hAnsi="宋体" w:cs="宋体"/>
          <w:color w:val="auto"/>
          <w:highlight w:val="none"/>
        </w:rPr>
      </w:pPr>
      <w:r>
        <w:rPr>
          <w:rFonts w:hint="eastAsia" w:ascii="宋体" w:hAnsi="宋体" w:cs="宋体"/>
          <w:color w:val="auto"/>
          <w:szCs w:val="21"/>
          <w:highlight w:val="none"/>
        </w:rPr>
        <w:t>日期：   年   月   日</w:t>
      </w:r>
    </w:p>
    <w:p w14:paraId="7A0C6F88">
      <w:pPr>
        <w:spacing w:line="360" w:lineRule="auto"/>
        <w:rPr>
          <w:rFonts w:hint="eastAsia" w:ascii="宋体" w:hAnsi="宋体" w:cs="宋体"/>
          <w:color w:val="auto"/>
          <w:highlight w:val="none"/>
        </w:rPr>
      </w:pPr>
    </w:p>
    <w:p w14:paraId="4A1FA027">
      <w:pPr>
        <w:spacing w:line="360" w:lineRule="auto"/>
        <w:rPr>
          <w:rFonts w:hint="eastAsia" w:ascii="宋体" w:hAnsi="宋体" w:cs="宋体"/>
          <w:color w:val="auto"/>
          <w:highlight w:val="none"/>
        </w:rPr>
      </w:pPr>
    </w:p>
    <w:p w14:paraId="3A4FD9CD">
      <w:pPr>
        <w:spacing w:line="360" w:lineRule="auto"/>
        <w:rPr>
          <w:rFonts w:hint="eastAsia" w:ascii="宋体" w:hAnsi="宋体" w:cs="宋体"/>
          <w:color w:val="auto"/>
          <w:highlight w:val="none"/>
        </w:rPr>
      </w:pPr>
    </w:p>
    <w:p w14:paraId="24635AF3">
      <w:pPr>
        <w:spacing w:line="360" w:lineRule="auto"/>
        <w:rPr>
          <w:rFonts w:hint="eastAsia" w:ascii="宋体" w:hAnsi="宋体" w:cs="宋体"/>
          <w:color w:val="auto"/>
          <w:highlight w:val="none"/>
        </w:rPr>
      </w:pPr>
    </w:p>
    <w:p w14:paraId="20620721">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5.重要技术条款（“▲”项）响应表（如有）</w:t>
      </w:r>
    </w:p>
    <w:p w14:paraId="6BB83AA7">
      <w:pPr>
        <w:spacing w:line="360" w:lineRule="auto"/>
        <w:jc w:val="center"/>
        <w:rPr>
          <w:rFonts w:hint="eastAsia" w:ascii="宋体" w:hAnsi="宋体" w:cs="宋体"/>
          <w:b/>
          <w:color w:val="auto"/>
          <w:sz w:val="28"/>
          <w:szCs w:val="28"/>
          <w:highlight w:val="none"/>
        </w:rPr>
      </w:pPr>
    </w:p>
    <w:p w14:paraId="15AF0551">
      <w:pPr>
        <w:spacing w:line="360" w:lineRule="auto"/>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重要技术条款（“▲”项）响应表</w:t>
      </w:r>
    </w:p>
    <w:p w14:paraId="766BB696">
      <w:pPr>
        <w:spacing w:line="360" w:lineRule="auto"/>
        <w:rPr>
          <w:rFonts w:hint="eastAsia" w:ascii="宋体" w:hAnsi="宋体" w:eastAsia="宋体" w:cs="宋体"/>
          <w:bCs/>
          <w:color w:val="auto"/>
          <w:highlight w:val="none"/>
          <w:lang w:eastAsia="zh-CN"/>
        </w:rPr>
      </w:pPr>
      <w:r>
        <w:rPr>
          <w:rFonts w:hint="eastAsia" w:ascii="宋体" w:hAnsi="宋体" w:cs="宋体"/>
          <w:bCs/>
          <w:color w:val="auto"/>
          <w:highlight w:val="none"/>
        </w:rPr>
        <w:t>项目名称：</w:t>
      </w:r>
      <w:r>
        <w:rPr>
          <w:rFonts w:hint="eastAsia" w:ascii="宋体" w:hAnsi="宋体" w:cs="宋体"/>
          <w:bCs/>
          <w:color w:val="auto"/>
          <w:highlight w:val="none"/>
          <w:lang w:eastAsia="zh-CN"/>
        </w:rPr>
        <w:t>征集2026年—2028年校园桶装饮用水服务商</w:t>
      </w:r>
    </w:p>
    <w:p w14:paraId="1D48813F">
      <w:pPr>
        <w:spacing w:line="360" w:lineRule="auto"/>
        <w:rPr>
          <w:rFonts w:hint="eastAsia" w:ascii="宋体" w:hAnsi="宋体" w:cs="宋体"/>
          <w:bCs/>
          <w:color w:val="auto"/>
          <w:highlight w:val="none"/>
        </w:rPr>
      </w:pPr>
      <w:r>
        <w:rPr>
          <w:rFonts w:hint="eastAsia" w:ascii="宋体" w:hAnsi="宋体" w:cs="宋体"/>
          <w:bCs/>
          <w:color w:val="auto"/>
          <w:highlight w:val="none"/>
        </w:rPr>
        <w:t>项目编号：</w:t>
      </w:r>
      <w:r>
        <w:rPr>
          <w:rFonts w:hint="eastAsia" w:ascii="宋体" w:hAnsi="宋体" w:cs="宋体"/>
          <w:bCs/>
          <w:color w:val="auto"/>
          <w:highlight w:val="none"/>
          <w:lang w:eastAsia="zh-CN"/>
        </w:rPr>
        <w:t>CQZB260018</w:t>
      </w:r>
      <w:r>
        <w:rPr>
          <w:rFonts w:hint="eastAsia" w:ascii="宋体" w:hAnsi="宋体" w:cs="宋体"/>
          <w:bCs/>
          <w:color w:val="auto"/>
          <w:highlight w:val="none"/>
        </w:rPr>
        <w:t xml:space="preserve">   </w:t>
      </w:r>
    </w:p>
    <w:p w14:paraId="0192FEF8">
      <w:pPr>
        <w:rPr>
          <w:rFonts w:hint="eastAsia" w:ascii="宋体" w:hAnsi="宋体" w:cs="宋体"/>
          <w:color w:val="auto"/>
          <w:highlight w:val="none"/>
        </w:rPr>
      </w:pPr>
    </w:p>
    <w:tbl>
      <w:tblPr>
        <w:tblStyle w:val="49"/>
        <w:tblW w:w="98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8"/>
        <w:gridCol w:w="2579"/>
        <w:gridCol w:w="2648"/>
        <w:gridCol w:w="2535"/>
        <w:gridCol w:w="1418"/>
      </w:tblGrid>
      <w:tr w14:paraId="0D57C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9" w:hRule="atLeast"/>
        </w:trPr>
        <w:tc>
          <w:tcPr>
            <w:tcW w:w="648" w:type="dxa"/>
            <w:vAlign w:val="center"/>
          </w:tcPr>
          <w:p w14:paraId="7F4C229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579" w:type="dxa"/>
            <w:vAlign w:val="center"/>
          </w:tcPr>
          <w:p w14:paraId="26D80B6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招标规格/要求</w:t>
            </w:r>
          </w:p>
        </w:tc>
        <w:tc>
          <w:tcPr>
            <w:tcW w:w="2648" w:type="dxa"/>
            <w:vAlign w:val="center"/>
          </w:tcPr>
          <w:p w14:paraId="4939EF8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投标实际参数</w:t>
            </w:r>
          </w:p>
          <w:p w14:paraId="4EA776C5">
            <w:pPr>
              <w:spacing w:line="360" w:lineRule="auto"/>
              <w:jc w:val="center"/>
              <w:rPr>
                <w:rFonts w:hint="eastAsia" w:ascii="宋体" w:hAnsi="宋体" w:cs="宋体"/>
                <w:b/>
                <w:color w:val="auto"/>
                <w:szCs w:val="21"/>
                <w:highlight w:val="none"/>
              </w:rPr>
            </w:pPr>
            <w:r>
              <w:rPr>
                <w:rFonts w:hint="eastAsia" w:ascii="宋体" w:hAnsi="宋体" w:cs="宋体"/>
                <w:b/>
                <w:bCs/>
                <w:color w:val="auto"/>
                <w:szCs w:val="21"/>
                <w:highlight w:val="none"/>
              </w:rPr>
              <w:t>（投标人应按投标货物/服务实际数据填写）</w:t>
            </w:r>
          </w:p>
        </w:tc>
        <w:tc>
          <w:tcPr>
            <w:tcW w:w="2535" w:type="dxa"/>
            <w:vAlign w:val="center"/>
          </w:tcPr>
          <w:p w14:paraId="0984442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是否偏离（无偏离/正偏离/负偏离）</w:t>
            </w:r>
          </w:p>
        </w:tc>
        <w:tc>
          <w:tcPr>
            <w:tcW w:w="1418" w:type="dxa"/>
            <w:vAlign w:val="center"/>
          </w:tcPr>
          <w:p w14:paraId="323744D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偏离简述</w:t>
            </w:r>
          </w:p>
        </w:tc>
      </w:tr>
      <w:tr w14:paraId="03223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648" w:type="dxa"/>
            <w:vAlign w:val="center"/>
          </w:tcPr>
          <w:p w14:paraId="7B47E0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79" w:type="dxa"/>
          </w:tcPr>
          <w:p w14:paraId="0F8AFFD1">
            <w:pPr>
              <w:spacing w:line="360" w:lineRule="auto"/>
              <w:rPr>
                <w:rFonts w:hint="eastAsia" w:ascii="宋体" w:hAnsi="宋体" w:cs="宋体"/>
                <w:color w:val="auto"/>
                <w:szCs w:val="21"/>
                <w:highlight w:val="none"/>
              </w:rPr>
            </w:pPr>
          </w:p>
        </w:tc>
        <w:tc>
          <w:tcPr>
            <w:tcW w:w="2648" w:type="dxa"/>
          </w:tcPr>
          <w:p w14:paraId="6284B3F0">
            <w:pPr>
              <w:spacing w:line="360" w:lineRule="auto"/>
              <w:rPr>
                <w:rFonts w:hint="eastAsia" w:ascii="宋体" w:hAnsi="宋体" w:cs="宋体"/>
                <w:color w:val="auto"/>
                <w:szCs w:val="21"/>
                <w:highlight w:val="none"/>
              </w:rPr>
            </w:pPr>
          </w:p>
        </w:tc>
        <w:tc>
          <w:tcPr>
            <w:tcW w:w="2535" w:type="dxa"/>
          </w:tcPr>
          <w:p w14:paraId="17F7F52D">
            <w:pPr>
              <w:spacing w:line="360" w:lineRule="auto"/>
              <w:rPr>
                <w:rFonts w:hint="eastAsia" w:ascii="宋体" w:hAnsi="宋体" w:cs="宋体"/>
                <w:color w:val="auto"/>
                <w:szCs w:val="21"/>
                <w:highlight w:val="none"/>
              </w:rPr>
            </w:pPr>
          </w:p>
        </w:tc>
        <w:tc>
          <w:tcPr>
            <w:tcW w:w="1418" w:type="dxa"/>
          </w:tcPr>
          <w:p w14:paraId="1E8583E9">
            <w:pPr>
              <w:spacing w:line="360" w:lineRule="auto"/>
              <w:rPr>
                <w:rFonts w:hint="eastAsia" w:ascii="宋体" w:hAnsi="宋体" w:cs="宋体"/>
                <w:color w:val="auto"/>
                <w:szCs w:val="21"/>
                <w:highlight w:val="none"/>
              </w:rPr>
            </w:pPr>
          </w:p>
        </w:tc>
      </w:tr>
      <w:tr w14:paraId="0C4BE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648" w:type="dxa"/>
            <w:vAlign w:val="center"/>
          </w:tcPr>
          <w:p w14:paraId="5384CA9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79" w:type="dxa"/>
          </w:tcPr>
          <w:p w14:paraId="285DBFF5">
            <w:pPr>
              <w:spacing w:line="360" w:lineRule="auto"/>
              <w:rPr>
                <w:rFonts w:hint="eastAsia" w:ascii="宋体" w:hAnsi="宋体" w:cs="宋体"/>
                <w:color w:val="auto"/>
                <w:szCs w:val="21"/>
                <w:highlight w:val="none"/>
              </w:rPr>
            </w:pPr>
          </w:p>
        </w:tc>
        <w:tc>
          <w:tcPr>
            <w:tcW w:w="2648" w:type="dxa"/>
          </w:tcPr>
          <w:p w14:paraId="2F99D918">
            <w:pPr>
              <w:spacing w:line="360" w:lineRule="auto"/>
              <w:rPr>
                <w:rFonts w:hint="eastAsia" w:ascii="宋体" w:hAnsi="宋体" w:cs="宋体"/>
                <w:color w:val="auto"/>
                <w:szCs w:val="21"/>
                <w:highlight w:val="none"/>
              </w:rPr>
            </w:pPr>
          </w:p>
        </w:tc>
        <w:tc>
          <w:tcPr>
            <w:tcW w:w="2535" w:type="dxa"/>
          </w:tcPr>
          <w:p w14:paraId="3C2A454F">
            <w:pPr>
              <w:spacing w:line="360" w:lineRule="auto"/>
              <w:rPr>
                <w:rFonts w:hint="eastAsia" w:ascii="宋体" w:hAnsi="宋体" w:cs="宋体"/>
                <w:color w:val="auto"/>
                <w:szCs w:val="21"/>
                <w:highlight w:val="none"/>
              </w:rPr>
            </w:pPr>
          </w:p>
        </w:tc>
        <w:tc>
          <w:tcPr>
            <w:tcW w:w="1418" w:type="dxa"/>
          </w:tcPr>
          <w:p w14:paraId="3CB1CE80">
            <w:pPr>
              <w:spacing w:line="360" w:lineRule="auto"/>
              <w:rPr>
                <w:rFonts w:hint="eastAsia" w:ascii="宋体" w:hAnsi="宋体" w:cs="宋体"/>
                <w:color w:val="auto"/>
                <w:szCs w:val="21"/>
                <w:highlight w:val="none"/>
              </w:rPr>
            </w:pPr>
          </w:p>
        </w:tc>
      </w:tr>
      <w:tr w14:paraId="47D67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648" w:type="dxa"/>
            <w:vAlign w:val="center"/>
          </w:tcPr>
          <w:p w14:paraId="56D3F34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79" w:type="dxa"/>
          </w:tcPr>
          <w:p w14:paraId="1C2A0660">
            <w:pPr>
              <w:spacing w:line="360" w:lineRule="auto"/>
              <w:rPr>
                <w:rFonts w:hint="eastAsia" w:ascii="宋体" w:hAnsi="宋体" w:cs="宋体"/>
                <w:color w:val="auto"/>
                <w:szCs w:val="21"/>
                <w:highlight w:val="none"/>
              </w:rPr>
            </w:pPr>
          </w:p>
        </w:tc>
        <w:tc>
          <w:tcPr>
            <w:tcW w:w="2648" w:type="dxa"/>
          </w:tcPr>
          <w:p w14:paraId="13436134">
            <w:pPr>
              <w:spacing w:line="360" w:lineRule="auto"/>
              <w:rPr>
                <w:rFonts w:hint="eastAsia" w:ascii="宋体" w:hAnsi="宋体" w:cs="宋体"/>
                <w:color w:val="auto"/>
                <w:szCs w:val="21"/>
                <w:highlight w:val="none"/>
              </w:rPr>
            </w:pPr>
          </w:p>
        </w:tc>
        <w:tc>
          <w:tcPr>
            <w:tcW w:w="2535" w:type="dxa"/>
          </w:tcPr>
          <w:p w14:paraId="1AF4B094">
            <w:pPr>
              <w:spacing w:line="360" w:lineRule="auto"/>
              <w:rPr>
                <w:rFonts w:hint="eastAsia" w:ascii="宋体" w:hAnsi="宋体" w:cs="宋体"/>
                <w:color w:val="auto"/>
                <w:szCs w:val="21"/>
                <w:highlight w:val="none"/>
              </w:rPr>
            </w:pPr>
          </w:p>
        </w:tc>
        <w:tc>
          <w:tcPr>
            <w:tcW w:w="1418" w:type="dxa"/>
          </w:tcPr>
          <w:p w14:paraId="3826E972">
            <w:pPr>
              <w:spacing w:line="360" w:lineRule="auto"/>
              <w:rPr>
                <w:rFonts w:hint="eastAsia" w:ascii="宋体" w:hAnsi="宋体" w:cs="宋体"/>
                <w:color w:val="auto"/>
                <w:szCs w:val="21"/>
                <w:highlight w:val="none"/>
              </w:rPr>
            </w:pPr>
          </w:p>
        </w:tc>
      </w:tr>
      <w:tr w14:paraId="3178A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648" w:type="dxa"/>
            <w:vAlign w:val="center"/>
          </w:tcPr>
          <w:p w14:paraId="0AE3373E">
            <w:pPr>
              <w:spacing w:line="360" w:lineRule="auto"/>
              <w:jc w:val="center"/>
              <w:rPr>
                <w:rFonts w:hint="eastAsia" w:ascii="宋体" w:hAnsi="宋体" w:cs="宋体"/>
                <w:color w:val="auto"/>
                <w:szCs w:val="21"/>
                <w:highlight w:val="none"/>
              </w:rPr>
            </w:pPr>
          </w:p>
        </w:tc>
        <w:tc>
          <w:tcPr>
            <w:tcW w:w="2579" w:type="dxa"/>
          </w:tcPr>
          <w:p w14:paraId="49CAF34E">
            <w:pPr>
              <w:spacing w:line="360" w:lineRule="auto"/>
              <w:rPr>
                <w:rFonts w:hint="eastAsia" w:ascii="宋体" w:hAnsi="宋体" w:cs="宋体"/>
                <w:color w:val="auto"/>
                <w:szCs w:val="21"/>
                <w:highlight w:val="none"/>
              </w:rPr>
            </w:pPr>
          </w:p>
        </w:tc>
        <w:tc>
          <w:tcPr>
            <w:tcW w:w="2648" w:type="dxa"/>
          </w:tcPr>
          <w:p w14:paraId="09E4D081">
            <w:pPr>
              <w:spacing w:line="360" w:lineRule="auto"/>
              <w:rPr>
                <w:rFonts w:hint="eastAsia" w:ascii="宋体" w:hAnsi="宋体" w:cs="宋体"/>
                <w:color w:val="auto"/>
                <w:szCs w:val="21"/>
                <w:highlight w:val="none"/>
              </w:rPr>
            </w:pPr>
          </w:p>
        </w:tc>
        <w:tc>
          <w:tcPr>
            <w:tcW w:w="2535" w:type="dxa"/>
          </w:tcPr>
          <w:p w14:paraId="2A1F9E2F">
            <w:pPr>
              <w:spacing w:line="360" w:lineRule="auto"/>
              <w:rPr>
                <w:rFonts w:hint="eastAsia" w:ascii="宋体" w:hAnsi="宋体" w:cs="宋体"/>
                <w:color w:val="auto"/>
                <w:szCs w:val="21"/>
                <w:highlight w:val="none"/>
              </w:rPr>
            </w:pPr>
          </w:p>
        </w:tc>
        <w:tc>
          <w:tcPr>
            <w:tcW w:w="1418" w:type="dxa"/>
          </w:tcPr>
          <w:p w14:paraId="1A044931">
            <w:pPr>
              <w:spacing w:line="360" w:lineRule="auto"/>
              <w:rPr>
                <w:rFonts w:hint="eastAsia" w:ascii="宋体" w:hAnsi="宋体" w:cs="宋体"/>
                <w:color w:val="auto"/>
                <w:szCs w:val="21"/>
                <w:highlight w:val="none"/>
              </w:rPr>
            </w:pPr>
          </w:p>
        </w:tc>
      </w:tr>
      <w:tr w14:paraId="034C4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648" w:type="dxa"/>
            <w:vAlign w:val="center"/>
          </w:tcPr>
          <w:p w14:paraId="7CC49D1D">
            <w:pPr>
              <w:spacing w:line="360" w:lineRule="auto"/>
              <w:jc w:val="center"/>
              <w:rPr>
                <w:rFonts w:hint="eastAsia" w:ascii="宋体" w:hAnsi="宋体" w:cs="宋体"/>
                <w:color w:val="auto"/>
                <w:szCs w:val="21"/>
                <w:highlight w:val="none"/>
              </w:rPr>
            </w:pPr>
          </w:p>
        </w:tc>
        <w:tc>
          <w:tcPr>
            <w:tcW w:w="2579" w:type="dxa"/>
          </w:tcPr>
          <w:p w14:paraId="1DCC4D82">
            <w:pPr>
              <w:spacing w:line="360" w:lineRule="auto"/>
              <w:rPr>
                <w:rFonts w:hint="eastAsia" w:ascii="宋体" w:hAnsi="宋体" w:cs="宋体"/>
                <w:color w:val="auto"/>
                <w:szCs w:val="21"/>
                <w:highlight w:val="none"/>
              </w:rPr>
            </w:pPr>
          </w:p>
        </w:tc>
        <w:tc>
          <w:tcPr>
            <w:tcW w:w="2648" w:type="dxa"/>
          </w:tcPr>
          <w:p w14:paraId="41C64453">
            <w:pPr>
              <w:spacing w:line="360" w:lineRule="auto"/>
              <w:rPr>
                <w:rFonts w:hint="eastAsia" w:ascii="宋体" w:hAnsi="宋体" w:cs="宋体"/>
                <w:color w:val="auto"/>
                <w:szCs w:val="21"/>
                <w:highlight w:val="none"/>
              </w:rPr>
            </w:pPr>
          </w:p>
        </w:tc>
        <w:tc>
          <w:tcPr>
            <w:tcW w:w="2535" w:type="dxa"/>
          </w:tcPr>
          <w:p w14:paraId="6E3804A8">
            <w:pPr>
              <w:spacing w:line="360" w:lineRule="auto"/>
              <w:rPr>
                <w:rFonts w:hint="eastAsia" w:ascii="宋体" w:hAnsi="宋体" w:cs="宋体"/>
                <w:color w:val="auto"/>
                <w:szCs w:val="21"/>
                <w:highlight w:val="none"/>
              </w:rPr>
            </w:pPr>
          </w:p>
        </w:tc>
        <w:tc>
          <w:tcPr>
            <w:tcW w:w="1418" w:type="dxa"/>
          </w:tcPr>
          <w:p w14:paraId="76179F6F">
            <w:pPr>
              <w:spacing w:line="360" w:lineRule="auto"/>
              <w:rPr>
                <w:rFonts w:hint="eastAsia" w:ascii="宋体" w:hAnsi="宋体" w:cs="宋体"/>
                <w:color w:val="auto"/>
                <w:szCs w:val="21"/>
                <w:highlight w:val="none"/>
              </w:rPr>
            </w:pPr>
          </w:p>
        </w:tc>
      </w:tr>
      <w:tr w14:paraId="3D28E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trPr>
        <w:tc>
          <w:tcPr>
            <w:tcW w:w="648" w:type="dxa"/>
            <w:vAlign w:val="center"/>
          </w:tcPr>
          <w:p w14:paraId="2198638E">
            <w:pPr>
              <w:spacing w:line="360" w:lineRule="auto"/>
              <w:jc w:val="center"/>
              <w:rPr>
                <w:rFonts w:hint="eastAsia" w:ascii="宋体" w:hAnsi="宋体" w:cs="宋体"/>
                <w:color w:val="auto"/>
                <w:szCs w:val="21"/>
                <w:highlight w:val="none"/>
              </w:rPr>
            </w:pPr>
          </w:p>
        </w:tc>
        <w:tc>
          <w:tcPr>
            <w:tcW w:w="2579" w:type="dxa"/>
          </w:tcPr>
          <w:p w14:paraId="6E3006AB">
            <w:pPr>
              <w:spacing w:line="360" w:lineRule="auto"/>
              <w:rPr>
                <w:rFonts w:hint="eastAsia" w:ascii="宋体" w:hAnsi="宋体" w:cs="宋体"/>
                <w:color w:val="auto"/>
                <w:szCs w:val="21"/>
                <w:highlight w:val="none"/>
              </w:rPr>
            </w:pPr>
          </w:p>
        </w:tc>
        <w:tc>
          <w:tcPr>
            <w:tcW w:w="2648" w:type="dxa"/>
          </w:tcPr>
          <w:p w14:paraId="437CB4EC">
            <w:pPr>
              <w:spacing w:line="360" w:lineRule="auto"/>
              <w:rPr>
                <w:rFonts w:hint="eastAsia" w:ascii="宋体" w:hAnsi="宋体" w:cs="宋体"/>
                <w:color w:val="auto"/>
                <w:szCs w:val="21"/>
                <w:highlight w:val="none"/>
              </w:rPr>
            </w:pPr>
          </w:p>
        </w:tc>
        <w:tc>
          <w:tcPr>
            <w:tcW w:w="2535" w:type="dxa"/>
          </w:tcPr>
          <w:p w14:paraId="2235A3AB">
            <w:pPr>
              <w:spacing w:line="360" w:lineRule="auto"/>
              <w:rPr>
                <w:rFonts w:hint="eastAsia" w:ascii="宋体" w:hAnsi="宋体" w:cs="宋体"/>
                <w:color w:val="auto"/>
                <w:szCs w:val="21"/>
                <w:highlight w:val="none"/>
              </w:rPr>
            </w:pPr>
          </w:p>
        </w:tc>
        <w:tc>
          <w:tcPr>
            <w:tcW w:w="1418" w:type="dxa"/>
          </w:tcPr>
          <w:p w14:paraId="7ED49A1A">
            <w:pPr>
              <w:spacing w:line="360" w:lineRule="auto"/>
              <w:rPr>
                <w:rFonts w:hint="eastAsia" w:ascii="宋体" w:hAnsi="宋体" w:cs="宋体"/>
                <w:color w:val="auto"/>
                <w:szCs w:val="21"/>
                <w:highlight w:val="none"/>
              </w:rPr>
            </w:pPr>
          </w:p>
        </w:tc>
      </w:tr>
    </w:tbl>
    <w:p w14:paraId="651EF371">
      <w:pPr>
        <w:rPr>
          <w:rFonts w:hint="eastAsia" w:ascii="宋体" w:hAnsi="宋体" w:cs="宋体"/>
          <w:color w:val="auto"/>
          <w:szCs w:val="21"/>
          <w:highlight w:val="none"/>
        </w:rPr>
      </w:pPr>
    </w:p>
    <w:p w14:paraId="6F6E326E">
      <w:pPr>
        <w:snapToGrid w:val="0"/>
        <w:spacing w:line="360" w:lineRule="auto"/>
        <w:ind w:left="420" w:hanging="420" w:hangingChars="200"/>
        <w:rPr>
          <w:rFonts w:hint="eastAsia" w:ascii="宋体" w:hAnsi="宋体" w:cs="宋体"/>
          <w:color w:val="auto"/>
          <w:szCs w:val="21"/>
          <w:highlight w:val="none"/>
        </w:rPr>
      </w:pPr>
      <w:r>
        <w:rPr>
          <w:rFonts w:hint="eastAsia" w:ascii="宋体" w:hAnsi="宋体" w:cs="宋体"/>
          <w:color w:val="auto"/>
          <w:szCs w:val="21"/>
          <w:highlight w:val="none"/>
        </w:rPr>
        <w:t>注：1.投标人必须对应招标文件“第三篇用户需求书”的</w:t>
      </w:r>
      <w:r>
        <w:rPr>
          <w:rFonts w:hint="eastAsia" w:ascii="宋体" w:hAnsi="宋体" w:cs="宋体"/>
          <w:color w:val="auto"/>
          <w:szCs w:val="21"/>
          <w:highlight w:val="none"/>
          <w:lang w:val="en-GB"/>
        </w:rPr>
        <w:t>“</w:t>
      </w:r>
      <w:r>
        <w:rPr>
          <w:rFonts w:hint="eastAsia" w:ascii="宋体" w:hAnsi="宋体" w:cs="宋体"/>
          <w:color w:val="auto"/>
          <w:sz w:val="24"/>
          <w:highlight w:val="none"/>
        </w:rPr>
        <w:t>▲</w:t>
      </w:r>
      <w:r>
        <w:rPr>
          <w:rFonts w:hint="eastAsia" w:ascii="宋体" w:hAnsi="宋体" w:cs="宋体"/>
          <w:color w:val="auto"/>
          <w:szCs w:val="21"/>
          <w:highlight w:val="none"/>
          <w:lang w:val="en-GB"/>
        </w:rPr>
        <w:t>” 项</w:t>
      </w:r>
      <w:r>
        <w:rPr>
          <w:rFonts w:hint="eastAsia" w:ascii="宋体" w:hAnsi="宋体" w:cs="宋体"/>
          <w:color w:val="auto"/>
          <w:szCs w:val="21"/>
          <w:highlight w:val="none"/>
        </w:rPr>
        <w:t>内容逐条响应。如有缺漏，缺漏项视同不符合招标要求。</w:t>
      </w:r>
    </w:p>
    <w:p w14:paraId="719193E1">
      <w:pPr>
        <w:snapToGrid w:val="0"/>
        <w:spacing w:line="360" w:lineRule="auto"/>
        <w:ind w:left="420" w:left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lang w:val="en-GB"/>
        </w:rPr>
        <w:t>2.投标人</w:t>
      </w:r>
      <w:r>
        <w:rPr>
          <w:rFonts w:hint="eastAsia" w:ascii="宋体" w:hAnsi="宋体" w:cs="宋体"/>
          <w:b/>
          <w:color w:val="auto"/>
          <w:szCs w:val="21"/>
          <w:highlight w:val="none"/>
          <w:u w:val="single"/>
        </w:rPr>
        <w:t>响应招标需求应具体、明确；含糊不清、不确切或伪造、变造证明材料的，按照不完全响应或者完全不响应处理。构成提供虚假材料的，移送监管部门查处。</w:t>
      </w:r>
    </w:p>
    <w:p w14:paraId="78E30A8F">
      <w:pPr>
        <w:spacing w:line="360" w:lineRule="exact"/>
        <w:ind w:left="640" w:leftChars="219" w:hanging="180" w:hangingChars="86"/>
        <w:rPr>
          <w:rFonts w:hint="eastAsia" w:ascii="宋体" w:hAnsi="宋体" w:cs="宋体"/>
          <w:color w:val="auto"/>
          <w:szCs w:val="21"/>
          <w:highlight w:val="none"/>
        </w:rPr>
      </w:pPr>
      <w:r>
        <w:rPr>
          <w:rFonts w:hint="eastAsia" w:ascii="宋体" w:hAnsi="宋体" w:cs="宋体"/>
          <w:color w:val="auto"/>
          <w:szCs w:val="21"/>
          <w:highlight w:val="none"/>
          <w:lang w:val="en-GB"/>
        </w:rPr>
        <w:t>3.本表内容不得擅自修改。如招标文件无“</w:t>
      </w:r>
      <w:r>
        <w:rPr>
          <w:rFonts w:hint="eastAsia" w:ascii="宋体" w:hAnsi="宋体" w:cs="宋体"/>
          <w:color w:val="auto"/>
          <w:sz w:val="24"/>
          <w:highlight w:val="none"/>
        </w:rPr>
        <w:t>▲</w:t>
      </w:r>
      <w:r>
        <w:rPr>
          <w:rFonts w:hint="eastAsia" w:ascii="宋体" w:hAnsi="宋体" w:cs="宋体"/>
          <w:color w:val="auto"/>
          <w:szCs w:val="21"/>
          <w:highlight w:val="none"/>
          <w:lang w:val="en-GB"/>
        </w:rPr>
        <w:t>”项，则此项无需填写。</w:t>
      </w:r>
    </w:p>
    <w:p w14:paraId="3918F87A">
      <w:pPr>
        <w:spacing w:line="360" w:lineRule="auto"/>
        <w:ind w:firstLine="420" w:firstLineChars="200"/>
        <w:rPr>
          <w:rFonts w:hint="eastAsia" w:ascii="宋体" w:hAnsi="宋体" w:cs="宋体"/>
          <w:color w:val="auto"/>
          <w:szCs w:val="21"/>
          <w:highlight w:val="none"/>
        </w:rPr>
      </w:pPr>
    </w:p>
    <w:p w14:paraId="0E0122C9">
      <w:pPr>
        <w:snapToGrid w:val="0"/>
        <w:spacing w:line="300" w:lineRule="auto"/>
        <w:rPr>
          <w:rFonts w:hint="eastAsia" w:ascii="宋体" w:hAnsi="宋体" w:cs="宋体"/>
          <w:color w:val="auto"/>
          <w:szCs w:val="21"/>
          <w:highlight w:val="none"/>
        </w:rPr>
      </w:pPr>
    </w:p>
    <w:p w14:paraId="5CA030E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投标人法定代表人（或法定代表人授权代表）签名或盖私章：</w:t>
      </w:r>
      <w:r>
        <w:rPr>
          <w:rFonts w:hint="eastAsia" w:ascii="宋体" w:hAnsi="宋体" w:cs="宋体"/>
          <w:color w:val="auto"/>
          <w:szCs w:val="21"/>
          <w:highlight w:val="none"/>
          <w:u w:val="single"/>
        </w:rPr>
        <w:t xml:space="preserve">                   </w:t>
      </w:r>
    </w:p>
    <w:p w14:paraId="08816E2F">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投标人名称（加盖投标人公章）：</w:t>
      </w:r>
      <w:r>
        <w:rPr>
          <w:rFonts w:hint="eastAsia" w:ascii="宋体" w:hAnsi="宋体" w:cs="宋体"/>
          <w:color w:val="auto"/>
          <w:szCs w:val="21"/>
          <w:highlight w:val="none"/>
          <w:u w:val="single"/>
        </w:rPr>
        <w:t xml:space="preserve">                        </w:t>
      </w:r>
    </w:p>
    <w:p w14:paraId="686CA723">
      <w:pPr>
        <w:snapToGrid w:val="0"/>
        <w:spacing w:line="30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B54CE0C">
      <w:pPr>
        <w:spacing w:line="360" w:lineRule="auto"/>
        <w:rPr>
          <w:rFonts w:hint="eastAsia" w:ascii="宋体" w:hAnsi="宋体" w:cs="宋体"/>
          <w:color w:val="auto"/>
          <w:highlight w:val="none"/>
        </w:rPr>
      </w:pPr>
    </w:p>
    <w:p w14:paraId="6B35D60E">
      <w:pPr>
        <w:spacing w:line="360" w:lineRule="auto"/>
        <w:rPr>
          <w:rFonts w:hint="eastAsia" w:ascii="宋体" w:hAnsi="宋体" w:cs="宋体"/>
          <w:color w:val="auto"/>
          <w:highlight w:val="none"/>
        </w:rPr>
      </w:pPr>
    </w:p>
    <w:p w14:paraId="0B61D9D7">
      <w:pPr>
        <w:spacing w:line="360" w:lineRule="auto"/>
        <w:rPr>
          <w:rFonts w:hint="eastAsia" w:ascii="宋体" w:hAnsi="宋体" w:cs="宋体"/>
          <w:b/>
          <w:bCs/>
          <w:color w:val="auto"/>
          <w:highlight w:val="none"/>
        </w:rPr>
      </w:pPr>
      <w:r>
        <w:rPr>
          <w:rFonts w:hint="eastAsia" w:ascii="宋体" w:hAnsi="宋体" w:cs="宋体"/>
          <w:b/>
          <w:bCs/>
          <w:color w:val="auto"/>
          <w:highlight w:val="none"/>
        </w:rPr>
        <w:t>6.其他文件</w:t>
      </w:r>
    </w:p>
    <w:p w14:paraId="43EEBF3C">
      <w:pPr>
        <w:spacing w:line="360" w:lineRule="auto"/>
        <w:ind w:left="540" w:leftChars="257" w:firstLine="210" w:firstLineChars="100"/>
        <w:rPr>
          <w:rFonts w:hint="eastAsia" w:ascii="宋体" w:hAnsi="宋体" w:cs="宋体"/>
          <w:color w:val="auto"/>
          <w:szCs w:val="21"/>
          <w:highlight w:val="none"/>
        </w:rPr>
      </w:pPr>
      <w:r>
        <w:rPr>
          <w:rFonts w:hint="eastAsia" w:ascii="宋体" w:hAnsi="宋体" w:cs="宋体"/>
          <w:color w:val="auto"/>
          <w:highlight w:val="none"/>
        </w:rPr>
        <w:t>A.</w:t>
      </w:r>
      <w:r>
        <w:rPr>
          <w:rFonts w:hint="eastAsia" w:ascii="宋体" w:hAnsi="宋体" w:cs="宋体"/>
          <w:color w:val="auto"/>
          <w:szCs w:val="21"/>
          <w:highlight w:val="none"/>
        </w:rPr>
        <w:t>技术评分标准中的证明资料；</w:t>
      </w:r>
    </w:p>
    <w:p w14:paraId="392B2821">
      <w:pPr>
        <w:spacing w:line="360" w:lineRule="auto"/>
        <w:ind w:left="540" w:leftChars="257" w:firstLine="210" w:firstLineChars="100"/>
        <w:rPr>
          <w:rFonts w:hint="eastAsia" w:ascii="宋体" w:hAnsi="宋体" w:cs="宋体"/>
          <w:color w:val="auto"/>
          <w:highlight w:val="none"/>
        </w:rPr>
      </w:pPr>
      <w:r>
        <w:rPr>
          <w:rFonts w:hint="eastAsia" w:ascii="宋体" w:hAnsi="宋体" w:cs="宋体"/>
          <w:color w:val="auto"/>
          <w:highlight w:val="none"/>
        </w:rPr>
        <w:t>B.《用户需求书》所要求提供的证明资料文件。</w:t>
      </w:r>
    </w:p>
    <w:p w14:paraId="47AF50D4">
      <w:pPr>
        <w:spacing w:line="360" w:lineRule="auto"/>
        <w:ind w:left="540" w:leftChars="257" w:firstLine="210" w:firstLineChars="100"/>
        <w:rPr>
          <w:rFonts w:hint="eastAsia" w:ascii="宋体" w:hAnsi="宋体" w:cs="宋体"/>
          <w:color w:val="auto"/>
          <w:highlight w:val="none"/>
        </w:rPr>
      </w:pPr>
    </w:p>
    <w:p w14:paraId="2BBCC2DD">
      <w:pPr>
        <w:pStyle w:val="2"/>
        <w:snapToGrid w:val="0"/>
        <w:spacing w:before="0" w:after="0" w:line="360" w:lineRule="auto"/>
        <w:rPr>
          <w:rFonts w:hint="eastAsia" w:ascii="宋体" w:hAnsi="宋体" w:cs="宋体"/>
          <w:color w:val="auto"/>
          <w:sz w:val="30"/>
          <w:szCs w:val="30"/>
          <w:highlight w:val="none"/>
        </w:rPr>
      </w:pPr>
      <w:bookmarkStart w:id="111" w:name="_Toc449081312"/>
      <w:bookmarkStart w:id="112" w:name="_Toc385"/>
      <w:bookmarkStart w:id="113" w:name="_Toc309026053"/>
      <w:r>
        <w:rPr>
          <w:rFonts w:hint="eastAsia" w:ascii="宋体" w:hAnsi="宋体" w:cs="宋体"/>
          <w:color w:val="auto"/>
          <w:sz w:val="30"/>
          <w:szCs w:val="30"/>
          <w:highlight w:val="none"/>
        </w:rPr>
        <w:t>附件：评审工作大纲</w:t>
      </w:r>
      <w:bookmarkEnd w:id="111"/>
      <w:bookmarkEnd w:id="112"/>
      <w:bookmarkEnd w:id="113"/>
    </w:p>
    <w:p w14:paraId="038C56B4">
      <w:pPr>
        <w:pStyle w:val="186"/>
        <w:keepNext w:val="0"/>
        <w:spacing w:after="0" w:line="400" w:lineRule="atLeast"/>
        <w:jc w:val="center"/>
        <w:rPr>
          <w:rFonts w:hint="eastAsia" w:ascii="宋体" w:hAnsi="宋体" w:cs="宋体"/>
          <w:color w:val="auto"/>
          <w:highlight w:val="none"/>
        </w:rPr>
      </w:pPr>
    </w:p>
    <w:p w14:paraId="6C906404">
      <w:pPr>
        <w:pStyle w:val="47"/>
        <w:ind w:firstLine="210"/>
        <w:rPr>
          <w:rFonts w:hint="eastAsia" w:ascii="宋体" w:hAnsi="宋体" w:cs="宋体"/>
          <w:color w:val="auto"/>
          <w:highlight w:val="none"/>
        </w:rPr>
      </w:pPr>
    </w:p>
    <w:p w14:paraId="61F471EB">
      <w:pPr>
        <w:spacing w:line="360" w:lineRule="auto"/>
        <w:jc w:val="center"/>
        <w:rPr>
          <w:rFonts w:hint="eastAsia" w:ascii="宋体" w:hAnsi="宋体" w:eastAsia="宋体" w:cs="宋体"/>
          <w:b/>
          <w:bCs/>
          <w:color w:val="auto"/>
          <w:sz w:val="60"/>
          <w:szCs w:val="60"/>
          <w:highlight w:val="none"/>
          <w:lang w:eastAsia="zh-CN"/>
        </w:rPr>
      </w:pPr>
      <w:r>
        <w:rPr>
          <w:rFonts w:hint="eastAsia" w:ascii="宋体" w:hAnsi="宋体" w:cs="宋体"/>
          <w:b/>
          <w:bCs/>
          <w:color w:val="auto"/>
          <w:sz w:val="60"/>
          <w:szCs w:val="60"/>
          <w:highlight w:val="none"/>
          <w:lang w:eastAsia="zh-CN"/>
        </w:rPr>
        <w:t>征集2026年—2028年校园桶装饮用水服务商</w:t>
      </w:r>
    </w:p>
    <w:p w14:paraId="79C334A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CQZB260018</w:t>
      </w:r>
      <w:r>
        <w:rPr>
          <w:rFonts w:hint="eastAsia" w:ascii="宋体" w:hAnsi="宋体" w:cs="宋体"/>
          <w:b/>
          <w:color w:val="auto"/>
          <w:sz w:val="32"/>
          <w:szCs w:val="32"/>
          <w:highlight w:val="none"/>
        </w:rPr>
        <w:t>）</w:t>
      </w:r>
    </w:p>
    <w:p w14:paraId="50C9287E">
      <w:pPr>
        <w:spacing w:line="400" w:lineRule="atLeast"/>
        <w:jc w:val="center"/>
        <w:rPr>
          <w:rFonts w:hint="eastAsia" w:ascii="宋体" w:hAnsi="宋体" w:cs="宋体"/>
          <w:b/>
          <w:color w:val="auto"/>
          <w:sz w:val="36"/>
          <w:highlight w:val="none"/>
        </w:rPr>
      </w:pPr>
    </w:p>
    <w:p w14:paraId="50233A9F">
      <w:pPr>
        <w:spacing w:line="400" w:lineRule="atLeast"/>
        <w:jc w:val="center"/>
        <w:rPr>
          <w:rFonts w:hint="eastAsia" w:ascii="宋体" w:hAnsi="宋体" w:cs="宋体"/>
          <w:b/>
          <w:color w:val="auto"/>
          <w:sz w:val="36"/>
          <w:highlight w:val="none"/>
        </w:rPr>
      </w:pPr>
    </w:p>
    <w:p w14:paraId="728CBF39">
      <w:pPr>
        <w:spacing w:line="400" w:lineRule="atLeast"/>
        <w:jc w:val="center"/>
        <w:rPr>
          <w:rFonts w:hint="eastAsia" w:ascii="宋体" w:hAnsi="宋体" w:cs="宋体"/>
          <w:b/>
          <w:color w:val="auto"/>
          <w:sz w:val="36"/>
          <w:highlight w:val="none"/>
        </w:rPr>
      </w:pPr>
    </w:p>
    <w:p w14:paraId="1C90E944">
      <w:pPr>
        <w:pStyle w:val="3"/>
        <w:numPr>
          <w:ilvl w:val="1"/>
          <w:numId w:val="0"/>
        </w:numPr>
        <w:ind w:left="420"/>
        <w:rPr>
          <w:rFonts w:hint="eastAsia" w:ascii="宋体" w:hAnsi="宋体" w:cs="宋体"/>
          <w:color w:val="auto"/>
          <w:highlight w:val="none"/>
        </w:rPr>
      </w:pPr>
    </w:p>
    <w:p w14:paraId="7E519D68">
      <w:pPr>
        <w:rPr>
          <w:rFonts w:hint="eastAsia" w:ascii="宋体" w:hAnsi="宋体" w:cs="宋体"/>
          <w:color w:val="auto"/>
          <w:highlight w:val="none"/>
        </w:rPr>
      </w:pPr>
    </w:p>
    <w:p w14:paraId="1C109878">
      <w:pPr>
        <w:rPr>
          <w:rFonts w:hint="eastAsia" w:ascii="宋体" w:hAnsi="宋体" w:cs="宋体"/>
          <w:color w:val="auto"/>
          <w:highlight w:val="none"/>
        </w:rPr>
      </w:pPr>
    </w:p>
    <w:p w14:paraId="3457703F">
      <w:pPr>
        <w:spacing w:line="400" w:lineRule="atLeast"/>
        <w:jc w:val="center"/>
        <w:rPr>
          <w:rFonts w:hint="eastAsia" w:ascii="宋体" w:hAnsi="宋体" w:cs="宋体"/>
          <w:b/>
          <w:color w:val="auto"/>
          <w:sz w:val="72"/>
          <w:highlight w:val="none"/>
        </w:rPr>
      </w:pPr>
      <w:r>
        <w:rPr>
          <w:rFonts w:hint="eastAsia" w:ascii="宋体" w:hAnsi="宋体" w:cs="宋体"/>
          <w:b/>
          <w:color w:val="auto"/>
          <w:sz w:val="72"/>
          <w:highlight w:val="none"/>
        </w:rPr>
        <w:t>评审工作大纲</w:t>
      </w:r>
    </w:p>
    <w:p w14:paraId="1979F4E2">
      <w:pPr>
        <w:spacing w:line="400" w:lineRule="atLeast"/>
        <w:jc w:val="center"/>
        <w:rPr>
          <w:rFonts w:hint="eastAsia" w:ascii="宋体" w:hAnsi="宋体" w:cs="宋体"/>
          <w:b/>
          <w:color w:val="auto"/>
          <w:sz w:val="36"/>
          <w:highlight w:val="none"/>
        </w:rPr>
      </w:pPr>
    </w:p>
    <w:p w14:paraId="76B44D54">
      <w:pPr>
        <w:spacing w:line="400" w:lineRule="atLeast"/>
        <w:jc w:val="center"/>
        <w:rPr>
          <w:rFonts w:hint="eastAsia" w:ascii="宋体" w:hAnsi="宋体" w:cs="宋体"/>
          <w:b/>
          <w:color w:val="auto"/>
          <w:sz w:val="36"/>
          <w:highlight w:val="none"/>
        </w:rPr>
      </w:pPr>
    </w:p>
    <w:p w14:paraId="7F7E017D">
      <w:pPr>
        <w:pStyle w:val="48"/>
        <w:ind w:firstLine="402"/>
        <w:rPr>
          <w:rFonts w:hint="eastAsia" w:ascii="宋体" w:hAnsi="宋体" w:cs="宋体"/>
          <w:color w:val="auto"/>
          <w:highlight w:val="none"/>
        </w:rPr>
      </w:pPr>
    </w:p>
    <w:p w14:paraId="0AF69256">
      <w:pPr>
        <w:spacing w:line="400" w:lineRule="atLeast"/>
        <w:jc w:val="center"/>
        <w:rPr>
          <w:rFonts w:hint="eastAsia" w:ascii="宋体" w:hAnsi="宋体" w:cs="宋体"/>
          <w:b/>
          <w:color w:val="auto"/>
          <w:sz w:val="36"/>
          <w:highlight w:val="none"/>
        </w:rPr>
      </w:pPr>
    </w:p>
    <w:p w14:paraId="3058B254">
      <w:pPr>
        <w:spacing w:line="400" w:lineRule="atLeast"/>
        <w:rPr>
          <w:rFonts w:hint="eastAsia" w:ascii="宋体" w:hAnsi="宋体" w:cs="宋体"/>
          <w:b/>
          <w:color w:val="auto"/>
          <w:sz w:val="36"/>
          <w:highlight w:val="none"/>
        </w:rPr>
      </w:pPr>
      <w:bookmarkStart w:id="114" w:name="_Hlt268878173"/>
      <w:bookmarkEnd w:id="114"/>
    </w:p>
    <w:p w14:paraId="55BE061F">
      <w:pPr>
        <w:spacing w:line="360" w:lineRule="auto"/>
        <w:jc w:val="center"/>
        <w:rPr>
          <w:rFonts w:hint="eastAsia" w:ascii="宋体" w:hAnsi="宋体" w:cs="宋体"/>
          <w:b/>
          <w:color w:val="auto"/>
          <w:sz w:val="36"/>
          <w:highlight w:val="none"/>
        </w:rPr>
      </w:pPr>
      <w:r>
        <w:rPr>
          <w:rFonts w:hint="eastAsia" w:ascii="宋体" w:hAnsi="宋体" w:cs="宋体"/>
          <w:b/>
          <w:color w:val="auto"/>
          <w:sz w:val="36"/>
          <w:szCs w:val="36"/>
          <w:highlight w:val="none"/>
        </w:rPr>
        <w:t>广东远东招标代理有限公司</w:t>
      </w:r>
    </w:p>
    <w:p w14:paraId="75FDC9A5">
      <w:pPr>
        <w:tabs>
          <w:tab w:val="left" w:pos="1287"/>
        </w:tabs>
        <w:snapToGrid w:val="0"/>
        <w:spacing w:line="360" w:lineRule="auto"/>
        <w:ind w:left="259" w:leftChars="-171" w:hanging="618" w:hangingChars="171"/>
        <w:jc w:val="center"/>
        <w:rPr>
          <w:rFonts w:hint="eastAsia" w:ascii="宋体" w:hAnsi="宋体" w:eastAsia="宋体" w:cs="宋体"/>
          <w:color w:val="auto"/>
          <w:szCs w:val="21"/>
          <w:highlight w:val="none"/>
          <w:lang w:eastAsia="zh-CN"/>
        </w:rPr>
      </w:pPr>
      <w:bookmarkStart w:id="115" w:name="_Toc449081313"/>
      <w:r>
        <w:rPr>
          <w:rFonts w:hint="eastAsia" w:ascii="宋体" w:hAnsi="宋体" w:cs="宋体"/>
          <w:b/>
          <w:color w:val="auto"/>
          <w:sz w:val="36"/>
          <w:highlight w:val="none"/>
          <w:lang w:eastAsia="zh-CN"/>
        </w:rPr>
        <w:t>二〇二六年七月</w:t>
      </w:r>
    </w:p>
    <w:p w14:paraId="50AD1725">
      <w:pPr>
        <w:tabs>
          <w:tab w:val="left" w:pos="1287"/>
        </w:tabs>
        <w:snapToGrid w:val="0"/>
        <w:spacing w:line="356" w:lineRule="auto"/>
        <w:outlineLvl w:val="2"/>
        <w:rPr>
          <w:rFonts w:hint="eastAsia" w:ascii="宋体" w:hAnsi="宋体" w:cs="宋体"/>
          <w:color w:val="auto"/>
          <w:szCs w:val="21"/>
          <w:highlight w:val="none"/>
        </w:rPr>
      </w:pPr>
      <w:bookmarkStart w:id="116" w:name="_Toc32761"/>
    </w:p>
    <w:p w14:paraId="6C89DC92">
      <w:pPr>
        <w:tabs>
          <w:tab w:val="left" w:pos="1287"/>
        </w:tabs>
        <w:snapToGrid w:val="0"/>
        <w:spacing w:line="356" w:lineRule="auto"/>
        <w:outlineLvl w:val="2"/>
        <w:rPr>
          <w:rFonts w:hint="eastAsia" w:ascii="宋体" w:hAnsi="宋体" w:cs="宋体"/>
          <w:color w:val="auto"/>
          <w:szCs w:val="21"/>
          <w:highlight w:val="none"/>
        </w:rPr>
      </w:pPr>
    </w:p>
    <w:p w14:paraId="462657FD">
      <w:pPr>
        <w:tabs>
          <w:tab w:val="left" w:pos="1287"/>
        </w:tabs>
        <w:snapToGrid w:val="0"/>
        <w:spacing w:line="356" w:lineRule="auto"/>
        <w:outlineLvl w:val="2"/>
        <w:rPr>
          <w:rFonts w:hint="eastAsia" w:ascii="宋体" w:hAnsi="宋体" w:cs="宋体"/>
          <w:color w:val="auto"/>
          <w:szCs w:val="21"/>
          <w:highlight w:val="none"/>
        </w:rPr>
      </w:pPr>
    </w:p>
    <w:p w14:paraId="09FF40B6">
      <w:pPr>
        <w:tabs>
          <w:tab w:val="left" w:pos="1287"/>
        </w:tabs>
        <w:snapToGrid w:val="0"/>
        <w:spacing w:line="356" w:lineRule="auto"/>
        <w:outlineLvl w:val="2"/>
        <w:rPr>
          <w:rFonts w:hint="eastAsia" w:ascii="宋体" w:hAnsi="宋体" w:cs="宋体"/>
          <w:color w:val="auto"/>
          <w:szCs w:val="21"/>
          <w:highlight w:val="none"/>
        </w:rPr>
      </w:pPr>
      <w:r>
        <w:rPr>
          <w:rFonts w:hint="eastAsia" w:ascii="宋体" w:hAnsi="宋体" w:cs="宋体"/>
          <w:color w:val="auto"/>
          <w:szCs w:val="21"/>
          <w:highlight w:val="none"/>
        </w:rPr>
        <w:t>一、评标原则和目的</w:t>
      </w:r>
      <w:bookmarkEnd w:id="115"/>
      <w:bookmarkEnd w:id="116"/>
    </w:p>
    <w:p w14:paraId="20622A3C">
      <w:pPr>
        <w:numPr>
          <w:ilvl w:val="1"/>
          <w:numId w:val="0"/>
        </w:numPr>
        <w:spacing w:line="356" w:lineRule="auto"/>
        <w:ind w:left="567" w:hanging="567"/>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征集2026年—2028年校园桶装饮用水服务商</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CQZB260018</w:t>
      </w:r>
      <w:r>
        <w:rPr>
          <w:rFonts w:hint="eastAsia" w:ascii="宋体" w:hAnsi="宋体" w:cs="宋体"/>
          <w:color w:val="auto"/>
          <w:szCs w:val="21"/>
          <w:highlight w:val="none"/>
        </w:rPr>
        <w:t>）的招标参照《中华人民共和国招标投标法》《中华人民共和国招标投标法实施条例》《评标委员会和评标方法暂行规定》（2001年7月5日国家计委、国家经贸委、建设部、铁道部、</w:t>
      </w:r>
      <w:r>
        <w:rPr>
          <w:rFonts w:hint="eastAsia" w:ascii="宋体" w:hAnsi="宋体" w:cs="宋体"/>
          <w:color w:val="auto"/>
          <w:szCs w:val="21"/>
          <w:highlight w:val="none"/>
          <w:lang w:eastAsia="zh-CN"/>
        </w:rPr>
        <w:t>交通运输部</w:t>
      </w:r>
      <w:r>
        <w:rPr>
          <w:rFonts w:hint="eastAsia" w:ascii="宋体" w:hAnsi="宋体" w:cs="宋体"/>
          <w:color w:val="auto"/>
          <w:szCs w:val="21"/>
          <w:highlight w:val="none"/>
        </w:rPr>
        <w:t>、信息产业部、水利部令第12号发布 根据2013年3月11日国家发展改革委、工业和信息化部、财政部、住房和城乡建设部、交通运输部、铁道部、水利部、广电总局、民航局《关于废止和修改部分招标投标规章和规范性文件的决定》2013年第23号令修正 自发布之日起施行）等招标投标的有关规定进行。评标必须遵循公开、公平、公正、诚实信用的原则。评标按照招标文件规定的内容进行，采取综合评标办法，避免纯技术或纯经济的倾向。</w:t>
      </w:r>
    </w:p>
    <w:p w14:paraId="70FB0866">
      <w:pPr>
        <w:numPr>
          <w:ilvl w:val="1"/>
          <w:numId w:val="0"/>
        </w:numPr>
        <w:spacing w:line="356" w:lineRule="auto"/>
        <w:ind w:left="567" w:hanging="567"/>
        <w:rPr>
          <w:rFonts w:hint="eastAsia" w:ascii="宋体" w:hAnsi="宋体" w:cs="宋体"/>
          <w:color w:val="auto"/>
          <w:szCs w:val="21"/>
          <w:highlight w:val="none"/>
        </w:rPr>
      </w:pPr>
      <w:r>
        <w:rPr>
          <w:rFonts w:hint="eastAsia" w:ascii="宋体" w:hAnsi="宋体" w:cs="宋体"/>
          <w:color w:val="auto"/>
          <w:szCs w:val="21"/>
          <w:highlight w:val="none"/>
        </w:rPr>
        <w:t>1.2本办法的评标对象是指投标人按照招标文件要求提供的有效投标文件，包括投标人应评标委员会要求对原投标文件作出的正式书面澄清文件。</w:t>
      </w:r>
    </w:p>
    <w:p w14:paraId="697E31A1">
      <w:pPr>
        <w:numPr>
          <w:ilvl w:val="1"/>
          <w:numId w:val="0"/>
        </w:numPr>
        <w:spacing w:line="356" w:lineRule="auto"/>
        <w:ind w:left="567" w:hanging="567"/>
        <w:rPr>
          <w:rFonts w:hint="eastAsia" w:ascii="宋体" w:hAnsi="宋体" w:cs="宋体"/>
          <w:color w:val="auto"/>
          <w:szCs w:val="21"/>
          <w:highlight w:val="none"/>
        </w:rPr>
      </w:pPr>
      <w:r>
        <w:rPr>
          <w:rFonts w:hint="eastAsia" w:ascii="宋体" w:hAnsi="宋体" w:cs="宋体"/>
          <w:color w:val="auto"/>
          <w:szCs w:val="21"/>
          <w:highlight w:val="none"/>
        </w:rPr>
        <w:t>1.3由评标委员会根据《资格性检查表》《符合性检查表》对所有投标文件进行响应性检查，未能响应招标文件要求的投标文件作无效投标处理，通过资格性、符合性审查的投标人才能进入商务、技术及价格评比阶段。</w:t>
      </w:r>
    </w:p>
    <w:p w14:paraId="2942E201">
      <w:pPr>
        <w:tabs>
          <w:tab w:val="left" w:pos="1287"/>
        </w:tabs>
        <w:snapToGrid w:val="0"/>
        <w:spacing w:line="356" w:lineRule="auto"/>
        <w:outlineLvl w:val="2"/>
        <w:rPr>
          <w:rFonts w:hint="eastAsia" w:ascii="宋体" w:hAnsi="宋体" w:cs="宋体"/>
          <w:color w:val="auto"/>
          <w:szCs w:val="21"/>
          <w:highlight w:val="none"/>
        </w:rPr>
      </w:pPr>
      <w:bookmarkStart w:id="117" w:name="_Toc7029"/>
      <w:bookmarkStart w:id="118" w:name="_Toc449081314"/>
      <w:r>
        <w:rPr>
          <w:rFonts w:hint="eastAsia" w:ascii="宋体" w:hAnsi="宋体" w:cs="宋体"/>
          <w:color w:val="auto"/>
          <w:szCs w:val="21"/>
          <w:highlight w:val="none"/>
        </w:rPr>
        <w:t>二、评标程序</w:t>
      </w:r>
      <w:bookmarkEnd w:id="117"/>
      <w:bookmarkEnd w:id="118"/>
    </w:p>
    <w:p w14:paraId="05E50527">
      <w:pPr>
        <w:tabs>
          <w:tab w:val="left" w:pos="984"/>
        </w:tabs>
        <w:snapToGrid w:val="0"/>
        <w:spacing w:line="356" w:lineRule="auto"/>
        <w:ind w:left="-171" w:firstLine="105" w:firstLineChars="50"/>
        <w:rPr>
          <w:rFonts w:hint="eastAsia" w:ascii="宋体" w:hAnsi="宋体" w:cs="宋体"/>
          <w:color w:val="auto"/>
          <w:szCs w:val="21"/>
          <w:highlight w:val="none"/>
        </w:rPr>
      </w:pPr>
      <w:r>
        <w:rPr>
          <w:rFonts w:hint="eastAsia" w:ascii="宋体" w:hAnsi="宋体" w:cs="宋体"/>
          <w:color w:val="auto"/>
          <w:szCs w:val="21"/>
          <w:highlight w:val="none"/>
        </w:rPr>
        <w:t>（一）对投标人的资格性检查</w:t>
      </w:r>
    </w:p>
    <w:p w14:paraId="3E0352E7">
      <w:pPr>
        <w:snapToGrid w:val="0"/>
        <w:spacing w:line="356" w:lineRule="auto"/>
        <w:ind w:left="-171" w:firstLine="576"/>
        <w:rPr>
          <w:rFonts w:hint="eastAsia" w:ascii="宋体" w:hAnsi="宋体" w:cs="宋体"/>
          <w:color w:val="auto"/>
          <w:szCs w:val="21"/>
          <w:highlight w:val="none"/>
        </w:rPr>
      </w:pPr>
      <w:r>
        <w:rPr>
          <w:rFonts w:hint="eastAsia" w:ascii="宋体" w:hAnsi="宋体" w:cs="宋体"/>
          <w:color w:val="auto"/>
          <w:szCs w:val="21"/>
          <w:highlight w:val="none"/>
        </w:rPr>
        <w:t>评标过程应在开标后立即开始。依据法律法规和招标文件的规定，对投标文件中的资格证明等进行审查，以确定投标人是否具备投标资格</w:t>
      </w:r>
      <w:r>
        <w:rPr>
          <w:rFonts w:hint="eastAsia" w:ascii="宋体" w:hAnsi="宋体" w:cs="宋体"/>
          <w:color w:val="auto"/>
          <w:szCs w:val="21"/>
          <w:highlight w:val="none"/>
          <w:lang w:val="zh-CN"/>
        </w:rPr>
        <w:t>。</w:t>
      </w:r>
      <w:r>
        <w:rPr>
          <w:rFonts w:hint="eastAsia" w:ascii="宋体" w:hAnsi="宋体" w:cs="宋体"/>
          <w:color w:val="auto"/>
          <w:szCs w:val="21"/>
          <w:highlight w:val="none"/>
        </w:rPr>
        <w:t>应进行以下审核：</w:t>
      </w:r>
    </w:p>
    <w:p w14:paraId="2090486E">
      <w:pPr>
        <w:pStyle w:val="186"/>
        <w:keepNext w:val="0"/>
        <w:tabs>
          <w:tab w:val="left" w:pos="960"/>
        </w:tabs>
        <w:spacing w:after="0" w:line="356" w:lineRule="auto"/>
        <w:ind w:left="960" w:hanging="48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具备招标文件中规定资格要求的资格证明文件齐全</w:t>
      </w:r>
    </w:p>
    <w:p w14:paraId="5A3755A3">
      <w:pPr>
        <w:pStyle w:val="186"/>
        <w:keepNext w:val="0"/>
        <w:tabs>
          <w:tab w:val="left" w:pos="960"/>
        </w:tabs>
        <w:spacing w:after="0" w:line="356" w:lineRule="auto"/>
        <w:ind w:left="960" w:hanging="48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法定代表人/负责人资格证明书及授权委托书</w:t>
      </w:r>
    </w:p>
    <w:p w14:paraId="17DD3877">
      <w:pPr>
        <w:pStyle w:val="44"/>
        <w:widowControl w:val="0"/>
        <w:tabs>
          <w:tab w:val="left" w:pos="3240"/>
        </w:tabs>
        <w:spacing w:before="0" w:beforeAutospacing="0" w:after="0" w:afterAutospacing="0" w:line="356" w:lineRule="auto"/>
        <w:ind w:leftChars="-85" w:hanging="178" w:hangingChars="85"/>
        <w:rPr>
          <w:rFonts w:hint="eastAsia" w:ascii="宋体" w:cs="宋体"/>
          <w:color w:val="auto"/>
          <w:sz w:val="21"/>
          <w:szCs w:val="21"/>
          <w:highlight w:val="none"/>
        </w:rPr>
      </w:pPr>
      <w:r>
        <w:rPr>
          <w:rFonts w:hint="eastAsia" w:ascii="宋体" w:cs="宋体"/>
          <w:color w:val="auto"/>
          <w:sz w:val="21"/>
          <w:szCs w:val="21"/>
          <w:highlight w:val="none"/>
        </w:rPr>
        <w:t>（二）对投标人的符合性检查</w:t>
      </w:r>
    </w:p>
    <w:p w14:paraId="1CCBF670">
      <w:pPr>
        <w:pStyle w:val="44"/>
        <w:widowControl w:val="0"/>
        <w:tabs>
          <w:tab w:val="left" w:pos="1080"/>
        </w:tabs>
        <w:spacing w:before="0" w:beforeAutospacing="0" w:after="0" w:afterAutospacing="0" w:line="356" w:lineRule="auto"/>
        <w:ind w:left="134" w:leftChars="64" w:firstLine="420" w:firstLineChars="200"/>
        <w:rPr>
          <w:rFonts w:hint="eastAsia" w:ascii="宋体" w:cs="宋体"/>
          <w:color w:val="auto"/>
          <w:sz w:val="21"/>
          <w:szCs w:val="21"/>
          <w:highlight w:val="none"/>
        </w:rPr>
      </w:pPr>
      <w:r>
        <w:rPr>
          <w:rFonts w:hint="eastAsia" w:ascii="宋体" w:cs="宋体"/>
          <w:color w:val="auto"/>
          <w:sz w:val="21"/>
          <w:szCs w:val="21"/>
          <w:highlight w:val="none"/>
        </w:rPr>
        <w:t>符合性检查是依据招标文件的规定，从投标文件的有效性、完整性和对招标文件的响应程度进行审查，以确定是否对招标文件的实质性要求作出响应。应进行以下审核：</w:t>
      </w:r>
    </w:p>
    <w:p w14:paraId="4C60A455">
      <w:pPr>
        <w:pStyle w:val="186"/>
        <w:keepNext w:val="0"/>
        <w:spacing w:after="0" w:line="356" w:lineRule="auto"/>
        <w:ind w:left="435"/>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1.按照招标文件的规定提交</w:t>
      </w:r>
      <w:r>
        <w:rPr>
          <w:rFonts w:hint="eastAsia" w:ascii="宋体" w:hAnsi="宋体" w:cs="宋体"/>
          <w:bCs/>
          <w:color w:val="auto"/>
          <w:szCs w:val="21"/>
          <w:highlight w:val="none"/>
          <w:lang w:eastAsia="zh-CN"/>
        </w:rPr>
        <w:t>投标保证</w:t>
      </w:r>
    </w:p>
    <w:p w14:paraId="129C9048">
      <w:pPr>
        <w:pStyle w:val="186"/>
        <w:keepNext w:val="0"/>
        <w:spacing w:after="0" w:line="356" w:lineRule="auto"/>
        <w:ind w:left="435"/>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投标文件按招标文件要求签署、盖章</w:t>
      </w:r>
    </w:p>
    <w:p w14:paraId="1B57E1F1">
      <w:pPr>
        <w:pStyle w:val="186"/>
        <w:keepNext w:val="0"/>
        <w:spacing w:after="0" w:line="356" w:lineRule="auto"/>
        <w:ind w:left="435"/>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投标报价未超过招标文件中规定的单价最高限价</w:t>
      </w:r>
    </w:p>
    <w:p w14:paraId="15838E7B">
      <w:pPr>
        <w:pStyle w:val="186"/>
        <w:keepNext w:val="0"/>
        <w:spacing w:after="0" w:line="356" w:lineRule="auto"/>
        <w:ind w:left="435"/>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.投标文件完全满足招标文件的实质性条款（即标注★号条款）无负偏离</w:t>
      </w:r>
    </w:p>
    <w:p w14:paraId="72FDB370">
      <w:pPr>
        <w:pStyle w:val="186"/>
        <w:keepNext w:val="0"/>
        <w:spacing w:after="0" w:line="356" w:lineRule="auto"/>
        <w:ind w:left="435"/>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.投标文件无招标人不能接受的附加条件</w:t>
      </w:r>
    </w:p>
    <w:p w14:paraId="09D9B6B8">
      <w:pPr>
        <w:pStyle w:val="186"/>
        <w:keepNext w:val="0"/>
        <w:spacing w:after="0" w:line="356" w:lineRule="auto"/>
        <w:ind w:left="435"/>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.无招标文件规定的投标无效情况</w:t>
      </w:r>
    </w:p>
    <w:p w14:paraId="00435B08">
      <w:pPr>
        <w:pStyle w:val="186"/>
        <w:keepNext w:val="0"/>
        <w:spacing w:after="0" w:line="35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有下列情况之一的，投标无效：</w:t>
      </w:r>
    </w:p>
    <w:p w14:paraId="3307FF80">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（1）投标人不具备招标公告申请人的资格要求的；</w:t>
      </w:r>
    </w:p>
    <w:p w14:paraId="54E190D1">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（2）投标函没有投标人盖章及其法定代表人（或法定代表人委托的代理人）的印鉴或签名的；</w:t>
      </w:r>
    </w:p>
    <w:p w14:paraId="6C7D7671">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（3）投标文件提供虚假材料的；</w:t>
      </w:r>
    </w:p>
    <w:p w14:paraId="2435C90F">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（4）投标文件未完全满足招标文件中带“★”号的条款和指标的；</w:t>
      </w:r>
    </w:p>
    <w:p w14:paraId="3E6F0F9A">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（5）投标报价不确定或超过招标文件中列出的招标预算（</w:t>
      </w:r>
      <w:r>
        <w:rPr>
          <w:rFonts w:hint="eastAsia" w:ascii="宋体" w:hAnsi="宋体" w:cs="宋体"/>
          <w:color w:val="auto"/>
          <w:szCs w:val="21"/>
          <w:highlight w:val="none"/>
          <w:lang w:eastAsia="zh-CN"/>
        </w:rPr>
        <w:t>最高限价</w:t>
      </w:r>
      <w:r>
        <w:rPr>
          <w:rFonts w:hint="eastAsia" w:ascii="宋体" w:hAnsi="宋体" w:cs="宋体"/>
          <w:color w:val="auto"/>
          <w:szCs w:val="21"/>
          <w:highlight w:val="none"/>
        </w:rPr>
        <w:t>）或不按招标文件要求的；</w:t>
      </w:r>
    </w:p>
    <w:p w14:paraId="01BCE469">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（6）评标期间，投标人没有按评标委员会的要求提交经授权代表签字的澄清、说明、补正或改变了投标文件的实质性内容的；</w:t>
      </w:r>
    </w:p>
    <w:p w14:paraId="46933B4E">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）投标人对招标人、招标代理机构、评标委员会及其工作人员施加影响，有碍招标公平、公正的；</w:t>
      </w:r>
    </w:p>
    <w:p w14:paraId="1956EACB">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）如果评标委员会发现投标人的报价明显低于其他投标报价，使得其投标报价可能低于其个别成本的，应当要求该投标人作出书面说明并提供相关证明材料。投标人不能合理说明或者不能提供相关证明材料的；</w:t>
      </w:r>
    </w:p>
    <w:p w14:paraId="367A34DB">
      <w:pPr>
        <w:pStyle w:val="186"/>
        <w:keepNext w:val="0"/>
        <w:spacing w:after="0" w:line="35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）按有关法律法规、规章规定属于投标/中标无效的。</w:t>
      </w:r>
    </w:p>
    <w:p w14:paraId="094A7780">
      <w:pPr>
        <w:pStyle w:val="44"/>
        <w:widowControl w:val="0"/>
        <w:spacing w:before="0" w:beforeAutospacing="0" w:after="0" w:afterAutospacing="0" w:line="356" w:lineRule="auto"/>
        <w:ind w:left="538" w:leftChars="-85" w:hanging="716" w:hangingChars="341"/>
        <w:rPr>
          <w:rFonts w:hint="eastAsia" w:ascii="宋体" w:cs="宋体"/>
          <w:color w:val="auto"/>
          <w:sz w:val="21"/>
          <w:szCs w:val="21"/>
          <w:highlight w:val="none"/>
        </w:rPr>
      </w:pPr>
      <w:r>
        <w:rPr>
          <w:rFonts w:hint="eastAsia" w:ascii="宋体" w:cs="宋体"/>
          <w:color w:val="auto"/>
          <w:sz w:val="21"/>
          <w:szCs w:val="21"/>
          <w:highlight w:val="none"/>
        </w:rPr>
        <w:t>（三）以上资格性检查、符合性检查中部分有不合格分项的投标文件，将作废标处理。经评标委员会确认的无效投标文件，招标人和招标代理机构将予以拒绝，并且不允许通过修正或撤销其不符合要求的差异，使之成为具有符合性的投标文件。</w:t>
      </w:r>
    </w:p>
    <w:p w14:paraId="08D716FC">
      <w:pPr>
        <w:pStyle w:val="44"/>
        <w:widowControl w:val="0"/>
        <w:spacing w:before="0" w:beforeAutospacing="0" w:after="0" w:afterAutospacing="0" w:line="356" w:lineRule="auto"/>
        <w:ind w:left="410" w:leftChars="-85" w:hanging="588" w:hangingChars="280"/>
        <w:rPr>
          <w:rFonts w:hint="eastAsia" w:ascii="宋体" w:cs="宋体"/>
          <w:color w:val="auto"/>
          <w:sz w:val="21"/>
          <w:szCs w:val="21"/>
          <w:highlight w:val="none"/>
        </w:rPr>
      </w:pPr>
      <w:r>
        <w:rPr>
          <w:rFonts w:hint="eastAsia" w:ascii="宋体" w:cs="宋体"/>
          <w:color w:val="auto"/>
          <w:sz w:val="21"/>
          <w:szCs w:val="21"/>
          <w:highlight w:val="none"/>
        </w:rPr>
        <w:t>（四）开标之后首先由评标委员会依法对投标人的资格进行审查，评标委员会对投标人的投标文件进行符合性审查，经审查合格投标人不足3家的，不得评标。</w:t>
      </w:r>
    </w:p>
    <w:p w14:paraId="3E997ED7">
      <w:pPr>
        <w:pStyle w:val="44"/>
        <w:widowControl w:val="0"/>
        <w:spacing w:before="0" w:beforeAutospacing="0" w:after="0" w:afterAutospacing="0" w:line="356" w:lineRule="auto"/>
        <w:ind w:left="410" w:leftChars="-85" w:hanging="588" w:hangingChars="280"/>
        <w:rPr>
          <w:rFonts w:hint="eastAsia" w:ascii="宋体" w:cs="宋体"/>
          <w:color w:val="auto"/>
          <w:sz w:val="21"/>
          <w:szCs w:val="21"/>
          <w:highlight w:val="none"/>
        </w:rPr>
      </w:pPr>
      <w:r>
        <w:rPr>
          <w:rFonts w:hint="eastAsia" w:ascii="宋体" w:cs="宋体"/>
          <w:color w:val="auto"/>
          <w:sz w:val="21"/>
          <w:szCs w:val="21"/>
          <w:highlight w:val="none"/>
        </w:rPr>
        <w:t>（五）完成资格性和符合性检查后，由评标委员会按附件1.1《评分标准和细则》对通过资格性检查和符合性检查的投标文件进行评审。</w:t>
      </w:r>
    </w:p>
    <w:p w14:paraId="21A3C7E9">
      <w:pPr>
        <w:pStyle w:val="44"/>
        <w:widowControl w:val="0"/>
        <w:spacing w:before="0" w:beforeAutospacing="0" w:after="0" w:afterAutospacing="0" w:line="356" w:lineRule="auto"/>
        <w:ind w:left="410" w:leftChars="-85" w:hanging="588" w:hangingChars="280"/>
        <w:rPr>
          <w:rFonts w:hint="eastAsia" w:ascii="宋体" w:cs="宋体"/>
          <w:color w:val="auto"/>
          <w:sz w:val="21"/>
          <w:szCs w:val="21"/>
          <w:highlight w:val="none"/>
        </w:rPr>
      </w:pPr>
      <w:r>
        <w:rPr>
          <w:rFonts w:hint="eastAsia" w:ascii="宋体" w:cs="宋体"/>
          <w:color w:val="auto"/>
          <w:sz w:val="21"/>
          <w:szCs w:val="21"/>
          <w:highlight w:val="none"/>
        </w:rPr>
        <w:t>（六）现场澄清：按招标文件第二篇。</w:t>
      </w:r>
    </w:p>
    <w:p w14:paraId="23390C44">
      <w:pPr>
        <w:pStyle w:val="44"/>
        <w:widowControl w:val="0"/>
        <w:spacing w:before="0" w:beforeAutospacing="0" w:after="0" w:afterAutospacing="0" w:line="356" w:lineRule="auto"/>
        <w:ind w:left="410" w:leftChars="-85" w:hanging="588" w:hangingChars="280"/>
        <w:rPr>
          <w:rFonts w:hint="eastAsia" w:ascii="宋体" w:cs="宋体"/>
          <w:color w:val="auto"/>
          <w:sz w:val="21"/>
          <w:szCs w:val="21"/>
          <w:highlight w:val="none"/>
        </w:rPr>
      </w:pPr>
      <w:r>
        <w:rPr>
          <w:rFonts w:hint="eastAsia" w:ascii="宋体" w:cs="宋体"/>
          <w:color w:val="auto"/>
          <w:sz w:val="21"/>
          <w:szCs w:val="21"/>
          <w:highlight w:val="none"/>
        </w:rPr>
        <w:t>（七）细微偏差修正</w:t>
      </w:r>
    </w:p>
    <w:p w14:paraId="5E983F47">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1.细微偏差是指经评标委员会确认为具有符合性的投标文件虽然实质上响应招标文件要求，但个别地方存在遗漏或者提供了不完整的技术信息及数据，并且修正这些遗漏或者不完整不会更改投标文件的实质性内容。</w:t>
      </w:r>
    </w:p>
    <w:p w14:paraId="11C077F0">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2.经评标委员会确认为具有符合性的投标文件，若存在个别计算或累计方面的算术错误可视为投标文件存在细微偏差并按照以下原则进行修正：</w:t>
      </w:r>
    </w:p>
    <w:p w14:paraId="1FC5F04E">
      <w:pPr>
        <w:pStyle w:val="44"/>
        <w:spacing w:before="0" w:beforeAutospacing="0" w:after="0" w:afterAutospacing="0" w:line="356" w:lineRule="auto"/>
        <w:ind w:left="418" w:leftChars="199" w:firstLine="102" w:firstLineChars="49"/>
        <w:rPr>
          <w:rFonts w:hint="eastAsia" w:ascii="宋体" w:cs="宋体"/>
          <w:color w:val="auto"/>
          <w:sz w:val="21"/>
          <w:szCs w:val="21"/>
          <w:highlight w:val="none"/>
        </w:rPr>
      </w:pPr>
      <w:r>
        <w:rPr>
          <w:rFonts w:hint="eastAsia" w:ascii="宋体" w:cs="宋体"/>
          <w:color w:val="auto"/>
          <w:sz w:val="21"/>
          <w:szCs w:val="21"/>
          <w:highlight w:val="none"/>
        </w:rPr>
        <w:t>投标文件中开标一览表（报价表）内容与投标文件中相应内容不一致的，以开标一览表（报价表）为准；大写金额和小写金额不一致的，以大写金额为准；单价金额小数点或者百分比（或千分比）有明显错位的，以开标一览表的总价为准，并修改单价；总价金额与按单价汇总金额不一致的，以单价金额计算结果为准。同时出现上述两种以上不一致的，按照前款规定的顺序修正。以上修正后的报价应当经投标人采用书面形式，并加盖公章，或者由法定代表人或其授权的代表签字确认，并对投标人产生约束力，投标人不确认的，其投标无效。</w:t>
      </w:r>
    </w:p>
    <w:p w14:paraId="07A0AA12">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3.按照上述修正调整后的内容经投标人确认后，对投标人起约束作用。</w:t>
      </w:r>
    </w:p>
    <w:p w14:paraId="39A91DD3">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4.经评标委员会确认存在细微偏差的投标文件，评标委员会可以于评标结果宣布之前要求投标人对投标文件中存在的细微偏差进行修正。</w:t>
      </w:r>
    </w:p>
    <w:p w14:paraId="27EA04B7">
      <w:pPr>
        <w:pStyle w:val="44"/>
        <w:spacing w:before="0" w:beforeAutospacing="0" w:after="0" w:afterAutospacing="0" w:line="356" w:lineRule="auto"/>
        <w:rPr>
          <w:rFonts w:hint="eastAsia" w:ascii="宋体" w:cs="宋体"/>
          <w:color w:val="auto"/>
          <w:sz w:val="21"/>
          <w:szCs w:val="21"/>
          <w:highlight w:val="none"/>
        </w:rPr>
      </w:pPr>
      <w:r>
        <w:rPr>
          <w:rFonts w:hint="eastAsia" w:ascii="宋体" w:cs="宋体"/>
          <w:color w:val="auto"/>
          <w:sz w:val="21"/>
          <w:szCs w:val="21"/>
          <w:highlight w:val="none"/>
        </w:rPr>
        <w:t>（八）评标注意事项</w:t>
      </w:r>
    </w:p>
    <w:p w14:paraId="57C3AAE2">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1.评标委员会将按照招标文件确定的评标方法进行评标。对招标文件中描述有歧义或前后不一致的地方，评标委员会有权按法律法规的规定进行评判，但对同一条款的评判应适用于每个投标人。</w:t>
      </w:r>
    </w:p>
    <w:p w14:paraId="087F881B">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2.对于投标文件中含义不明确、同类问题表述不一致或者有明显文字和计算错误的内容，评标委员会应当以书面形式要求投标人作出必要的澄清、说明或者补正。</w:t>
      </w:r>
    </w:p>
    <w:p w14:paraId="1F952BC8">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3.投标人的澄清、说明或者补正应当采用书面形式，并加盖公章，或者由法定代表人或其授权的代表签字。投标人的澄清、说明或者补正不得超出投标文件的范围或者改变投标文件的实质性内容。</w:t>
      </w:r>
    </w:p>
    <w:p w14:paraId="38BD656F">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4.有下列情形之一的，视为投标人串通投标，其投标无效：</w:t>
      </w:r>
    </w:p>
    <w:p w14:paraId="54E91BA1">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4.1 不同投标人的投标文件由同一单位或者个人编制；</w:t>
      </w:r>
    </w:p>
    <w:p w14:paraId="0DD5D432">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4.2 不同投标人委托同一单位或者个人办理投标事宜；</w:t>
      </w:r>
    </w:p>
    <w:p w14:paraId="5F3A3A6F">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4.3 不同投标人的投标文件载明的项目管理成员或者联系人员为同一人；</w:t>
      </w:r>
    </w:p>
    <w:p w14:paraId="57E09DF9">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4.4 不同投标人的投标文件异常一致或者投标报价呈规律性差异；</w:t>
      </w:r>
    </w:p>
    <w:p w14:paraId="5F1937A4">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4.5 不同投标人的投标文件相互混装；</w:t>
      </w:r>
    </w:p>
    <w:p w14:paraId="5924ED34">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5.关于同一合同项下相同品牌产品投标</w:t>
      </w:r>
    </w:p>
    <w:p w14:paraId="50CB2BEE">
      <w:pPr>
        <w:pStyle w:val="44"/>
        <w:spacing w:before="0" w:beforeAutospacing="0" w:after="0" w:afterAutospacing="0" w:line="360" w:lineRule="auto"/>
        <w:ind w:left="319" w:hanging="319" w:hangingChars="152"/>
        <w:rPr>
          <w:rFonts w:ascii="宋体"/>
          <w:color w:val="auto"/>
          <w:sz w:val="21"/>
          <w:szCs w:val="21"/>
          <w:highlight w:val="none"/>
        </w:rPr>
      </w:pPr>
      <w:r>
        <w:rPr>
          <w:rFonts w:hint="eastAsia" w:ascii="宋体" w:cs="宋体"/>
          <w:color w:val="auto"/>
          <w:sz w:val="21"/>
          <w:szCs w:val="21"/>
          <w:highlight w:val="none"/>
        </w:rPr>
        <w:t>5.1</w:t>
      </w:r>
      <w:r>
        <w:rPr>
          <w:rFonts w:hint="eastAsia" w:ascii="宋体" w:cs="宋体"/>
          <w:color w:val="auto"/>
          <w:sz w:val="21"/>
          <w:szCs w:val="21"/>
          <w:highlight w:val="none"/>
          <w:lang w:val="en-US" w:eastAsia="zh-CN"/>
        </w:rPr>
        <w:t xml:space="preserve"> </w:t>
      </w:r>
      <w:r>
        <w:rPr>
          <w:rFonts w:hint="eastAsia" w:ascii="宋体"/>
          <w:color w:val="auto"/>
          <w:sz w:val="21"/>
          <w:szCs w:val="21"/>
          <w:highlight w:val="none"/>
        </w:rPr>
        <w:t>单一产品招标项目，提供相同品牌产品且通过资格审查、符合性审查的不同投标人参加同一合同项下投标的，按一家投标人计算，评审后得分最高的同品牌投标人获得中标人推荐资格；评审得分相同的，评标委员会采取随机抽取方式确定一个投标人获得中标人推荐资格，其他同品牌投标人不作为中标候选人。</w:t>
      </w:r>
    </w:p>
    <w:p w14:paraId="177B8F26">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lang w:val="en-US" w:eastAsia="zh-CN"/>
        </w:rPr>
        <w:t xml:space="preserve">5.2 </w:t>
      </w:r>
      <w:r>
        <w:rPr>
          <w:rFonts w:hint="eastAsia" w:ascii="宋体" w:cs="宋体"/>
          <w:color w:val="auto"/>
          <w:sz w:val="21"/>
          <w:szCs w:val="21"/>
          <w:highlight w:val="none"/>
        </w:rPr>
        <w:t>非单一产品招标项目，多家投标人提供的核心产品品牌相同的，按前款规定处理。</w:t>
      </w:r>
    </w:p>
    <w:p w14:paraId="7A2F6B02">
      <w:pPr>
        <w:spacing w:line="356" w:lineRule="auto"/>
        <w:rPr>
          <w:rFonts w:hint="eastAsia" w:ascii="宋体" w:hAnsi="宋体" w:cs="宋体"/>
          <w:color w:val="auto"/>
          <w:szCs w:val="21"/>
          <w:highlight w:val="none"/>
        </w:rPr>
      </w:pPr>
      <w:r>
        <w:rPr>
          <w:rFonts w:hint="eastAsia" w:ascii="宋体" w:hAnsi="宋体" w:cs="宋体"/>
          <w:color w:val="auto"/>
          <w:szCs w:val="21"/>
          <w:highlight w:val="none"/>
        </w:rPr>
        <w:t>（九）得分统计及推荐中标候选人名单</w:t>
      </w:r>
    </w:p>
    <w:p w14:paraId="08293380">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1.按照评标程序、评分标准以及权重分配的规定，评标委员会各成员分别首先就各个投标人的技术状况、商务状况及其对招标文件要求的响应情况进行评议和比较，评出其商务评分和技术评分，所有评委各投标人的商务得分和技术得分应为各评委的评分相加，再除以评委人数，得出平均得分，将各投标人的商务得分、技术得分和价格得分相加得出其综合得分，按最终综合得分由高向低排序。</w:t>
      </w:r>
    </w:p>
    <w:p w14:paraId="2FA96E12">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2. 投标人的综合得分=商务部分得分+技术部分得分+投标报价部分得分，评分统计的结果数据须经评委验算审核并签名确认。</w:t>
      </w:r>
    </w:p>
    <w:p w14:paraId="11F087B3">
      <w:pPr>
        <w:pStyle w:val="44"/>
        <w:spacing w:before="0" w:beforeAutospacing="0" w:after="0" w:afterAutospacing="0" w:line="356" w:lineRule="auto"/>
        <w:ind w:left="319" w:hanging="319" w:hangingChars="152"/>
        <w:rPr>
          <w:rFonts w:hint="eastAsia" w:ascii="宋体" w:cs="宋体"/>
          <w:color w:val="auto"/>
          <w:sz w:val="21"/>
          <w:szCs w:val="21"/>
          <w:highlight w:val="none"/>
        </w:rPr>
      </w:pPr>
      <w:r>
        <w:rPr>
          <w:rFonts w:hint="eastAsia" w:ascii="宋体" w:cs="宋体"/>
          <w:color w:val="auto"/>
          <w:sz w:val="21"/>
          <w:szCs w:val="21"/>
          <w:highlight w:val="none"/>
        </w:rPr>
        <w:t>3.评标委员会汇总、比较所有投标人的综合得分后，取综合得分最高的投标人为第一中标候选人，取综合得分第二名的供应商为第二中标候选人，取综合得分第三名的供应商为第三中标候选人。如果最高综合得分相同，取投标总价低者为第一中标候选人，并依次确定第二、第三中标候选人。如果最高综合得分相同，投标总价也相同，由评标委员会投票确定。</w:t>
      </w:r>
    </w:p>
    <w:p w14:paraId="5392ABBA">
      <w:pPr>
        <w:spacing w:line="356" w:lineRule="auto"/>
        <w:rPr>
          <w:rFonts w:hint="eastAsia" w:ascii="宋体" w:hAnsi="宋体" w:cs="宋体"/>
          <w:color w:val="auto"/>
          <w:szCs w:val="21"/>
          <w:highlight w:val="none"/>
        </w:rPr>
      </w:pPr>
      <w:r>
        <w:rPr>
          <w:rFonts w:hint="eastAsia" w:ascii="宋体" w:hAnsi="宋体" w:cs="宋体"/>
          <w:color w:val="auto"/>
          <w:szCs w:val="21"/>
          <w:highlight w:val="none"/>
        </w:rPr>
        <w:t>（十）编制评标报告</w:t>
      </w:r>
    </w:p>
    <w:p w14:paraId="3CD2E646">
      <w:pPr>
        <w:spacing w:line="356" w:lineRule="auto"/>
        <w:ind w:left="554" w:leftChars="264"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评标委员会根据评标结果撰写评标报告。评标报告是评标委员会根据全体评标成员签字的原始评标记录和评标结果编写的报告，其主要内容包括：</w:t>
      </w:r>
    </w:p>
    <w:p w14:paraId="01D8CDE5">
      <w:pPr>
        <w:spacing w:line="356" w:lineRule="auto"/>
        <w:rPr>
          <w:rFonts w:hint="eastAsia" w:ascii="宋体" w:hAnsi="宋体" w:cs="宋体"/>
          <w:color w:val="auto"/>
          <w:szCs w:val="21"/>
          <w:highlight w:val="none"/>
        </w:rPr>
      </w:pPr>
      <w:r>
        <w:rPr>
          <w:rFonts w:hint="eastAsia" w:ascii="宋体" w:hAnsi="宋体" w:cs="宋体"/>
          <w:color w:val="auto"/>
          <w:szCs w:val="21"/>
          <w:highlight w:val="none"/>
        </w:rPr>
        <w:t>　　  1.招标公告刊登的媒体名称、开标日期和地点；</w:t>
      </w:r>
    </w:p>
    <w:p w14:paraId="755F8216">
      <w:pPr>
        <w:spacing w:line="356" w:lineRule="auto"/>
        <w:rPr>
          <w:rFonts w:hint="eastAsia" w:ascii="宋体" w:hAnsi="宋体" w:cs="宋体"/>
          <w:color w:val="auto"/>
          <w:szCs w:val="21"/>
          <w:highlight w:val="none"/>
        </w:rPr>
      </w:pPr>
      <w:r>
        <w:rPr>
          <w:rFonts w:hint="eastAsia" w:ascii="宋体" w:hAnsi="宋体" w:cs="宋体"/>
          <w:color w:val="auto"/>
          <w:szCs w:val="21"/>
          <w:highlight w:val="none"/>
        </w:rPr>
        <w:t>　　  2.购买招标文件的投标人名单和评标委员会成员名单；</w:t>
      </w:r>
    </w:p>
    <w:p w14:paraId="6C0E732A">
      <w:pPr>
        <w:spacing w:line="356" w:lineRule="auto"/>
        <w:rPr>
          <w:rFonts w:hint="eastAsia" w:ascii="宋体" w:hAnsi="宋体" w:cs="宋体"/>
          <w:color w:val="auto"/>
          <w:szCs w:val="21"/>
          <w:highlight w:val="none"/>
        </w:rPr>
      </w:pPr>
      <w:r>
        <w:rPr>
          <w:rFonts w:hint="eastAsia" w:ascii="宋体" w:hAnsi="宋体" w:cs="宋体"/>
          <w:color w:val="auto"/>
          <w:szCs w:val="21"/>
          <w:highlight w:val="none"/>
        </w:rPr>
        <w:t>　　  3.评标方法和标准；</w:t>
      </w:r>
    </w:p>
    <w:p w14:paraId="0164F5B1">
      <w:pPr>
        <w:spacing w:line="356" w:lineRule="auto"/>
        <w:rPr>
          <w:rFonts w:hint="eastAsia" w:ascii="宋体" w:hAnsi="宋体" w:cs="宋体"/>
          <w:color w:val="auto"/>
          <w:szCs w:val="21"/>
          <w:highlight w:val="none"/>
        </w:rPr>
      </w:pPr>
      <w:r>
        <w:rPr>
          <w:rFonts w:hint="eastAsia" w:ascii="宋体" w:hAnsi="宋体" w:cs="宋体"/>
          <w:color w:val="auto"/>
          <w:szCs w:val="21"/>
          <w:highlight w:val="none"/>
        </w:rPr>
        <w:t>　　  4.开标记录和评标情况及说明，包括投标无效投标人名单及原因；</w:t>
      </w:r>
    </w:p>
    <w:p w14:paraId="19323C47">
      <w:pPr>
        <w:spacing w:line="356" w:lineRule="auto"/>
        <w:rPr>
          <w:rFonts w:hint="eastAsia" w:ascii="宋体" w:hAnsi="宋体" w:cs="宋体"/>
          <w:color w:val="auto"/>
          <w:szCs w:val="21"/>
          <w:highlight w:val="none"/>
        </w:rPr>
      </w:pPr>
      <w:r>
        <w:rPr>
          <w:rFonts w:hint="eastAsia" w:ascii="宋体" w:hAnsi="宋体" w:cs="宋体"/>
          <w:color w:val="auto"/>
          <w:szCs w:val="21"/>
          <w:highlight w:val="none"/>
        </w:rPr>
        <w:t>　　  5.评标结果和中标候选投标人排序表；</w:t>
      </w:r>
    </w:p>
    <w:p w14:paraId="0EA2EF70">
      <w:pPr>
        <w:spacing w:line="356" w:lineRule="auto"/>
        <w:rPr>
          <w:rFonts w:hint="eastAsia" w:ascii="宋体" w:hAnsi="宋体" w:cs="宋体"/>
          <w:color w:val="auto"/>
          <w:szCs w:val="21"/>
          <w:highlight w:val="none"/>
        </w:rPr>
      </w:pPr>
      <w:r>
        <w:rPr>
          <w:rFonts w:hint="eastAsia" w:ascii="宋体" w:hAnsi="宋体" w:cs="宋体"/>
          <w:color w:val="auto"/>
          <w:szCs w:val="21"/>
          <w:highlight w:val="none"/>
        </w:rPr>
        <w:t xml:space="preserve">      6.评标委员会的授标建议。</w:t>
      </w:r>
    </w:p>
    <w:p w14:paraId="65BDB1AF">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13D2355A">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0865E00D">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68BF5DB5">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60100F02">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19C4E14E">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3F7B1A64">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7A80AAB1">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31DFB822">
      <w:pPr>
        <w:pStyle w:val="6"/>
        <w:rPr>
          <w:rFonts w:hint="eastAsia" w:ascii="宋体" w:hAnsi="宋体" w:cs="宋体"/>
          <w:b/>
          <w:bCs/>
          <w:color w:val="auto"/>
          <w:sz w:val="28"/>
          <w:szCs w:val="28"/>
          <w:highlight w:val="none"/>
        </w:rPr>
      </w:pPr>
    </w:p>
    <w:p w14:paraId="3C8F3EBE">
      <w:pPr>
        <w:pStyle w:val="6"/>
        <w:rPr>
          <w:rFonts w:hint="eastAsia" w:ascii="宋体" w:hAnsi="宋体" w:cs="宋体"/>
          <w:b/>
          <w:bCs/>
          <w:color w:val="auto"/>
          <w:sz w:val="28"/>
          <w:szCs w:val="28"/>
          <w:highlight w:val="none"/>
        </w:rPr>
      </w:pPr>
    </w:p>
    <w:p w14:paraId="2E03F562">
      <w:pPr>
        <w:pStyle w:val="6"/>
        <w:rPr>
          <w:rFonts w:hint="eastAsia" w:ascii="宋体" w:hAnsi="宋体" w:cs="宋体"/>
          <w:b/>
          <w:bCs/>
          <w:color w:val="auto"/>
          <w:sz w:val="28"/>
          <w:szCs w:val="28"/>
          <w:highlight w:val="none"/>
        </w:rPr>
      </w:pPr>
    </w:p>
    <w:p w14:paraId="2CCB367C">
      <w:pPr>
        <w:pStyle w:val="5"/>
        <w:tabs>
          <w:tab w:val="left" w:pos="7740"/>
        </w:tabs>
        <w:spacing w:line="300" w:lineRule="auto"/>
        <w:ind w:firstLine="0" w:firstLine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资格性检查</w:t>
      </w:r>
    </w:p>
    <w:p w14:paraId="5C8CEB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CQZB260018</w:t>
      </w:r>
      <w:r>
        <w:rPr>
          <w:rFonts w:hint="eastAsia" w:ascii="宋体" w:hAnsi="宋体" w:cs="宋体"/>
          <w:color w:val="auto"/>
          <w:szCs w:val="21"/>
          <w:highlight w:val="none"/>
        </w:rPr>
        <w:t xml:space="preserve">    </w:t>
      </w:r>
    </w:p>
    <w:p w14:paraId="153E4AE2">
      <w:pPr>
        <w:spacing w:line="360" w:lineRule="auto"/>
        <w:rPr>
          <w:rFonts w:hint="eastAsia" w:ascii="宋体" w:hAnsi="宋体" w:cs="宋体"/>
          <w:b/>
          <w:bCs/>
          <w:color w:val="auto"/>
          <w:sz w:val="28"/>
          <w:szCs w:val="28"/>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val="zh-CN"/>
        </w:rPr>
        <w:t>征集2026年—2028年校园桶装饮用水服务商</w:t>
      </w:r>
      <w:r>
        <w:rPr>
          <w:rFonts w:hint="eastAsia" w:ascii="宋体" w:hAnsi="宋体" w:cs="宋体"/>
          <w:color w:val="auto"/>
          <w:szCs w:val="21"/>
          <w:highlight w:val="none"/>
        </w:rPr>
        <w:t xml:space="preserve">   </w:t>
      </w:r>
    </w:p>
    <w:tbl>
      <w:tblPr>
        <w:tblStyle w:val="4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0" w:type="dxa"/>
          <w:right w:w="108" w:type="dxa"/>
        </w:tblCellMar>
      </w:tblPr>
      <w:tblGrid>
        <w:gridCol w:w="3538"/>
        <w:gridCol w:w="1248"/>
        <w:gridCol w:w="1276"/>
        <w:gridCol w:w="1276"/>
        <w:gridCol w:w="1134"/>
        <w:gridCol w:w="1559"/>
      </w:tblGrid>
      <w:tr w14:paraId="6A43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823" w:hRule="atLeast"/>
        </w:trPr>
        <w:tc>
          <w:tcPr>
            <w:tcW w:w="3538" w:type="dxa"/>
            <w:tcBorders>
              <w:tl2br w:val="single" w:color="auto" w:sz="4" w:space="0"/>
            </w:tcBorders>
            <w:noWrap w:val="0"/>
            <w:vAlign w:val="center"/>
          </w:tcPr>
          <w:p w14:paraId="588BE2E5">
            <w:pPr>
              <w:pStyle w:val="5"/>
              <w:tabs>
                <w:tab w:val="left" w:pos="7740"/>
              </w:tabs>
              <w:snapToGrid w:val="0"/>
              <w:spacing w:line="360" w:lineRule="auto"/>
              <w:ind w:firstLine="2100" w:firstLineChars="1000"/>
              <w:rPr>
                <w:rFonts w:hint="eastAsia" w:ascii="宋体" w:hAnsi="宋体"/>
                <w:color w:val="auto"/>
                <w:szCs w:val="21"/>
              </w:rPr>
            </w:pPr>
            <w:bookmarkStart w:id="119" w:name="_Toc367913589"/>
            <w:bookmarkStart w:id="120" w:name="_Toc365817425"/>
            <w:bookmarkStart w:id="121" w:name="_Toc365631703"/>
            <w:r>
              <w:rPr>
                <w:rFonts w:hint="eastAsia" w:ascii="宋体" w:hAnsi="宋体"/>
                <w:color w:val="auto"/>
                <w:szCs w:val="21"/>
              </w:rPr>
              <w:t>投标人名称</w:t>
            </w:r>
          </w:p>
          <w:p w14:paraId="6311E659">
            <w:pPr>
              <w:pStyle w:val="5"/>
              <w:tabs>
                <w:tab w:val="left" w:pos="7740"/>
              </w:tabs>
              <w:snapToGrid w:val="0"/>
              <w:spacing w:line="360" w:lineRule="auto"/>
              <w:ind w:firstLine="0" w:firstLineChars="0"/>
              <w:rPr>
                <w:rFonts w:hint="eastAsia" w:ascii="宋体" w:hAnsi="宋体"/>
                <w:color w:val="auto"/>
                <w:szCs w:val="21"/>
              </w:rPr>
            </w:pPr>
            <w:r>
              <w:rPr>
                <w:rFonts w:hint="eastAsia" w:ascii="宋体" w:hAnsi="宋体"/>
                <w:color w:val="auto"/>
                <w:szCs w:val="21"/>
              </w:rPr>
              <w:t xml:space="preserve">审查内容     </w:t>
            </w:r>
            <w:bookmarkEnd w:id="119"/>
            <w:bookmarkEnd w:id="120"/>
            <w:bookmarkEnd w:id="121"/>
          </w:p>
        </w:tc>
        <w:tc>
          <w:tcPr>
            <w:tcW w:w="1248" w:type="dxa"/>
            <w:noWrap w:val="0"/>
            <w:vAlign w:val="center"/>
          </w:tcPr>
          <w:p w14:paraId="4FF8DC20">
            <w:pPr>
              <w:pStyle w:val="5"/>
              <w:tabs>
                <w:tab w:val="left" w:pos="7740"/>
              </w:tabs>
              <w:snapToGrid w:val="0"/>
              <w:spacing w:line="360" w:lineRule="auto"/>
              <w:ind w:firstLine="0" w:firstLineChars="0"/>
              <w:jc w:val="center"/>
              <w:rPr>
                <w:rFonts w:hint="eastAsia" w:ascii="宋体" w:hAnsi="宋体"/>
                <w:color w:val="auto"/>
                <w:szCs w:val="21"/>
                <w:lang w:val="hr-HR"/>
              </w:rPr>
            </w:pPr>
            <w:bookmarkStart w:id="122" w:name="_Toc365631704"/>
            <w:bookmarkStart w:id="123" w:name="_Toc367913590"/>
            <w:bookmarkStart w:id="124" w:name="_Toc365817426"/>
            <w:r>
              <w:rPr>
                <w:rFonts w:hint="eastAsia" w:ascii="宋体" w:hAnsi="宋体"/>
                <w:color w:val="auto"/>
                <w:szCs w:val="21"/>
              </w:rPr>
              <w:t>投标人1</w:t>
            </w:r>
            <w:bookmarkEnd w:id="122"/>
            <w:bookmarkEnd w:id="123"/>
            <w:bookmarkEnd w:id="124"/>
          </w:p>
        </w:tc>
        <w:tc>
          <w:tcPr>
            <w:tcW w:w="1276" w:type="dxa"/>
            <w:noWrap w:val="0"/>
            <w:vAlign w:val="center"/>
          </w:tcPr>
          <w:p w14:paraId="52FFA8E9">
            <w:pPr>
              <w:snapToGrid w:val="0"/>
              <w:spacing w:line="360" w:lineRule="auto"/>
              <w:jc w:val="center"/>
              <w:rPr>
                <w:rFonts w:ascii="宋体" w:hAnsi="宋体"/>
                <w:color w:val="auto"/>
                <w:szCs w:val="21"/>
              </w:rPr>
            </w:pPr>
            <w:bookmarkStart w:id="125" w:name="_Toc367913591"/>
            <w:bookmarkStart w:id="126" w:name="_Toc365631705"/>
            <w:bookmarkStart w:id="127" w:name="_Toc365817427"/>
            <w:r>
              <w:rPr>
                <w:rFonts w:hint="eastAsia" w:ascii="宋体" w:hAnsi="宋体"/>
                <w:color w:val="auto"/>
                <w:szCs w:val="21"/>
              </w:rPr>
              <w:t>投标人2</w:t>
            </w:r>
            <w:bookmarkEnd w:id="125"/>
            <w:bookmarkEnd w:id="126"/>
            <w:bookmarkEnd w:id="127"/>
          </w:p>
        </w:tc>
        <w:tc>
          <w:tcPr>
            <w:tcW w:w="1276" w:type="dxa"/>
            <w:noWrap w:val="0"/>
            <w:vAlign w:val="center"/>
          </w:tcPr>
          <w:p w14:paraId="4B855702">
            <w:pPr>
              <w:snapToGrid w:val="0"/>
              <w:spacing w:line="360" w:lineRule="auto"/>
              <w:jc w:val="center"/>
              <w:rPr>
                <w:rFonts w:ascii="宋体" w:hAnsi="宋体"/>
                <w:color w:val="auto"/>
                <w:szCs w:val="21"/>
              </w:rPr>
            </w:pPr>
            <w:bookmarkStart w:id="128" w:name="_Toc365817428"/>
            <w:bookmarkStart w:id="129" w:name="_Toc367913592"/>
            <w:bookmarkStart w:id="130" w:name="_Toc365631706"/>
            <w:r>
              <w:rPr>
                <w:rFonts w:hint="eastAsia" w:ascii="宋体" w:hAnsi="宋体"/>
                <w:color w:val="auto"/>
                <w:szCs w:val="21"/>
              </w:rPr>
              <w:t>投标人3</w:t>
            </w:r>
            <w:bookmarkEnd w:id="128"/>
            <w:bookmarkEnd w:id="129"/>
            <w:bookmarkEnd w:id="130"/>
          </w:p>
        </w:tc>
        <w:tc>
          <w:tcPr>
            <w:tcW w:w="1134" w:type="dxa"/>
            <w:noWrap w:val="0"/>
            <w:vAlign w:val="center"/>
          </w:tcPr>
          <w:p w14:paraId="2C179411">
            <w:pPr>
              <w:snapToGrid w:val="0"/>
              <w:spacing w:line="360" w:lineRule="auto"/>
              <w:jc w:val="center"/>
              <w:rPr>
                <w:rFonts w:hint="eastAsia" w:ascii="宋体" w:hAnsi="宋体"/>
                <w:color w:val="auto"/>
                <w:szCs w:val="21"/>
              </w:rPr>
            </w:pPr>
            <w:bookmarkStart w:id="131" w:name="_Toc367913593"/>
            <w:r>
              <w:rPr>
                <w:rFonts w:hint="eastAsia" w:ascii="宋体" w:hAnsi="宋体"/>
                <w:color w:val="auto"/>
                <w:szCs w:val="21"/>
              </w:rPr>
              <w:t>结论</w:t>
            </w:r>
            <w:bookmarkEnd w:id="131"/>
          </w:p>
        </w:tc>
        <w:tc>
          <w:tcPr>
            <w:tcW w:w="1559" w:type="dxa"/>
            <w:noWrap w:val="0"/>
            <w:vAlign w:val="center"/>
          </w:tcPr>
          <w:p w14:paraId="368FF6EF">
            <w:pPr>
              <w:pStyle w:val="5"/>
              <w:tabs>
                <w:tab w:val="left" w:pos="7740"/>
              </w:tabs>
              <w:snapToGrid w:val="0"/>
              <w:spacing w:line="360" w:lineRule="auto"/>
              <w:ind w:firstLine="0" w:firstLineChars="0"/>
              <w:jc w:val="center"/>
              <w:rPr>
                <w:rFonts w:hint="eastAsia" w:ascii="宋体" w:hAnsi="宋体"/>
                <w:color w:val="auto"/>
                <w:szCs w:val="21"/>
                <w:lang w:val="hr-HR"/>
              </w:rPr>
            </w:pPr>
            <w:bookmarkStart w:id="132" w:name="_Toc367913594"/>
            <w:r>
              <w:rPr>
                <w:rFonts w:hint="eastAsia" w:ascii="宋体" w:hAnsi="宋体"/>
                <w:color w:val="auto"/>
                <w:szCs w:val="21"/>
              </w:rPr>
              <w:t>不通过的理由</w:t>
            </w:r>
            <w:bookmarkEnd w:id="132"/>
          </w:p>
        </w:tc>
      </w:tr>
      <w:tr w14:paraId="0BAC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07" w:hRule="atLeast"/>
        </w:trPr>
        <w:tc>
          <w:tcPr>
            <w:tcW w:w="3538" w:type="dxa"/>
            <w:noWrap w:val="0"/>
            <w:vAlign w:val="center"/>
          </w:tcPr>
          <w:p w14:paraId="64F25476">
            <w:pPr>
              <w:pStyle w:val="5"/>
              <w:tabs>
                <w:tab w:val="left" w:pos="7740"/>
              </w:tabs>
              <w:snapToGrid w:val="0"/>
              <w:spacing w:line="360" w:lineRule="auto"/>
              <w:ind w:firstLine="0" w:firstLineChars="0"/>
              <w:rPr>
                <w:rFonts w:hint="eastAsia" w:ascii="宋体" w:hAnsi="宋体"/>
                <w:color w:val="auto"/>
                <w:szCs w:val="21"/>
              </w:rPr>
            </w:pPr>
            <w:r>
              <w:rPr>
                <w:rFonts w:hint="eastAsia" w:ascii="宋体" w:hAnsi="宋体" w:cs="宋体"/>
                <w:b/>
                <w:bCs/>
                <w:color w:val="auto"/>
                <w:szCs w:val="21"/>
                <w:highlight w:val="none"/>
              </w:rPr>
              <w:t>具备招标文件中规定资格要求的资格证明文件齐全</w:t>
            </w:r>
          </w:p>
        </w:tc>
        <w:tc>
          <w:tcPr>
            <w:tcW w:w="1248" w:type="dxa"/>
            <w:noWrap w:val="0"/>
            <w:vAlign w:val="top"/>
          </w:tcPr>
          <w:p w14:paraId="25387BA7">
            <w:pPr>
              <w:tabs>
                <w:tab w:val="left" w:pos="146"/>
              </w:tabs>
              <w:spacing w:line="360" w:lineRule="auto"/>
              <w:ind w:left="146" w:hanging="180"/>
              <w:rPr>
                <w:rFonts w:hint="eastAsia" w:ascii="宋体" w:hAnsi="宋体"/>
                <w:b/>
                <w:bCs/>
                <w:color w:val="auto"/>
                <w:szCs w:val="21"/>
              </w:rPr>
            </w:pPr>
          </w:p>
        </w:tc>
        <w:tc>
          <w:tcPr>
            <w:tcW w:w="1276" w:type="dxa"/>
            <w:noWrap w:val="0"/>
            <w:vAlign w:val="top"/>
          </w:tcPr>
          <w:p w14:paraId="727724E3">
            <w:pPr>
              <w:tabs>
                <w:tab w:val="left" w:pos="0"/>
              </w:tabs>
              <w:spacing w:line="360" w:lineRule="auto"/>
              <w:rPr>
                <w:rFonts w:hint="eastAsia" w:ascii="宋体" w:hAnsi="宋体"/>
                <w:b/>
                <w:bCs/>
                <w:color w:val="auto"/>
                <w:szCs w:val="21"/>
              </w:rPr>
            </w:pPr>
          </w:p>
        </w:tc>
        <w:tc>
          <w:tcPr>
            <w:tcW w:w="1276" w:type="dxa"/>
            <w:noWrap w:val="0"/>
            <w:vAlign w:val="center"/>
          </w:tcPr>
          <w:p w14:paraId="7B0FEB82">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134" w:type="dxa"/>
            <w:noWrap w:val="0"/>
            <w:vAlign w:val="center"/>
          </w:tcPr>
          <w:p w14:paraId="07B48BBE">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559" w:type="dxa"/>
            <w:noWrap w:val="0"/>
            <w:vAlign w:val="center"/>
          </w:tcPr>
          <w:p w14:paraId="1A6539EA">
            <w:pPr>
              <w:pStyle w:val="147"/>
              <w:tabs>
                <w:tab w:val="left" w:pos="7740"/>
              </w:tabs>
              <w:snapToGrid w:val="0"/>
              <w:spacing w:before="0" w:beforeAutospacing="0" w:after="0" w:afterAutospacing="0" w:line="360" w:lineRule="auto"/>
              <w:jc w:val="both"/>
              <w:rPr>
                <w:rFonts w:ascii="宋体" w:eastAsia="宋体"/>
                <w:color w:val="auto"/>
                <w:szCs w:val="21"/>
              </w:rPr>
            </w:pPr>
          </w:p>
        </w:tc>
      </w:tr>
      <w:tr w14:paraId="23F8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69" w:hRule="atLeast"/>
        </w:trPr>
        <w:tc>
          <w:tcPr>
            <w:tcW w:w="3538" w:type="dxa"/>
            <w:noWrap w:val="0"/>
            <w:vAlign w:val="center"/>
          </w:tcPr>
          <w:p w14:paraId="69E752FC">
            <w:pPr>
              <w:pStyle w:val="5"/>
              <w:tabs>
                <w:tab w:val="left" w:pos="7740"/>
              </w:tabs>
              <w:snapToGrid w:val="0"/>
              <w:spacing w:line="360" w:lineRule="auto"/>
              <w:ind w:firstLine="0" w:firstLineChars="0"/>
              <w:rPr>
                <w:rFonts w:hint="eastAsia" w:ascii="宋体" w:hAnsi="宋体"/>
                <w:color w:val="auto"/>
                <w:szCs w:val="21"/>
              </w:rPr>
            </w:pPr>
            <w:r>
              <w:rPr>
                <w:rFonts w:hint="eastAsia" w:ascii="宋体" w:hAnsi="宋体" w:cs="宋体"/>
                <w:b/>
                <w:bCs/>
                <w:color w:val="auto"/>
                <w:szCs w:val="21"/>
                <w:highlight w:val="none"/>
              </w:rPr>
              <w:t>法定代表人/负责人资格证明书及授权委托书</w:t>
            </w:r>
          </w:p>
        </w:tc>
        <w:tc>
          <w:tcPr>
            <w:tcW w:w="1248" w:type="dxa"/>
            <w:noWrap w:val="0"/>
            <w:vAlign w:val="top"/>
          </w:tcPr>
          <w:p w14:paraId="642FB9E6">
            <w:pPr>
              <w:tabs>
                <w:tab w:val="left" w:pos="146"/>
              </w:tabs>
              <w:spacing w:line="360" w:lineRule="auto"/>
              <w:ind w:left="146" w:hanging="180"/>
              <w:rPr>
                <w:rFonts w:hint="eastAsia" w:ascii="宋体" w:hAnsi="宋体"/>
                <w:b/>
                <w:bCs/>
                <w:color w:val="auto"/>
                <w:szCs w:val="21"/>
              </w:rPr>
            </w:pPr>
          </w:p>
        </w:tc>
        <w:tc>
          <w:tcPr>
            <w:tcW w:w="1276" w:type="dxa"/>
            <w:noWrap w:val="0"/>
            <w:vAlign w:val="top"/>
          </w:tcPr>
          <w:p w14:paraId="4509861A">
            <w:pPr>
              <w:tabs>
                <w:tab w:val="left" w:pos="0"/>
              </w:tabs>
              <w:spacing w:line="360" w:lineRule="auto"/>
              <w:rPr>
                <w:rFonts w:hint="eastAsia" w:ascii="宋体" w:hAnsi="宋体"/>
                <w:b/>
                <w:bCs/>
                <w:color w:val="auto"/>
                <w:szCs w:val="21"/>
              </w:rPr>
            </w:pPr>
          </w:p>
        </w:tc>
        <w:tc>
          <w:tcPr>
            <w:tcW w:w="1276" w:type="dxa"/>
            <w:noWrap w:val="0"/>
            <w:vAlign w:val="center"/>
          </w:tcPr>
          <w:p w14:paraId="4E6DDF42">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134" w:type="dxa"/>
            <w:noWrap w:val="0"/>
            <w:vAlign w:val="center"/>
          </w:tcPr>
          <w:p w14:paraId="5C60AF1F">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559" w:type="dxa"/>
            <w:noWrap w:val="0"/>
            <w:vAlign w:val="center"/>
          </w:tcPr>
          <w:p w14:paraId="6F4281FD">
            <w:pPr>
              <w:pStyle w:val="147"/>
              <w:tabs>
                <w:tab w:val="left" w:pos="7740"/>
              </w:tabs>
              <w:snapToGrid w:val="0"/>
              <w:spacing w:before="0" w:beforeAutospacing="0" w:after="0" w:afterAutospacing="0" w:line="360" w:lineRule="auto"/>
              <w:jc w:val="both"/>
              <w:rPr>
                <w:rFonts w:ascii="宋体" w:eastAsia="宋体"/>
                <w:color w:val="auto"/>
                <w:szCs w:val="21"/>
              </w:rPr>
            </w:pPr>
          </w:p>
        </w:tc>
      </w:tr>
    </w:tbl>
    <w:p w14:paraId="4B1128AB">
      <w:pPr>
        <w:pStyle w:val="5"/>
        <w:tabs>
          <w:tab w:val="left" w:pos="7740"/>
        </w:tabs>
        <w:spacing w:line="300" w:lineRule="auto"/>
        <w:ind w:firstLine="0" w:firstLineChars="0"/>
        <w:jc w:val="center"/>
        <w:rPr>
          <w:rFonts w:hint="eastAsia" w:ascii="宋体" w:hAnsi="宋体" w:cs="宋体"/>
          <w:b/>
          <w:bCs/>
          <w:color w:val="auto"/>
          <w:sz w:val="28"/>
          <w:szCs w:val="28"/>
          <w:highlight w:val="none"/>
        </w:rPr>
      </w:pPr>
    </w:p>
    <w:p w14:paraId="25B36E9F">
      <w:pPr>
        <w:pStyle w:val="5"/>
        <w:tabs>
          <w:tab w:val="left" w:pos="7740"/>
        </w:tabs>
        <w:spacing w:line="300" w:lineRule="auto"/>
        <w:ind w:firstLine="0" w:firstLine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符合性检查表</w:t>
      </w:r>
    </w:p>
    <w:p w14:paraId="1E30DA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CQZB260018</w:t>
      </w:r>
      <w:r>
        <w:rPr>
          <w:rFonts w:hint="eastAsia" w:ascii="宋体" w:hAnsi="宋体" w:cs="宋体"/>
          <w:color w:val="auto"/>
          <w:szCs w:val="21"/>
          <w:highlight w:val="none"/>
        </w:rPr>
        <w:t xml:space="preserve">    </w:t>
      </w:r>
    </w:p>
    <w:p w14:paraId="34E40454">
      <w:pPr>
        <w:spacing w:line="360" w:lineRule="auto"/>
        <w:rPr>
          <w:rFonts w:hint="eastAsia" w:ascii="宋体" w:hAnsi="宋体" w:cs="宋体"/>
          <w:b/>
          <w:bCs/>
          <w:color w:val="auto"/>
          <w:sz w:val="28"/>
          <w:szCs w:val="28"/>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val="zh-CN"/>
        </w:rPr>
        <w:t>征集2026年—2028年校园桶装饮用水服务商</w:t>
      </w:r>
      <w:r>
        <w:rPr>
          <w:rFonts w:hint="eastAsia" w:ascii="宋体" w:hAnsi="宋体" w:cs="宋体"/>
          <w:color w:val="auto"/>
          <w:szCs w:val="21"/>
          <w:highlight w:val="none"/>
        </w:rPr>
        <w:t xml:space="preserve">   </w:t>
      </w:r>
    </w:p>
    <w:tbl>
      <w:tblPr>
        <w:tblStyle w:val="4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0" w:type="dxa"/>
          <w:right w:w="108" w:type="dxa"/>
        </w:tblCellMar>
      </w:tblPr>
      <w:tblGrid>
        <w:gridCol w:w="3369"/>
        <w:gridCol w:w="1478"/>
        <w:gridCol w:w="1215"/>
        <w:gridCol w:w="1276"/>
        <w:gridCol w:w="1134"/>
        <w:gridCol w:w="1559"/>
      </w:tblGrid>
      <w:tr w14:paraId="330B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823" w:hRule="atLeast"/>
        </w:trPr>
        <w:tc>
          <w:tcPr>
            <w:tcW w:w="3369" w:type="dxa"/>
            <w:tcBorders>
              <w:tl2br w:val="single" w:color="auto" w:sz="4" w:space="0"/>
            </w:tcBorders>
            <w:noWrap w:val="0"/>
            <w:vAlign w:val="center"/>
          </w:tcPr>
          <w:p w14:paraId="1E41291F">
            <w:pPr>
              <w:pStyle w:val="5"/>
              <w:tabs>
                <w:tab w:val="left" w:pos="7740"/>
              </w:tabs>
              <w:snapToGrid w:val="0"/>
              <w:spacing w:line="360" w:lineRule="auto"/>
              <w:ind w:firstLine="1470" w:firstLineChars="700"/>
              <w:rPr>
                <w:rFonts w:hint="eastAsia" w:ascii="宋体" w:hAnsi="宋体"/>
                <w:color w:val="auto"/>
                <w:szCs w:val="21"/>
              </w:rPr>
            </w:pPr>
            <w:r>
              <w:rPr>
                <w:rFonts w:hint="eastAsia" w:ascii="宋体" w:hAnsi="宋体"/>
                <w:color w:val="auto"/>
                <w:szCs w:val="21"/>
              </w:rPr>
              <w:t>投标人名称</w:t>
            </w:r>
          </w:p>
          <w:p w14:paraId="1C647B1E">
            <w:pPr>
              <w:pStyle w:val="5"/>
              <w:tabs>
                <w:tab w:val="left" w:pos="7740"/>
              </w:tabs>
              <w:snapToGrid w:val="0"/>
              <w:spacing w:line="360" w:lineRule="auto"/>
              <w:ind w:firstLine="0" w:firstLineChars="0"/>
              <w:rPr>
                <w:rFonts w:hint="eastAsia" w:ascii="宋体" w:hAnsi="宋体"/>
                <w:color w:val="auto"/>
                <w:szCs w:val="21"/>
              </w:rPr>
            </w:pPr>
            <w:r>
              <w:rPr>
                <w:rFonts w:hint="eastAsia" w:ascii="宋体" w:hAnsi="宋体"/>
                <w:color w:val="auto"/>
                <w:szCs w:val="21"/>
              </w:rPr>
              <w:t xml:space="preserve">审查内容     </w:t>
            </w:r>
          </w:p>
        </w:tc>
        <w:tc>
          <w:tcPr>
            <w:tcW w:w="1478" w:type="dxa"/>
            <w:noWrap w:val="0"/>
            <w:vAlign w:val="center"/>
          </w:tcPr>
          <w:p w14:paraId="0115447F">
            <w:pPr>
              <w:pStyle w:val="5"/>
              <w:tabs>
                <w:tab w:val="left" w:pos="7740"/>
              </w:tabs>
              <w:snapToGrid w:val="0"/>
              <w:spacing w:line="360" w:lineRule="auto"/>
              <w:ind w:firstLine="0" w:firstLineChars="0"/>
              <w:jc w:val="center"/>
              <w:rPr>
                <w:rFonts w:hint="eastAsia" w:ascii="宋体" w:hAnsi="宋体"/>
                <w:color w:val="auto"/>
                <w:szCs w:val="21"/>
                <w:lang w:val="hr-HR"/>
              </w:rPr>
            </w:pPr>
            <w:r>
              <w:rPr>
                <w:rFonts w:hint="eastAsia" w:ascii="宋体" w:hAnsi="宋体"/>
                <w:color w:val="auto"/>
                <w:szCs w:val="21"/>
              </w:rPr>
              <w:t>投标人1</w:t>
            </w:r>
          </w:p>
        </w:tc>
        <w:tc>
          <w:tcPr>
            <w:tcW w:w="1215" w:type="dxa"/>
            <w:noWrap w:val="0"/>
            <w:vAlign w:val="center"/>
          </w:tcPr>
          <w:p w14:paraId="55F9B4A4">
            <w:pPr>
              <w:snapToGrid w:val="0"/>
              <w:spacing w:line="360" w:lineRule="auto"/>
              <w:jc w:val="center"/>
              <w:rPr>
                <w:rFonts w:ascii="宋体" w:hAnsi="宋体"/>
                <w:color w:val="auto"/>
                <w:szCs w:val="21"/>
              </w:rPr>
            </w:pPr>
            <w:r>
              <w:rPr>
                <w:rFonts w:hint="eastAsia" w:ascii="宋体" w:hAnsi="宋体"/>
                <w:color w:val="auto"/>
                <w:szCs w:val="21"/>
              </w:rPr>
              <w:t>投标人2</w:t>
            </w:r>
          </w:p>
        </w:tc>
        <w:tc>
          <w:tcPr>
            <w:tcW w:w="1276" w:type="dxa"/>
            <w:noWrap w:val="0"/>
            <w:vAlign w:val="center"/>
          </w:tcPr>
          <w:p w14:paraId="67B2B8D2">
            <w:pPr>
              <w:snapToGrid w:val="0"/>
              <w:spacing w:line="360" w:lineRule="auto"/>
              <w:jc w:val="center"/>
              <w:rPr>
                <w:rFonts w:ascii="宋体" w:hAnsi="宋体"/>
                <w:color w:val="auto"/>
                <w:szCs w:val="21"/>
              </w:rPr>
            </w:pPr>
            <w:r>
              <w:rPr>
                <w:rFonts w:hint="eastAsia" w:ascii="宋体" w:hAnsi="宋体"/>
                <w:color w:val="auto"/>
                <w:szCs w:val="21"/>
              </w:rPr>
              <w:t>投标人3</w:t>
            </w:r>
          </w:p>
        </w:tc>
        <w:tc>
          <w:tcPr>
            <w:tcW w:w="1134" w:type="dxa"/>
            <w:noWrap w:val="0"/>
            <w:vAlign w:val="center"/>
          </w:tcPr>
          <w:p w14:paraId="248B5A66">
            <w:pPr>
              <w:snapToGrid w:val="0"/>
              <w:spacing w:line="360" w:lineRule="auto"/>
              <w:jc w:val="center"/>
              <w:rPr>
                <w:rFonts w:hint="eastAsia" w:ascii="宋体" w:hAnsi="宋体"/>
                <w:color w:val="auto"/>
                <w:szCs w:val="21"/>
              </w:rPr>
            </w:pPr>
            <w:r>
              <w:rPr>
                <w:rFonts w:hint="eastAsia" w:ascii="宋体" w:hAnsi="宋体"/>
                <w:color w:val="auto"/>
                <w:szCs w:val="21"/>
              </w:rPr>
              <w:t>结论</w:t>
            </w:r>
          </w:p>
        </w:tc>
        <w:tc>
          <w:tcPr>
            <w:tcW w:w="1559" w:type="dxa"/>
            <w:noWrap w:val="0"/>
            <w:vAlign w:val="center"/>
          </w:tcPr>
          <w:p w14:paraId="77037D4F">
            <w:pPr>
              <w:pStyle w:val="5"/>
              <w:tabs>
                <w:tab w:val="left" w:pos="7740"/>
              </w:tabs>
              <w:snapToGrid w:val="0"/>
              <w:spacing w:line="360" w:lineRule="auto"/>
              <w:ind w:firstLine="0" w:firstLineChars="0"/>
              <w:jc w:val="center"/>
              <w:rPr>
                <w:rFonts w:hint="eastAsia" w:ascii="宋体" w:hAnsi="宋体"/>
                <w:color w:val="auto"/>
                <w:szCs w:val="21"/>
                <w:lang w:val="hr-HR"/>
              </w:rPr>
            </w:pPr>
            <w:r>
              <w:rPr>
                <w:rFonts w:hint="eastAsia" w:ascii="宋体" w:hAnsi="宋体"/>
                <w:color w:val="auto"/>
                <w:szCs w:val="21"/>
              </w:rPr>
              <w:t>不通过的理由</w:t>
            </w:r>
          </w:p>
        </w:tc>
      </w:tr>
      <w:tr w14:paraId="013B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41" w:hRule="atLeast"/>
        </w:trPr>
        <w:tc>
          <w:tcPr>
            <w:tcW w:w="3369" w:type="dxa"/>
            <w:noWrap w:val="0"/>
            <w:vAlign w:val="center"/>
          </w:tcPr>
          <w:p w14:paraId="1B62E4F8">
            <w:pPr>
              <w:pStyle w:val="260"/>
              <w:tabs>
                <w:tab w:val="left" w:pos="7740"/>
              </w:tabs>
              <w:snapToGrid w:val="0"/>
              <w:spacing w:before="0" w:beforeAutospacing="0" w:after="0" w:afterAutospacing="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按照招标文件的规定提交</w:t>
            </w:r>
            <w:r>
              <w:rPr>
                <w:rFonts w:hint="eastAsia" w:ascii="宋体" w:hAnsi="宋体" w:cs="宋体"/>
                <w:b/>
                <w:bCs/>
                <w:color w:val="auto"/>
                <w:szCs w:val="21"/>
                <w:highlight w:val="none"/>
                <w:lang w:eastAsia="zh-CN"/>
              </w:rPr>
              <w:t>投标保证</w:t>
            </w:r>
          </w:p>
        </w:tc>
        <w:tc>
          <w:tcPr>
            <w:tcW w:w="1478" w:type="dxa"/>
            <w:noWrap w:val="0"/>
            <w:vAlign w:val="center"/>
          </w:tcPr>
          <w:p w14:paraId="5AE2F6FB">
            <w:pPr>
              <w:spacing w:line="360" w:lineRule="auto"/>
              <w:rPr>
                <w:rFonts w:hint="eastAsia" w:ascii="宋体" w:hAnsi="宋体"/>
                <w:color w:val="auto"/>
                <w:szCs w:val="21"/>
              </w:rPr>
            </w:pPr>
          </w:p>
        </w:tc>
        <w:tc>
          <w:tcPr>
            <w:tcW w:w="1215" w:type="dxa"/>
            <w:noWrap w:val="0"/>
            <w:vAlign w:val="center"/>
          </w:tcPr>
          <w:p w14:paraId="7DA9DEF4">
            <w:pPr>
              <w:tabs>
                <w:tab w:val="left" w:pos="0"/>
              </w:tabs>
              <w:spacing w:line="360" w:lineRule="auto"/>
              <w:rPr>
                <w:rFonts w:hint="eastAsia" w:ascii="宋体" w:hAnsi="宋体"/>
                <w:b/>
                <w:bCs/>
                <w:color w:val="auto"/>
                <w:szCs w:val="21"/>
              </w:rPr>
            </w:pPr>
          </w:p>
        </w:tc>
        <w:tc>
          <w:tcPr>
            <w:tcW w:w="1276" w:type="dxa"/>
            <w:noWrap w:val="0"/>
            <w:vAlign w:val="center"/>
          </w:tcPr>
          <w:p w14:paraId="26D79BF2">
            <w:pPr>
              <w:pStyle w:val="260"/>
              <w:tabs>
                <w:tab w:val="left" w:pos="7740"/>
              </w:tabs>
              <w:snapToGrid w:val="0"/>
              <w:spacing w:before="0" w:beforeAutospacing="0" w:after="0" w:afterAutospacing="0" w:line="360" w:lineRule="auto"/>
              <w:rPr>
                <w:rFonts w:hint="eastAsia" w:ascii="宋体"/>
                <w:color w:val="auto"/>
                <w:sz w:val="21"/>
                <w:szCs w:val="21"/>
              </w:rPr>
            </w:pPr>
          </w:p>
        </w:tc>
        <w:tc>
          <w:tcPr>
            <w:tcW w:w="1134" w:type="dxa"/>
            <w:noWrap w:val="0"/>
            <w:vAlign w:val="center"/>
          </w:tcPr>
          <w:p w14:paraId="62603B32">
            <w:pPr>
              <w:pStyle w:val="260"/>
              <w:tabs>
                <w:tab w:val="left" w:pos="7740"/>
              </w:tabs>
              <w:snapToGrid w:val="0"/>
              <w:spacing w:before="0" w:beforeAutospacing="0" w:after="0" w:afterAutospacing="0" w:line="360" w:lineRule="auto"/>
              <w:rPr>
                <w:rFonts w:hint="eastAsia" w:ascii="宋体"/>
                <w:color w:val="auto"/>
                <w:sz w:val="21"/>
                <w:szCs w:val="21"/>
              </w:rPr>
            </w:pPr>
          </w:p>
        </w:tc>
        <w:tc>
          <w:tcPr>
            <w:tcW w:w="1559" w:type="dxa"/>
            <w:noWrap w:val="0"/>
            <w:vAlign w:val="center"/>
          </w:tcPr>
          <w:p w14:paraId="03C214E5">
            <w:pPr>
              <w:pStyle w:val="260"/>
              <w:tabs>
                <w:tab w:val="left" w:pos="7740"/>
              </w:tabs>
              <w:snapToGrid w:val="0"/>
              <w:spacing w:before="0" w:beforeAutospacing="0" w:after="0" w:afterAutospacing="0" w:line="360" w:lineRule="auto"/>
              <w:rPr>
                <w:rFonts w:hint="eastAsia" w:ascii="宋体"/>
                <w:color w:val="auto"/>
                <w:sz w:val="21"/>
                <w:szCs w:val="21"/>
              </w:rPr>
            </w:pPr>
          </w:p>
        </w:tc>
      </w:tr>
      <w:tr w14:paraId="4CDA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19" w:hRule="atLeast"/>
        </w:trPr>
        <w:tc>
          <w:tcPr>
            <w:tcW w:w="3369" w:type="dxa"/>
            <w:noWrap w:val="0"/>
            <w:vAlign w:val="top"/>
          </w:tcPr>
          <w:p w14:paraId="7181F940">
            <w:pPr>
              <w:pStyle w:val="260"/>
              <w:tabs>
                <w:tab w:val="left" w:pos="7740"/>
              </w:tabs>
              <w:snapToGrid w:val="0"/>
              <w:spacing w:before="0" w:beforeAutospacing="0" w:after="0" w:afterAutospacing="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投标文件按招标文件要求签署、盖章</w:t>
            </w:r>
          </w:p>
        </w:tc>
        <w:tc>
          <w:tcPr>
            <w:tcW w:w="1478" w:type="dxa"/>
            <w:noWrap w:val="0"/>
            <w:vAlign w:val="top"/>
          </w:tcPr>
          <w:p w14:paraId="44AC40D4">
            <w:pPr>
              <w:spacing w:line="360" w:lineRule="auto"/>
              <w:rPr>
                <w:rFonts w:ascii="宋体" w:hAnsi="宋体"/>
                <w:color w:val="auto"/>
                <w:szCs w:val="21"/>
              </w:rPr>
            </w:pPr>
          </w:p>
        </w:tc>
        <w:tc>
          <w:tcPr>
            <w:tcW w:w="1215" w:type="dxa"/>
            <w:noWrap w:val="0"/>
            <w:vAlign w:val="center"/>
          </w:tcPr>
          <w:p w14:paraId="4310FAC4">
            <w:pPr>
              <w:tabs>
                <w:tab w:val="left" w:pos="0"/>
              </w:tabs>
              <w:spacing w:line="360" w:lineRule="auto"/>
              <w:rPr>
                <w:rFonts w:hint="eastAsia" w:ascii="宋体" w:hAnsi="宋体"/>
                <w:b/>
                <w:bCs/>
                <w:color w:val="auto"/>
                <w:szCs w:val="21"/>
              </w:rPr>
            </w:pPr>
          </w:p>
        </w:tc>
        <w:tc>
          <w:tcPr>
            <w:tcW w:w="1276" w:type="dxa"/>
            <w:noWrap w:val="0"/>
            <w:vAlign w:val="center"/>
          </w:tcPr>
          <w:p w14:paraId="0D0932BA">
            <w:pPr>
              <w:pStyle w:val="260"/>
              <w:tabs>
                <w:tab w:val="left" w:pos="7740"/>
              </w:tabs>
              <w:snapToGrid w:val="0"/>
              <w:spacing w:before="0" w:beforeAutospacing="0" w:after="0" w:afterAutospacing="0" w:line="360" w:lineRule="auto"/>
              <w:rPr>
                <w:rFonts w:hint="eastAsia" w:ascii="宋体"/>
                <w:color w:val="auto"/>
                <w:sz w:val="21"/>
                <w:szCs w:val="21"/>
              </w:rPr>
            </w:pPr>
          </w:p>
        </w:tc>
        <w:tc>
          <w:tcPr>
            <w:tcW w:w="1134" w:type="dxa"/>
            <w:noWrap w:val="0"/>
            <w:vAlign w:val="center"/>
          </w:tcPr>
          <w:p w14:paraId="23477094">
            <w:pPr>
              <w:pStyle w:val="260"/>
              <w:tabs>
                <w:tab w:val="left" w:pos="7740"/>
              </w:tabs>
              <w:snapToGrid w:val="0"/>
              <w:spacing w:before="0" w:beforeAutospacing="0" w:after="0" w:afterAutospacing="0" w:line="360" w:lineRule="auto"/>
              <w:rPr>
                <w:rFonts w:hint="eastAsia" w:ascii="宋体"/>
                <w:color w:val="auto"/>
                <w:sz w:val="21"/>
                <w:szCs w:val="21"/>
              </w:rPr>
            </w:pPr>
          </w:p>
        </w:tc>
        <w:tc>
          <w:tcPr>
            <w:tcW w:w="1559" w:type="dxa"/>
            <w:noWrap w:val="0"/>
            <w:vAlign w:val="center"/>
          </w:tcPr>
          <w:p w14:paraId="36196310">
            <w:pPr>
              <w:pStyle w:val="260"/>
              <w:tabs>
                <w:tab w:val="left" w:pos="7740"/>
              </w:tabs>
              <w:snapToGrid w:val="0"/>
              <w:spacing w:before="0" w:beforeAutospacing="0" w:after="0" w:afterAutospacing="0" w:line="360" w:lineRule="auto"/>
              <w:rPr>
                <w:rFonts w:hint="eastAsia" w:ascii="宋体"/>
                <w:color w:val="auto"/>
                <w:sz w:val="21"/>
                <w:szCs w:val="21"/>
              </w:rPr>
            </w:pPr>
          </w:p>
        </w:tc>
      </w:tr>
      <w:tr w14:paraId="27F1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25" w:hRule="atLeast"/>
        </w:trPr>
        <w:tc>
          <w:tcPr>
            <w:tcW w:w="3369" w:type="dxa"/>
            <w:noWrap w:val="0"/>
            <w:vAlign w:val="top"/>
          </w:tcPr>
          <w:p w14:paraId="74B1B286">
            <w:pPr>
              <w:pStyle w:val="260"/>
              <w:tabs>
                <w:tab w:val="left" w:pos="7740"/>
              </w:tabs>
              <w:snapToGrid w:val="0"/>
              <w:spacing w:before="0" w:beforeAutospacing="0" w:after="0" w:afterAutospacing="0"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投标报价未超过招标文件中规定的单价最高限价</w:t>
            </w:r>
          </w:p>
        </w:tc>
        <w:tc>
          <w:tcPr>
            <w:tcW w:w="1478" w:type="dxa"/>
            <w:noWrap w:val="0"/>
            <w:vAlign w:val="center"/>
          </w:tcPr>
          <w:p w14:paraId="4B345527">
            <w:pPr>
              <w:tabs>
                <w:tab w:val="left" w:pos="146"/>
              </w:tabs>
              <w:spacing w:line="360" w:lineRule="auto"/>
              <w:ind w:left="146" w:hanging="180"/>
              <w:rPr>
                <w:rFonts w:hint="eastAsia" w:ascii="宋体" w:hAnsi="宋体"/>
                <w:b/>
                <w:bCs/>
                <w:color w:val="auto"/>
                <w:szCs w:val="21"/>
              </w:rPr>
            </w:pPr>
          </w:p>
        </w:tc>
        <w:tc>
          <w:tcPr>
            <w:tcW w:w="1215" w:type="dxa"/>
            <w:noWrap w:val="0"/>
            <w:vAlign w:val="center"/>
          </w:tcPr>
          <w:p w14:paraId="36976404">
            <w:pPr>
              <w:tabs>
                <w:tab w:val="left" w:pos="0"/>
              </w:tabs>
              <w:spacing w:line="360" w:lineRule="auto"/>
              <w:rPr>
                <w:rFonts w:hint="eastAsia" w:ascii="宋体" w:hAnsi="宋体"/>
                <w:b/>
                <w:bCs/>
                <w:color w:val="auto"/>
                <w:szCs w:val="21"/>
              </w:rPr>
            </w:pPr>
          </w:p>
        </w:tc>
        <w:tc>
          <w:tcPr>
            <w:tcW w:w="1276" w:type="dxa"/>
            <w:noWrap w:val="0"/>
            <w:vAlign w:val="center"/>
          </w:tcPr>
          <w:p w14:paraId="159D6625">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134" w:type="dxa"/>
            <w:noWrap w:val="0"/>
            <w:vAlign w:val="center"/>
          </w:tcPr>
          <w:p w14:paraId="7AF1E7A8">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559" w:type="dxa"/>
            <w:noWrap w:val="0"/>
            <w:vAlign w:val="center"/>
          </w:tcPr>
          <w:p w14:paraId="4EA2EF9B">
            <w:pPr>
              <w:pStyle w:val="147"/>
              <w:tabs>
                <w:tab w:val="left" w:pos="7740"/>
              </w:tabs>
              <w:snapToGrid w:val="0"/>
              <w:spacing w:before="0" w:beforeAutospacing="0" w:after="0" w:afterAutospacing="0" w:line="360" w:lineRule="auto"/>
              <w:jc w:val="both"/>
              <w:rPr>
                <w:rFonts w:ascii="宋体" w:eastAsia="宋体"/>
                <w:color w:val="auto"/>
                <w:szCs w:val="21"/>
              </w:rPr>
            </w:pPr>
          </w:p>
        </w:tc>
      </w:tr>
      <w:tr w14:paraId="330F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565" w:hRule="atLeast"/>
        </w:trPr>
        <w:tc>
          <w:tcPr>
            <w:tcW w:w="3369" w:type="dxa"/>
            <w:noWrap w:val="0"/>
            <w:vAlign w:val="top"/>
          </w:tcPr>
          <w:p w14:paraId="7CEDDA5E">
            <w:pPr>
              <w:pStyle w:val="260"/>
              <w:tabs>
                <w:tab w:val="left" w:pos="7740"/>
              </w:tabs>
              <w:snapToGrid w:val="0"/>
              <w:spacing w:before="0" w:beforeAutospacing="0" w:after="0" w:afterAutospacing="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投标文件完全满足招标文件的实质性条款（即标注★号条款）无负偏离</w:t>
            </w:r>
          </w:p>
        </w:tc>
        <w:tc>
          <w:tcPr>
            <w:tcW w:w="1478" w:type="dxa"/>
            <w:noWrap w:val="0"/>
            <w:vAlign w:val="center"/>
          </w:tcPr>
          <w:p w14:paraId="74F81495">
            <w:pPr>
              <w:tabs>
                <w:tab w:val="left" w:pos="146"/>
              </w:tabs>
              <w:spacing w:line="360" w:lineRule="auto"/>
              <w:ind w:left="146" w:hanging="180"/>
              <w:rPr>
                <w:rFonts w:hint="eastAsia" w:ascii="宋体" w:hAnsi="宋体"/>
                <w:b/>
                <w:bCs/>
                <w:color w:val="auto"/>
                <w:szCs w:val="21"/>
              </w:rPr>
            </w:pPr>
          </w:p>
        </w:tc>
        <w:tc>
          <w:tcPr>
            <w:tcW w:w="1215" w:type="dxa"/>
            <w:noWrap w:val="0"/>
            <w:vAlign w:val="center"/>
          </w:tcPr>
          <w:p w14:paraId="400127E7">
            <w:pPr>
              <w:tabs>
                <w:tab w:val="left" w:pos="0"/>
              </w:tabs>
              <w:spacing w:line="360" w:lineRule="auto"/>
              <w:rPr>
                <w:rFonts w:hint="eastAsia" w:ascii="宋体" w:hAnsi="宋体"/>
                <w:b/>
                <w:bCs/>
                <w:color w:val="auto"/>
                <w:szCs w:val="21"/>
              </w:rPr>
            </w:pPr>
          </w:p>
        </w:tc>
        <w:tc>
          <w:tcPr>
            <w:tcW w:w="1276" w:type="dxa"/>
            <w:noWrap w:val="0"/>
            <w:vAlign w:val="center"/>
          </w:tcPr>
          <w:p w14:paraId="184ED3B7">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134" w:type="dxa"/>
            <w:noWrap w:val="0"/>
            <w:vAlign w:val="center"/>
          </w:tcPr>
          <w:p w14:paraId="3DA3D396">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559" w:type="dxa"/>
            <w:noWrap w:val="0"/>
            <w:vAlign w:val="center"/>
          </w:tcPr>
          <w:p w14:paraId="673CCABB">
            <w:pPr>
              <w:pStyle w:val="147"/>
              <w:tabs>
                <w:tab w:val="left" w:pos="7740"/>
              </w:tabs>
              <w:snapToGrid w:val="0"/>
              <w:spacing w:before="0" w:beforeAutospacing="0" w:after="0" w:afterAutospacing="0" w:line="360" w:lineRule="auto"/>
              <w:jc w:val="both"/>
              <w:rPr>
                <w:rFonts w:ascii="宋体" w:eastAsia="宋体"/>
                <w:color w:val="auto"/>
                <w:szCs w:val="21"/>
              </w:rPr>
            </w:pPr>
          </w:p>
        </w:tc>
      </w:tr>
      <w:tr w14:paraId="3527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17" w:hRule="atLeast"/>
        </w:trPr>
        <w:tc>
          <w:tcPr>
            <w:tcW w:w="3369" w:type="dxa"/>
            <w:noWrap w:val="0"/>
            <w:vAlign w:val="top"/>
          </w:tcPr>
          <w:p w14:paraId="532CCA87">
            <w:pPr>
              <w:pStyle w:val="260"/>
              <w:tabs>
                <w:tab w:val="left" w:pos="7740"/>
              </w:tabs>
              <w:snapToGrid w:val="0"/>
              <w:spacing w:before="0" w:beforeAutospacing="0" w:after="0" w:afterAutospacing="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投标文件无招标人不能接受的附加条件</w:t>
            </w:r>
          </w:p>
        </w:tc>
        <w:tc>
          <w:tcPr>
            <w:tcW w:w="1478" w:type="dxa"/>
            <w:noWrap w:val="0"/>
            <w:vAlign w:val="center"/>
          </w:tcPr>
          <w:p w14:paraId="0BAFEF23">
            <w:pPr>
              <w:tabs>
                <w:tab w:val="left" w:pos="146"/>
              </w:tabs>
              <w:spacing w:line="360" w:lineRule="auto"/>
              <w:ind w:left="146" w:hanging="180"/>
              <w:rPr>
                <w:rFonts w:hint="eastAsia" w:ascii="宋体" w:hAnsi="宋体"/>
                <w:b/>
                <w:bCs/>
                <w:color w:val="auto"/>
                <w:szCs w:val="21"/>
              </w:rPr>
            </w:pPr>
          </w:p>
        </w:tc>
        <w:tc>
          <w:tcPr>
            <w:tcW w:w="1215" w:type="dxa"/>
            <w:noWrap w:val="0"/>
            <w:vAlign w:val="center"/>
          </w:tcPr>
          <w:p w14:paraId="7B031E49">
            <w:pPr>
              <w:tabs>
                <w:tab w:val="left" w:pos="0"/>
              </w:tabs>
              <w:spacing w:line="360" w:lineRule="auto"/>
              <w:rPr>
                <w:rFonts w:hint="eastAsia" w:ascii="宋体" w:hAnsi="宋体"/>
                <w:b/>
                <w:bCs/>
                <w:color w:val="auto"/>
                <w:szCs w:val="21"/>
              </w:rPr>
            </w:pPr>
          </w:p>
        </w:tc>
        <w:tc>
          <w:tcPr>
            <w:tcW w:w="1276" w:type="dxa"/>
            <w:noWrap w:val="0"/>
            <w:vAlign w:val="center"/>
          </w:tcPr>
          <w:p w14:paraId="50CB8ADB">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134" w:type="dxa"/>
            <w:noWrap w:val="0"/>
            <w:vAlign w:val="center"/>
          </w:tcPr>
          <w:p w14:paraId="0A4D9D20">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559" w:type="dxa"/>
            <w:noWrap w:val="0"/>
            <w:vAlign w:val="center"/>
          </w:tcPr>
          <w:p w14:paraId="07836AFC">
            <w:pPr>
              <w:pStyle w:val="147"/>
              <w:tabs>
                <w:tab w:val="left" w:pos="7740"/>
              </w:tabs>
              <w:snapToGrid w:val="0"/>
              <w:spacing w:before="0" w:beforeAutospacing="0" w:after="0" w:afterAutospacing="0" w:line="360" w:lineRule="auto"/>
              <w:jc w:val="both"/>
              <w:rPr>
                <w:rFonts w:ascii="宋体" w:eastAsia="宋体"/>
                <w:color w:val="auto"/>
                <w:szCs w:val="21"/>
              </w:rPr>
            </w:pPr>
          </w:p>
        </w:tc>
      </w:tr>
      <w:tr w14:paraId="0714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09" w:hRule="atLeast"/>
        </w:trPr>
        <w:tc>
          <w:tcPr>
            <w:tcW w:w="3369" w:type="dxa"/>
            <w:noWrap w:val="0"/>
            <w:vAlign w:val="top"/>
          </w:tcPr>
          <w:p w14:paraId="4A13F906">
            <w:pPr>
              <w:pStyle w:val="260"/>
              <w:tabs>
                <w:tab w:val="left" w:pos="7740"/>
              </w:tabs>
              <w:snapToGrid w:val="0"/>
              <w:spacing w:before="0" w:beforeAutospacing="0" w:after="0" w:afterAutospacing="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无招标文件规定的投标无效情况</w:t>
            </w:r>
          </w:p>
        </w:tc>
        <w:tc>
          <w:tcPr>
            <w:tcW w:w="1478" w:type="dxa"/>
            <w:noWrap w:val="0"/>
            <w:vAlign w:val="center"/>
          </w:tcPr>
          <w:p w14:paraId="1C020C38">
            <w:pPr>
              <w:tabs>
                <w:tab w:val="left" w:pos="146"/>
              </w:tabs>
              <w:spacing w:line="360" w:lineRule="auto"/>
              <w:ind w:left="146" w:hanging="180"/>
              <w:rPr>
                <w:rFonts w:hint="eastAsia" w:ascii="宋体" w:hAnsi="宋体"/>
                <w:color w:val="auto"/>
                <w:szCs w:val="21"/>
              </w:rPr>
            </w:pPr>
          </w:p>
        </w:tc>
        <w:tc>
          <w:tcPr>
            <w:tcW w:w="1215" w:type="dxa"/>
            <w:noWrap w:val="0"/>
            <w:vAlign w:val="center"/>
          </w:tcPr>
          <w:p w14:paraId="684E44D8">
            <w:pPr>
              <w:tabs>
                <w:tab w:val="left" w:pos="0"/>
              </w:tabs>
              <w:spacing w:line="360" w:lineRule="auto"/>
              <w:rPr>
                <w:rFonts w:hint="eastAsia" w:ascii="宋体" w:hAnsi="宋体"/>
                <w:color w:val="auto"/>
                <w:szCs w:val="21"/>
              </w:rPr>
            </w:pPr>
          </w:p>
        </w:tc>
        <w:tc>
          <w:tcPr>
            <w:tcW w:w="1276" w:type="dxa"/>
            <w:noWrap w:val="0"/>
            <w:vAlign w:val="center"/>
          </w:tcPr>
          <w:p w14:paraId="2AA0073D">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134" w:type="dxa"/>
            <w:noWrap w:val="0"/>
            <w:vAlign w:val="center"/>
          </w:tcPr>
          <w:p w14:paraId="23CFC861">
            <w:pPr>
              <w:pStyle w:val="147"/>
              <w:tabs>
                <w:tab w:val="left" w:pos="7740"/>
              </w:tabs>
              <w:snapToGrid w:val="0"/>
              <w:spacing w:before="0" w:beforeAutospacing="0" w:after="0" w:afterAutospacing="0" w:line="360" w:lineRule="auto"/>
              <w:jc w:val="both"/>
              <w:rPr>
                <w:rFonts w:ascii="宋体" w:eastAsia="宋体"/>
                <w:color w:val="auto"/>
                <w:szCs w:val="21"/>
              </w:rPr>
            </w:pPr>
          </w:p>
        </w:tc>
        <w:tc>
          <w:tcPr>
            <w:tcW w:w="1559" w:type="dxa"/>
            <w:noWrap w:val="0"/>
            <w:vAlign w:val="center"/>
          </w:tcPr>
          <w:p w14:paraId="24E3CDFD">
            <w:pPr>
              <w:pStyle w:val="147"/>
              <w:tabs>
                <w:tab w:val="left" w:pos="7740"/>
              </w:tabs>
              <w:snapToGrid w:val="0"/>
              <w:spacing w:before="0" w:beforeAutospacing="0" w:after="0" w:afterAutospacing="0" w:line="360" w:lineRule="auto"/>
              <w:jc w:val="both"/>
              <w:rPr>
                <w:rFonts w:ascii="宋体" w:eastAsia="宋体"/>
                <w:color w:val="auto"/>
                <w:szCs w:val="21"/>
              </w:rPr>
            </w:pPr>
          </w:p>
        </w:tc>
      </w:tr>
    </w:tbl>
    <w:p w14:paraId="1D6ED6E0">
      <w:pPr>
        <w:spacing w:line="360" w:lineRule="auto"/>
        <w:rPr>
          <w:rFonts w:hint="eastAsia" w:ascii="宋体" w:hAnsi="宋体" w:cs="宋体"/>
          <w:color w:val="auto"/>
          <w:szCs w:val="21"/>
          <w:highlight w:val="none"/>
        </w:rPr>
      </w:pPr>
    </w:p>
    <w:p w14:paraId="4688D577">
      <w:pPr>
        <w:spacing w:line="360" w:lineRule="auto"/>
        <w:rPr>
          <w:rFonts w:hint="eastAsia" w:ascii="宋体" w:hAnsi="宋体" w:cs="宋体"/>
          <w:color w:val="auto"/>
          <w:szCs w:val="21"/>
          <w:highlight w:val="none"/>
        </w:rPr>
      </w:pPr>
    </w:p>
    <w:p w14:paraId="02E1F21C">
      <w:pPr>
        <w:spacing w:line="360" w:lineRule="auto"/>
        <w:rPr>
          <w:rFonts w:hint="eastAsia" w:ascii="宋体" w:hAnsi="宋体" w:cs="宋体"/>
          <w:b/>
          <w:bCs/>
          <w:color w:val="auto"/>
          <w:sz w:val="21"/>
          <w:szCs w:val="21"/>
          <w:highlight w:val="none"/>
        </w:rPr>
      </w:pPr>
    </w:p>
    <w:p w14:paraId="677C9172">
      <w:pPr>
        <w:pStyle w:val="58"/>
        <w:rPr>
          <w:rFonts w:hint="eastAsia" w:ascii="宋体" w:hAnsi="宋体" w:cs="宋体"/>
          <w:b/>
          <w:bCs/>
          <w:color w:val="auto"/>
          <w:sz w:val="21"/>
          <w:szCs w:val="21"/>
          <w:highlight w:val="none"/>
        </w:rPr>
      </w:pPr>
    </w:p>
    <w:p w14:paraId="44835B2C">
      <w:pPr>
        <w:pStyle w:val="58"/>
        <w:rPr>
          <w:rFonts w:hint="eastAsia" w:ascii="宋体" w:hAnsi="宋体" w:cs="宋体"/>
          <w:b/>
          <w:bCs/>
          <w:color w:val="auto"/>
          <w:sz w:val="21"/>
          <w:szCs w:val="21"/>
          <w:highlight w:val="none"/>
        </w:rPr>
      </w:pPr>
    </w:p>
    <w:p w14:paraId="17A7446B">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附件1.1 《评分标准和细则》</w:t>
      </w:r>
    </w:p>
    <w:p w14:paraId="1AD62FD4">
      <w:pPr>
        <w:keepNext w:val="0"/>
        <w:keepLines w:val="0"/>
        <w:pageBreakBefore w:val="0"/>
        <w:tabs>
          <w:tab w:val="left" w:pos="360"/>
          <w:tab w:val="left" w:pos="420"/>
          <w:tab w:val="left" w:pos="660"/>
        </w:tabs>
        <w:kinsoku/>
        <w:wordWrap/>
        <w:overflowPunct/>
        <w:topLinePunct w:val="0"/>
        <w:autoSpaceDE/>
        <w:autoSpaceDN/>
        <w:bidi w:val="0"/>
        <w:spacing w:line="360" w:lineRule="auto"/>
        <w:ind w:left="105"/>
        <w:outlineLvl w:val="1"/>
        <w:rPr>
          <w:rFonts w:hint="eastAsia" w:ascii="宋体" w:hAnsi="宋体" w:eastAsia="宋体" w:cs="宋体"/>
          <w:b/>
          <w:color w:val="auto"/>
          <w:sz w:val="21"/>
          <w:szCs w:val="21"/>
        </w:rPr>
      </w:pPr>
      <w:bookmarkStart w:id="133" w:name="_Toc6694"/>
      <w:r>
        <w:rPr>
          <w:rFonts w:hint="eastAsia" w:ascii="宋体" w:hAnsi="宋体" w:eastAsia="宋体" w:cs="宋体"/>
          <w:b/>
          <w:color w:val="auto"/>
          <w:sz w:val="21"/>
          <w:szCs w:val="21"/>
        </w:rPr>
        <w:t>一、评委考核打分的评分因素及分值：总分100分</w:t>
      </w:r>
      <w:bookmarkEnd w:id="133"/>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402"/>
        <w:gridCol w:w="4918"/>
      </w:tblGrid>
      <w:tr w14:paraId="0F60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938" w:type="dxa"/>
            <w:tcBorders>
              <w:right w:val="single" w:color="auto" w:sz="6" w:space="0"/>
            </w:tcBorders>
            <w:noWrap/>
            <w:vAlign w:val="center"/>
          </w:tcPr>
          <w:p w14:paraId="3120394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402" w:type="dxa"/>
            <w:tcBorders>
              <w:left w:val="single" w:color="auto" w:sz="6" w:space="0"/>
            </w:tcBorders>
            <w:noWrap/>
            <w:vAlign w:val="center"/>
          </w:tcPr>
          <w:p w14:paraId="504B0A4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4918" w:type="dxa"/>
            <w:noWrap/>
            <w:vAlign w:val="center"/>
          </w:tcPr>
          <w:p w14:paraId="12F7083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r>
      <w:tr w14:paraId="1B50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tcBorders>
              <w:right w:val="single" w:color="auto" w:sz="6" w:space="0"/>
            </w:tcBorders>
            <w:noWrap/>
            <w:vAlign w:val="center"/>
          </w:tcPr>
          <w:p w14:paraId="260DCB3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402" w:type="dxa"/>
            <w:tcBorders>
              <w:left w:val="single" w:color="auto" w:sz="6" w:space="0"/>
            </w:tcBorders>
            <w:noWrap/>
            <w:vAlign w:val="center"/>
          </w:tcPr>
          <w:p w14:paraId="16304BE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w:t>
            </w:r>
          </w:p>
        </w:tc>
        <w:tc>
          <w:tcPr>
            <w:tcW w:w="4918" w:type="dxa"/>
            <w:noWrap/>
            <w:vAlign w:val="center"/>
          </w:tcPr>
          <w:p w14:paraId="465BD12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r>
      <w:tr w14:paraId="4FBF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38" w:type="dxa"/>
            <w:tcBorders>
              <w:right w:val="single" w:color="auto" w:sz="6" w:space="0"/>
            </w:tcBorders>
            <w:noWrap/>
            <w:vAlign w:val="center"/>
          </w:tcPr>
          <w:p w14:paraId="12202B4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402" w:type="dxa"/>
            <w:tcBorders>
              <w:left w:val="single" w:color="auto" w:sz="6" w:space="0"/>
            </w:tcBorders>
            <w:noWrap/>
            <w:vAlign w:val="center"/>
          </w:tcPr>
          <w:p w14:paraId="1E505F9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4918" w:type="dxa"/>
            <w:noWrap/>
            <w:vAlign w:val="center"/>
          </w:tcPr>
          <w:p w14:paraId="039C4E2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r>
      <w:tr w14:paraId="50D9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38" w:type="dxa"/>
            <w:tcBorders>
              <w:right w:val="single" w:color="auto" w:sz="6" w:space="0"/>
            </w:tcBorders>
            <w:noWrap/>
            <w:vAlign w:val="center"/>
          </w:tcPr>
          <w:p w14:paraId="372BD52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402" w:type="dxa"/>
            <w:tcBorders>
              <w:left w:val="single" w:color="auto" w:sz="6" w:space="0"/>
            </w:tcBorders>
            <w:noWrap/>
            <w:vAlign w:val="center"/>
          </w:tcPr>
          <w:p w14:paraId="2504603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价格</w:t>
            </w:r>
          </w:p>
        </w:tc>
        <w:tc>
          <w:tcPr>
            <w:tcW w:w="4918" w:type="dxa"/>
            <w:noWrap/>
            <w:vAlign w:val="center"/>
          </w:tcPr>
          <w:p w14:paraId="18452F7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40分</w:t>
            </w:r>
          </w:p>
        </w:tc>
      </w:tr>
      <w:tr w14:paraId="2B6C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340" w:type="dxa"/>
            <w:gridSpan w:val="2"/>
            <w:noWrap/>
            <w:vAlign w:val="center"/>
          </w:tcPr>
          <w:p w14:paraId="57904D4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4918" w:type="dxa"/>
            <w:noWrap/>
            <w:vAlign w:val="center"/>
          </w:tcPr>
          <w:p w14:paraId="7D1657D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r>
    </w:tbl>
    <w:p w14:paraId="06772772">
      <w:pPr>
        <w:keepNext w:val="0"/>
        <w:keepLines w:val="0"/>
        <w:pageBreakBefore w:val="0"/>
        <w:tabs>
          <w:tab w:val="left" w:pos="360"/>
          <w:tab w:val="left" w:pos="420"/>
          <w:tab w:val="left" w:pos="660"/>
        </w:tabs>
        <w:kinsoku/>
        <w:wordWrap/>
        <w:overflowPunct/>
        <w:topLinePunct w:val="0"/>
        <w:autoSpaceDE/>
        <w:autoSpaceDN/>
        <w:bidi w:val="0"/>
        <w:spacing w:line="360" w:lineRule="auto"/>
        <w:ind w:left="105"/>
        <w:outlineLvl w:val="1"/>
        <w:rPr>
          <w:rFonts w:hint="eastAsia" w:ascii="宋体" w:hAnsi="宋体" w:eastAsia="宋体" w:cs="宋体"/>
          <w:b/>
          <w:bCs/>
          <w:color w:val="auto"/>
          <w:sz w:val="21"/>
          <w:szCs w:val="21"/>
        </w:rPr>
      </w:pPr>
      <w:bookmarkStart w:id="134" w:name="_Toc27583"/>
      <w:r>
        <w:rPr>
          <w:rFonts w:hint="eastAsia" w:ascii="宋体" w:hAnsi="宋体" w:eastAsia="宋体" w:cs="宋体"/>
          <w:b/>
          <w:bCs/>
          <w:color w:val="auto"/>
          <w:sz w:val="21"/>
          <w:szCs w:val="21"/>
        </w:rPr>
        <w:t>二、评分因素分值的具体分配</w:t>
      </w:r>
      <w:bookmarkEnd w:id="134"/>
    </w:p>
    <w:p w14:paraId="21E4AC57">
      <w:pPr>
        <w:keepNext w:val="0"/>
        <w:keepLines w:val="0"/>
        <w:pageBreakBefore w:val="0"/>
        <w:tabs>
          <w:tab w:val="left" w:pos="0"/>
        </w:tabs>
        <w:kinsoku/>
        <w:wordWrap/>
        <w:overflowPunct/>
        <w:topLinePunct w:val="0"/>
        <w:autoSpaceDE/>
        <w:autoSpaceDN/>
        <w:bidi w:val="0"/>
        <w:spacing w:line="360" w:lineRule="auto"/>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1.</w:t>
      </w:r>
      <w:r>
        <w:rPr>
          <w:rFonts w:hint="eastAsia" w:ascii="宋体" w:hAnsi="宋体" w:eastAsia="宋体" w:cs="宋体"/>
          <w:b/>
          <w:color w:val="auto"/>
          <w:sz w:val="21"/>
          <w:szCs w:val="21"/>
        </w:rPr>
        <w:t>商务</w:t>
      </w:r>
      <w:r>
        <w:rPr>
          <w:rFonts w:hint="eastAsia" w:ascii="宋体" w:hAnsi="宋体" w:eastAsia="宋体" w:cs="宋体"/>
          <w:b/>
          <w:color w:val="auto"/>
          <w:sz w:val="21"/>
          <w:szCs w:val="21"/>
          <w:lang w:val="en-US" w:eastAsia="zh-CN"/>
        </w:rPr>
        <w:t>部分</w:t>
      </w:r>
      <w:r>
        <w:rPr>
          <w:rFonts w:hint="eastAsia" w:ascii="宋体" w:hAnsi="宋体" w:eastAsia="宋体" w:cs="宋体"/>
          <w:b/>
          <w:color w:val="auto"/>
          <w:sz w:val="21"/>
          <w:szCs w:val="21"/>
        </w:rPr>
        <w:t>评分标准：（总分：</w:t>
      </w:r>
      <w:r>
        <w:rPr>
          <w:rFonts w:hint="eastAsia" w:ascii="宋体" w:hAnsi="宋体" w:eastAsia="宋体" w:cs="宋体"/>
          <w:b/>
          <w:color w:val="auto"/>
          <w:sz w:val="21"/>
          <w:szCs w:val="21"/>
          <w:lang w:val="en-US" w:eastAsia="zh-CN"/>
        </w:rPr>
        <w:t>30</w:t>
      </w:r>
      <w:r>
        <w:rPr>
          <w:rFonts w:hint="eastAsia" w:ascii="宋体" w:hAnsi="宋体" w:eastAsia="宋体" w:cs="宋体"/>
          <w:b/>
          <w:color w:val="auto"/>
          <w:sz w:val="21"/>
          <w:szCs w:val="21"/>
        </w:rPr>
        <w:t>分）</w:t>
      </w:r>
    </w:p>
    <w:tbl>
      <w:tblPr>
        <w:tblStyle w:val="49"/>
        <w:tblW w:w="9492" w:type="dxa"/>
        <w:tblInd w:w="300" w:type="dxa"/>
        <w:tblLayout w:type="fixed"/>
        <w:tblCellMar>
          <w:top w:w="0" w:type="dxa"/>
          <w:left w:w="108" w:type="dxa"/>
          <w:bottom w:w="0" w:type="dxa"/>
          <w:right w:w="108" w:type="dxa"/>
        </w:tblCellMar>
      </w:tblPr>
      <w:tblGrid>
        <w:gridCol w:w="734"/>
        <w:gridCol w:w="1416"/>
        <w:gridCol w:w="868"/>
        <w:gridCol w:w="6474"/>
      </w:tblGrid>
      <w:tr w14:paraId="5A4F6632">
        <w:tblPrEx>
          <w:tblCellMar>
            <w:top w:w="0" w:type="dxa"/>
            <w:left w:w="108" w:type="dxa"/>
            <w:bottom w:w="0" w:type="dxa"/>
            <w:right w:w="108" w:type="dxa"/>
          </w:tblCellMar>
        </w:tblPrEx>
        <w:trPr>
          <w:trHeight w:val="23" w:hRule="atLeast"/>
        </w:trPr>
        <w:tc>
          <w:tcPr>
            <w:tcW w:w="73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E8C04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6" w:type="dxa"/>
            <w:tcBorders>
              <w:top w:val="single" w:color="000000" w:sz="4" w:space="0"/>
              <w:left w:val="nil"/>
              <w:bottom w:val="single" w:color="auto" w:sz="4" w:space="0"/>
              <w:right w:val="single" w:color="000000" w:sz="4" w:space="0"/>
            </w:tcBorders>
            <w:shd w:val="clear" w:color="auto" w:fill="FFFFFF"/>
            <w:noWrap w:val="0"/>
            <w:vAlign w:val="center"/>
          </w:tcPr>
          <w:p w14:paraId="5A48FA3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868" w:type="dxa"/>
            <w:tcBorders>
              <w:top w:val="single" w:color="000000" w:sz="4" w:space="0"/>
              <w:left w:val="nil"/>
              <w:bottom w:val="single" w:color="000000" w:sz="4" w:space="0"/>
              <w:right w:val="single" w:color="000000" w:sz="4" w:space="0"/>
            </w:tcBorders>
            <w:shd w:val="clear" w:color="auto" w:fill="FFFFFF"/>
            <w:noWrap w:val="0"/>
            <w:vAlign w:val="center"/>
          </w:tcPr>
          <w:p w14:paraId="05EB86D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6474" w:type="dxa"/>
            <w:tcBorders>
              <w:top w:val="single" w:color="000000" w:sz="4" w:space="0"/>
              <w:left w:val="nil"/>
              <w:bottom w:val="single" w:color="000000" w:sz="4" w:space="0"/>
              <w:right w:val="single" w:color="000000" w:sz="4" w:space="0"/>
            </w:tcBorders>
            <w:shd w:val="clear" w:color="auto" w:fill="FFFFFF"/>
            <w:noWrap w:val="0"/>
            <w:vAlign w:val="center"/>
          </w:tcPr>
          <w:p w14:paraId="5BFB100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r>
      <w:tr w14:paraId="58CD9503">
        <w:tblPrEx>
          <w:tblCellMar>
            <w:top w:w="0" w:type="dxa"/>
            <w:left w:w="108" w:type="dxa"/>
            <w:bottom w:w="0" w:type="dxa"/>
            <w:right w:w="108" w:type="dxa"/>
          </w:tblCellMar>
        </w:tblPrEx>
        <w:trPr>
          <w:trHeight w:val="2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5AC8067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66DA200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同类业绩</w:t>
            </w:r>
          </w:p>
        </w:tc>
        <w:tc>
          <w:tcPr>
            <w:tcW w:w="868" w:type="dxa"/>
            <w:tcBorders>
              <w:top w:val="single" w:color="000000" w:sz="4" w:space="0"/>
              <w:left w:val="nil"/>
              <w:bottom w:val="single" w:color="auto" w:sz="4" w:space="0"/>
              <w:right w:val="single" w:color="000000" w:sz="4" w:space="0"/>
            </w:tcBorders>
            <w:noWrap w:val="0"/>
            <w:vAlign w:val="center"/>
          </w:tcPr>
          <w:p w14:paraId="23302EE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分</w:t>
            </w:r>
          </w:p>
        </w:tc>
        <w:tc>
          <w:tcPr>
            <w:tcW w:w="6474" w:type="dxa"/>
            <w:tcBorders>
              <w:top w:val="single" w:color="000000" w:sz="4" w:space="0"/>
              <w:left w:val="nil"/>
              <w:bottom w:val="single" w:color="000000" w:sz="4" w:space="0"/>
              <w:right w:val="single" w:color="000000" w:sz="4" w:space="0"/>
            </w:tcBorders>
            <w:noWrap w:val="0"/>
            <w:vAlign w:val="center"/>
          </w:tcPr>
          <w:p w14:paraId="55EE5C4D">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投标人提供自2023年1月1日以来（以签订合同时间为准）的同类项目业绩及客户对投标人服务质量、服务水平或保障能力给予正面评价的（好评、优秀或满意等），每提供一项得2分，本项最高得6分。</w:t>
            </w:r>
          </w:p>
          <w:p w14:paraId="02583B47">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注：同时提供合同关键页及用户评价，时间以合同签订时间为准。（①合同关键页（含签订合同双方的单位名称、合同项目名称、签订合同双方的落款盖章、签订日期的关键页）复印件作为同类业绩评价证明资料；②用户评价项目需与同类业绩项目一致，评价材料有用户单位公章且有“好评、优秀、满意”等类似正面评价字眼。）</w:t>
            </w:r>
          </w:p>
        </w:tc>
      </w:tr>
      <w:tr w14:paraId="5E61B62E">
        <w:tblPrEx>
          <w:tblCellMar>
            <w:top w:w="0" w:type="dxa"/>
            <w:left w:w="108" w:type="dxa"/>
            <w:bottom w:w="0" w:type="dxa"/>
            <w:right w:w="108" w:type="dxa"/>
          </w:tblCellMar>
        </w:tblPrEx>
        <w:trPr>
          <w:trHeight w:val="2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3BD4358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A9DBDC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商务响应</w:t>
            </w:r>
          </w:p>
          <w:p w14:paraId="3F79F6C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程度</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373B6E5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6474" w:type="dxa"/>
            <w:tcBorders>
              <w:top w:val="single" w:color="000000" w:sz="4" w:space="0"/>
              <w:left w:val="single" w:color="auto" w:sz="4" w:space="0"/>
              <w:bottom w:val="single" w:color="000000" w:sz="4" w:space="0"/>
              <w:right w:val="single" w:color="000000" w:sz="4" w:space="0"/>
            </w:tcBorders>
            <w:noWrap w:val="0"/>
            <w:vAlign w:val="center"/>
          </w:tcPr>
          <w:p w14:paraId="03810DC1">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zh-CN"/>
              </w:rPr>
              <w:t>完全响应或优于</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val="zh-CN"/>
              </w:rPr>
              <w:t>、商务要求”（</w:t>
            </w:r>
            <w:r>
              <w:rPr>
                <w:rFonts w:hint="eastAsia" w:ascii="宋体" w:hAnsi="宋体" w:eastAsia="宋体" w:cs="宋体"/>
                <w:color w:val="auto"/>
                <w:sz w:val="21"/>
                <w:szCs w:val="21"/>
                <w:highlight w:val="none"/>
                <w:lang w:val="en-US" w:eastAsia="zh-CN"/>
              </w:rPr>
              <w:t>不含：（二）报价要求、（三）合同期限、（五）履约保证、（八）费用缴付方式）（共10项）完全响应或满足或优于的得0.4分，最高得4分</w:t>
            </w:r>
            <w:r>
              <w:rPr>
                <w:rFonts w:hint="eastAsia" w:ascii="宋体" w:hAnsi="宋体" w:eastAsia="宋体" w:cs="宋体"/>
                <w:color w:val="auto"/>
                <w:sz w:val="21"/>
                <w:szCs w:val="21"/>
                <w:highlight w:val="none"/>
                <w:lang w:val="zh-CN"/>
              </w:rPr>
              <w:t>。</w:t>
            </w:r>
          </w:p>
          <w:p w14:paraId="2F348BD7">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lang w:eastAsia="zh-Hans"/>
              </w:rPr>
            </w:pPr>
            <w:r>
              <w:rPr>
                <w:rFonts w:hint="eastAsia" w:ascii="宋体" w:hAnsi="宋体" w:eastAsia="宋体" w:cs="宋体"/>
                <w:b/>
                <w:bCs/>
                <w:color w:val="auto"/>
                <w:sz w:val="21"/>
                <w:szCs w:val="21"/>
                <w:highlight w:val="none"/>
              </w:rPr>
              <w:t>注：提供《用户需求书响应表》并进行逐条响应，否则视为负偏离。</w:t>
            </w:r>
          </w:p>
        </w:tc>
      </w:tr>
      <w:tr w14:paraId="29C30D6B">
        <w:tblPrEx>
          <w:tblCellMar>
            <w:top w:w="0" w:type="dxa"/>
            <w:left w:w="108" w:type="dxa"/>
            <w:bottom w:w="0" w:type="dxa"/>
            <w:right w:w="108" w:type="dxa"/>
          </w:tblCellMar>
        </w:tblPrEx>
        <w:trPr>
          <w:trHeight w:val="2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55F22F5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6BEF09A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订水渠道</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BCDA3D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4分</w:t>
            </w:r>
          </w:p>
        </w:tc>
        <w:tc>
          <w:tcPr>
            <w:tcW w:w="6474" w:type="dxa"/>
            <w:tcBorders>
              <w:top w:val="single" w:color="000000" w:sz="4" w:space="0"/>
              <w:left w:val="single" w:color="auto" w:sz="4" w:space="0"/>
              <w:bottom w:val="single" w:color="000000" w:sz="4" w:space="0"/>
              <w:right w:val="single" w:color="000000" w:sz="4" w:space="0"/>
            </w:tcBorders>
            <w:noWrap w:val="0"/>
            <w:vAlign w:val="center"/>
          </w:tcPr>
          <w:p w14:paraId="62732B60">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投标人</w:t>
            </w:r>
            <w:r>
              <w:rPr>
                <w:rFonts w:hint="eastAsia" w:ascii="宋体" w:hAnsi="宋体" w:eastAsia="宋体" w:cs="宋体"/>
                <w:color w:val="auto"/>
                <w:kern w:val="2"/>
                <w:sz w:val="21"/>
                <w:szCs w:val="21"/>
                <w:lang w:eastAsia="zh-CN"/>
              </w:rPr>
              <w:t xml:space="preserve">提供的订水渠道： </w:t>
            </w:r>
          </w:p>
          <w:p w14:paraId="44B0BE8E">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eastAsia="zh-CN"/>
              </w:rPr>
              <w:t>设置专用订水热线，安排专人对接处理订单的，得</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 xml:space="preserve">分；（提供承诺函，格式自拟） </w:t>
            </w:r>
          </w:p>
          <w:p w14:paraId="2E54238F">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eastAsia="zh-CN"/>
              </w:rPr>
              <w:t>具有网上订水服务平台（如微信小程序、公众号、APP、电商平台的品牌旗舰店等）的，得</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 xml:space="preserve">分。（提供搜索方式及截图） </w:t>
            </w:r>
          </w:p>
          <w:p w14:paraId="51C26ACB">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注：最高得4分。提供上述证明材料，不提供不得分。</w:t>
            </w:r>
          </w:p>
        </w:tc>
      </w:tr>
      <w:tr w14:paraId="20C35CAB">
        <w:tblPrEx>
          <w:tblCellMar>
            <w:top w:w="0" w:type="dxa"/>
            <w:left w:w="108" w:type="dxa"/>
            <w:bottom w:w="0" w:type="dxa"/>
            <w:right w:w="108" w:type="dxa"/>
          </w:tblCellMar>
        </w:tblPrEx>
        <w:trPr>
          <w:trHeight w:val="2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21F85A0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477A76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食品安全责任保险</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21066D8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c>
          <w:tcPr>
            <w:tcW w:w="6474" w:type="dxa"/>
            <w:tcBorders>
              <w:top w:val="single" w:color="000000" w:sz="4" w:space="0"/>
              <w:left w:val="single" w:color="auto" w:sz="4" w:space="0"/>
              <w:bottom w:val="single" w:color="000000" w:sz="4" w:space="0"/>
              <w:right w:val="single" w:color="000000" w:sz="4" w:space="0"/>
            </w:tcBorders>
            <w:noWrap w:val="0"/>
            <w:vAlign w:val="center"/>
          </w:tcPr>
          <w:p w14:paraId="33FF7C8B">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eastAsia="zh-CN"/>
              </w:rPr>
            </w:pPr>
            <w:r>
              <w:rPr>
                <w:rFonts w:hint="eastAsia" w:ascii="宋体" w:hAnsi="宋体" w:eastAsia="宋体" w:cs="宋体"/>
                <w:color w:val="auto"/>
                <w:kern w:val="2"/>
                <w:sz w:val="21"/>
                <w:szCs w:val="21"/>
                <w:lang w:val="en-US" w:eastAsia="zh-CN"/>
              </w:rPr>
              <w:t>投标人</w:t>
            </w:r>
            <w:r>
              <w:rPr>
                <w:rFonts w:hint="eastAsia" w:ascii="宋体" w:hAnsi="宋体" w:eastAsia="宋体" w:cs="宋体"/>
                <w:b w:val="0"/>
                <w:bCs w:val="0"/>
                <w:color w:val="auto"/>
                <w:kern w:val="2"/>
                <w:sz w:val="21"/>
                <w:szCs w:val="21"/>
                <w:lang w:eastAsia="zh-CN"/>
              </w:rPr>
              <w:t xml:space="preserve">已购买或承诺在签订合同前购买食品安全责任险： </w:t>
            </w:r>
          </w:p>
          <w:p w14:paraId="4F3DC3A9">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kern w:val="2"/>
                <w:sz w:val="21"/>
                <w:szCs w:val="21"/>
                <w:lang w:eastAsia="zh-CN"/>
              </w:rPr>
              <w:t>累计赔偿限额</w:t>
            </w:r>
            <w:r>
              <w:rPr>
                <w:rFonts w:hint="eastAsia" w:ascii="宋体" w:hAnsi="宋体" w:eastAsia="宋体" w:cs="宋体"/>
                <w:b w:val="0"/>
                <w:bCs w:val="0"/>
                <w:color w:val="auto"/>
                <w:kern w:val="2"/>
                <w:sz w:val="21"/>
                <w:szCs w:val="21"/>
                <w:lang w:val="en-US" w:eastAsia="zh-CN"/>
              </w:rPr>
              <w:t>1000</w:t>
            </w:r>
            <w:r>
              <w:rPr>
                <w:rFonts w:hint="eastAsia" w:ascii="宋体" w:hAnsi="宋体" w:eastAsia="宋体" w:cs="宋体"/>
                <w:b w:val="0"/>
                <w:bCs w:val="0"/>
                <w:color w:val="auto"/>
                <w:kern w:val="2"/>
                <w:sz w:val="21"/>
                <w:szCs w:val="21"/>
                <w:lang w:eastAsia="zh-CN"/>
              </w:rPr>
              <w:t>万元（含）以上且每人赔偿限额50万元（含）以上的，得</w:t>
            </w:r>
            <w:r>
              <w:rPr>
                <w:rFonts w:hint="eastAsia" w:ascii="宋体" w:hAnsi="宋体" w:eastAsia="宋体" w:cs="宋体"/>
                <w:b w:val="0"/>
                <w:bCs w:val="0"/>
                <w:color w:val="auto"/>
                <w:kern w:val="2"/>
                <w:sz w:val="21"/>
                <w:szCs w:val="21"/>
                <w:lang w:val="en-US" w:eastAsia="zh-CN"/>
              </w:rPr>
              <w:t>5</w:t>
            </w:r>
            <w:r>
              <w:rPr>
                <w:rFonts w:hint="eastAsia" w:ascii="宋体" w:hAnsi="宋体" w:eastAsia="宋体" w:cs="宋体"/>
                <w:b w:val="0"/>
                <w:bCs w:val="0"/>
                <w:color w:val="auto"/>
                <w:kern w:val="2"/>
                <w:sz w:val="21"/>
                <w:szCs w:val="21"/>
                <w:lang w:eastAsia="zh-CN"/>
              </w:rPr>
              <w:t xml:space="preserve">分； </w:t>
            </w:r>
          </w:p>
          <w:p w14:paraId="7B1F74BF">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eastAsia="zh-CN"/>
              </w:rPr>
              <w:t>累计赔偿限额</w:t>
            </w:r>
            <w:r>
              <w:rPr>
                <w:rFonts w:hint="eastAsia" w:ascii="宋体" w:hAnsi="宋体" w:eastAsia="宋体" w:cs="宋体"/>
                <w:b w:val="0"/>
                <w:bCs w:val="0"/>
                <w:color w:val="auto"/>
                <w:kern w:val="2"/>
                <w:sz w:val="21"/>
                <w:szCs w:val="21"/>
                <w:lang w:val="en-US" w:eastAsia="zh-CN"/>
              </w:rPr>
              <w:t>500万元（含）以上至1000万元（</w:t>
            </w:r>
            <w:r>
              <w:rPr>
                <w:rFonts w:hint="eastAsia" w:ascii="宋体" w:hAnsi="宋体" w:eastAsia="宋体" w:cs="宋体"/>
                <w:b w:val="0"/>
                <w:bCs w:val="0"/>
                <w:color w:val="auto"/>
                <w:kern w:val="2"/>
                <w:sz w:val="21"/>
                <w:szCs w:val="21"/>
                <w:lang w:eastAsia="zh-CN"/>
              </w:rPr>
              <w:t>不含）且每人赔偿限额30万元（含）以上的，得</w:t>
            </w:r>
            <w:r>
              <w:rPr>
                <w:rFonts w:hint="eastAsia" w:ascii="宋体" w:hAnsi="宋体" w:eastAsia="宋体" w:cs="宋体"/>
                <w:b w:val="0"/>
                <w:bCs w:val="0"/>
                <w:color w:val="auto"/>
                <w:kern w:val="2"/>
                <w:sz w:val="21"/>
                <w:szCs w:val="21"/>
                <w:lang w:val="en-US" w:eastAsia="zh-CN"/>
              </w:rPr>
              <w:t>3</w:t>
            </w:r>
            <w:r>
              <w:rPr>
                <w:rFonts w:hint="eastAsia" w:ascii="宋体" w:hAnsi="宋体" w:eastAsia="宋体" w:cs="宋体"/>
                <w:b w:val="0"/>
                <w:bCs w:val="0"/>
                <w:color w:val="auto"/>
                <w:kern w:val="2"/>
                <w:sz w:val="21"/>
                <w:szCs w:val="21"/>
                <w:lang w:eastAsia="zh-CN"/>
              </w:rPr>
              <w:t xml:space="preserve">分； </w:t>
            </w:r>
          </w:p>
          <w:p w14:paraId="52E56A51">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val="en-US" w:eastAsia="zh-CN" w:bidi="ar-SA"/>
              </w:rPr>
              <w:t>3.</w:t>
            </w:r>
            <w:r>
              <w:rPr>
                <w:rFonts w:hint="eastAsia" w:ascii="宋体" w:hAnsi="宋体" w:eastAsia="宋体" w:cs="宋体"/>
                <w:b w:val="0"/>
                <w:bCs w:val="0"/>
                <w:color w:val="auto"/>
                <w:kern w:val="2"/>
                <w:sz w:val="21"/>
                <w:szCs w:val="21"/>
                <w:lang w:eastAsia="zh-CN"/>
              </w:rPr>
              <w:t>累计赔偿限额</w:t>
            </w:r>
            <w:r>
              <w:rPr>
                <w:rFonts w:hint="eastAsia" w:ascii="宋体" w:hAnsi="宋体" w:eastAsia="宋体" w:cs="宋体"/>
                <w:b w:val="0"/>
                <w:bCs w:val="0"/>
                <w:color w:val="auto"/>
                <w:kern w:val="2"/>
                <w:sz w:val="21"/>
                <w:szCs w:val="21"/>
                <w:lang w:val="en-US" w:eastAsia="zh-CN"/>
              </w:rPr>
              <w:t>200万元（含）以上至500万元</w:t>
            </w:r>
            <w:r>
              <w:rPr>
                <w:rFonts w:hint="eastAsia" w:ascii="宋体" w:hAnsi="宋体" w:eastAsia="宋体" w:cs="宋体"/>
                <w:b w:val="0"/>
                <w:bCs w:val="0"/>
                <w:color w:val="auto"/>
                <w:kern w:val="2"/>
                <w:sz w:val="21"/>
                <w:szCs w:val="21"/>
                <w:lang w:eastAsia="zh-CN"/>
              </w:rPr>
              <w:t xml:space="preserve">（不含）且每人赔偿限额20万元（含）以上的，得1分； </w:t>
            </w:r>
          </w:p>
          <w:p w14:paraId="64D0FCA9">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lang w:eastAsia="zh-CN"/>
              </w:rPr>
              <w:t>累计赔偿限额</w:t>
            </w:r>
            <w:r>
              <w:rPr>
                <w:rFonts w:hint="eastAsia" w:ascii="宋体" w:hAnsi="宋体" w:eastAsia="宋体" w:cs="宋体"/>
                <w:b w:val="0"/>
                <w:bCs w:val="0"/>
                <w:color w:val="auto"/>
                <w:kern w:val="2"/>
                <w:sz w:val="21"/>
                <w:szCs w:val="21"/>
                <w:lang w:val="en-US" w:eastAsia="zh-CN"/>
              </w:rPr>
              <w:t>200万元（不含）</w:t>
            </w:r>
            <w:r>
              <w:rPr>
                <w:rFonts w:hint="eastAsia" w:ascii="宋体" w:hAnsi="宋体" w:eastAsia="宋体" w:cs="宋体"/>
                <w:b w:val="0"/>
                <w:bCs w:val="0"/>
                <w:color w:val="auto"/>
                <w:kern w:val="2"/>
                <w:sz w:val="21"/>
                <w:szCs w:val="21"/>
                <w:lang w:eastAsia="zh-CN"/>
              </w:rPr>
              <w:t xml:space="preserve">以下或每人赔偿限额20万元（不含）以下或未提供的，得0分。 </w:t>
            </w:r>
          </w:p>
          <w:p w14:paraId="08E8C6F5">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eastAsia="zh-CN"/>
              </w:rPr>
            </w:pPr>
            <w:r>
              <w:rPr>
                <w:rFonts w:hint="eastAsia" w:ascii="宋体" w:hAnsi="宋体" w:eastAsia="宋体" w:cs="宋体"/>
                <w:b/>
                <w:bCs/>
                <w:color w:val="auto"/>
                <w:kern w:val="2"/>
                <w:sz w:val="21"/>
                <w:szCs w:val="21"/>
                <w:lang w:eastAsia="zh-CN"/>
              </w:rPr>
              <w:t>注：①</w:t>
            </w:r>
            <w:r>
              <w:rPr>
                <w:rFonts w:hint="eastAsia" w:ascii="宋体" w:hAnsi="宋体" w:eastAsia="宋体" w:cs="宋体"/>
                <w:b/>
                <w:bCs/>
                <w:color w:val="auto"/>
                <w:sz w:val="21"/>
                <w:szCs w:val="21"/>
              </w:rPr>
              <w:t>投标人</w:t>
            </w:r>
            <w:r>
              <w:rPr>
                <w:rFonts w:hint="eastAsia" w:ascii="宋体" w:hAnsi="宋体" w:eastAsia="宋体" w:cs="宋体"/>
                <w:b/>
                <w:bCs/>
                <w:color w:val="auto"/>
                <w:kern w:val="2"/>
                <w:sz w:val="21"/>
                <w:szCs w:val="21"/>
                <w:lang w:eastAsia="zh-CN"/>
              </w:rPr>
              <w:t>已购买相关食品安全责任险的须提供投保单复印件；保险期限未能覆盖本项目服务期的，须承诺在食品安全责任险到期前15天内续保下一年度食品安全责任险，确保期限覆盖服务期。②</w:t>
            </w:r>
            <w:r>
              <w:rPr>
                <w:rFonts w:hint="eastAsia" w:ascii="宋体" w:hAnsi="宋体" w:eastAsia="宋体" w:cs="宋体"/>
                <w:b/>
                <w:bCs/>
                <w:color w:val="auto"/>
                <w:sz w:val="21"/>
                <w:szCs w:val="21"/>
              </w:rPr>
              <w:t>投标人</w:t>
            </w:r>
            <w:r>
              <w:rPr>
                <w:rFonts w:hint="eastAsia" w:ascii="宋体" w:hAnsi="宋体" w:eastAsia="宋体" w:cs="宋体"/>
                <w:b/>
                <w:bCs/>
                <w:color w:val="auto"/>
                <w:kern w:val="2"/>
                <w:sz w:val="21"/>
                <w:szCs w:val="21"/>
                <w:lang w:eastAsia="zh-CN"/>
              </w:rPr>
              <w:t>未购买相关食品安全责任险的须承诺购买额度和保险期限满足项目要求，且须承诺在签订合同前提供投保单复印件给招标人备案。</w:t>
            </w:r>
          </w:p>
        </w:tc>
      </w:tr>
      <w:tr w14:paraId="125EABF5">
        <w:tblPrEx>
          <w:tblCellMar>
            <w:top w:w="0" w:type="dxa"/>
            <w:left w:w="108" w:type="dxa"/>
            <w:bottom w:w="0" w:type="dxa"/>
            <w:right w:w="108" w:type="dxa"/>
          </w:tblCellMar>
        </w:tblPrEx>
        <w:trPr>
          <w:trHeight w:val="2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49A2BC5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88D4D3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场地资源使用费缴纳</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A8FA04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5分</w:t>
            </w:r>
          </w:p>
        </w:tc>
        <w:tc>
          <w:tcPr>
            <w:tcW w:w="6474" w:type="dxa"/>
            <w:tcBorders>
              <w:top w:val="single" w:color="000000" w:sz="4" w:space="0"/>
              <w:left w:val="single" w:color="auto" w:sz="4" w:space="0"/>
              <w:bottom w:val="single" w:color="000000" w:sz="4" w:space="0"/>
              <w:right w:val="single" w:color="000000" w:sz="4" w:space="0"/>
            </w:tcBorders>
            <w:noWrap w:val="0"/>
            <w:vAlign w:val="center"/>
          </w:tcPr>
          <w:p w14:paraId="78089836">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color w:val="auto"/>
                <w:sz w:val="21"/>
                <w:szCs w:val="21"/>
                <w:lang w:val="en-US" w:eastAsia="zh-CN"/>
              </w:rPr>
              <w:t>本项</w:t>
            </w:r>
            <w:r>
              <w:rPr>
                <w:rFonts w:hint="eastAsia" w:ascii="宋体" w:hAnsi="宋体" w:eastAsia="宋体" w:cs="宋体"/>
                <w:b w:val="0"/>
                <w:bCs w:val="0"/>
                <w:color w:val="auto"/>
                <w:kern w:val="2"/>
                <w:sz w:val="21"/>
                <w:szCs w:val="21"/>
                <w:lang w:val="en-US" w:eastAsia="zh-CN"/>
              </w:rPr>
              <w:t>目仓库、临时存水点场地使用费，以第三方机构出具的场地使用费评估价（46,068.00元/年）作为底价。</w:t>
            </w:r>
          </w:p>
          <w:p w14:paraId="60054144">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其中：P 为投标人场地资源使用费缴纳的金额。</w:t>
            </w:r>
          </w:p>
          <w:p w14:paraId="3F199EDD">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1.若P≥50,000.00元/年，得5分；</w:t>
            </w:r>
          </w:p>
          <w:p w14:paraId="37BA4482">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2.若48,000.00元/年≤P＜50,000.00元/年，得分 = 3+ (P - 48,000.00) / (50,000.00-48,000.00)×(5-3)；</w:t>
            </w:r>
          </w:p>
          <w:p w14:paraId="21A480CB">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3.若46,068.00元/年≤P＜48,000.00元/年，得分=2+ (P-46,068.00)/(48,000.00-46,068.00)×(3-2)。</w:t>
            </w:r>
          </w:p>
          <w:p w14:paraId="3E96BF04">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kern w:val="2"/>
                <w:sz w:val="21"/>
                <w:szCs w:val="21"/>
                <w:lang w:val="en-US" w:eastAsia="zh-CN"/>
              </w:rPr>
              <w:t>注: 提供场地资源使用费缴纳承诺函，格式自拟。</w:t>
            </w:r>
          </w:p>
        </w:tc>
      </w:tr>
      <w:tr w14:paraId="6C79E8FA">
        <w:tblPrEx>
          <w:tblCellMar>
            <w:top w:w="0" w:type="dxa"/>
            <w:left w:w="108" w:type="dxa"/>
            <w:bottom w:w="0" w:type="dxa"/>
            <w:right w:w="108" w:type="dxa"/>
          </w:tblCellMar>
        </w:tblPrEx>
        <w:trPr>
          <w:trHeight w:val="2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60C03B0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FA0E4F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B类饮用水报价评分</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1E71BE9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c>
          <w:tcPr>
            <w:tcW w:w="6474" w:type="dxa"/>
            <w:tcBorders>
              <w:top w:val="single" w:color="000000" w:sz="4" w:space="0"/>
              <w:left w:val="single" w:color="auto" w:sz="4" w:space="0"/>
              <w:bottom w:val="single" w:color="000000" w:sz="4" w:space="0"/>
              <w:right w:val="single" w:color="000000" w:sz="4" w:space="0"/>
            </w:tcBorders>
            <w:noWrap w:val="0"/>
            <w:vAlign w:val="center"/>
          </w:tcPr>
          <w:p w14:paraId="428A96D9">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b/>
                <w:bCs/>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通过资格性检查与符合性检查且各项投标价格最低的投标报价为评标基准价，计算公式如下：</w:t>
            </w:r>
            <w:r>
              <w:rPr>
                <w:rFonts w:hint="eastAsia" w:ascii="宋体" w:hAnsi="宋体" w:eastAsia="宋体" w:cs="宋体"/>
                <w:b/>
                <w:bCs/>
                <w:color w:val="auto"/>
                <w:kern w:val="2"/>
                <w:sz w:val="21"/>
                <w:szCs w:val="21"/>
                <w:lang w:val="en-US" w:eastAsia="zh-CN"/>
              </w:rPr>
              <w:t>B类饮用水投标报价得分=（评标基准价／投标报价）×6</w:t>
            </w:r>
          </w:p>
          <w:p w14:paraId="41F3E1BB">
            <w:pPr>
              <w:keepNext w:val="0"/>
              <w:keepLines w:val="0"/>
              <w:pageBreakBefore w:val="0"/>
              <w:numPr>
                <w:ilvl w:val="0"/>
                <w:numId w:val="0"/>
              </w:numPr>
              <w:kinsoku/>
              <w:wordWrap/>
              <w:overflowPunct/>
              <w:topLinePunct w:val="0"/>
              <w:autoSpaceDE/>
              <w:autoSpaceDN/>
              <w:bidi w:val="0"/>
              <w:spacing w:line="360" w:lineRule="auto"/>
              <w:ind w:left="0" w:leftChars="0" w:firstLine="0" w:firstLineChars="0"/>
              <w:jc w:val="left"/>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注：因本项目投标评审系统为固化配置，仅支持单一报价导入评审，故，现将B类饮用水作为商务评分环节的有效投标价格列为指定评审依据。</w:t>
            </w:r>
          </w:p>
        </w:tc>
      </w:tr>
    </w:tbl>
    <w:p w14:paraId="6B43D305">
      <w:pPr>
        <w:keepNext w:val="0"/>
        <w:keepLines w:val="0"/>
        <w:pageBreakBefore w:val="0"/>
        <w:kinsoku/>
        <w:wordWrap/>
        <w:overflowPunct/>
        <w:topLinePunct w:val="0"/>
        <w:autoSpaceDE/>
        <w:autoSpaceDN/>
        <w:bidi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2.</w:t>
      </w:r>
      <w:r>
        <w:rPr>
          <w:rFonts w:hint="eastAsia" w:ascii="宋体" w:hAnsi="宋体" w:eastAsia="宋体" w:cs="宋体"/>
          <w:b/>
          <w:color w:val="auto"/>
          <w:sz w:val="21"/>
          <w:szCs w:val="21"/>
        </w:rPr>
        <w:t>技术部分评分标准：（分值：</w:t>
      </w:r>
      <w:r>
        <w:rPr>
          <w:rFonts w:hint="eastAsia" w:ascii="宋体" w:hAnsi="宋体" w:eastAsia="宋体" w:cs="宋体"/>
          <w:b/>
          <w:color w:val="auto"/>
          <w:sz w:val="21"/>
          <w:szCs w:val="21"/>
          <w:lang w:val="en-US" w:eastAsia="zh-CN"/>
        </w:rPr>
        <w:t>30</w:t>
      </w:r>
      <w:r>
        <w:rPr>
          <w:rFonts w:hint="eastAsia" w:ascii="宋体" w:hAnsi="宋体" w:eastAsia="宋体" w:cs="宋体"/>
          <w:b/>
          <w:color w:val="auto"/>
          <w:sz w:val="21"/>
          <w:szCs w:val="21"/>
        </w:rPr>
        <w:t>分）</w:t>
      </w:r>
    </w:p>
    <w:tbl>
      <w:tblPr>
        <w:tblStyle w:val="49"/>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35"/>
        <w:gridCol w:w="904"/>
        <w:gridCol w:w="6506"/>
      </w:tblGrid>
      <w:tr w14:paraId="1B62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1" w:type="dxa"/>
            <w:noWrap w:val="0"/>
            <w:vAlign w:val="bottom"/>
          </w:tcPr>
          <w:p w14:paraId="59DC5A6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35" w:type="dxa"/>
            <w:noWrap w:val="0"/>
            <w:vAlign w:val="bottom"/>
          </w:tcPr>
          <w:p w14:paraId="477347F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904" w:type="dxa"/>
            <w:noWrap w:val="0"/>
            <w:vAlign w:val="bottom"/>
          </w:tcPr>
          <w:p w14:paraId="29C363C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6506" w:type="dxa"/>
            <w:noWrap w:val="0"/>
            <w:vAlign w:val="bottom"/>
          </w:tcPr>
          <w:p w14:paraId="683D8F1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评分档次及依据</w:t>
            </w:r>
          </w:p>
        </w:tc>
      </w:tr>
      <w:tr w14:paraId="48A2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1" w:type="dxa"/>
            <w:noWrap w:val="0"/>
            <w:vAlign w:val="center"/>
          </w:tcPr>
          <w:p w14:paraId="0A4EEE81">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335" w:type="dxa"/>
            <w:noWrap w:val="0"/>
            <w:vAlign w:val="center"/>
          </w:tcPr>
          <w:p w14:paraId="09BADDE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highlight w:val="none"/>
                <w:lang w:val="en-US" w:eastAsia="zh-CN" w:bidi="ar"/>
              </w:rPr>
              <w:t>配送服务方案</w:t>
            </w:r>
          </w:p>
        </w:tc>
        <w:tc>
          <w:tcPr>
            <w:tcW w:w="904" w:type="dxa"/>
            <w:noWrap w:val="0"/>
            <w:vAlign w:val="center"/>
          </w:tcPr>
          <w:p w14:paraId="54C2999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c>
          <w:tcPr>
            <w:tcW w:w="6506" w:type="dxa"/>
            <w:noWrap w:val="0"/>
            <w:vAlign w:val="top"/>
          </w:tcPr>
          <w:p w14:paraId="5D40F75F">
            <w:pPr>
              <w:pStyle w:val="20"/>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根据投标人针对“（十三）配送服务要求”</w:t>
            </w:r>
            <w:r>
              <w:rPr>
                <w:rFonts w:hint="eastAsia" w:ascii="宋体" w:hAnsi="宋体" w:eastAsia="宋体" w:cs="宋体"/>
                <w:b w:val="0"/>
                <w:bCs w:val="0"/>
                <w:color w:val="auto"/>
                <w:sz w:val="21"/>
                <w:szCs w:val="21"/>
              </w:rPr>
              <w:t>提供的配送服务方案（包括但不限于①产品的生产（或备货）</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②供货安排</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③配送流程</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④</w:t>
            </w:r>
            <w:r>
              <w:rPr>
                <w:rFonts w:hint="eastAsia" w:ascii="宋体" w:hAnsi="宋体" w:eastAsia="宋体" w:cs="宋体"/>
                <w:b w:val="0"/>
                <w:bCs w:val="0"/>
                <w:color w:val="auto"/>
                <w:sz w:val="21"/>
                <w:szCs w:val="21"/>
              </w:rPr>
              <w:t>专人</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专车（投标人自有货车：提供有效的机动车行驶证复印件和机动车登记证书复印件，货车应为投标人所有；投标人租赁货车：提供有效的货车租赁协议复印件、有效的机动车行驶证复印件和机动车登记证书复印件。如货车租赁期不能覆盖合同期的，投标人还应提交承诺函（格式自拟），承诺租赁到期后将继续租赁（或购买）不低于投标时运载能力的货车，确保合同期提供及时、稳定的物资配送服务）配送跟踪服务等；⑤供货响应时间等）进行评审：</w:t>
            </w:r>
          </w:p>
          <w:p w14:paraId="2AF31791">
            <w:pPr>
              <w:pStyle w:val="20"/>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投标人提交完整的备货、生产能力证明材料，供货安排描述清晰明确、有条理，配送流程清晰明了，可行性高，有详细清晰的专人、专车配送跟踪服务安排，供货响应时间完全满足项目需求，应急保障供应服务能结合项目实际利于项目实施，</w:t>
            </w:r>
            <w:r>
              <w:rPr>
                <w:rFonts w:hint="eastAsia" w:ascii="宋体" w:hAnsi="宋体" w:eastAsia="宋体" w:cs="宋体"/>
                <w:b w:val="0"/>
                <w:bCs w:val="0"/>
                <w:color w:val="auto"/>
                <w:sz w:val="21"/>
                <w:szCs w:val="21"/>
                <w:lang w:val="zh-CN" w:eastAsia="zh-CN"/>
              </w:rPr>
              <w:t>得</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lang w:val="zh-CN" w:eastAsia="zh-CN"/>
              </w:rPr>
              <w:t>分；</w:t>
            </w:r>
          </w:p>
          <w:p w14:paraId="67B203C5">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b w:val="0"/>
                <w:bCs w:val="0"/>
                <w:color w:val="auto"/>
                <w:sz w:val="21"/>
                <w:szCs w:val="21"/>
                <w:lang w:val="en-US" w:eastAsia="zh-CN"/>
              </w:rPr>
              <w:t>投标人提交的备货、生产能力证明材料，</w:t>
            </w:r>
            <w:r>
              <w:rPr>
                <w:rFonts w:hint="eastAsia" w:ascii="宋体" w:hAnsi="宋体" w:eastAsia="宋体" w:cs="宋体"/>
                <w:color w:val="auto"/>
                <w:sz w:val="21"/>
                <w:szCs w:val="21"/>
              </w:rPr>
              <w:t>供货安排描述清晰，配送流程有一定可行性，有</w:t>
            </w:r>
            <w:r>
              <w:rPr>
                <w:rFonts w:hint="eastAsia" w:ascii="宋体" w:hAnsi="宋体" w:eastAsia="宋体" w:cs="宋体"/>
                <w:b w:val="0"/>
                <w:bCs w:val="0"/>
                <w:color w:val="auto"/>
                <w:sz w:val="21"/>
                <w:szCs w:val="21"/>
              </w:rPr>
              <w:t>专人</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专车配送</w:t>
            </w:r>
            <w:r>
              <w:rPr>
                <w:rFonts w:hint="eastAsia" w:ascii="宋体" w:hAnsi="宋体" w:eastAsia="宋体" w:cs="宋体"/>
                <w:color w:val="auto"/>
                <w:sz w:val="21"/>
                <w:szCs w:val="21"/>
              </w:rPr>
              <w:t>跟踪服务安排，</w:t>
            </w:r>
            <w:r>
              <w:rPr>
                <w:rFonts w:hint="eastAsia" w:ascii="宋体" w:hAnsi="宋体" w:eastAsia="宋体" w:cs="宋体"/>
                <w:b w:val="0"/>
                <w:bCs w:val="0"/>
                <w:color w:val="auto"/>
                <w:sz w:val="21"/>
                <w:szCs w:val="21"/>
                <w:lang w:val="en-US" w:eastAsia="zh-CN"/>
              </w:rPr>
              <w:t>供货响应时间可以满足项目需求，</w:t>
            </w:r>
            <w:r>
              <w:rPr>
                <w:rFonts w:hint="eastAsia" w:ascii="宋体" w:hAnsi="宋体" w:eastAsia="宋体" w:cs="宋体"/>
                <w:color w:val="auto"/>
                <w:sz w:val="21"/>
                <w:szCs w:val="21"/>
              </w:rPr>
              <w:t>应急保障供应服务能结合项目实际基本利于项目实施，</w:t>
            </w:r>
            <w:r>
              <w:rPr>
                <w:rFonts w:hint="eastAsia" w:ascii="宋体" w:hAnsi="宋体" w:eastAsia="宋体" w:cs="宋体"/>
                <w:color w:val="auto"/>
                <w:sz w:val="21"/>
                <w:szCs w:val="21"/>
                <w:lang w:val="zh-CN"/>
              </w:rPr>
              <w:t>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分；</w:t>
            </w:r>
          </w:p>
          <w:p w14:paraId="1510E924">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3.所提供的各项方案不够合理，表述不够清晰，针对性较差，得2分；</w:t>
            </w:r>
          </w:p>
          <w:p w14:paraId="6E0EFECD">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4.未提供相关方案或内容的，不得分</w:t>
            </w:r>
            <w:r>
              <w:rPr>
                <w:rFonts w:hint="eastAsia" w:ascii="宋体" w:hAnsi="宋体" w:eastAsia="宋体" w:cs="宋体"/>
                <w:color w:val="auto"/>
                <w:sz w:val="21"/>
                <w:szCs w:val="21"/>
              </w:rPr>
              <w:t>。</w:t>
            </w:r>
          </w:p>
        </w:tc>
      </w:tr>
      <w:tr w14:paraId="477E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1" w:type="dxa"/>
            <w:noWrap w:val="0"/>
            <w:vAlign w:val="center"/>
          </w:tcPr>
          <w:p w14:paraId="109F0A2B">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335" w:type="dxa"/>
            <w:noWrap w:val="0"/>
            <w:vAlign w:val="center"/>
          </w:tcPr>
          <w:p w14:paraId="0E92B3B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质量及安全保证措施</w:t>
            </w:r>
            <w:r>
              <w:rPr>
                <w:rFonts w:hint="eastAsia" w:ascii="宋体" w:hAnsi="宋体" w:eastAsia="宋体" w:cs="宋体"/>
                <w:color w:val="auto"/>
                <w:sz w:val="21"/>
                <w:szCs w:val="21"/>
                <w:lang w:val="en-US" w:eastAsia="zh-CN"/>
              </w:rPr>
              <w:t>方案</w:t>
            </w:r>
          </w:p>
        </w:tc>
        <w:tc>
          <w:tcPr>
            <w:tcW w:w="904" w:type="dxa"/>
            <w:noWrap w:val="0"/>
            <w:vAlign w:val="center"/>
          </w:tcPr>
          <w:p w14:paraId="3BD8163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6506" w:type="dxa"/>
            <w:noWrap w:val="0"/>
            <w:vAlign w:val="top"/>
          </w:tcPr>
          <w:p w14:paraId="362C6329">
            <w:pPr>
              <w:pStyle w:val="20"/>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根据投标人针对“四、产品质量要求”</w:t>
            </w:r>
            <w:r>
              <w:rPr>
                <w:rFonts w:hint="eastAsia" w:ascii="宋体" w:hAnsi="宋体" w:eastAsia="宋体" w:cs="宋体"/>
                <w:b w:val="0"/>
                <w:bCs w:val="0"/>
                <w:color w:val="auto"/>
                <w:sz w:val="21"/>
                <w:szCs w:val="21"/>
              </w:rPr>
              <w:t>提供的质量及安全保证措施</w:t>
            </w:r>
            <w:r>
              <w:rPr>
                <w:rFonts w:hint="eastAsia" w:ascii="宋体" w:hAnsi="宋体" w:eastAsia="宋体" w:cs="宋体"/>
                <w:b w:val="0"/>
                <w:bCs w:val="0"/>
                <w:color w:val="auto"/>
                <w:sz w:val="21"/>
                <w:szCs w:val="21"/>
                <w:lang w:val="en-US" w:eastAsia="zh-CN"/>
              </w:rPr>
              <w:t>方案</w:t>
            </w:r>
            <w:r>
              <w:rPr>
                <w:rFonts w:hint="eastAsia" w:ascii="宋体" w:hAnsi="宋体" w:eastAsia="宋体" w:cs="宋体"/>
                <w:b w:val="0"/>
                <w:bCs w:val="0"/>
                <w:color w:val="auto"/>
                <w:sz w:val="21"/>
                <w:szCs w:val="21"/>
              </w:rPr>
              <w:t>（包括但不限于①质量标准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②质量检验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③</w:t>
            </w:r>
            <w:r>
              <w:rPr>
                <w:rFonts w:hint="eastAsia" w:ascii="宋体" w:hAnsi="宋体" w:eastAsia="宋体" w:cs="宋体"/>
                <w:b w:val="0"/>
                <w:bCs w:val="0"/>
                <w:color w:val="auto"/>
                <w:sz w:val="21"/>
                <w:szCs w:val="21"/>
                <w:lang w:val="en-US" w:eastAsia="zh-CN"/>
              </w:rPr>
              <w:t>空瓶周转更换</w:t>
            </w:r>
            <w:r>
              <w:rPr>
                <w:rFonts w:hint="eastAsia" w:ascii="宋体" w:hAnsi="宋体" w:eastAsia="宋体" w:cs="宋体"/>
                <w:b w:val="0"/>
                <w:bCs w:val="0"/>
                <w:color w:val="auto"/>
                <w:sz w:val="21"/>
                <w:szCs w:val="21"/>
              </w:rPr>
              <w:t>等</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④质量问题响应时间等</w:t>
            </w:r>
            <w:r>
              <w:rPr>
                <w:rFonts w:hint="eastAsia" w:ascii="宋体" w:hAnsi="宋体" w:eastAsia="宋体" w:cs="宋体"/>
                <w:b w:val="0"/>
                <w:bCs w:val="0"/>
                <w:color w:val="auto"/>
                <w:sz w:val="21"/>
                <w:szCs w:val="21"/>
              </w:rPr>
              <w:t>）进行评审：</w:t>
            </w:r>
          </w:p>
          <w:p w14:paraId="6180C5E0">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方案明确引用国家现行行业标准及最新法律法规文件，并承诺根据法规更新动态调整指标，确保全程合规</w:t>
            </w:r>
            <w:r>
              <w:rPr>
                <w:rFonts w:hint="eastAsia" w:ascii="宋体" w:hAnsi="宋体" w:eastAsia="宋体" w:cs="宋体"/>
                <w:color w:val="auto"/>
                <w:sz w:val="21"/>
                <w:szCs w:val="21"/>
                <w:lang w:eastAsia="zh-CN"/>
              </w:rPr>
              <w:t>；承诺中标后立即建立质量检验体系，确保服务可追溯</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针对</w:t>
            </w:r>
            <w:bookmarkStart w:id="135" w:name="_GoBack"/>
            <w:bookmarkEnd w:id="135"/>
            <w:r>
              <w:rPr>
                <w:rFonts w:hint="eastAsia" w:ascii="宋体" w:hAnsi="宋体" w:eastAsia="宋体" w:cs="宋体"/>
                <w:color w:val="auto"/>
                <w:sz w:val="21"/>
                <w:szCs w:val="21"/>
                <w:lang w:val="en-US" w:eastAsia="zh-CN"/>
              </w:rPr>
              <w:t>空瓶周转更换</w:t>
            </w:r>
            <w:r>
              <w:rPr>
                <w:rFonts w:hint="eastAsia" w:ascii="宋体" w:hAnsi="宋体" w:eastAsia="宋体" w:cs="宋体"/>
                <w:b w:val="0"/>
                <w:bCs w:val="0"/>
                <w:color w:val="auto"/>
                <w:sz w:val="21"/>
                <w:szCs w:val="21"/>
              </w:rPr>
              <w:t>等</w:t>
            </w:r>
            <w:r>
              <w:rPr>
                <w:rFonts w:hint="eastAsia" w:ascii="宋体" w:hAnsi="宋体" w:eastAsia="宋体" w:cs="宋体"/>
                <w:b w:val="0"/>
                <w:bCs w:val="0"/>
                <w:color w:val="auto"/>
                <w:sz w:val="21"/>
                <w:szCs w:val="21"/>
                <w:lang w:val="en-US" w:eastAsia="zh-CN"/>
              </w:rPr>
              <w:t>要求</w:t>
            </w:r>
            <w:r>
              <w:rPr>
                <w:rFonts w:hint="eastAsia" w:ascii="宋体" w:hAnsi="宋体" w:eastAsia="宋体" w:cs="宋体"/>
                <w:color w:val="auto"/>
                <w:sz w:val="21"/>
                <w:szCs w:val="21"/>
              </w:rPr>
              <w:t>制定灵活调整机制以适应</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实际需求，</w:t>
            </w:r>
            <w:r>
              <w:rPr>
                <w:rFonts w:hint="eastAsia" w:ascii="宋体" w:hAnsi="宋体" w:eastAsia="宋体" w:cs="宋体"/>
                <w:color w:val="auto"/>
                <w:sz w:val="21"/>
                <w:szCs w:val="21"/>
                <w:lang w:val="en-US" w:eastAsia="zh-CN"/>
              </w:rPr>
              <w:t>且质量问题响应时限为4小时内提供免费更换流程，</w:t>
            </w:r>
            <w:r>
              <w:rPr>
                <w:rFonts w:hint="eastAsia" w:ascii="宋体" w:hAnsi="宋体" w:eastAsia="宋体" w:cs="宋体"/>
                <w:color w:val="auto"/>
                <w:sz w:val="21"/>
                <w:szCs w:val="21"/>
                <w:lang w:val="zh-CN"/>
              </w:rPr>
              <w:t>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分</w:t>
            </w:r>
            <w:r>
              <w:rPr>
                <w:rFonts w:hint="eastAsia" w:ascii="宋体" w:hAnsi="宋体" w:eastAsia="宋体" w:cs="宋体"/>
                <w:color w:val="auto"/>
                <w:sz w:val="21"/>
                <w:szCs w:val="21"/>
                <w:lang w:val="zh-CN" w:eastAsia="zh-CN"/>
              </w:rPr>
              <w:t>；</w:t>
            </w:r>
          </w:p>
          <w:p w14:paraId="472E6FA0">
            <w:pPr>
              <w:keepNext w:val="0"/>
              <w:keepLines w:val="0"/>
              <w:pageBreakBefore w:val="0"/>
              <w:numPr>
                <w:ilvl w:val="0"/>
                <w:numId w:val="0"/>
              </w:numPr>
              <w:kinsoku/>
              <w:wordWrap/>
              <w:overflowPunct/>
              <w:topLinePunct w:val="0"/>
              <w:autoSpaceDE/>
              <w:autoSpaceDN/>
              <w:bidi w:val="0"/>
              <w:spacing w:before="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2.方案提及国家标准但未明确版本或具体指标，承诺中标后立即建立质量检验体系，确保部分服务可追溯。针对空瓶周转更换</w:t>
            </w:r>
            <w:r>
              <w:rPr>
                <w:rFonts w:hint="eastAsia" w:ascii="宋体" w:hAnsi="宋体" w:eastAsia="宋体" w:cs="宋体"/>
                <w:b w:val="0"/>
                <w:bCs w:val="0"/>
                <w:color w:val="auto"/>
                <w:sz w:val="21"/>
                <w:szCs w:val="21"/>
              </w:rPr>
              <w:t>等</w:t>
            </w:r>
            <w:r>
              <w:rPr>
                <w:rFonts w:hint="eastAsia" w:ascii="宋体" w:hAnsi="宋体" w:eastAsia="宋体" w:cs="宋体"/>
                <w:b w:val="0"/>
                <w:bCs w:val="0"/>
                <w:color w:val="auto"/>
                <w:sz w:val="21"/>
                <w:szCs w:val="21"/>
                <w:lang w:val="en-US" w:eastAsia="zh-CN"/>
              </w:rPr>
              <w:t>有</w:t>
            </w:r>
            <w:r>
              <w:rPr>
                <w:rFonts w:hint="eastAsia" w:ascii="宋体" w:hAnsi="宋体" w:eastAsia="宋体" w:cs="宋体"/>
                <w:color w:val="auto"/>
                <w:sz w:val="21"/>
                <w:szCs w:val="21"/>
                <w:lang w:val="en-US" w:eastAsia="zh-CN"/>
              </w:rPr>
              <w:t>说明动态调整机制</w:t>
            </w:r>
            <w:r>
              <w:rPr>
                <w:rFonts w:hint="eastAsia" w:ascii="宋体" w:hAnsi="宋体" w:eastAsia="宋体" w:cs="宋体"/>
                <w:color w:val="auto"/>
                <w:sz w:val="21"/>
                <w:szCs w:val="21"/>
              </w:rPr>
              <w:t>，方案提及质量检验但检验主体</w:t>
            </w:r>
            <w:r>
              <w:rPr>
                <w:rFonts w:hint="eastAsia" w:ascii="宋体" w:hAnsi="宋体" w:eastAsia="宋体" w:cs="宋体"/>
                <w:color w:val="auto"/>
                <w:sz w:val="21"/>
                <w:szCs w:val="21"/>
                <w:lang w:val="en-US" w:eastAsia="zh-CN"/>
              </w:rPr>
              <w:t>不够明确</w:t>
            </w:r>
            <w:r>
              <w:rPr>
                <w:rFonts w:hint="eastAsia" w:ascii="宋体" w:hAnsi="宋体" w:eastAsia="宋体" w:cs="宋体"/>
                <w:color w:val="auto"/>
                <w:sz w:val="21"/>
                <w:szCs w:val="21"/>
              </w:rPr>
              <w:t>。制定调整机制以适应</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需求，且质量问题响应时限为</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小时内响应但未细化流程，</w:t>
            </w:r>
            <w:r>
              <w:rPr>
                <w:rFonts w:hint="eastAsia" w:ascii="宋体" w:hAnsi="宋体" w:eastAsia="宋体" w:cs="宋体"/>
                <w:color w:val="auto"/>
                <w:sz w:val="21"/>
                <w:szCs w:val="21"/>
                <w:lang w:val="zh-CN"/>
              </w:rPr>
              <w:t>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分；</w:t>
            </w:r>
          </w:p>
          <w:p w14:paraId="104D1C4D">
            <w:pPr>
              <w:keepNext w:val="0"/>
              <w:keepLines w:val="0"/>
              <w:pageBreakBefore w:val="0"/>
              <w:numPr>
                <w:ilvl w:val="0"/>
                <w:numId w:val="0"/>
              </w:numPr>
              <w:kinsoku/>
              <w:wordWrap/>
              <w:overflowPunct/>
              <w:topLinePunct w:val="0"/>
              <w:autoSpaceDE/>
              <w:autoSpaceDN/>
              <w:bidi w:val="0"/>
              <w:spacing w:before="0" w:after="0"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案仅声明“符合国家标准”，未引用具体标准或法规，内容模糊，方案声明“提供质量检验”，无具体措施或时间节点。提供周转瓶和饮水机”，未规定数量或时间节点，质量问题响应仅声明“及时更换”，未规定时限或具体措施，得2分；</w:t>
            </w:r>
          </w:p>
          <w:p w14:paraId="7C8B6BBC">
            <w:pPr>
              <w:keepNext w:val="0"/>
              <w:keepLines w:val="0"/>
              <w:pageBreakBefore w:val="0"/>
              <w:numPr>
                <w:ilvl w:val="0"/>
                <w:numId w:val="0"/>
              </w:numPr>
              <w:kinsoku/>
              <w:wordWrap/>
              <w:overflowPunct/>
              <w:topLinePunct w:val="0"/>
              <w:autoSpaceDE/>
              <w:autoSpaceDN/>
              <w:bidi w:val="0"/>
              <w:spacing w:before="0" w:after="0"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4.未提供相关方案或内容的，不得分</w:t>
            </w:r>
            <w:r>
              <w:rPr>
                <w:rFonts w:hint="eastAsia" w:ascii="宋体" w:hAnsi="宋体" w:eastAsia="宋体" w:cs="宋体"/>
                <w:color w:val="auto"/>
                <w:sz w:val="21"/>
                <w:szCs w:val="21"/>
              </w:rPr>
              <w:t>。</w:t>
            </w:r>
          </w:p>
        </w:tc>
      </w:tr>
      <w:tr w14:paraId="7A17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1" w:type="dxa"/>
            <w:noWrap w:val="0"/>
            <w:vAlign w:val="center"/>
          </w:tcPr>
          <w:p w14:paraId="014C2079">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335" w:type="dxa"/>
            <w:noWrap w:val="0"/>
            <w:vAlign w:val="center"/>
          </w:tcPr>
          <w:p w14:paraId="0090CCD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应急管理方案</w:t>
            </w:r>
          </w:p>
        </w:tc>
        <w:tc>
          <w:tcPr>
            <w:tcW w:w="904" w:type="dxa"/>
            <w:noWrap w:val="0"/>
            <w:vAlign w:val="center"/>
          </w:tcPr>
          <w:p w14:paraId="1DA70FE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8分</w:t>
            </w:r>
          </w:p>
        </w:tc>
        <w:tc>
          <w:tcPr>
            <w:tcW w:w="6506" w:type="dxa"/>
            <w:noWrap w:val="0"/>
            <w:vAlign w:val="center"/>
          </w:tcPr>
          <w:p w14:paraId="63DF9B32">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lang w:val="en-US" w:eastAsia="zh-CN"/>
              </w:rPr>
              <w:t>根据</w:t>
            </w:r>
            <w:r>
              <w:rPr>
                <w:rFonts w:hint="eastAsia" w:ascii="宋体" w:hAnsi="宋体" w:eastAsia="宋体" w:cs="宋体"/>
                <w:color w:val="auto"/>
                <w:sz w:val="21"/>
                <w:szCs w:val="21"/>
                <w:highlight w:val="none"/>
                <w:lang w:val="en-US" w:eastAsia="zh-CN"/>
              </w:rPr>
              <w:t>投标人针对“（十四）应急要求”制定全面、系统的应急处理方案。该方案需涵盖各类突发事件，具体包括但不限于：①突发性灾害事件（如台风、暴雨、地震等极端天气引发的灾害以及其他各类紧急情况）；②重大活动或重要接待任务期间可能出现的应急配送；③突发性公共卫生事件（例如疫情防控等公共卫生危机）进行评审：</w:t>
            </w:r>
          </w:p>
          <w:p w14:paraId="64F731F5">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1.应急方案完全适用于本项目实际需求，内容完整详尽，逻辑结构科学合理，应急措施具备高度的可行性和可操作性，能够有效应对各类突发情况，</w:t>
            </w:r>
            <w:r>
              <w:rPr>
                <w:rFonts w:hint="eastAsia" w:ascii="宋体" w:hAnsi="宋体" w:eastAsia="宋体" w:cs="宋体"/>
                <w:color w:val="auto"/>
                <w:kern w:val="2"/>
                <w:sz w:val="21"/>
                <w:szCs w:val="21"/>
                <w:lang w:val="en-US" w:eastAsia="zh-CN" w:bidi="ar-SA"/>
              </w:rPr>
              <w:t>则得8分；</w:t>
            </w:r>
          </w:p>
          <w:p w14:paraId="09217C86">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2.应急方案基本符合本项目需求，整体架构较为完整，设计合理，应急措施具备基本可行性，但在细节或某些方面可能存在不足，</w:t>
            </w:r>
            <w:r>
              <w:rPr>
                <w:rFonts w:hint="eastAsia" w:ascii="宋体" w:hAnsi="宋体" w:eastAsia="宋体" w:cs="宋体"/>
                <w:color w:val="auto"/>
                <w:kern w:val="2"/>
                <w:sz w:val="21"/>
                <w:szCs w:val="21"/>
                <w:lang w:val="en-US" w:eastAsia="zh-CN" w:bidi="ar-SA"/>
              </w:rPr>
              <w:t>则得5分；</w:t>
            </w:r>
          </w:p>
          <w:p w14:paraId="15418224">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3.应急方案仅能基本适用于本项目，但整体架构较为粗糙，内容不够详尽，仅包含基础的应急处理措施，缺乏系统性和深入性，</w:t>
            </w:r>
            <w:r>
              <w:rPr>
                <w:rFonts w:hint="eastAsia" w:ascii="宋体" w:hAnsi="宋体" w:eastAsia="宋体" w:cs="宋体"/>
                <w:color w:val="auto"/>
                <w:kern w:val="2"/>
                <w:sz w:val="21"/>
                <w:szCs w:val="21"/>
                <w:lang w:val="en-US" w:eastAsia="zh-CN" w:bidi="ar-SA"/>
              </w:rPr>
              <w:t>则得2分；</w:t>
            </w:r>
          </w:p>
          <w:p w14:paraId="470C233B">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4.未提供相关方案或内容的，不得分。</w:t>
            </w:r>
          </w:p>
        </w:tc>
      </w:tr>
      <w:tr w14:paraId="0FEC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1" w:type="dxa"/>
            <w:noWrap w:val="0"/>
            <w:vAlign w:val="center"/>
          </w:tcPr>
          <w:p w14:paraId="1FC2958E">
            <w:pPr>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35" w:type="dxa"/>
            <w:noWrap w:val="0"/>
            <w:vAlign w:val="center"/>
          </w:tcPr>
          <w:p w14:paraId="3F618BD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售后服务</w:t>
            </w:r>
          </w:p>
          <w:p w14:paraId="1FCE440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方案</w:t>
            </w:r>
          </w:p>
        </w:tc>
        <w:tc>
          <w:tcPr>
            <w:tcW w:w="904" w:type="dxa"/>
            <w:noWrap w:val="0"/>
            <w:vAlign w:val="center"/>
          </w:tcPr>
          <w:p w14:paraId="39F1654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6</w:t>
            </w:r>
            <w:r>
              <w:rPr>
                <w:rFonts w:hint="eastAsia" w:ascii="宋体" w:hAnsi="宋体" w:eastAsia="宋体" w:cs="宋体"/>
                <w:b w:val="0"/>
                <w:bCs w:val="0"/>
                <w:color w:val="auto"/>
                <w:kern w:val="2"/>
                <w:sz w:val="21"/>
                <w:szCs w:val="21"/>
              </w:rPr>
              <w:t>分</w:t>
            </w:r>
          </w:p>
        </w:tc>
        <w:tc>
          <w:tcPr>
            <w:tcW w:w="6506" w:type="dxa"/>
            <w:noWrap w:val="0"/>
            <w:vAlign w:val="center"/>
          </w:tcPr>
          <w:p w14:paraId="79B274B1">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根据投标人针对“（十二）售后服务”售后服务方案（包括但不限于：①服务承诺；②售后服务技术团队；③退换货方案、投诉处理程序等）进行评审：</w:t>
            </w:r>
          </w:p>
          <w:p w14:paraId="22BFF37D">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1.售后服务方案合理，服务承诺非常详细、具体，售后服务技术团队配置清晰，人员分工非常明确，退换货方案符合用户需求书且流程简单便捷，投诉处理程序合理，有利于项目实施的，</w:t>
            </w:r>
            <w:r>
              <w:rPr>
                <w:rFonts w:hint="eastAsia" w:ascii="宋体" w:hAnsi="宋体" w:eastAsia="宋体" w:cs="宋体"/>
                <w:color w:val="auto"/>
                <w:kern w:val="2"/>
                <w:sz w:val="21"/>
                <w:szCs w:val="21"/>
                <w:lang w:val="en-US" w:eastAsia="zh-CN" w:bidi="ar-SA"/>
              </w:rPr>
              <w:t>得6分；</w:t>
            </w:r>
            <w:r>
              <w:rPr>
                <w:rFonts w:hint="eastAsia" w:ascii="宋体" w:hAnsi="宋体" w:eastAsia="宋体" w:cs="宋体"/>
                <w:color w:val="auto"/>
                <w:sz w:val="21"/>
                <w:szCs w:val="21"/>
                <w:highlight w:val="none"/>
                <w:lang w:val="en-US" w:eastAsia="zh-CN"/>
              </w:rPr>
              <w:t xml:space="preserve"> </w:t>
            </w:r>
          </w:p>
          <w:p w14:paraId="12E15560">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2.售后服务方案基本合理，服务承诺一般详细、具体的，售后服务技术团队配置较清晰，人员分工基本明确，退换货方案基本符合用户需求书但流程相对复杂，投诉处理程序基本合理，基本能完成项目的，</w:t>
            </w:r>
            <w:r>
              <w:rPr>
                <w:rFonts w:hint="eastAsia" w:ascii="宋体" w:hAnsi="宋体" w:eastAsia="宋体" w:cs="宋体"/>
                <w:color w:val="auto"/>
                <w:kern w:val="2"/>
                <w:sz w:val="21"/>
                <w:szCs w:val="21"/>
                <w:lang w:val="en-US" w:eastAsia="zh-CN" w:bidi="ar-SA"/>
              </w:rPr>
              <w:t>得3分；</w:t>
            </w:r>
          </w:p>
          <w:p w14:paraId="6616DA53">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3.售后服务方案不够合理，服务承诺欠缺完整性的，售后服务技术团队配置不够清晰，人员分工不够明确，退换货方案不符合用户需求书，投诉处理程序不合理，不能很好完成本项目的</w:t>
            </w:r>
            <w:r>
              <w:rPr>
                <w:rFonts w:hint="eastAsia" w:ascii="宋体" w:hAnsi="宋体" w:eastAsia="宋体" w:cs="宋体"/>
                <w:color w:val="auto"/>
                <w:kern w:val="2"/>
                <w:sz w:val="21"/>
                <w:szCs w:val="21"/>
                <w:lang w:val="en-US" w:eastAsia="zh-CN" w:bidi="ar-SA"/>
              </w:rPr>
              <w:t xml:space="preserve">，得1分； </w:t>
            </w:r>
          </w:p>
          <w:p w14:paraId="3A0C91DF">
            <w:pPr>
              <w:pStyle w:val="273"/>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4.未提供相关方案或内容的，不得分。</w:t>
            </w:r>
          </w:p>
        </w:tc>
      </w:tr>
    </w:tbl>
    <w:p w14:paraId="0E94BF98">
      <w:pPr>
        <w:keepNext w:val="0"/>
        <w:keepLines w:val="0"/>
        <w:pageBreakBefore w:val="0"/>
        <w:kinsoku/>
        <w:wordWrap/>
        <w:overflowPunct/>
        <w:topLinePunct w:val="0"/>
        <w:autoSpaceDE/>
        <w:autoSpaceDN/>
        <w:bidi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3.</w:t>
      </w:r>
      <w:r>
        <w:rPr>
          <w:rFonts w:hint="eastAsia" w:ascii="宋体" w:hAnsi="宋体" w:eastAsia="宋体" w:cs="宋体"/>
          <w:b/>
          <w:color w:val="auto"/>
          <w:sz w:val="21"/>
          <w:szCs w:val="21"/>
        </w:rPr>
        <w:t>价格部分评分标准：（分值：</w:t>
      </w:r>
      <w:r>
        <w:rPr>
          <w:rFonts w:hint="eastAsia" w:ascii="宋体" w:hAnsi="宋体" w:eastAsia="宋体" w:cs="宋体"/>
          <w:b/>
          <w:color w:val="auto"/>
          <w:sz w:val="21"/>
          <w:szCs w:val="21"/>
          <w:lang w:val="en-US" w:eastAsia="zh-CN"/>
        </w:rPr>
        <w:t>40</w:t>
      </w:r>
      <w:r>
        <w:rPr>
          <w:rFonts w:hint="eastAsia" w:ascii="宋体" w:hAnsi="宋体" w:eastAsia="宋体" w:cs="宋体"/>
          <w:b/>
          <w:color w:val="auto"/>
          <w:sz w:val="21"/>
          <w:szCs w:val="21"/>
        </w:rPr>
        <w:t>分）</w:t>
      </w:r>
    </w:p>
    <w:p w14:paraId="193AC622">
      <w:pPr>
        <w:pStyle w:val="5"/>
        <w:keepNext w:val="0"/>
        <w:keepLines w:val="0"/>
        <w:pageBreakBefore w:val="0"/>
        <w:tabs>
          <w:tab w:val="left" w:pos="540"/>
        </w:tabs>
        <w:kinsoku/>
        <w:wordWrap/>
        <w:overflowPunct/>
        <w:topLinePunct w:val="0"/>
        <w:autoSpaceDE/>
        <w:autoSpaceDN/>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本项目的价格分采用低价优先法计算，即通过本项目资格性检查与符合性检查且</w:t>
      </w:r>
      <w:r>
        <w:rPr>
          <w:rFonts w:hint="eastAsia" w:ascii="宋体" w:hAnsi="宋体" w:eastAsia="宋体" w:cs="宋体"/>
          <w:color w:val="auto"/>
          <w:sz w:val="21"/>
          <w:szCs w:val="21"/>
          <w:lang w:eastAsia="zh-CN"/>
        </w:rPr>
        <w:t>各项</w:t>
      </w:r>
      <w:r>
        <w:rPr>
          <w:rFonts w:hint="eastAsia" w:ascii="宋体" w:hAnsi="宋体" w:eastAsia="宋体" w:cs="宋体"/>
          <w:color w:val="auto"/>
          <w:sz w:val="21"/>
          <w:szCs w:val="21"/>
        </w:rPr>
        <w:t>投标价格最低的投标报价为评标基准价，</w:t>
      </w:r>
      <w:r>
        <w:rPr>
          <w:rFonts w:hint="eastAsia" w:ascii="宋体" w:hAnsi="宋体" w:eastAsia="宋体" w:cs="宋体"/>
          <w:color w:val="auto"/>
          <w:sz w:val="21"/>
          <w:szCs w:val="21"/>
          <w:lang w:eastAsia="zh-CN"/>
        </w:rPr>
        <w:t>并按照各项价格占比计算各项价格得分</w:t>
      </w:r>
      <w:r>
        <w:rPr>
          <w:rFonts w:hint="eastAsia" w:ascii="宋体" w:hAnsi="宋体" w:eastAsia="宋体" w:cs="宋体"/>
          <w:color w:val="auto"/>
          <w:sz w:val="21"/>
          <w:szCs w:val="21"/>
        </w:rPr>
        <w:t>。其他投标人的价格</w:t>
      </w:r>
      <w:r>
        <w:rPr>
          <w:rFonts w:hint="eastAsia" w:ascii="宋体" w:hAnsi="宋体" w:eastAsia="宋体" w:cs="宋体"/>
          <w:b w:val="0"/>
          <w:bCs w:val="0"/>
          <w:color w:val="auto"/>
          <w:sz w:val="21"/>
          <w:szCs w:val="21"/>
        </w:rPr>
        <w:t>分统一按照下列公式计算：</w:t>
      </w:r>
      <w:r>
        <w:rPr>
          <w:rFonts w:hint="eastAsia" w:ascii="宋体" w:hAnsi="宋体" w:eastAsia="宋体" w:cs="宋体"/>
          <w:b/>
          <w:bCs/>
          <w:color w:val="auto"/>
          <w:sz w:val="21"/>
          <w:szCs w:val="21"/>
        </w:rPr>
        <w:t>A类桶装饮用水投标报价得分=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评标基准价／投标报价</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40</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备注：</w:t>
      </w:r>
    </w:p>
    <w:p w14:paraId="0B49557A">
      <w:pPr>
        <w:pStyle w:val="5"/>
        <w:keepNext w:val="0"/>
        <w:keepLines w:val="0"/>
        <w:pageBreakBefore w:val="0"/>
        <w:tabs>
          <w:tab w:val="left" w:pos="540"/>
        </w:tabs>
        <w:kinsoku/>
        <w:wordWrap/>
        <w:overflowPunct/>
        <w:topLinePunct w:val="0"/>
        <w:autoSpaceDE/>
        <w:autoSpaceDN/>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1.投标人</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报价中经</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小组确定为供货范围（包括货物、工程和服务）缺漏项，而进行调整的，调整价为该项目在其他有效</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中的最高报价。</w:t>
      </w:r>
    </w:p>
    <w:p w14:paraId="60A82CFE">
      <w:pPr>
        <w:pStyle w:val="5"/>
        <w:keepNext w:val="0"/>
        <w:keepLines w:val="0"/>
        <w:pageBreakBefore w:val="0"/>
        <w:tabs>
          <w:tab w:val="left" w:pos="540"/>
        </w:tabs>
        <w:kinsoku/>
        <w:wordWrap/>
        <w:overflowPunct/>
        <w:topLinePunct w:val="0"/>
        <w:autoSpaceDE/>
        <w:autoSpaceDN/>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2.评审小组</w:t>
      </w:r>
      <w:r>
        <w:rPr>
          <w:rFonts w:hint="eastAsia" w:ascii="宋体" w:hAnsi="宋体" w:eastAsia="宋体" w:cs="宋体"/>
          <w:color w:val="auto"/>
          <w:sz w:val="21"/>
          <w:szCs w:val="21"/>
        </w:rPr>
        <w:t>将按照上述修正错误的方法调整该</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中的</w:t>
      </w:r>
      <w:r>
        <w:rPr>
          <w:rFonts w:hint="eastAsia" w:ascii="宋体" w:hAnsi="宋体" w:eastAsia="宋体" w:cs="宋体"/>
          <w:color w:val="auto"/>
          <w:sz w:val="21"/>
          <w:szCs w:val="21"/>
          <w:lang w:eastAsia="zh-CN"/>
        </w:rPr>
        <w:t>投标报价</w:t>
      </w:r>
      <w:r>
        <w:rPr>
          <w:rFonts w:hint="eastAsia" w:ascii="宋体" w:hAnsi="宋体" w:eastAsia="宋体" w:cs="宋体"/>
          <w:color w:val="auto"/>
          <w:sz w:val="21"/>
          <w:szCs w:val="21"/>
        </w:rPr>
        <w:t>，调整后的价格对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具有约束力。如果</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不接受修正后的</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价格，则其响应将被拒绝。</w:t>
      </w:r>
    </w:p>
    <w:p w14:paraId="4F180B70">
      <w:pPr>
        <w:keepNext w:val="0"/>
        <w:keepLines w:val="0"/>
        <w:pageBreakBefore w:val="0"/>
        <w:widowControl/>
        <w:shd w:val="clear" w:color="auto" w:fill="FFFFFF"/>
        <w:kinsoku/>
        <w:wordWrap/>
        <w:overflowPunct/>
        <w:topLinePunct w:val="0"/>
        <w:autoSpaceDE/>
        <w:autoSpaceDN/>
        <w:bidi w:val="0"/>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kern w:val="2"/>
          <w:sz w:val="21"/>
          <w:szCs w:val="21"/>
          <w:lang w:val="en-US" w:eastAsia="zh-CN"/>
        </w:rPr>
        <w:t>3.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684617E5">
      <w:pPr>
        <w:pStyle w:val="26"/>
        <w:numPr>
          <w:ilvl w:val="0"/>
          <w:numId w:val="0"/>
        </w:numPr>
        <w:adjustRightInd w:val="0"/>
        <w:snapToGrid w:val="0"/>
        <w:spacing w:line="360" w:lineRule="auto"/>
        <w:jc w:val="center"/>
        <w:outlineLvl w:val="0"/>
        <w:rPr>
          <w:rFonts w:hint="eastAsia" w:ascii="宋体" w:hAnsi="宋体" w:eastAsia="宋体" w:cs="宋体"/>
          <w:b/>
          <w:color w:val="auto"/>
          <w:kern w:val="2"/>
          <w:sz w:val="36"/>
          <w:szCs w:val="36"/>
          <w:lang w:val="en-US" w:eastAsia="zh-CN" w:bidi="ar-SA"/>
        </w:rPr>
      </w:pPr>
    </w:p>
    <w:p w14:paraId="686EB5E4">
      <w:pPr>
        <w:snapToGrid w:val="0"/>
        <w:spacing w:line="14" w:lineRule="exact"/>
        <w:rPr>
          <w:rFonts w:hint="eastAsia" w:ascii="宋体" w:hAnsi="宋体" w:eastAsia="宋体" w:cs="宋体"/>
          <w:color w:val="auto"/>
          <w:highlight w:val="none"/>
        </w:rPr>
      </w:pPr>
    </w:p>
    <w:sectPr>
      <w:footerReference r:id="rId6" w:type="default"/>
      <w:pgSz w:w="11906" w:h="16838"/>
      <w:pgMar w:top="1440" w:right="1134" w:bottom="1440"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隶书">
    <w:panose1 w:val="02010509060101010101"/>
    <w:charset w:val="86"/>
    <w:family w:val="modern"/>
    <w:pitch w:val="default"/>
    <w:sig w:usb0="00000001" w:usb1="080E0000" w:usb2="00000000" w:usb3="00000000" w:csb0="00040000" w:csb1="00000000"/>
  </w:font>
  <w:font w:name="Helv">
    <w:altName w:val="Segoe Print"/>
    <w:panose1 w:val="020B06040200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E1559">
    <w:pPr>
      <w:pStyle w:val="31"/>
      <w:jc w:val="center"/>
      <w:rPr>
        <w:rFonts w:hint="eastAsia" w:ascii="宋体" w:hAnsi="宋体"/>
        <w:sz w:val="21"/>
        <w:szCs w:val="21"/>
      </w:rPr>
    </w:pPr>
  </w:p>
  <w:p w14:paraId="753AF70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662F1">
    <w:pPr>
      <w:pStyle w:val="31"/>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A37DB">
                          <w:pPr>
                            <w:pStyle w:val="31"/>
                            <w:pBdr>
                              <w:top w:val="none" w:color="auto" w:sz="0" w:space="1"/>
                              <w:left w:val="none" w:color="auto" w:sz="0" w:space="0"/>
                              <w:bottom w:val="none" w:color="auto" w:sz="0" w:space="0"/>
                              <w:right w:val="none" w:color="auto" w:sz="0" w:space="0"/>
                              <w:between w:val="none" w:color="auto" w:sz="0" w:space="0"/>
                            </w:pBd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9A37DB">
                    <w:pPr>
                      <w:pStyle w:val="31"/>
                      <w:pBdr>
                        <w:top w:val="none" w:color="auto" w:sz="0" w:space="1"/>
                        <w:left w:val="none" w:color="auto" w:sz="0" w:space="0"/>
                        <w:bottom w:val="none" w:color="auto" w:sz="0" w:space="0"/>
                        <w:right w:val="none" w:color="auto" w:sz="0" w:space="0"/>
                        <w:between w:val="none" w:color="auto" w:sz="0" w:space="0"/>
                      </w:pBd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p w14:paraId="459ADBEF">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3193">
    <w:pPr>
      <w:pStyle w:val="3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2818F6">
                          <w:pPr>
                            <w:pStyle w:val="31"/>
                            <w:pBdr>
                              <w:top w:val="none" w:color="auto" w:sz="0" w:space="1"/>
                            </w:pBdr>
                            <w:rPr>
                              <w:rFonts w:hint="eastAsia" w:ascii="宋体" w:hAnsi="宋体"/>
                              <w:sz w:val="21"/>
                              <w:szCs w:val="21"/>
                            </w:rPr>
                          </w:pPr>
                          <w:r>
                            <w:rPr>
                              <w:rFonts w:hint="eastAsia" w:ascii="宋体" w:hAnsi="宋体"/>
                              <w:sz w:val="21"/>
                              <w:szCs w:val="21"/>
                            </w:rPr>
                            <w:fldChar w:fldCharType="begin"/>
                          </w:r>
                          <w:r>
                            <w:rPr>
                              <w:rFonts w:hint="eastAsia" w:ascii="宋体" w:hAnsi="宋体"/>
                              <w:sz w:val="21"/>
                              <w:szCs w:val="21"/>
                            </w:rPr>
                            <w:instrText xml:space="preserve"> PAGE  \* MERGEFORMAT </w:instrText>
                          </w:r>
                          <w:r>
                            <w:rPr>
                              <w:rFonts w:hint="eastAsia" w:ascii="宋体" w:hAnsi="宋体"/>
                              <w:sz w:val="21"/>
                              <w:szCs w:val="21"/>
                            </w:rPr>
                            <w:fldChar w:fldCharType="separate"/>
                          </w:r>
                          <w:r>
                            <w:rPr>
                              <w:rFonts w:hint="eastAsia"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b7xm3DAQAAhwMAAA4AAABkcnMvZTJvRG9jLnhtbK1TzY7TMBC+I/EO&#10;lu80SQW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jbqqw4c8LSzM8/f5x//Tn/&#10;/s7eJYeGgDU9fAj3MGdIYZI7dmDTLwlhY3b1dHVVjZFJuqxWy9WqJMMl1S4J4RSPfw+A8YPylqWg&#10;4UBjy26K4yeM09PLk9TNuHQ6f6eNmarppkg0J2IpiuNunNnufHsilQONueGOtpoz89GRi2kjLgFc&#10;gt0lOATQ+574VJkMhttDpJ6ZUOowwc6NaT5Z0rxLaQH+zfOrx+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vvGbcMBAACHAwAADgAAAAAAAAABACAAAAAfAQAAZHJzL2Uyb0RvYy54bWxQ&#10;SwUGAAAAAAYABgBZAQAAVAUAAAAA&#10;">
              <v:fill on="f" focussize="0,0"/>
              <v:stroke on="f"/>
              <v:imagedata o:title=""/>
              <o:lock v:ext="edit" aspectratio="f"/>
              <v:textbox inset="0mm,0mm,0mm,0mm" style="mso-fit-shape-to-text:t;">
                <w:txbxContent>
                  <w:p w14:paraId="042818F6">
                    <w:pPr>
                      <w:pStyle w:val="31"/>
                      <w:pBdr>
                        <w:top w:val="none" w:color="auto" w:sz="0" w:space="1"/>
                      </w:pBdr>
                      <w:rPr>
                        <w:rFonts w:hint="eastAsia" w:ascii="宋体" w:hAnsi="宋体"/>
                        <w:sz w:val="21"/>
                        <w:szCs w:val="21"/>
                      </w:rPr>
                    </w:pPr>
                    <w:r>
                      <w:rPr>
                        <w:rFonts w:hint="eastAsia" w:ascii="宋体" w:hAnsi="宋体"/>
                        <w:sz w:val="21"/>
                        <w:szCs w:val="21"/>
                      </w:rPr>
                      <w:fldChar w:fldCharType="begin"/>
                    </w:r>
                    <w:r>
                      <w:rPr>
                        <w:rFonts w:hint="eastAsia" w:ascii="宋体" w:hAnsi="宋体"/>
                        <w:sz w:val="21"/>
                        <w:szCs w:val="21"/>
                      </w:rPr>
                      <w:instrText xml:space="preserve"> PAGE  \* MERGEFORMAT </w:instrText>
                    </w:r>
                    <w:r>
                      <w:rPr>
                        <w:rFonts w:hint="eastAsia" w:ascii="宋体" w:hAnsi="宋体"/>
                        <w:sz w:val="21"/>
                        <w:szCs w:val="21"/>
                      </w:rPr>
                      <w:fldChar w:fldCharType="separate"/>
                    </w:r>
                    <w:r>
                      <w:rPr>
                        <w:rFonts w:hint="eastAsia" w:ascii="宋体" w:hAnsi="宋体"/>
                        <w:sz w:val="21"/>
                        <w:szCs w:val="21"/>
                      </w:rPr>
                      <w:t>1</w:t>
                    </w:r>
                    <w:r>
                      <w:rPr>
                        <w:rFonts w:hint="eastAsia" w:ascii="宋体" w:hAnsi="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C5A5">
    <w:pPr>
      <w:pStyle w:val="32"/>
      <w:pBdr>
        <w:bottom w:val="single" w:color="auto" w:sz="6" w:space="6"/>
      </w:pBdr>
      <w:tabs>
        <w:tab w:val="left" w:pos="0"/>
      </w:tabs>
      <w:rPr>
        <w:rFonts w:hint="eastAsia" w:ascii="宋体" w:hAnsi="宋体" w:eastAsia="宋体" w:cs="宋体"/>
        <w:bCs/>
        <w:color w:val="000000"/>
        <w:sz w:val="21"/>
        <w:szCs w:val="21"/>
        <w:lang w:val="zh-CN" w:eastAsia="zh-CN"/>
      </w:rPr>
    </w:pPr>
    <w:r>
      <w:rPr>
        <w:rFonts w:hint="eastAsia" w:ascii="宋体" w:hAnsi="宋体"/>
        <w:sz w:val="21"/>
        <w:szCs w:val="21"/>
      </w:rPr>
      <w:t>项目编号：</w:t>
    </w:r>
    <w:r>
      <w:rPr>
        <w:rFonts w:hint="eastAsia" w:ascii="宋体" w:hAnsi="宋体"/>
        <w:sz w:val="21"/>
        <w:szCs w:val="21"/>
        <w:lang w:eastAsia="zh-CN"/>
      </w:rPr>
      <w:t>CQZB260018</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项目名称：</w:t>
    </w:r>
    <w:r>
      <w:rPr>
        <w:rFonts w:hint="eastAsia" w:ascii="宋体" w:hAnsi="宋体"/>
        <w:sz w:val="21"/>
        <w:szCs w:val="21"/>
        <w:lang w:eastAsia="zh-CN"/>
      </w:rPr>
      <w:t>征集2026年—2028年校园桶装饮用水服务商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45"/>
      <w:lvlText w:val="（%1）"/>
      <w:lvlJc w:val="left"/>
      <w:pPr>
        <w:tabs>
          <w:tab w:val="left" w:pos="2546"/>
        </w:tabs>
        <w:ind w:left="2546"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10"/>
      <w:lvlText w:val="%7."/>
      <w:lvlJc w:val="left"/>
      <w:pPr>
        <w:tabs>
          <w:tab w:val="left" w:pos="2940"/>
        </w:tabs>
        <w:ind w:left="2940" w:hanging="420"/>
      </w:pPr>
    </w:lvl>
    <w:lvl w:ilvl="7" w:tentative="0">
      <w:start w:val="1"/>
      <w:numFmt w:val="lowerLetter"/>
      <w:pStyle w:val="11"/>
      <w:lvlText w:val="%8)"/>
      <w:lvlJc w:val="left"/>
      <w:pPr>
        <w:tabs>
          <w:tab w:val="left" w:pos="3360"/>
        </w:tabs>
        <w:ind w:left="3360" w:hanging="420"/>
      </w:pPr>
    </w:lvl>
    <w:lvl w:ilvl="8" w:tentative="0">
      <w:start w:val="1"/>
      <w:numFmt w:val="lowerRoman"/>
      <w:pStyle w:val="12"/>
      <w:lvlText w:val="%9."/>
      <w:lvlJc w:val="right"/>
      <w:pPr>
        <w:tabs>
          <w:tab w:val="left" w:pos="3780"/>
        </w:tabs>
        <w:ind w:left="3780" w:hanging="420"/>
      </w:pPr>
    </w:lvl>
  </w:abstractNum>
  <w:abstractNum w:abstractNumId="1">
    <w:nsid w:val="00000001"/>
    <w:multiLevelType w:val="multilevel"/>
    <w:tmpl w:val="00000001"/>
    <w:lvl w:ilvl="0" w:tentative="0">
      <w:start w:val="1"/>
      <w:numFmt w:val="japaneseCounting"/>
      <w:pStyle w:val="204"/>
      <w:suff w:val="space"/>
      <w:lvlText w:val="%1."/>
      <w:lvlJc w:val="left"/>
      <w:pPr>
        <w:ind w:left="1475" w:hanging="907"/>
      </w:pPr>
      <w:rPr>
        <w:rFonts w:cs="Times New Roman"/>
      </w:rPr>
    </w:lvl>
    <w:lvl w:ilvl="1" w:tentative="0">
      <w:start w:val="1"/>
      <w:numFmt w:val="decimal"/>
      <w:isLgl/>
      <w:suff w:val="space"/>
      <w:lvlText w:val="%1.%2 "/>
      <w:lvlJc w:val="left"/>
      <w:pPr>
        <w:ind w:left="794" w:hanging="794"/>
      </w:pPr>
      <w:rPr>
        <w:rFonts w:hint="eastAsia" w:cs="Times New Roman"/>
      </w:rPr>
    </w:lvl>
    <w:lvl w:ilvl="2" w:tentative="0">
      <w:start w:val="1"/>
      <w:numFmt w:val="decimal"/>
      <w:isLgl/>
      <w:suff w:val="space"/>
      <w:lvlText w:val="%1.%2.%3 "/>
      <w:lvlJc w:val="left"/>
      <w:pPr>
        <w:ind w:left="907" w:hanging="907"/>
      </w:pPr>
      <w:rPr>
        <w:rFonts w:cs="Times New Roman"/>
      </w:rPr>
    </w:lvl>
    <w:lvl w:ilvl="3" w:tentative="0">
      <w:start w:val="1"/>
      <w:numFmt w:val="decimal"/>
      <w:isLgl/>
      <w:suff w:val="space"/>
      <w:lvlText w:val="%1.%2.%3.%4 "/>
      <w:lvlJc w:val="left"/>
      <w:pPr>
        <w:ind w:left="1021" w:hanging="1021"/>
      </w:pPr>
      <w:rPr>
        <w:rFonts w:cs="Times New Roman"/>
      </w:rPr>
    </w:lvl>
    <w:lvl w:ilvl="4" w:tentative="0">
      <w:start w:val="1"/>
      <w:numFmt w:val="decimal"/>
      <w:isLgl/>
      <w:suff w:val="space"/>
      <w:lvlText w:val="%1.%2.%3.%4.%5 "/>
      <w:lvlJc w:val="left"/>
      <w:pPr>
        <w:ind w:left="1134" w:hanging="1134"/>
      </w:pPr>
      <w:rPr>
        <w:rFonts w:hint="eastAsia" w:cs="Times New Roman"/>
      </w:rPr>
    </w:lvl>
    <w:lvl w:ilvl="5" w:tentative="0">
      <w:start w:val="1"/>
      <w:numFmt w:val="decimal"/>
      <w:isLgl/>
      <w:suff w:val="space"/>
      <w:lvlText w:val="%1.%2.%3.%4.%5.%6 "/>
      <w:lvlJc w:val="left"/>
      <w:pPr>
        <w:ind w:left="1247" w:hanging="1247"/>
      </w:pPr>
      <w:rPr>
        <w:rFonts w:hint="eastAsia" w:cs="Times New Roman"/>
      </w:rPr>
    </w:lvl>
    <w:lvl w:ilvl="6" w:tentative="0">
      <w:start w:val="1"/>
      <w:numFmt w:val="decimal"/>
      <w:isLgl/>
      <w:suff w:val="space"/>
      <w:lvlText w:val="图 %1.%7 "/>
      <w:lvlJc w:val="left"/>
      <w:rPr>
        <w:rFonts w:hint="eastAsia" w:cs="Times New Roman"/>
      </w:rPr>
    </w:lvl>
    <w:lvl w:ilvl="7" w:tentative="0">
      <w:start w:val="1"/>
      <w:numFmt w:val="decimal"/>
      <w:isLgl/>
      <w:suff w:val="space"/>
      <w:lvlText w:val="表 %1.%8 "/>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0000002"/>
    <w:multiLevelType w:val="multilevel"/>
    <w:tmpl w:val="00000002"/>
    <w:lvl w:ilvl="0" w:tentative="0">
      <w:start w:val="1"/>
      <w:numFmt w:val="decimal"/>
      <w:pStyle w:val="224"/>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bullet"/>
      <w:pStyle w:val="18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4"/>
    <w:multiLevelType w:val="multilevel"/>
    <w:tmpl w:val="00000004"/>
    <w:lvl w:ilvl="0" w:tentative="0">
      <w:start w:val="1"/>
      <w:numFmt w:val="decimal"/>
      <w:pStyle w:val="17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EnclosedCircle"/>
      <w:pStyle w:val="20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6"/>
    <w:multiLevelType w:val="multilevel"/>
    <w:tmpl w:val="00000006"/>
    <w:lvl w:ilvl="0" w:tentative="0">
      <w:start w:val="1"/>
      <w:numFmt w:val="chineseCountingThousand"/>
      <w:pStyle w:val="37"/>
      <w:lvlText w:val="%1"/>
      <w:lvlJc w:val="left"/>
      <w:pPr>
        <w:tabs>
          <w:tab w:val="left" w:pos="420"/>
        </w:tabs>
        <w:ind w:left="420" w:hanging="420"/>
      </w:pPr>
      <w:rPr>
        <w:rFonts w:hint="eastAsia"/>
        <w:b/>
        <w:i w:val="0"/>
        <w:sz w:val="28"/>
        <w:szCs w:val="28"/>
        <w:lang w:val="en-US"/>
      </w:rPr>
    </w:lvl>
    <w:lvl w:ilvl="1" w:tentative="0">
      <w:start w:val="1"/>
      <w:numFmt w:val="none"/>
      <w:pStyle w:val="3"/>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66C5"/>
    <w:rsid w:val="00A0285A"/>
    <w:rsid w:val="01CA2DCF"/>
    <w:rsid w:val="03A8028B"/>
    <w:rsid w:val="056F1EC2"/>
    <w:rsid w:val="07E5409F"/>
    <w:rsid w:val="08662320"/>
    <w:rsid w:val="0AA21FD2"/>
    <w:rsid w:val="0AD70D15"/>
    <w:rsid w:val="0C711644"/>
    <w:rsid w:val="0F583DEB"/>
    <w:rsid w:val="10135D4A"/>
    <w:rsid w:val="12CD73C6"/>
    <w:rsid w:val="130A061A"/>
    <w:rsid w:val="14067033"/>
    <w:rsid w:val="146F55D5"/>
    <w:rsid w:val="16634420"/>
    <w:rsid w:val="173043DE"/>
    <w:rsid w:val="17583858"/>
    <w:rsid w:val="175F25D6"/>
    <w:rsid w:val="179B5CE4"/>
    <w:rsid w:val="185E30EF"/>
    <w:rsid w:val="192055CE"/>
    <w:rsid w:val="19532AE2"/>
    <w:rsid w:val="1AFE7D01"/>
    <w:rsid w:val="1B750FCE"/>
    <w:rsid w:val="1D491D3F"/>
    <w:rsid w:val="1D6660CA"/>
    <w:rsid w:val="1D776A3D"/>
    <w:rsid w:val="1DD75662"/>
    <w:rsid w:val="1E442F4F"/>
    <w:rsid w:val="204C0211"/>
    <w:rsid w:val="2050527A"/>
    <w:rsid w:val="20E00CBD"/>
    <w:rsid w:val="211A411E"/>
    <w:rsid w:val="22897A04"/>
    <w:rsid w:val="242130FE"/>
    <w:rsid w:val="24774655"/>
    <w:rsid w:val="261703EF"/>
    <w:rsid w:val="26AA30C1"/>
    <w:rsid w:val="26C478DC"/>
    <w:rsid w:val="27240DF6"/>
    <w:rsid w:val="27DA57F9"/>
    <w:rsid w:val="285F6BCC"/>
    <w:rsid w:val="2ABB0E85"/>
    <w:rsid w:val="2B462A06"/>
    <w:rsid w:val="2B674C26"/>
    <w:rsid w:val="2B92538B"/>
    <w:rsid w:val="2BE56477"/>
    <w:rsid w:val="2E064A8D"/>
    <w:rsid w:val="2F967B66"/>
    <w:rsid w:val="2FA7230B"/>
    <w:rsid w:val="312350D3"/>
    <w:rsid w:val="31EF6F01"/>
    <w:rsid w:val="32B2404A"/>
    <w:rsid w:val="33E472C3"/>
    <w:rsid w:val="33F3552C"/>
    <w:rsid w:val="341E7629"/>
    <w:rsid w:val="34F36723"/>
    <w:rsid w:val="378C57CD"/>
    <w:rsid w:val="37D063B4"/>
    <w:rsid w:val="389E6830"/>
    <w:rsid w:val="38CD6469"/>
    <w:rsid w:val="3BAE46FA"/>
    <w:rsid w:val="3BF724D9"/>
    <w:rsid w:val="3BF95F5C"/>
    <w:rsid w:val="3DA510D6"/>
    <w:rsid w:val="3E301FFE"/>
    <w:rsid w:val="3E697405"/>
    <w:rsid w:val="40010B93"/>
    <w:rsid w:val="45126248"/>
    <w:rsid w:val="47196173"/>
    <w:rsid w:val="4B4B6AFE"/>
    <w:rsid w:val="4BA61194"/>
    <w:rsid w:val="4C995E9D"/>
    <w:rsid w:val="4CB4165E"/>
    <w:rsid w:val="4CED5A61"/>
    <w:rsid w:val="4DB771BE"/>
    <w:rsid w:val="4DD34122"/>
    <w:rsid w:val="4F6242A4"/>
    <w:rsid w:val="504A6F5E"/>
    <w:rsid w:val="54570439"/>
    <w:rsid w:val="54D90D40"/>
    <w:rsid w:val="55853555"/>
    <w:rsid w:val="58F06F37"/>
    <w:rsid w:val="58FF53CC"/>
    <w:rsid w:val="598148FC"/>
    <w:rsid w:val="5C2A09B2"/>
    <w:rsid w:val="5CBA2919"/>
    <w:rsid w:val="5D3C58BB"/>
    <w:rsid w:val="5D754C8F"/>
    <w:rsid w:val="5DD3167F"/>
    <w:rsid w:val="5DF14CEC"/>
    <w:rsid w:val="5E121978"/>
    <w:rsid w:val="607928FD"/>
    <w:rsid w:val="62514F0E"/>
    <w:rsid w:val="62817B54"/>
    <w:rsid w:val="62CD22C8"/>
    <w:rsid w:val="62E07D15"/>
    <w:rsid w:val="64BD0615"/>
    <w:rsid w:val="654D04B0"/>
    <w:rsid w:val="67B67946"/>
    <w:rsid w:val="68DE654B"/>
    <w:rsid w:val="6A723C50"/>
    <w:rsid w:val="6B8F30BB"/>
    <w:rsid w:val="6C8E0AE9"/>
    <w:rsid w:val="6DA2484C"/>
    <w:rsid w:val="6DDB56A0"/>
    <w:rsid w:val="6F4A1132"/>
    <w:rsid w:val="71E95E7D"/>
    <w:rsid w:val="72D121A8"/>
    <w:rsid w:val="73476E02"/>
    <w:rsid w:val="739B329C"/>
    <w:rsid w:val="73D42197"/>
    <w:rsid w:val="75AD7422"/>
    <w:rsid w:val="766B5742"/>
    <w:rsid w:val="771479DF"/>
    <w:rsid w:val="773C4AC1"/>
    <w:rsid w:val="77BF3D49"/>
    <w:rsid w:val="788A03B6"/>
    <w:rsid w:val="789E43C4"/>
    <w:rsid w:val="7A686ACE"/>
    <w:rsid w:val="7A97325F"/>
    <w:rsid w:val="7B0501C8"/>
    <w:rsid w:val="7C050550"/>
    <w:rsid w:val="7E2C0A9C"/>
    <w:rsid w:val="7E493F0F"/>
    <w:rsid w:val="7E5B472F"/>
    <w:rsid w:val="7F346950"/>
    <w:rsid w:val="7F5C7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before="340" w:after="330" w:line="576" w:lineRule="auto"/>
      <w:ind w:firstLine="525"/>
      <w:outlineLvl w:val="0"/>
    </w:pPr>
    <w:rPr>
      <w:b/>
      <w:kern w:val="44"/>
      <w:sz w:val="28"/>
    </w:rPr>
  </w:style>
  <w:style w:type="paragraph" w:styleId="3">
    <w:name w:val="heading 2"/>
    <w:basedOn w:val="1"/>
    <w:next w:val="1"/>
    <w:qFormat/>
    <w:uiPriority w:val="0"/>
    <w:pPr>
      <w:keepNext/>
      <w:numPr>
        <w:ilvl w:val="1"/>
        <w:numId w:val="1"/>
      </w:numPr>
      <w:outlineLvl w:val="1"/>
    </w:pPr>
    <w:rPr>
      <w:sz w:val="28"/>
      <w:szCs w:val="20"/>
    </w:rPr>
  </w:style>
  <w:style w:type="paragraph" w:styleId="4">
    <w:name w:val="heading 3"/>
    <w:basedOn w:val="1"/>
    <w:next w:val="5"/>
    <w:link w:val="63"/>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qFormat/>
    <w:uiPriority w:val="0"/>
    <w:pPr>
      <w:keepNext/>
      <w:numPr>
        <w:ilvl w:val="3"/>
        <w:numId w:val="1"/>
      </w:numPr>
      <w:spacing w:line="360" w:lineRule="auto"/>
      <w:jc w:val="center"/>
      <w:outlineLvl w:val="3"/>
    </w:pPr>
    <w:rPr>
      <w:sz w:val="28"/>
      <w:szCs w:val="20"/>
    </w:rPr>
  </w:style>
  <w:style w:type="paragraph" w:styleId="8">
    <w:name w:val="heading 5"/>
    <w:basedOn w:val="1"/>
    <w:next w:val="1"/>
    <w:qFormat/>
    <w:uiPriority w:val="0"/>
    <w:pPr>
      <w:numPr>
        <w:ilvl w:val="4"/>
        <w:numId w:val="1"/>
      </w:numPr>
      <w:outlineLvl w:val="4"/>
    </w:pPr>
    <w:rPr>
      <w:sz w:val="28"/>
      <w:szCs w:val="20"/>
    </w:rPr>
  </w:style>
  <w:style w:type="paragraph" w:styleId="9">
    <w:name w:val="heading 6"/>
    <w:basedOn w:val="1"/>
    <w:next w:val="1"/>
    <w:qFormat/>
    <w:uiPriority w:val="0"/>
    <w:pPr>
      <w:numPr>
        <w:ilvl w:val="5"/>
        <w:numId w:val="1"/>
      </w:numPr>
      <w:outlineLvl w:val="5"/>
    </w:pPr>
    <w:rPr>
      <w:sz w:val="28"/>
      <w:szCs w:val="20"/>
    </w:rPr>
  </w:style>
  <w:style w:type="paragraph" w:styleId="10">
    <w:name w:val="heading 7"/>
    <w:basedOn w:val="1"/>
    <w:next w:val="5"/>
    <w:qFormat/>
    <w:uiPriority w:val="0"/>
    <w:pPr>
      <w:keepNext/>
      <w:numPr>
        <w:ilvl w:val="6"/>
        <w:numId w:val="2"/>
      </w:numPr>
      <w:tabs>
        <w:tab w:val="clear" w:pos="2940"/>
      </w:tabs>
      <w:autoSpaceDE w:val="0"/>
      <w:autoSpaceDN w:val="0"/>
      <w:adjustRightInd w:val="0"/>
      <w:spacing w:before="240" w:after="64" w:line="317" w:lineRule="auto"/>
      <w:ind w:left="0" w:firstLine="0"/>
      <w:outlineLvl w:val="6"/>
    </w:pPr>
    <w:rPr>
      <w:rFonts w:ascii="宋体"/>
      <w:b/>
      <w:color w:val="000000"/>
      <w:sz w:val="24"/>
      <w:szCs w:val="20"/>
    </w:rPr>
  </w:style>
  <w:style w:type="paragraph" w:styleId="11">
    <w:name w:val="heading 8"/>
    <w:basedOn w:val="1"/>
    <w:next w:val="5"/>
    <w:qFormat/>
    <w:uiPriority w:val="0"/>
    <w:pPr>
      <w:keepNext/>
      <w:numPr>
        <w:ilvl w:val="7"/>
        <w:numId w:val="2"/>
      </w:numPr>
      <w:tabs>
        <w:tab w:val="clear" w:pos="3360"/>
      </w:tabs>
      <w:autoSpaceDE w:val="0"/>
      <w:autoSpaceDN w:val="0"/>
      <w:adjustRightInd w:val="0"/>
      <w:spacing w:before="240" w:after="64" w:line="317" w:lineRule="auto"/>
      <w:ind w:left="0" w:firstLine="0"/>
      <w:outlineLvl w:val="7"/>
    </w:pPr>
    <w:rPr>
      <w:rFonts w:ascii="Arial" w:hAnsi="Arial" w:eastAsia="黑体"/>
      <w:color w:val="000000"/>
      <w:sz w:val="24"/>
      <w:szCs w:val="20"/>
    </w:rPr>
  </w:style>
  <w:style w:type="paragraph" w:styleId="12">
    <w:name w:val="heading 9"/>
    <w:basedOn w:val="1"/>
    <w:next w:val="5"/>
    <w:qFormat/>
    <w:uiPriority w:val="0"/>
    <w:pPr>
      <w:keepNext/>
      <w:numPr>
        <w:ilvl w:val="8"/>
        <w:numId w:val="2"/>
      </w:numPr>
      <w:tabs>
        <w:tab w:val="clear" w:pos="3780"/>
      </w:tabs>
      <w:autoSpaceDE w:val="0"/>
      <w:autoSpaceDN w:val="0"/>
      <w:adjustRightInd w:val="0"/>
      <w:spacing w:before="240" w:after="64" w:line="317" w:lineRule="auto"/>
      <w:ind w:left="0" w:firstLine="0"/>
      <w:outlineLvl w:val="8"/>
    </w:pPr>
    <w:rPr>
      <w:rFonts w:ascii="Arial" w:hAnsi="Arial" w:eastAsia="黑体"/>
      <w:color w:val="000000"/>
      <w:sz w:val="24"/>
      <w:szCs w:val="20"/>
    </w:rPr>
  </w:style>
  <w:style w:type="character" w:default="1" w:styleId="51">
    <w:name w:val="Default Paragraph Font"/>
    <w:qFormat/>
    <w:uiPriority w:val="1"/>
  </w:style>
  <w:style w:type="table" w:default="1" w:styleId="49">
    <w:name w:val="Normal Table"/>
    <w:qFormat/>
    <w:uiPriority w:val="99"/>
    <w:tblPr>
      <w:tblCellMar>
        <w:top w:w="0" w:type="dxa"/>
        <w:left w:w="108" w:type="dxa"/>
        <w:bottom w:w="0" w:type="dxa"/>
        <w:right w:w="108" w:type="dxa"/>
      </w:tblCellMar>
    </w:tblPr>
  </w:style>
  <w:style w:type="paragraph" w:styleId="5">
    <w:name w:val="Normal Indent"/>
    <w:basedOn w:val="1"/>
    <w:next w:val="6"/>
    <w:link w:val="64"/>
    <w:qFormat/>
    <w:uiPriority w:val="0"/>
    <w:pPr>
      <w:ind w:firstLine="420" w:firstLineChars="200"/>
    </w:pPr>
  </w:style>
  <w:style w:type="paragraph" w:styleId="6">
    <w:name w:val="Body Text 2"/>
    <w:basedOn w:val="1"/>
    <w:link w:val="69"/>
    <w:qFormat/>
    <w:uiPriority w:val="0"/>
    <w:pPr>
      <w:tabs>
        <w:tab w:val="left" w:pos="0"/>
      </w:tabs>
      <w:spacing w:line="400" w:lineRule="atLeast"/>
    </w:pPr>
    <w:rPr>
      <w:rFonts w:ascii="Arial" w:hAnsi="Arial"/>
      <w:color w:val="000000"/>
    </w:rPr>
  </w:style>
  <w:style w:type="paragraph" w:styleId="13">
    <w:name w:val="toc 7"/>
    <w:basedOn w:val="1"/>
    <w:next w:val="1"/>
    <w:qFormat/>
    <w:uiPriority w:val="0"/>
    <w:pPr>
      <w:ind w:left="1260"/>
      <w:jc w:val="left"/>
    </w:pPr>
    <w:rPr>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65"/>
    <w:qFormat/>
    <w:uiPriority w:val="0"/>
    <w:pPr>
      <w:jc w:val="left"/>
    </w:pPr>
  </w:style>
  <w:style w:type="paragraph" w:styleId="19">
    <w:name w:val="Body Text 3"/>
    <w:basedOn w:val="1"/>
    <w:qFormat/>
    <w:uiPriority w:val="0"/>
    <w:pPr>
      <w:spacing w:line="300" w:lineRule="auto"/>
    </w:pPr>
    <w:rPr>
      <w:rFonts w:ascii="宋体" w:hAnsi="宋体"/>
      <w:sz w:val="24"/>
    </w:rPr>
  </w:style>
  <w:style w:type="paragraph" w:styleId="20">
    <w:name w:val="Body Text"/>
    <w:basedOn w:val="1"/>
    <w:next w:val="1"/>
    <w:qFormat/>
    <w:uiPriority w:val="0"/>
    <w:pPr>
      <w:ind w:right="-26"/>
      <w:jc w:val="center"/>
    </w:pPr>
    <w:rPr>
      <w:b/>
      <w:bCs/>
      <w:sz w:val="84"/>
      <w:szCs w:val="84"/>
      <w:lang w:val="zh-CN"/>
    </w:rPr>
  </w:style>
  <w:style w:type="paragraph" w:styleId="21">
    <w:name w:val="Body Text Indent"/>
    <w:basedOn w:val="1"/>
    <w:next w:val="1"/>
    <w:qFormat/>
    <w:uiPriority w:val="0"/>
    <w:pPr>
      <w:ind w:left="540" w:leftChars="257" w:firstLine="20" w:firstLineChars="7"/>
    </w:pPr>
    <w:rPr>
      <w:sz w:val="28"/>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spacing w:line="360" w:lineRule="auto"/>
      <w:jc w:val="center"/>
    </w:pPr>
    <w:rPr>
      <w:rFonts w:ascii="宋体" w:hAnsi="宋体"/>
      <w:iCs/>
      <w:color w:val="000000"/>
      <w:szCs w:val="21"/>
    </w:rPr>
  </w:style>
  <w:style w:type="paragraph" w:styleId="26">
    <w:name w:val="Plain Text"/>
    <w:basedOn w:val="1"/>
    <w:next w:val="1"/>
    <w:link w:val="66"/>
    <w:qFormat/>
    <w:uiPriority w:val="0"/>
    <w:rPr>
      <w:rFonts w:ascii="宋体" w:hAnsi="Courier New"/>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pPr>
      <w:ind w:left="100" w:leftChars="2500"/>
    </w:pPr>
    <w:rPr>
      <w:sz w:val="28"/>
    </w:rPr>
  </w:style>
  <w:style w:type="paragraph" w:styleId="29">
    <w:name w:val="Body Text Indent 2"/>
    <w:basedOn w:val="1"/>
    <w:qFormat/>
    <w:uiPriority w:val="0"/>
    <w:pPr>
      <w:widowControl/>
      <w:spacing w:line="360" w:lineRule="auto"/>
      <w:ind w:left="784"/>
      <w:jc w:val="left"/>
    </w:pPr>
    <w:rPr>
      <w:kern w:val="0"/>
      <w:szCs w:val="20"/>
    </w:rPr>
  </w:style>
  <w:style w:type="paragraph" w:styleId="30">
    <w:name w:val="Balloon Text"/>
    <w:basedOn w:val="1"/>
    <w:qFormat/>
    <w:uiPriority w:val="0"/>
    <w:rPr>
      <w:sz w:val="18"/>
      <w:szCs w:val="18"/>
    </w:rPr>
  </w:style>
  <w:style w:type="paragraph" w:styleId="31">
    <w:name w:val="footer"/>
    <w:basedOn w:val="1"/>
    <w:link w:val="67"/>
    <w:qFormat/>
    <w:uiPriority w:val="0"/>
    <w:pPr>
      <w:pBdr>
        <w:top w:val="single" w:color="auto" w:sz="4" w:space="1"/>
      </w:pBdr>
      <w:tabs>
        <w:tab w:val="center" w:pos="4153"/>
        <w:tab w:val="right" w:pos="8306"/>
      </w:tabs>
      <w:snapToGrid w:val="0"/>
      <w:jc w:val="left"/>
    </w:pPr>
    <w:rPr>
      <w:sz w:val="18"/>
      <w:szCs w:val="18"/>
    </w:rPr>
  </w:style>
  <w:style w:type="paragraph" w:styleId="32">
    <w:name w:val="header"/>
    <w:basedOn w:val="1"/>
    <w:link w:val="68"/>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numPr>
        <w:ilvl w:val="0"/>
        <w:numId w:val="1"/>
      </w:numPr>
      <w:adjustRightInd w:val="0"/>
      <w:snapToGrid w:val="0"/>
      <w:spacing w:line="300" w:lineRule="auto"/>
    </w:p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599"/>
    </w:pPr>
    <w:rPr>
      <w:rFonts w:ascii="宋体"/>
      <w:color w:val="000000"/>
    </w:rPr>
  </w:style>
  <w:style w:type="paragraph" w:styleId="40">
    <w:name w:val="toc 2"/>
    <w:basedOn w:val="1"/>
    <w:next w:val="1"/>
    <w:qFormat/>
    <w:uiPriority w:val="0"/>
    <w:pPr>
      <w:ind w:left="420" w:leftChars="200"/>
    </w:pPr>
  </w:style>
  <w:style w:type="paragraph" w:styleId="41">
    <w:name w:val="toc 9"/>
    <w:basedOn w:val="1"/>
    <w:next w:val="1"/>
    <w:qFormat/>
    <w:uiPriority w:val="0"/>
    <w:pPr>
      <w:ind w:left="1680"/>
      <w:jc w:val="left"/>
    </w:pPr>
    <w:rPr>
      <w:sz w:val="18"/>
      <w:szCs w:val="18"/>
    </w:rPr>
  </w:style>
  <w:style w:type="paragraph" w:styleId="42">
    <w:name w:val="Message Header"/>
    <w:basedOn w:val="1"/>
    <w:next w:val="20"/>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color w:val="000000"/>
      <w:sz w:val="2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4">
    <w:name w:val="Normal (Web)"/>
    <w:basedOn w:val="1"/>
    <w:qFormat/>
    <w:uiPriority w:val="0"/>
    <w:pPr>
      <w:widowControl/>
      <w:spacing w:before="100" w:beforeAutospacing="1" w:after="100" w:afterAutospacing="1"/>
    </w:pPr>
    <w:rPr>
      <w:rFonts w:hAnsi="宋体"/>
      <w:sz w:val="15"/>
      <w:szCs w:val="15"/>
    </w:rPr>
  </w:style>
  <w:style w:type="paragraph" w:styleId="45">
    <w:name w:val="Title"/>
    <w:basedOn w:val="1"/>
    <w:next w:val="1"/>
    <w:qFormat/>
    <w:uiPriority w:val="0"/>
    <w:pPr>
      <w:numPr>
        <w:ilvl w:val="0"/>
        <w:numId w:val="2"/>
      </w:numPr>
      <w:tabs>
        <w:tab w:val="clear" w:pos="2546"/>
      </w:tabs>
      <w:adjustRightInd w:val="0"/>
      <w:snapToGrid w:val="0"/>
      <w:spacing w:before="156" w:beforeLines="50" w:after="156" w:afterLines="50"/>
      <w:ind w:left="0" w:firstLine="0"/>
      <w:jc w:val="center"/>
      <w:outlineLvl w:val="0"/>
    </w:pPr>
    <w:rPr>
      <w:rFonts w:ascii="Arial" w:hAnsi="Arial" w:cs="Arial"/>
      <w:b/>
      <w:bCs/>
      <w:sz w:val="52"/>
      <w:szCs w:val="32"/>
    </w:rPr>
  </w:style>
  <w:style w:type="paragraph" w:styleId="46">
    <w:name w:val="annotation subject"/>
    <w:basedOn w:val="18"/>
    <w:next w:val="18"/>
    <w:qFormat/>
    <w:uiPriority w:val="0"/>
    <w:rPr>
      <w:b/>
      <w:bCs/>
    </w:rPr>
  </w:style>
  <w:style w:type="paragraph" w:styleId="47">
    <w:name w:val="Body Text First Indent"/>
    <w:basedOn w:val="20"/>
    <w:next w:val="48"/>
    <w:link w:val="70"/>
    <w:qFormat/>
    <w:uiPriority w:val="0"/>
    <w:pPr>
      <w:spacing w:after="120"/>
      <w:ind w:right="0" w:firstLine="420" w:firstLineChars="100"/>
      <w:jc w:val="both"/>
    </w:pPr>
    <w:rPr>
      <w:b w:val="0"/>
      <w:bCs w:val="0"/>
      <w:sz w:val="21"/>
      <w:szCs w:val="24"/>
      <w:lang w:val="en-US"/>
    </w:rPr>
  </w:style>
  <w:style w:type="paragraph" w:styleId="48">
    <w:name w:val="Body Text First Indent 2"/>
    <w:basedOn w:val="21"/>
    <w:next w:val="5"/>
    <w:qFormat/>
    <w:uiPriority w:val="0"/>
    <w:pPr>
      <w:ind w:firstLine="420" w:firstLineChars="200"/>
    </w:pPr>
    <w:rPr>
      <w:b/>
      <w:sz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rFonts w:ascii="Times New Roman" w:hAnsi="Times New Roman" w:eastAsia="黑体" w:cs="Times New Roman"/>
      <w:b/>
      <w:bCs/>
      <w:sz w:val="44"/>
    </w:rPr>
  </w:style>
  <w:style w:type="character" w:styleId="53">
    <w:name w:val="page number"/>
    <w:basedOn w:val="51"/>
    <w:qFormat/>
    <w:uiPriority w:val="0"/>
    <w:rPr>
      <w:rFonts w:ascii="Times New Roman" w:hAnsi="Times New Roman" w:eastAsia="宋体" w:cs="Times New Roman"/>
    </w:rPr>
  </w:style>
  <w:style w:type="character" w:styleId="54">
    <w:name w:val="FollowedHyperlink"/>
    <w:qFormat/>
    <w:uiPriority w:val="0"/>
    <w:rPr>
      <w:rFonts w:ascii="Times New Roman" w:hAnsi="Times New Roman" w:eastAsia="宋体" w:cs="Times New Roman"/>
      <w:color w:val="800080"/>
      <w:u w:val="single"/>
    </w:rPr>
  </w:style>
  <w:style w:type="character" w:styleId="55">
    <w:name w:val="Emphasis"/>
    <w:qFormat/>
    <w:uiPriority w:val="0"/>
    <w:rPr>
      <w:rFonts w:ascii="Times New Roman" w:hAnsi="Times New Roman" w:eastAsia="宋体" w:cs="Times New Roman"/>
      <w:i/>
      <w:iCs/>
    </w:rPr>
  </w:style>
  <w:style w:type="character" w:styleId="56">
    <w:name w:val="Hyperlink"/>
    <w:qFormat/>
    <w:uiPriority w:val="0"/>
    <w:rPr>
      <w:rFonts w:ascii="Times New Roman" w:hAnsi="Times New Roman" w:eastAsia="宋体" w:cs="Times New Roman"/>
      <w:color w:val="0000FF"/>
      <w:u w:val="single"/>
    </w:rPr>
  </w:style>
  <w:style w:type="character" w:styleId="57">
    <w:name w:val="annotation reference"/>
    <w:basedOn w:val="51"/>
    <w:qFormat/>
    <w:uiPriority w:val="0"/>
    <w:rPr>
      <w:rFonts w:ascii="Times New Roman" w:hAnsi="Times New Roman" w:eastAsia="宋体" w:cs="Times New Roman"/>
      <w:sz w:val="21"/>
      <w:szCs w:val="21"/>
    </w:rPr>
  </w:style>
  <w:style w:type="paragraph" w:customStyle="1" w:styleId="58">
    <w:name w:val="样式 行距: 1.5 倍行距 首行缩进:  2 字符"/>
    <w:basedOn w:val="1"/>
    <w:qFormat/>
    <w:uiPriority w:val="0"/>
    <w:pPr>
      <w:adjustRightInd w:val="0"/>
      <w:snapToGrid w:val="0"/>
      <w:spacing w:line="460" w:lineRule="exact"/>
    </w:pPr>
    <w:rPr>
      <w:sz w:val="24"/>
    </w:rPr>
  </w:style>
  <w:style w:type="paragraph" w:customStyle="1" w:styleId="59">
    <w:name w:val="标题 3 New"/>
    <w:basedOn w:val="60"/>
    <w:next w:val="60"/>
    <w:qFormat/>
    <w:uiPriority w:val="0"/>
    <w:pPr>
      <w:keepNext/>
      <w:keepLines/>
      <w:spacing w:before="260" w:after="260" w:line="415" w:lineRule="auto"/>
      <w:outlineLvl w:val="2"/>
    </w:pPr>
    <w:rPr>
      <w:b/>
      <w:bCs/>
      <w:sz w:val="32"/>
      <w:szCs w:val="32"/>
    </w:rPr>
  </w:style>
  <w:style w:type="paragraph" w:customStyle="1" w:styleId="6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等线 Light"/>
      <w:kern w:val="2"/>
      <w:sz w:val="21"/>
      <w:szCs w:val="24"/>
      <w:lang w:val="en-US" w:eastAsia="zh-CN" w:bidi="ar-SA"/>
    </w:rPr>
  </w:style>
  <w:style w:type="paragraph" w:customStyle="1" w:styleId="61">
    <w:name w:val="BodyText"/>
    <w:basedOn w:val="1"/>
    <w:qFormat/>
    <w:uiPriority w:val="0"/>
    <w:pPr>
      <w:spacing w:after="120"/>
    </w:pPr>
  </w:style>
  <w:style w:type="character" w:customStyle="1" w:styleId="62">
    <w:name w:val="标题 1 字符"/>
    <w:link w:val="2"/>
    <w:qFormat/>
    <w:uiPriority w:val="0"/>
    <w:rPr>
      <w:rFonts w:ascii="Times New Roman" w:hAnsi="Times New Roman" w:eastAsia="宋体" w:cs="Times New Roman"/>
      <w:b/>
      <w:kern w:val="44"/>
      <w:sz w:val="28"/>
      <w:szCs w:val="24"/>
      <w:lang w:val="en-US" w:eastAsia="zh-CN" w:bidi="ar-SA"/>
    </w:rPr>
  </w:style>
  <w:style w:type="character" w:customStyle="1" w:styleId="63">
    <w:name w:val="标题 3 字符1"/>
    <w:link w:val="4"/>
    <w:qFormat/>
    <w:uiPriority w:val="0"/>
    <w:rPr>
      <w:rFonts w:ascii="Times New Roman" w:hAnsi="Times New Roman" w:eastAsia="宋体" w:cs="Times New Roman"/>
      <w:b/>
      <w:kern w:val="2"/>
      <w:sz w:val="32"/>
      <w:szCs w:val="24"/>
      <w:lang w:val="en-US" w:eastAsia="zh-CN" w:bidi="ar-SA"/>
    </w:rPr>
  </w:style>
  <w:style w:type="character" w:customStyle="1" w:styleId="64">
    <w:name w:val="正文缩进 字符"/>
    <w:link w:val="5"/>
    <w:qFormat/>
    <w:uiPriority w:val="0"/>
    <w:rPr>
      <w:rFonts w:ascii="Times New Roman" w:hAnsi="Times New Roman" w:eastAsia="宋体" w:cs="Times New Roman"/>
      <w:kern w:val="2"/>
      <w:sz w:val="21"/>
      <w:szCs w:val="24"/>
      <w:lang w:val="en-US" w:eastAsia="zh-CN" w:bidi="ar-SA"/>
    </w:rPr>
  </w:style>
  <w:style w:type="character" w:customStyle="1" w:styleId="65">
    <w:name w:val="批注文字 字符1"/>
    <w:link w:val="18"/>
    <w:qFormat/>
    <w:uiPriority w:val="0"/>
    <w:rPr>
      <w:rFonts w:ascii="Times New Roman" w:hAnsi="Times New Roman" w:eastAsia="宋体" w:cs="Times New Roman"/>
      <w:kern w:val="2"/>
      <w:sz w:val="21"/>
      <w:szCs w:val="24"/>
    </w:rPr>
  </w:style>
  <w:style w:type="character" w:customStyle="1" w:styleId="66">
    <w:name w:val="纯文本 字符"/>
    <w:link w:val="26"/>
    <w:qFormat/>
    <w:uiPriority w:val="0"/>
    <w:rPr>
      <w:rFonts w:ascii="宋体" w:hAnsi="Courier New" w:eastAsia="宋体" w:cs="Times New Roman"/>
      <w:kern w:val="2"/>
      <w:sz w:val="21"/>
      <w:szCs w:val="24"/>
      <w:lang w:val="en-US" w:eastAsia="zh-CN" w:bidi="ar-SA"/>
    </w:rPr>
  </w:style>
  <w:style w:type="character" w:customStyle="1" w:styleId="67">
    <w:name w:val="页脚 字符"/>
    <w:link w:val="31"/>
    <w:qFormat/>
    <w:uiPriority w:val="0"/>
    <w:rPr>
      <w:rFonts w:ascii="Times New Roman" w:hAnsi="Times New Roman" w:eastAsia="宋体" w:cs="Times New Roman"/>
      <w:kern w:val="2"/>
      <w:sz w:val="18"/>
      <w:szCs w:val="18"/>
      <w:lang w:val="en-US" w:eastAsia="zh-CN" w:bidi="ar-SA"/>
    </w:rPr>
  </w:style>
  <w:style w:type="character" w:customStyle="1" w:styleId="68">
    <w:name w:val="页眉 字符"/>
    <w:link w:val="32"/>
    <w:qFormat/>
    <w:uiPriority w:val="0"/>
    <w:rPr>
      <w:rFonts w:ascii="Times New Roman" w:hAnsi="Times New Roman" w:eastAsia="宋体" w:cs="Times New Roman"/>
      <w:kern w:val="2"/>
      <w:sz w:val="18"/>
      <w:szCs w:val="24"/>
    </w:rPr>
  </w:style>
  <w:style w:type="character" w:customStyle="1" w:styleId="69">
    <w:name w:val="正文文本 2 字符"/>
    <w:link w:val="6"/>
    <w:qFormat/>
    <w:uiPriority w:val="0"/>
    <w:rPr>
      <w:rFonts w:ascii="Arial" w:hAnsi="Arial" w:eastAsia="宋体" w:cs="Times New Roman"/>
      <w:color w:val="000000"/>
      <w:kern w:val="2"/>
      <w:sz w:val="21"/>
      <w:szCs w:val="24"/>
    </w:rPr>
  </w:style>
  <w:style w:type="character" w:customStyle="1" w:styleId="70">
    <w:name w:val="正文文本首行缩进 字符"/>
    <w:link w:val="47"/>
    <w:qFormat/>
    <w:uiPriority w:val="0"/>
    <w:rPr>
      <w:kern w:val="2"/>
      <w:sz w:val="21"/>
      <w:szCs w:val="24"/>
    </w:rPr>
  </w:style>
  <w:style w:type="character" w:customStyle="1" w:styleId="71">
    <w:name w:val="纯文本 Char1"/>
    <w:qFormat/>
    <w:uiPriority w:val="0"/>
    <w:rPr>
      <w:rFonts w:ascii="宋体" w:hAnsi="Courier New" w:eastAsia="宋体" w:cs="Times New Roman"/>
      <w:kern w:val="2"/>
      <w:sz w:val="21"/>
      <w:lang w:val="en-US" w:eastAsia="zh-CN" w:bidi="ar-SA"/>
    </w:rPr>
  </w:style>
  <w:style w:type="character" w:customStyle="1" w:styleId="72">
    <w:name w:val="para"/>
    <w:qFormat/>
    <w:uiPriority w:val="0"/>
    <w:rPr>
      <w:rFonts w:ascii="Times New Roman" w:hAnsi="Times New Roman" w:eastAsia="宋体" w:cs="Times New Roman"/>
    </w:rPr>
  </w:style>
  <w:style w:type="character" w:customStyle="1" w:styleId="73">
    <w:name w:val="卷标题 Char"/>
    <w:qFormat/>
    <w:uiPriority w:val="0"/>
    <w:rPr>
      <w:rFonts w:ascii="Times New Roman" w:hAnsi="Times New Roman" w:eastAsia="宋体" w:cs="Times New Roman"/>
      <w:b/>
      <w:bCs/>
      <w:kern w:val="44"/>
      <w:sz w:val="44"/>
      <w:szCs w:val="44"/>
      <w:lang w:val="en-US" w:eastAsia="zh-CN" w:bidi="ar-SA"/>
    </w:rPr>
  </w:style>
  <w:style w:type="character" w:customStyle="1" w:styleId="74">
    <w:name w:val="Char1 Char Char Char Char"/>
    <w:link w:val="75"/>
    <w:qFormat/>
    <w:uiPriority w:val="0"/>
    <w:rPr>
      <w:rFonts w:ascii="Verdana" w:hAnsi="Verdana" w:eastAsia="仿宋_GB2312" w:cs="Times New Roman"/>
      <w:sz w:val="24"/>
      <w:lang w:val="en-US" w:eastAsia="en-US" w:bidi="ar-SA"/>
    </w:rPr>
  </w:style>
  <w:style w:type="paragraph" w:customStyle="1" w:styleId="75">
    <w:name w:val="Char1 Char Char"/>
    <w:basedOn w:val="1"/>
    <w:link w:val="74"/>
    <w:qFormat/>
    <w:uiPriority w:val="0"/>
    <w:pPr>
      <w:widowControl/>
      <w:spacing w:after="160" w:line="240" w:lineRule="exact"/>
      <w:jc w:val="left"/>
    </w:pPr>
    <w:rPr>
      <w:rFonts w:ascii="Verdana" w:hAnsi="Verdana" w:eastAsia="仿宋_GB2312"/>
      <w:sz w:val="24"/>
      <w:lang w:eastAsia="en-US"/>
    </w:rPr>
  </w:style>
  <w:style w:type="character" w:customStyle="1" w:styleId="76">
    <w:name w:val="font31"/>
    <w:qFormat/>
    <w:uiPriority w:val="0"/>
    <w:rPr>
      <w:rFonts w:hint="eastAsia" w:ascii="宋体" w:hAnsi="宋体" w:eastAsia="宋体" w:cs="宋体"/>
      <w:color w:val="000000"/>
      <w:sz w:val="24"/>
      <w:szCs w:val="24"/>
      <w:u w:val="none"/>
    </w:rPr>
  </w:style>
  <w:style w:type="character" w:customStyle="1" w:styleId="77">
    <w:name w:val="tpc_content1"/>
    <w:qFormat/>
    <w:uiPriority w:val="0"/>
    <w:rPr>
      <w:rFonts w:ascii="Times New Roman" w:hAnsi="Times New Roman" w:eastAsia="宋体" w:cs="Times New Roman"/>
      <w:sz w:val="20"/>
      <w:szCs w:val="20"/>
    </w:rPr>
  </w:style>
  <w:style w:type="character" w:customStyle="1" w:styleId="78">
    <w:name w:val="DAS正文 Char Char"/>
    <w:qFormat/>
    <w:uiPriority w:val="0"/>
    <w:rPr>
      <w:rFonts w:ascii="Verdana" w:hAnsi="Verdana" w:eastAsia="宋体" w:cs="Times New Roman"/>
      <w:kern w:val="2"/>
      <w:sz w:val="21"/>
      <w:szCs w:val="21"/>
      <w:lang w:val="en-US" w:eastAsia="zh-CN" w:bidi="ar-SA"/>
    </w:rPr>
  </w:style>
  <w:style w:type="character" w:customStyle="1" w:styleId="79">
    <w:name w:val="纯文本 Char2"/>
    <w:qFormat/>
    <w:uiPriority w:val="0"/>
    <w:rPr>
      <w:rFonts w:ascii="宋体" w:hAnsi="Courier New" w:eastAsia="宋体" w:cs="Times New Roman"/>
      <w:kern w:val="2"/>
      <w:sz w:val="21"/>
      <w:szCs w:val="24"/>
      <w:lang w:val="en-US" w:eastAsia="zh-CN" w:bidi="ar-SA"/>
    </w:rPr>
  </w:style>
  <w:style w:type="character" w:customStyle="1" w:styleId="80">
    <w:name w:val="unnamed1"/>
    <w:qFormat/>
    <w:uiPriority w:val="0"/>
    <w:rPr>
      <w:rFonts w:ascii="Times New Roman" w:hAnsi="Times New Roman" w:eastAsia="宋体" w:cs="Times New Roman"/>
    </w:rPr>
  </w:style>
  <w:style w:type="character" w:customStyle="1" w:styleId="81">
    <w:name w:val="批注文字 字符"/>
    <w:qFormat/>
    <w:uiPriority w:val="0"/>
    <w:rPr>
      <w:rFonts w:ascii="Times New Roman" w:hAnsi="Times New Roman" w:eastAsia="宋体" w:cs="Times New Roman"/>
      <w:kern w:val="2"/>
      <w:sz w:val="21"/>
      <w:szCs w:val="24"/>
    </w:rPr>
  </w:style>
  <w:style w:type="character" w:customStyle="1" w:styleId="82">
    <w:name w:val="样式 标准正文 + 宋体 Char Char"/>
    <w:link w:val="83"/>
    <w:qFormat/>
    <w:uiPriority w:val="0"/>
    <w:rPr>
      <w:rFonts w:ascii="宋体" w:hAnsi="宋体" w:eastAsia="宋体" w:cs="Times New Roman"/>
      <w:kern w:val="2"/>
      <w:sz w:val="24"/>
      <w:szCs w:val="24"/>
      <w:lang w:val="en-US" w:eastAsia="zh-CN" w:bidi="ar-SA"/>
    </w:rPr>
  </w:style>
  <w:style w:type="paragraph" w:customStyle="1" w:styleId="83">
    <w:name w:val="样式 标准正文 + 宋体"/>
    <w:basedOn w:val="1"/>
    <w:link w:val="82"/>
    <w:qFormat/>
    <w:uiPriority w:val="0"/>
    <w:pPr>
      <w:spacing w:before="60" w:after="60" w:line="360" w:lineRule="auto"/>
      <w:ind w:firstLine="482"/>
    </w:pPr>
    <w:rPr>
      <w:rFonts w:ascii="宋体" w:hAnsi="宋体"/>
      <w:sz w:val="24"/>
    </w:rPr>
  </w:style>
  <w:style w:type="character" w:customStyle="1" w:styleId="84">
    <w:name w:val="zhou11"/>
    <w:qFormat/>
    <w:uiPriority w:val="0"/>
    <w:rPr>
      <w:rFonts w:ascii="Times New Roman" w:hAnsi="Times New Roman" w:eastAsia="宋体" w:cs="Times New Roman"/>
      <w:color w:val="000000"/>
      <w:sz w:val="28"/>
      <w:szCs w:val="28"/>
    </w:rPr>
  </w:style>
  <w:style w:type="character" w:customStyle="1" w:styleId="85">
    <w:name w:val="批注文字 Char1"/>
    <w:qFormat/>
    <w:uiPriority w:val="0"/>
    <w:rPr>
      <w:rFonts w:ascii="Times New Roman" w:hAnsi="Times New Roman" w:eastAsia="宋体" w:cs="Times New Roman"/>
      <w:szCs w:val="24"/>
    </w:rPr>
  </w:style>
  <w:style w:type="character" w:customStyle="1" w:styleId="86">
    <w:name w:val="访问过的超链接1"/>
    <w:qFormat/>
    <w:uiPriority w:val="0"/>
    <w:rPr>
      <w:rFonts w:ascii="Times New Roman" w:hAnsi="Times New Roman" w:eastAsia="宋体" w:cs="Times New Roman"/>
      <w:color w:val="800080"/>
      <w:u w:val="single"/>
    </w:rPr>
  </w:style>
  <w:style w:type="character" w:customStyle="1" w:styleId="87">
    <w:name w:val="标题 2 Char"/>
    <w:qFormat/>
    <w:uiPriority w:val="0"/>
    <w:rPr>
      <w:rFonts w:ascii="Arial" w:hAnsi="Arial" w:eastAsia="黑体" w:cs="Times New Roman"/>
      <w:b/>
      <w:bCs/>
      <w:kern w:val="2"/>
      <w:sz w:val="32"/>
      <w:szCs w:val="32"/>
      <w:lang w:val="en-US" w:eastAsia="zh-CN" w:bidi="ar-SA"/>
    </w:rPr>
  </w:style>
  <w:style w:type="character" w:customStyle="1" w:styleId="88">
    <w:name w:val="Char Char1"/>
    <w:qFormat/>
    <w:uiPriority w:val="0"/>
    <w:rPr>
      <w:rFonts w:ascii="宋体" w:hAnsi="Courier New" w:eastAsia="宋体" w:cs="Times New Roman"/>
      <w:kern w:val="2"/>
      <w:sz w:val="21"/>
      <w:szCs w:val="24"/>
      <w:lang w:val="en-US" w:eastAsia="zh-CN" w:bidi="ar-SA"/>
    </w:rPr>
  </w:style>
  <w:style w:type="character" w:customStyle="1" w:styleId="89">
    <w:name w:val="grame"/>
    <w:qFormat/>
    <w:uiPriority w:val="0"/>
    <w:rPr>
      <w:rFonts w:ascii="Times New Roman" w:hAnsi="Times New Roman" w:eastAsia="宋体" w:cs="Times New Roman"/>
    </w:rPr>
  </w:style>
  <w:style w:type="character" w:customStyle="1" w:styleId="90">
    <w:name w:val="正文样式 Char Char"/>
    <w:link w:val="91"/>
    <w:qFormat/>
    <w:uiPriority w:val="0"/>
    <w:rPr>
      <w:rFonts w:ascii="宋体" w:hAnsi="宋体" w:eastAsia="宋体" w:cs="Times New Roman"/>
      <w:kern w:val="2"/>
      <w:sz w:val="24"/>
      <w:szCs w:val="24"/>
    </w:rPr>
  </w:style>
  <w:style w:type="paragraph" w:customStyle="1" w:styleId="91">
    <w:name w:val="正文样式"/>
    <w:basedOn w:val="1"/>
    <w:link w:val="90"/>
    <w:qFormat/>
    <w:uiPriority w:val="0"/>
    <w:pPr>
      <w:spacing w:line="360" w:lineRule="auto"/>
      <w:ind w:firstLine="480" w:firstLineChars="200"/>
    </w:pPr>
    <w:rPr>
      <w:rFonts w:ascii="宋体" w:hAnsi="宋体"/>
      <w:sz w:val="24"/>
    </w:rPr>
  </w:style>
  <w:style w:type="character" w:customStyle="1" w:styleId="92">
    <w:name w:val="p141"/>
    <w:qFormat/>
    <w:uiPriority w:val="0"/>
    <w:rPr>
      <w:rFonts w:ascii="Times New Roman" w:hAnsi="Times New Roman" w:eastAsia="宋体" w:cs="Times New Roman"/>
      <w:sz w:val="21"/>
      <w:szCs w:val="21"/>
    </w:rPr>
  </w:style>
  <w:style w:type="character" w:customStyle="1" w:styleId="93">
    <w:name w:val="p105"/>
    <w:qFormat/>
    <w:uiPriority w:val="0"/>
    <w:rPr>
      <w:rFonts w:ascii="Times New Roman" w:hAnsi="Times New Roman" w:eastAsia="宋体" w:cs="Times New Roman"/>
    </w:rPr>
  </w:style>
  <w:style w:type="character" w:customStyle="1" w:styleId="94">
    <w:name w:val="black11"/>
    <w:qFormat/>
    <w:uiPriority w:val="0"/>
    <w:rPr>
      <w:rFonts w:ascii="Times New Roman" w:hAnsi="Times New Roman" w:eastAsia="宋体" w:cs="Times New Roman"/>
      <w:color w:val="000000"/>
      <w:sz w:val="18"/>
      <w:szCs w:val="18"/>
    </w:rPr>
  </w:style>
  <w:style w:type="character" w:customStyle="1" w:styleId="95">
    <w:name w:val="font91"/>
    <w:qFormat/>
    <w:uiPriority w:val="0"/>
    <w:rPr>
      <w:rFonts w:hint="default" w:ascii="Arial" w:hAnsi="Arial" w:eastAsia="宋体" w:cs="Arial"/>
      <w:sz w:val="16"/>
      <w:szCs w:val="16"/>
    </w:rPr>
  </w:style>
  <w:style w:type="character" w:customStyle="1" w:styleId="96">
    <w:name w:val="keyfeatures1"/>
    <w:qFormat/>
    <w:uiPriority w:val="0"/>
    <w:rPr>
      <w:rFonts w:hint="default" w:ascii="Arial" w:hAnsi="Arial" w:eastAsia="宋体" w:cs="Arial"/>
      <w:color w:val="003366"/>
      <w:sz w:val="17"/>
      <w:szCs w:val="17"/>
      <w:u w:val="none"/>
    </w:rPr>
  </w:style>
  <w:style w:type="character" w:customStyle="1" w:styleId="97">
    <w:name w:val="普通文字1 Char"/>
    <w:qFormat/>
    <w:uiPriority w:val="0"/>
    <w:rPr>
      <w:rFonts w:ascii="宋体" w:hAnsi="Courier New" w:eastAsia="宋体" w:cs="Times New Roman"/>
      <w:kern w:val="2"/>
      <w:sz w:val="21"/>
      <w:lang w:val="en-US" w:eastAsia="zh-CN" w:bidi="ar-SA"/>
    </w:rPr>
  </w:style>
  <w:style w:type="character" w:customStyle="1" w:styleId="98">
    <w:name w:val="Char Char Char Char Char Char Char Char Char"/>
    <w:qFormat/>
    <w:uiPriority w:val="0"/>
    <w:rPr>
      <w:rFonts w:ascii="宋体" w:hAnsi="Courier New" w:eastAsia="宋体" w:cs="Times New Roman"/>
      <w:kern w:val="2"/>
      <w:sz w:val="21"/>
      <w:szCs w:val="24"/>
      <w:lang w:val="en-US" w:eastAsia="zh-CN" w:bidi="ar-SA"/>
    </w:rPr>
  </w:style>
  <w:style w:type="character" w:customStyle="1" w:styleId="99">
    <w:name w:val="Char Char5"/>
    <w:qFormat/>
    <w:uiPriority w:val="0"/>
    <w:rPr>
      <w:rFonts w:ascii="Times New Roman" w:hAnsi="Times New Roman" w:eastAsia="宋体" w:cs="Times New Roman"/>
      <w:kern w:val="2"/>
      <w:sz w:val="21"/>
      <w:lang w:val="en-US" w:eastAsia="zh-CN" w:bidi="ar-SA"/>
    </w:rPr>
  </w:style>
  <w:style w:type="character" w:customStyle="1" w:styleId="100">
    <w:name w:val="style61"/>
    <w:qFormat/>
    <w:uiPriority w:val="0"/>
    <w:rPr>
      <w:rFonts w:ascii="Times New Roman" w:hAnsi="Times New Roman" w:eastAsia="宋体" w:cs="Times New Roman"/>
      <w:b/>
      <w:bCs/>
    </w:rPr>
  </w:style>
  <w:style w:type="character" w:customStyle="1" w:styleId="101">
    <w:name w:val="正文缩进2格 Char"/>
    <w:qFormat/>
    <w:uiPriority w:val="0"/>
    <w:rPr>
      <w:rFonts w:ascii="仿宋_GB2312" w:hAnsi="宋体" w:eastAsia="仿宋_GB2312" w:cs="Times New Roman"/>
      <w:kern w:val="2"/>
      <w:sz w:val="31"/>
      <w:lang w:val="en-US" w:eastAsia="zh-CN" w:bidi="ar-SA"/>
    </w:rPr>
  </w:style>
  <w:style w:type="character" w:customStyle="1" w:styleId="102">
    <w:name w:val="普通文字1 Char1"/>
    <w:qFormat/>
    <w:uiPriority w:val="0"/>
    <w:rPr>
      <w:rFonts w:ascii="宋体" w:hAnsi="Courier New" w:eastAsia="宋体" w:cs="Times New Roman"/>
      <w:kern w:val="2"/>
      <w:sz w:val="21"/>
      <w:szCs w:val="24"/>
      <w:lang w:val="en-US" w:eastAsia="zh-CN" w:bidi="ar-SA"/>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styleId="104">
    <w:name w:val="List Paragraph"/>
    <w:basedOn w:val="1"/>
    <w:link w:val="103"/>
    <w:qFormat/>
    <w:uiPriority w:val="0"/>
    <w:pPr>
      <w:ind w:firstLine="420" w:firstLineChars="200"/>
    </w:pPr>
    <w:rPr>
      <w:rFonts w:ascii="Calibri" w:hAnsi="Calibri"/>
      <w:szCs w:val="22"/>
    </w:rPr>
  </w:style>
  <w:style w:type="character" w:customStyle="1" w:styleId="105">
    <w:name w:val="正文(首行缩进) Char Char"/>
    <w:link w:val="106"/>
    <w:qFormat/>
    <w:uiPriority w:val="0"/>
    <w:rPr>
      <w:rFonts w:ascii="宋体" w:hAnsi="宋体" w:eastAsia="Times New Roman" w:cs="Times New Roman"/>
      <w:spacing w:val="20"/>
      <w:kern w:val="24"/>
      <w:sz w:val="21"/>
      <w:szCs w:val="21"/>
      <w:lang w:val="en-IE" w:eastAsia="zh-CN" w:bidi="ar-SA"/>
    </w:rPr>
  </w:style>
  <w:style w:type="paragraph" w:customStyle="1" w:styleId="106">
    <w:name w:val="正文(首行缩进)"/>
    <w:link w:val="105"/>
    <w:qFormat/>
    <w:uiPriority w:val="0"/>
    <w:pPr>
      <w:ind w:firstLine="500" w:firstLineChars="200"/>
      <w:jc w:val="both"/>
    </w:pPr>
    <w:rPr>
      <w:rFonts w:ascii="宋体" w:hAnsi="宋体" w:eastAsia="Times New Roman" w:cs="Times New Roman"/>
      <w:spacing w:val="20"/>
      <w:kern w:val="24"/>
      <w:sz w:val="21"/>
      <w:szCs w:val="21"/>
      <w:lang w:val="en-IE" w:eastAsia="zh-CN" w:bidi="ar-SA"/>
    </w:rPr>
  </w:style>
  <w:style w:type="character" w:customStyle="1" w:styleId="107">
    <w:name w:val="unnamed31"/>
    <w:qFormat/>
    <w:uiPriority w:val="0"/>
    <w:rPr>
      <w:rFonts w:ascii="Times New Roman" w:hAnsi="Times New Roman" w:eastAsia="宋体" w:cs="Times New Roman"/>
      <w:color w:val="000066"/>
      <w:sz w:val="20"/>
      <w:szCs w:val="20"/>
    </w:rPr>
  </w:style>
  <w:style w:type="character" w:customStyle="1" w:styleId="108">
    <w:name w:val="标题1"/>
    <w:qFormat/>
    <w:uiPriority w:val="0"/>
    <w:rPr>
      <w:rFonts w:ascii="Times New Roman" w:hAnsi="Times New Roman" w:eastAsia="宋体" w:cs="Times New Roman"/>
    </w:rPr>
  </w:style>
  <w:style w:type="character" w:customStyle="1" w:styleId="109">
    <w:name w:val="article1"/>
    <w:qFormat/>
    <w:uiPriority w:val="0"/>
    <w:rPr>
      <w:rFonts w:ascii="Times New Roman" w:hAnsi="Times New Roman" w:eastAsia="宋体" w:cs="Times New Roman"/>
      <w:sz w:val="30"/>
      <w:szCs w:val="30"/>
    </w:rPr>
  </w:style>
  <w:style w:type="character" w:customStyle="1" w:styleId="110">
    <w:name w:val="正文缩进2格 Char Char"/>
    <w:link w:val="111"/>
    <w:qFormat/>
    <w:uiPriority w:val="0"/>
    <w:rPr>
      <w:rFonts w:ascii="仿宋_GB2312" w:hAnsi="宋体" w:eastAsia="仿宋_GB2312" w:cs="Times New Roman"/>
      <w:kern w:val="2"/>
      <w:sz w:val="31"/>
      <w:szCs w:val="28"/>
      <w:lang w:val="en-US" w:eastAsia="zh-CN" w:bidi="ar-SA"/>
    </w:rPr>
  </w:style>
  <w:style w:type="paragraph" w:customStyle="1" w:styleId="111">
    <w:name w:val="正文缩进2格"/>
    <w:basedOn w:val="1"/>
    <w:link w:val="110"/>
    <w:qFormat/>
    <w:uiPriority w:val="0"/>
    <w:pPr>
      <w:spacing w:line="600" w:lineRule="exact"/>
      <w:ind w:firstLine="639" w:firstLineChars="206"/>
    </w:pPr>
    <w:rPr>
      <w:rFonts w:ascii="仿宋_GB2312" w:hAnsi="宋体" w:eastAsia="仿宋_GB2312"/>
      <w:sz w:val="31"/>
      <w:szCs w:val="28"/>
    </w:rPr>
  </w:style>
  <w:style w:type="character" w:customStyle="1" w:styleId="112">
    <w:name w:val="f141"/>
    <w:qFormat/>
    <w:uiPriority w:val="0"/>
    <w:rPr>
      <w:rFonts w:ascii="Times New Roman" w:hAnsi="Times New Roman" w:eastAsia="宋体" w:cs="Times New Roman"/>
      <w:sz w:val="21"/>
      <w:szCs w:val="21"/>
    </w:rPr>
  </w:style>
  <w:style w:type="character" w:customStyle="1" w:styleId="113">
    <w:name w:val="font41"/>
    <w:qFormat/>
    <w:uiPriority w:val="0"/>
    <w:rPr>
      <w:rFonts w:hint="eastAsia" w:ascii="宋体" w:hAnsi="宋体" w:eastAsia="宋体" w:cs="宋体"/>
      <w:color w:val="000000"/>
      <w:sz w:val="24"/>
      <w:szCs w:val="24"/>
      <w:u w:val="none"/>
      <w:vertAlign w:val="superscript"/>
    </w:rPr>
  </w:style>
  <w:style w:type="paragraph" w:customStyle="1" w:styleId="114">
    <w:name w:val="Char Char111"/>
    <w:basedOn w:val="16"/>
    <w:qFormat/>
    <w:uiPriority w:val="0"/>
  </w:style>
  <w:style w:type="paragraph" w:customStyle="1" w:styleId="115">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10"/>
    <w:basedOn w:val="1"/>
    <w:qFormat/>
    <w:uiPriority w:val="0"/>
    <w:pPr>
      <w:widowControl/>
      <w:spacing w:before="100" w:beforeAutospacing="1" w:after="100" w:afterAutospacing="1"/>
      <w:jc w:val="left"/>
    </w:pPr>
    <w:rPr>
      <w:kern w:val="0"/>
      <w:sz w:val="20"/>
      <w:szCs w:val="20"/>
    </w:rPr>
  </w:style>
  <w:style w:type="paragraph" w:customStyle="1" w:styleId="117">
    <w:name w:val="Char Char Char Char Char Char Char Char1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8">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9">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
    <w:name w:val="Graphics"/>
    <w:basedOn w:val="1"/>
    <w:qFormat/>
    <w:uiPriority w:val="0"/>
    <w:pPr>
      <w:widowControl/>
      <w:spacing w:before="120"/>
      <w:jc w:val="left"/>
    </w:pPr>
    <w:rPr>
      <w:color w:val="000000"/>
      <w:kern w:val="0"/>
      <w:sz w:val="20"/>
      <w:szCs w:val="20"/>
      <w:lang w:eastAsia="en-US"/>
    </w:rPr>
  </w:style>
  <w:style w:type="paragraph" w:customStyle="1" w:styleId="123">
    <w:name w:val="List Paragraph1"/>
    <w:basedOn w:val="1"/>
    <w:qFormat/>
    <w:uiPriority w:val="0"/>
    <w:pPr>
      <w:ind w:firstLine="420" w:firstLineChars="200"/>
    </w:pPr>
  </w:style>
  <w:style w:type="paragraph" w:customStyle="1" w:styleId="124">
    <w:name w:val="首行缩进"/>
    <w:basedOn w:val="1"/>
    <w:qFormat/>
    <w:uiPriority w:val="0"/>
    <w:pPr>
      <w:ind w:firstLine="480"/>
    </w:pPr>
    <w:rPr>
      <w:lang w:val="zh-CN"/>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26">
    <w:name w:val="标题 3.5"/>
    <w:basedOn w:val="4"/>
    <w:qFormat/>
    <w:uiPriority w:val="0"/>
    <w:pPr>
      <w:keepNext w:val="0"/>
      <w:keepLines w:val="0"/>
      <w:numPr>
        <w:ilvl w:val="0"/>
        <w:numId w:val="0"/>
      </w:numPr>
      <w:spacing w:before="0" w:after="0" w:line="600" w:lineRule="exact"/>
      <w:outlineLvl w:val="9"/>
    </w:pPr>
    <w:rPr>
      <w:rFonts w:eastAsia="仿宋_GB2312"/>
      <w:b w:val="0"/>
      <w:sz w:val="31"/>
    </w:rPr>
  </w:style>
  <w:style w:type="paragraph" w:customStyle="1" w:styleId="127">
    <w:name w:val="14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28">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缩进）"/>
    <w:basedOn w:val="1"/>
    <w:qFormat/>
    <w:uiPriority w:val="0"/>
    <w:pPr>
      <w:spacing w:before="156" w:beforeLines="50" w:after="156" w:afterLines="50" w:line="360" w:lineRule="auto"/>
      <w:ind w:firstLine="480" w:firstLineChars="200"/>
    </w:pPr>
    <w:rPr>
      <w:sz w:val="24"/>
    </w:rPr>
  </w:style>
  <w:style w:type="paragraph" w:customStyle="1" w:styleId="131">
    <w:name w:val="xl37"/>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132">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13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1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5">
    <w:name w:val="Char Char Char1"/>
    <w:basedOn w:val="1"/>
    <w:qFormat/>
    <w:uiPriority w:val="0"/>
    <w:rPr>
      <w:rFonts w:ascii="Tahoma" w:hAnsi="Tahoma"/>
      <w:b/>
      <w:kern w:val="0"/>
      <w:sz w:val="28"/>
      <w:szCs w:val="20"/>
    </w:rPr>
  </w:style>
  <w:style w:type="paragraph" w:customStyle="1" w:styleId="136">
    <w:name w:val="样式 标题 3Level 3 HeadH3Heading 3 - oldh3sect1.2.3Head33l3..."/>
    <w:basedOn w:val="4"/>
    <w:qFormat/>
    <w:uiPriority w:val="0"/>
    <w:pPr>
      <w:keepNext w:val="0"/>
      <w:keepLines w:val="0"/>
      <w:numPr>
        <w:ilvl w:val="0"/>
        <w:numId w:val="0"/>
      </w:numPr>
      <w:tabs>
        <w:tab w:val="left" w:pos="720"/>
      </w:tabs>
      <w:spacing w:before="0" w:after="0" w:line="360" w:lineRule="auto"/>
      <w:ind w:left="720" w:hanging="720"/>
    </w:pPr>
    <w:rPr>
      <w:rFonts w:cs="宋体"/>
      <w:b w:val="0"/>
      <w:sz w:val="21"/>
      <w:szCs w:val="20"/>
    </w:rPr>
  </w:style>
  <w:style w:type="paragraph" w:customStyle="1" w:styleId="137">
    <w:name w:val="_Style 1"/>
    <w:basedOn w:val="1"/>
    <w:qFormat/>
    <w:uiPriority w:val="0"/>
    <w:pPr>
      <w:widowControl/>
      <w:jc w:val="left"/>
    </w:pPr>
    <w:rPr>
      <w:rFonts w:ascii="宋体" w:hAnsi="宋体"/>
      <w:b/>
      <w:kern w:val="0"/>
      <w:sz w:val="28"/>
      <w:szCs w:val="28"/>
    </w:rPr>
  </w:style>
  <w:style w:type="paragraph" w:customStyle="1" w:styleId="138">
    <w:name w:val="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3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40">
    <w:name w:val="题注5"/>
    <w:basedOn w:val="1"/>
    <w:next w:val="14"/>
    <w:qFormat/>
    <w:uiPriority w:val="0"/>
    <w:pPr>
      <w:jc w:val="center"/>
    </w:pPr>
    <w:rPr>
      <w:b/>
      <w:color w:val="000000"/>
      <w:sz w:val="24"/>
      <w:szCs w:val="21"/>
    </w:rPr>
  </w:style>
  <w:style w:type="paragraph" w:customStyle="1" w:styleId="141">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142">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1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44">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45">
    <w:name w:val="正文正"/>
    <w:basedOn w:val="146"/>
    <w:qFormat/>
    <w:uiPriority w:val="0"/>
    <w:pPr>
      <w:spacing w:line="560" w:lineRule="exact"/>
      <w:ind w:firstLine="561"/>
    </w:pPr>
    <w:rPr>
      <w:rFonts w:eastAsia="仿宋_GB2312"/>
      <w:sz w:val="28"/>
    </w:rPr>
  </w:style>
  <w:style w:type="paragraph" w:customStyle="1" w:styleId="146">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47">
    <w:name w:val="xl26"/>
    <w:basedOn w:val="1"/>
    <w:qFormat/>
    <w:uiPriority w:val="0"/>
    <w:pPr>
      <w:widowControl/>
      <w:spacing w:before="100" w:beforeAutospacing="1" w:after="100" w:afterAutospacing="1"/>
      <w:jc w:val="center"/>
    </w:pPr>
    <w:rPr>
      <w:rFonts w:hint="eastAsia" w:ascii="仿宋_GB2312" w:hAnsi="宋体" w:eastAsia="仿宋_GB2312"/>
    </w:rPr>
  </w:style>
  <w:style w:type="paragraph" w:customStyle="1" w:styleId="148">
    <w:name w:val="块引用"/>
    <w:basedOn w:val="1"/>
    <w:qFormat/>
    <w:uiPriority w:val="0"/>
    <w:pPr>
      <w:keepLines/>
      <w:ind w:left="360" w:right="360"/>
      <w:jc w:val="center"/>
    </w:pPr>
    <w:rPr>
      <w:i/>
    </w:rPr>
  </w:style>
  <w:style w:type="paragraph" w:customStyle="1" w:styleId="14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0">
    <w:name w:val="进度表"/>
    <w:basedOn w:val="5"/>
    <w:qFormat/>
    <w:uiPriority w:val="0"/>
    <w:pPr>
      <w:snapToGrid w:val="0"/>
      <w:spacing w:line="440" w:lineRule="atLeast"/>
      <w:ind w:hanging="130" w:firstLineChars="0"/>
    </w:pPr>
    <w:rPr>
      <w:rFonts w:ascii="宋体"/>
      <w:color w:val="000000"/>
      <w:position w:val="-6"/>
      <w:sz w:val="28"/>
      <w:szCs w:val="20"/>
    </w:rPr>
  </w:style>
  <w:style w:type="paragraph" w:customStyle="1" w:styleId="151">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152">
    <w:name w:val="表格"/>
    <w:basedOn w:val="1"/>
    <w:qFormat/>
    <w:uiPriority w:val="0"/>
    <w:pPr>
      <w:spacing w:line="400" w:lineRule="atLeast"/>
    </w:pPr>
    <w:rPr>
      <w:b/>
      <w:bCs/>
      <w:color w:val="000000"/>
      <w:sz w:val="24"/>
    </w:rPr>
  </w:style>
  <w:style w:type="paragraph" w:customStyle="1" w:styleId="153">
    <w:name w:val="xl3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54">
    <w:name w:val="Char1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56">
    <w:name w:val="2册标题2"/>
    <w:basedOn w:val="1"/>
    <w:next w:val="1"/>
    <w:qFormat/>
    <w:uiPriority w:val="0"/>
    <w:pPr>
      <w:spacing w:before="156" w:beforeLines="50" w:after="156" w:afterLines="50"/>
      <w:ind w:left="-175" w:leftChars="-85" w:hanging="3" w:hangingChars="1"/>
      <w:outlineLvl w:val="1"/>
    </w:pPr>
    <w:rPr>
      <w:rFonts w:ascii="Arial" w:hAnsi="Arial" w:eastAsia="黑体" w:cs="Arial"/>
      <w:sz w:val="30"/>
      <w:szCs w:val="30"/>
    </w:rPr>
  </w:style>
  <w:style w:type="paragraph" w:customStyle="1" w:styleId="15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160">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61">
    <w:name w:val="正文2"/>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16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3">
    <w:name w:val="xl39"/>
    <w:basedOn w:val="1"/>
    <w:qFormat/>
    <w:uiPriority w:val="0"/>
    <w:pPr>
      <w:widowControl/>
      <w:spacing w:before="100" w:beforeAutospacing="1" w:after="100" w:afterAutospacing="1"/>
      <w:jc w:val="center"/>
    </w:pPr>
    <w:rPr>
      <w:rFonts w:ascii="宋体" w:hAnsi="宋体"/>
      <w:kern w:val="0"/>
      <w:sz w:val="24"/>
    </w:rPr>
  </w:style>
  <w:style w:type="paragraph" w:customStyle="1" w:styleId="164">
    <w:name w:val="缺省文本"/>
    <w:basedOn w:val="1"/>
    <w:qFormat/>
    <w:uiPriority w:val="0"/>
    <w:pPr>
      <w:autoSpaceDE w:val="0"/>
      <w:autoSpaceDN w:val="0"/>
      <w:adjustRightInd w:val="0"/>
      <w:jc w:val="left"/>
    </w:pPr>
    <w:rPr>
      <w:kern w:val="0"/>
      <w:sz w:val="24"/>
      <w:szCs w:val="20"/>
    </w:rPr>
  </w:style>
  <w:style w:type="paragraph" w:customStyle="1" w:styleId="165">
    <w:name w:val="msolistparagraph"/>
    <w:qFormat/>
    <w:uiPriority w:val="0"/>
    <w:pPr>
      <w:ind w:firstLine="420" w:firstLineChars="200"/>
    </w:pPr>
    <w:rPr>
      <w:rFonts w:hint="eastAsia" w:ascii="宋体" w:hAnsi="宋体" w:eastAsia="宋体" w:cs="Times New Roman"/>
      <w:sz w:val="24"/>
      <w:szCs w:val="24"/>
      <w:lang w:val="en-US" w:eastAsia="zh-CN" w:bidi="ar-SA"/>
    </w:rPr>
  </w:style>
  <w:style w:type="paragraph" w:customStyle="1" w:styleId="16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168">
    <w:name w:val="样式1"/>
    <w:basedOn w:val="3"/>
    <w:qFormat/>
    <w:uiPriority w:val="0"/>
    <w:pPr>
      <w:keepLines/>
      <w:widowControl/>
      <w:numPr>
        <w:ilvl w:val="0"/>
        <w:numId w:val="0"/>
      </w:numPr>
      <w:tabs>
        <w:tab w:val="left" w:pos="1134"/>
      </w:tabs>
      <w:adjustRightInd w:val="0"/>
      <w:snapToGrid w:val="0"/>
      <w:spacing w:line="360" w:lineRule="auto"/>
      <w:ind w:left="1134" w:hanging="567"/>
      <w:jc w:val="left"/>
    </w:pPr>
    <w:rPr>
      <w:rFonts w:ascii="宋体" w:hAnsi="Arial"/>
      <w:b/>
      <w:color w:val="000000"/>
      <w:kern w:val="0"/>
      <w:sz w:val="32"/>
    </w:rPr>
  </w:style>
  <w:style w:type="paragraph" w:customStyle="1" w:styleId="169">
    <w:name w:val="默认段落字体 Para Char Char Char Char"/>
    <w:basedOn w:val="1"/>
    <w:qFormat/>
    <w:uiPriority w:val="0"/>
    <w:rPr>
      <w:sz w:val="24"/>
    </w:rPr>
  </w:style>
  <w:style w:type="paragraph" w:customStyle="1" w:styleId="170">
    <w:name w:val="题注4"/>
    <w:basedOn w:val="1"/>
    <w:next w:val="14"/>
    <w:qFormat/>
    <w:uiPriority w:val="0"/>
    <w:pPr>
      <w:ind w:left="-132" w:leftChars="-64" w:right="-105" w:rightChars="-50" w:hanging="2"/>
      <w:jc w:val="center"/>
    </w:pPr>
    <w:rPr>
      <w:b/>
      <w:color w:val="FF0000"/>
      <w:szCs w:val="21"/>
      <w:lang w:val="en-GB"/>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项目编号1"/>
    <w:basedOn w:val="1"/>
    <w:qFormat/>
    <w:uiPriority w:val="0"/>
    <w:pPr>
      <w:spacing w:line="360" w:lineRule="auto"/>
      <w:ind w:left="780" w:hanging="420"/>
      <w:jc w:val="left"/>
    </w:pPr>
    <w:rPr>
      <w:rFonts w:ascii="宋体" w:hAnsi="宋体"/>
      <w:sz w:val="24"/>
      <w:szCs w:val="22"/>
    </w:rPr>
  </w:style>
  <w:style w:type="paragraph" w:customStyle="1" w:styleId="173">
    <w:name w:val="正文无缩进"/>
    <w:basedOn w:val="111"/>
    <w:qFormat/>
    <w:uiPriority w:val="0"/>
    <w:pPr>
      <w:ind w:firstLine="0" w:firstLineChars="0"/>
    </w:pPr>
    <w:rPr>
      <w:rFonts w:ascii="Times New Roman" w:hAnsi="Times New Roman" w:eastAsia="宋体"/>
    </w:rPr>
  </w:style>
  <w:style w:type="paragraph" w:customStyle="1" w:styleId="174">
    <w:name w:val="正文居中"/>
    <w:basedOn w:val="1"/>
    <w:next w:val="1"/>
    <w:qFormat/>
    <w:uiPriority w:val="0"/>
    <w:pPr>
      <w:numPr>
        <w:ilvl w:val="0"/>
        <w:numId w:val="3"/>
      </w:numPr>
      <w:tabs>
        <w:tab w:val="clear" w:pos="360"/>
      </w:tabs>
      <w:adjustRightInd w:val="0"/>
      <w:snapToGrid w:val="0"/>
      <w:spacing w:line="300" w:lineRule="auto"/>
      <w:ind w:left="0" w:firstLine="0"/>
      <w:jc w:val="center"/>
    </w:pPr>
  </w:style>
  <w:style w:type="paragraph" w:customStyle="1" w:styleId="175">
    <w:name w:val="表中文字"/>
    <w:basedOn w:val="1"/>
    <w:qFormat/>
    <w:uiPriority w:val="0"/>
    <w:pPr>
      <w:autoSpaceDE w:val="0"/>
      <w:autoSpaceDN w:val="0"/>
      <w:adjustRightInd w:val="0"/>
      <w:spacing w:line="400" w:lineRule="atLeast"/>
      <w:ind w:left="35" w:leftChars="14" w:hanging="1"/>
      <w:jc w:val="center"/>
      <w:textAlignment w:val="baseline"/>
    </w:pPr>
    <w:rPr>
      <w:rFonts w:ascii="Verdana" w:hAnsi="Verdana"/>
      <w:kern w:val="0"/>
      <w:szCs w:val="28"/>
    </w:rPr>
  </w:style>
  <w:style w:type="paragraph" w:customStyle="1" w:styleId="176">
    <w:name w:val="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178">
    <w:name w:val="Char2"/>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179">
    <w:name w:val="font7"/>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80">
    <w:name w:val="font8"/>
    <w:basedOn w:val="1"/>
    <w:qFormat/>
    <w:uiPriority w:val="0"/>
    <w:pPr>
      <w:widowControl/>
      <w:spacing w:before="100" w:beforeAutospacing="1" w:after="100" w:afterAutospacing="1"/>
      <w:jc w:val="left"/>
    </w:pPr>
    <w:rPr>
      <w:rFonts w:hint="eastAsia" w:ascii="仿宋_GB2312" w:hAnsi="宋体" w:eastAsia="仿宋_GB2312"/>
      <w:kern w:val="0"/>
      <w:sz w:val="24"/>
    </w:rPr>
  </w:style>
  <w:style w:type="paragraph" w:customStyle="1" w:styleId="181">
    <w:name w:val="列出段落21"/>
    <w:basedOn w:val="1"/>
    <w:qFormat/>
    <w:uiPriority w:val="0"/>
    <w:pPr>
      <w:ind w:firstLine="420" w:firstLineChars="200"/>
    </w:pPr>
    <w:rPr>
      <w:rFonts w:ascii="Calibri" w:hAnsi="Calibri"/>
    </w:rPr>
  </w:style>
  <w:style w:type="paragraph" w:customStyle="1" w:styleId="182">
    <w:name w:val="列表正文"/>
    <w:basedOn w:val="1"/>
    <w:qFormat/>
    <w:uiPriority w:val="0"/>
    <w:pPr>
      <w:numPr>
        <w:ilvl w:val="0"/>
        <w:numId w:val="4"/>
      </w:numPr>
      <w:tabs>
        <w:tab w:val="clear" w:pos="420"/>
      </w:tabs>
      <w:adjustRightInd w:val="0"/>
      <w:snapToGrid w:val="0"/>
      <w:spacing w:line="300" w:lineRule="auto"/>
      <w:ind w:left="200" w:leftChars="200" w:firstLine="200" w:firstLineChars="200"/>
    </w:pPr>
  </w:style>
  <w:style w:type="paragraph" w:customStyle="1" w:styleId="183">
    <w:name w:val="标题 5 New"/>
    <w:basedOn w:val="1"/>
    <w:next w:val="1"/>
    <w:qFormat/>
    <w:uiPriority w:val="0"/>
    <w:pPr>
      <w:keepNext/>
      <w:keepLines/>
      <w:widowControl/>
      <w:spacing w:line="360" w:lineRule="auto"/>
      <w:ind w:firstLine="200" w:firstLineChars="200"/>
      <w:jc w:val="left"/>
      <w:outlineLvl w:val="4"/>
    </w:pPr>
    <w:rPr>
      <w:b/>
      <w:bCs/>
      <w:sz w:val="28"/>
      <w:szCs w:val="28"/>
    </w:rPr>
  </w:style>
  <w:style w:type="paragraph" w:customStyle="1" w:styleId="18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85">
    <w:name w:val="正文 New New New New New New New New New New New New New New New New New New New New New New New New New New New New New New New New New New New New New New New New New New New New New New New New New New New New New New New New New New New New New New N5"/>
    <w:qFormat/>
    <w:uiPriority w:val="0"/>
    <w:pPr>
      <w:widowControl w:val="0"/>
      <w:jc w:val="both"/>
    </w:pPr>
    <w:rPr>
      <w:rFonts w:ascii="宋体" w:hAnsi="宋体" w:eastAsia="宋体" w:cs="Times New Roman"/>
      <w:kern w:val="16"/>
      <w:sz w:val="21"/>
      <w:szCs w:val="24"/>
      <w:lang w:val="en-US" w:eastAsia="zh-CN" w:bidi="ar-SA"/>
    </w:rPr>
  </w:style>
  <w:style w:type="paragraph" w:customStyle="1" w:styleId="186">
    <w:name w:val="保留正文"/>
    <w:basedOn w:val="20"/>
    <w:qFormat/>
    <w:uiPriority w:val="0"/>
    <w:pPr>
      <w:keepNext/>
      <w:spacing w:after="160"/>
      <w:ind w:right="0"/>
      <w:jc w:val="both"/>
    </w:pPr>
    <w:rPr>
      <w:b w:val="0"/>
      <w:bCs w:val="0"/>
      <w:sz w:val="21"/>
      <w:szCs w:val="24"/>
      <w:lang w:val="en-US"/>
    </w:rPr>
  </w:style>
  <w:style w:type="paragraph" w:customStyle="1" w:styleId="187">
    <w:name w:val="xl32"/>
    <w:basedOn w:val="1"/>
    <w:qFormat/>
    <w:uiPriority w:val="0"/>
    <w:pPr>
      <w:widowControl/>
      <w:spacing w:before="100" w:beforeAutospacing="1" w:after="100" w:afterAutospacing="1"/>
      <w:jc w:val="center"/>
      <w:textAlignment w:val="center"/>
    </w:pPr>
    <w:rPr>
      <w:rFonts w:hint="eastAsia" w:ascii="隶书" w:hAnsi="宋体" w:eastAsia="隶书"/>
      <w:kern w:val="0"/>
      <w:sz w:val="72"/>
      <w:szCs w:val="72"/>
    </w:rPr>
  </w:style>
  <w:style w:type="paragraph" w:customStyle="1" w:styleId="188">
    <w:name w:val="投标文件格式"/>
    <w:basedOn w:val="26"/>
    <w:qFormat/>
    <w:uiPriority w:val="0"/>
    <w:pPr>
      <w:jc w:val="center"/>
    </w:pPr>
    <w:rPr>
      <w:rFonts w:ascii="Times New Roman" w:hAnsi="Times New Roman"/>
      <w:b/>
      <w:szCs w:val="20"/>
    </w:rPr>
  </w:style>
  <w:style w:type="paragraph" w:customStyle="1" w:styleId="189">
    <w:name w:val="元正正文标题2"/>
    <w:basedOn w:val="7"/>
    <w:qFormat/>
    <w:uiPriority w:val="0"/>
    <w:pPr>
      <w:keepNext w:val="0"/>
      <w:numPr>
        <w:ilvl w:val="0"/>
        <w:numId w:val="0"/>
      </w:numPr>
      <w:adjustRightInd w:val="0"/>
      <w:snapToGrid w:val="0"/>
      <w:spacing w:line="300" w:lineRule="auto"/>
      <w:outlineLvl w:val="9"/>
    </w:pPr>
    <w:rPr>
      <w:rFonts w:ascii="宋体" w:hAnsi="宋体"/>
      <w:b/>
      <w:bCs/>
      <w:snapToGrid w:val="0"/>
      <w:kern w:val="0"/>
      <w:sz w:val="30"/>
      <w:szCs w:val="30"/>
    </w:rPr>
  </w:style>
  <w:style w:type="paragraph" w:customStyle="1" w:styleId="190">
    <w:name w:val="Level2Bullet"/>
    <w:basedOn w:val="1"/>
    <w:qFormat/>
    <w:uiPriority w:val="0"/>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191">
    <w:name w:val="目录"/>
    <w:basedOn w:val="1"/>
    <w:qFormat/>
    <w:uiPriority w:val="0"/>
    <w:pPr>
      <w:widowControl/>
      <w:spacing w:line="480" w:lineRule="auto"/>
      <w:jc w:val="center"/>
    </w:pPr>
    <w:rPr>
      <w:rFonts w:ascii="宋体"/>
      <w:b/>
      <w:kern w:val="0"/>
      <w:sz w:val="24"/>
      <w:szCs w:val="20"/>
    </w:rPr>
  </w:style>
  <w:style w:type="paragraph" w:customStyle="1" w:styleId="19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93">
    <w:name w:val="正文1"/>
    <w:basedOn w:val="1"/>
    <w:qFormat/>
    <w:uiPriority w:val="0"/>
    <w:pPr>
      <w:spacing w:after="120" w:line="360" w:lineRule="auto"/>
    </w:pPr>
    <w:rPr>
      <w:rFonts w:ascii="Arial" w:hAnsi="Arial"/>
      <w:sz w:val="24"/>
      <w:szCs w:val="20"/>
    </w:rPr>
  </w:style>
  <w:style w:type="paragraph" w:customStyle="1" w:styleId="194">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标题 3.1"/>
    <w:basedOn w:val="4"/>
    <w:qFormat/>
    <w:uiPriority w:val="0"/>
    <w:pPr>
      <w:numPr>
        <w:ilvl w:val="0"/>
        <w:numId w:val="0"/>
      </w:numPr>
      <w:tabs>
        <w:tab w:val="left" w:pos="1440"/>
        <w:tab w:val="left" w:pos="1620"/>
      </w:tabs>
      <w:spacing w:line="600" w:lineRule="exact"/>
    </w:pPr>
    <w:rPr>
      <w:rFonts w:ascii="宋体" w:hAnsi="宋体"/>
      <w:bCs/>
      <w:szCs w:val="32"/>
    </w:rPr>
  </w:style>
  <w:style w:type="paragraph" w:customStyle="1" w:styleId="196">
    <w:name w:val="Char1 Char Char Char1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7">
    <w:name w:val="正文缩进4格"/>
    <w:basedOn w:val="111"/>
    <w:qFormat/>
    <w:uiPriority w:val="0"/>
    <w:pPr>
      <w:ind w:left="651" w:leftChars="310" w:firstLine="608" w:firstLineChars="196"/>
    </w:pPr>
    <w:rPr>
      <w:rFonts w:ascii="Times New Roman" w:hAnsi="Times New Roman" w:eastAsia="宋体"/>
      <w:color w:val="000000"/>
    </w:rPr>
  </w:style>
  <w:style w:type="paragraph" w:customStyle="1" w:styleId="19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9">
    <w:name w:val="样式 我的标题 + 两端对齐"/>
    <w:basedOn w:val="2"/>
    <w:qFormat/>
    <w:uiPriority w:val="0"/>
    <w:pPr>
      <w:ind w:firstLine="0"/>
      <w:jc w:val="center"/>
    </w:pPr>
    <w:rPr>
      <w:rFonts w:cs="宋体"/>
      <w:bCs/>
      <w:sz w:val="32"/>
      <w:szCs w:val="20"/>
    </w:rPr>
  </w:style>
  <w:style w:type="paragraph" w:customStyle="1" w:styleId="200">
    <w:name w:val="Bullet"/>
    <w:basedOn w:val="1"/>
    <w:qFormat/>
    <w:uiPriority w:val="0"/>
    <w:pPr>
      <w:numPr>
        <w:ilvl w:val="0"/>
        <w:numId w:val="5"/>
      </w:numPr>
      <w:spacing w:line="360" w:lineRule="exact"/>
    </w:pPr>
    <w:rPr>
      <w:sz w:val="24"/>
      <w:szCs w:val="20"/>
    </w:rPr>
  </w:style>
  <w:style w:type="paragraph" w:customStyle="1" w:styleId="201">
    <w:name w:val="日期右"/>
    <w:basedOn w:val="28"/>
    <w:qFormat/>
    <w:uiPriority w:val="0"/>
    <w:pPr>
      <w:spacing w:line="600" w:lineRule="exact"/>
      <w:ind w:left="0" w:leftChars="0"/>
      <w:jc w:val="right"/>
    </w:pPr>
    <w:rPr>
      <w:rFonts w:eastAsia="仿宋_GB2312"/>
      <w:sz w:val="31"/>
    </w:rPr>
  </w:style>
  <w:style w:type="paragraph" w:customStyle="1" w:styleId="202">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203">
    <w:name w:val="_Style 197"/>
    <w:qFormat/>
    <w:uiPriority w:val="0"/>
    <w:rPr>
      <w:rFonts w:ascii="Times New Roman" w:hAnsi="Times New Roman" w:eastAsia="宋体" w:cs="Times New Roman"/>
      <w:kern w:val="2"/>
      <w:sz w:val="21"/>
      <w:szCs w:val="24"/>
      <w:lang w:val="en-US" w:eastAsia="zh-CN" w:bidi="ar-SA"/>
    </w:rPr>
  </w:style>
  <w:style w:type="paragraph" w:customStyle="1" w:styleId="204">
    <w:name w:val="标题 1 New"/>
    <w:basedOn w:val="1"/>
    <w:next w:val="1"/>
    <w:qFormat/>
    <w:uiPriority w:val="0"/>
    <w:pPr>
      <w:numPr>
        <w:ilvl w:val="0"/>
        <w:numId w:val="6"/>
      </w:numPr>
      <w:adjustRightInd w:val="0"/>
      <w:spacing w:line="360" w:lineRule="auto"/>
      <w:ind w:left="431" w:firstLine="0"/>
      <w:jc w:val="left"/>
      <w:textAlignment w:val="baseline"/>
      <w:outlineLvl w:val="0"/>
    </w:pPr>
    <w:rPr>
      <w:rFonts w:ascii="微软雅黑" w:hAnsi="微软雅黑" w:eastAsia="微软雅黑"/>
      <w:b/>
      <w:kern w:val="44"/>
      <w:sz w:val="36"/>
      <w:szCs w:val="20"/>
    </w:rPr>
  </w:style>
  <w:style w:type="paragraph" w:customStyle="1" w:styleId="205">
    <w:name w:val="正文缩进1"/>
    <w:basedOn w:val="1"/>
    <w:qFormat/>
    <w:uiPriority w:val="0"/>
    <w:pPr>
      <w:widowControl/>
      <w:ind w:firstLine="420"/>
      <w:jc w:val="left"/>
    </w:pPr>
    <w:rPr>
      <w:kern w:val="0"/>
    </w:rPr>
  </w:style>
  <w:style w:type="paragraph" w:customStyle="1" w:styleId="206">
    <w:name w:val="纯文本1"/>
    <w:basedOn w:val="1"/>
    <w:qFormat/>
    <w:uiPriority w:val="0"/>
    <w:rPr>
      <w:rFonts w:ascii="宋体" w:hAnsi="Courier New"/>
      <w:kern w:val="0"/>
      <w:sz w:val="20"/>
    </w:rPr>
  </w:style>
  <w:style w:type="paragraph" w:customStyle="1" w:styleId="207">
    <w:name w:val="列出段落1"/>
    <w:basedOn w:val="1"/>
    <w:qFormat/>
    <w:uiPriority w:val="0"/>
    <w:pPr>
      <w:ind w:firstLine="420" w:firstLineChars="200"/>
    </w:pPr>
  </w:style>
  <w:style w:type="paragraph" w:customStyle="1" w:styleId="208">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9">
    <w:name w:val="正文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0">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211">
    <w:name w:val="Char Char Char Char Char Char Char Char Char Char"/>
    <w:basedOn w:val="1"/>
    <w:qFormat/>
    <w:uiPriority w:val="0"/>
    <w:rPr>
      <w:rFonts w:ascii="Tahoma" w:hAnsi="Tahoma"/>
      <w:sz w:val="24"/>
      <w:szCs w:val="20"/>
    </w:rPr>
  </w:style>
  <w:style w:type="paragraph" w:customStyle="1" w:styleId="212">
    <w:name w:val="标题 3 New New"/>
    <w:basedOn w:val="1"/>
    <w:next w:val="1"/>
    <w:qFormat/>
    <w:uiPriority w:val="0"/>
    <w:pPr>
      <w:keepNext/>
      <w:spacing w:line="360" w:lineRule="auto"/>
      <w:ind w:firstLine="200" w:firstLineChars="200"/>
      <w:outlineLvl w:val="2"/>
    </w:pPr>
    <w:rPr>
      <w:rFonts w:ascii="楷体_GB2312" w:hAnsi="宋体"/>
      <w:b/>
      <w:bCs/>
      <w:sz w:val="28"/>
      <w:szCs w:val="22"/>
    </w:rPr>
  </w:style>
  <w:style w:type="paragraph" w:customStyle="1" w:styleId="213">
    <w:name w:val="偶数页篇眉"/>
    <w:basedOn w:val="32"/>
    <w:qFormat/>
    <w:uiPriority w:val="0"/>
    <w:pPr>
      <w:keepLines/>
      <w:pBdr>
        <w:bottom w:val="none" w:color="auto" w:sz="0" w:space="0"/>
      </w:pBdr>
      <w:tabs>
        <w:tab w:val="clear" w:pos="4153"/>
        <w:tab w:val="clear" w:pos="8306"/>
      </w:tabs>
      <w:snapToGrid/>
      <w:jc w:val="right"/>
    </w:pPr>
    <w:rPr>
      <w:spacing w:val="80"/>
      <w:sz w:val="21"/>
    </w:rPr>
  </w:style>
  <w:style w:type="paragraph" w:customStyle="1" w:styleId="214">
    <w:name w:val="默认段落字体 Para Char Char Char Char Char Char Char Char Char Char"/>
    <w:basedOn w:val="1"/>
    <w:qFormat/>
    <w:uiPriority w:val="0"/>
    <w:rPr>
      <w:rFonts w:ascii="Tahoma" w:hAnsi="Tahoma"/>
      <w:sz w:val="24"/>
      <w:szCs w:val="20"/>
    </w:rPr>
  </w:style>
  <w:style w:type="paragraph" w:customStyle="1" w:styleId="215">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16">
    <w:name w:val="样式 首行缩进:  2 字符"/>
    <w:basedOn w:val="1"/>
    <w:qFormat/>
    <w:uiPriority w:val="0"/>
    <w:pPr>
      <w:spacing w:line="400" w:lineRule="exact"/>
      <w:ind w:firstLine="200" w:firstLineChars="200"/>
    </w:pPr>
    <w:rPr>
      <w:rFonts w:cs="宋体"/>
      <w:sz w:val="24"/>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219">
    <w:name w:val="xl33"/>
    <w:basedOn w:val="1"/>
    <w:qFormat/>
    <w:uiPriority w:val="0"/>
    <w:pPr>
      <w:widowControl/>
      <w:pBdr>
        <w:bottom w:val="single" w:color="auto" w:sz="4" w:space="0"/>
      </w:pBdr>
      <w:spacing w:before="100" w:beforeAutospacing="1" w:after="100" w:afterAutospacing="1"/>
      <w:jc w:val="left"/>
    </w:pPr>
    <w:rPr>
      <w:rFonts w:hint="eastAsia" w:ascii="仿宋_GB2312" w:hAnsi="宋体" w:eastAsia="仿宋_GB2312"/>
      <w:kern w:val="0"/>
      <w:sz w:val="32"/>
      <w:szCs w:val="32"/>
    </w:rPr>
  </w:style>
  <w:style w:type="paragraph" w:customStyle="1" w:styleId="220">
    <w:name w:val="题注1"/>
    <w:basedOn w:val="1"/>
    <w:next w:val="14"/>
    <w:qFormat/>
    <w:uiPriority w:val="0"/>
    <w:rPr>
      <w:rFonts w:ascii="Arial" w:hAnsi="Arial"/>
    </w:rPr>
  </w:style>
  <w:style w:type="paragraph" w:customStyle="1" w:styleId="221">
    <w:name w:val="正文缩进6格"/>
    <w:basedOn w:val="197"/>
    <w:qFormat/>
    <w:uiPriority w:val="0"/>
    <w:pPr>
      <w:ind w:left="1758" w:leftChars="854"/>
    </w:pPr>
  </w:style>
  <w:style w:type="paragraph" w:customStyle="1" w:styleId="222">
    <w:name w:val="Char Char2 Char"/>
    <w:basedOn w:val="1"/>
    <w:qFormat/>
    <w:uiPriority w:val="0"/>
    <w:rPr>
      <w:rFonts w:ascii="宋体" w:hAnsi="宋体"/>
      <w:b/>
      <w:sz w:val="28"/>
      <w:szCs w:val="28"/>
    </w:rPr>
  </w:style>
  <w:style w:type="paragraph" w:customStyle="1" w:styleId="223">
    <w:name w:val="普通(网站)1"/>
    <w:basedOn w:val="1"/>
    <w:qFormat/>
    <w:uiPriority w:val="0"/>
    <w:pPr>
      <w:widowControl/>
      <w:spacing w:before="100" w:beforeAutospacing="1" w:after="100" w:afterAutospacing="1"/>
    </w:pPr>
    <w:rPr>
      <w:rFonts w:hAnsi="宋体"/>
      <w:sz w:val="15"/>
      <w:szCs w:val="15"/>
    </w:rPr>
  </w:style>
  <w:style w:type="paragraph" w:customStyle="1" w:styleId="224">
    <w:name w:val="技术响应2"/>
    <w:basedOn w:val="1"/>
    <w:qFormat/>
    <w:uiPriority w:val="0"/>
    <w:pPr>
      <w:numPr>
        <w:ilvl w:val="0"/>
        <w:numId w:val="7"/>
      </w:numPr>
    </w:pPr>
    <w:rPr>
      <w:rFonts w:ascii="宋体" w:hAnsi="宋体"/>
      <w:b/>
      <w:bCs/>
      <w:szCs w:val="20"/>
    </w:rPr>
  </w:style>
  <w:style w:type="paragraph" w:customStyle="1" w:styleId="225">
    <w:name w:val="font9"/>
    <w:basedOn w:val="1"/>
    <w:qFormat/>
    <w:uiPriority w:val="0"/>
    <w:pPr>
      <w:widowControl/>
      <w:spacing w:before="100" w:beforeAutospacing="1" w:after="100" w:afterAutospacing="1"/>
      <w:jc w:val="left"/>
    </w:pPr>
    <w:rPr>
      <w:kern w:val="0"/>
      <w:sz w:val="24"/>
    </w:rPr>
  </w:style>
  <w:style w:type="paragraph" w:customStyle="1" w:styleId="226">
    <w:name w:val="默认段落字体 Para Char"/>
    <w:basedOn w:val="1"/>
    <w:qFormat/>
    <w:uiPriority w:val="0"/>
    <w:pPr>
      <w:adjustRightInd w:val="0"/>
      <w:spacing w:line="360" w:lineRule="auto"/>
    </w:pPr>
    <w:rPr>
      <w:kern w:val="0"/>
      <w:sz w:val="24"/>
      <w:szCs w:val="20"/>
    </w:rPr>
  </w:style>
  <w:style w:type="paragraph" w:customStyle="1" w:styleId="22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28">
    <w:name w:val="页脚 New New"/>
    <w:basedOn w:val="209"/>
    <w:qFormat/>
    <w:uiPriority w:val="0"/>
    <w:pPr>
      <w:tabs>
        <w:tab w:val="center" w:pos="4153"/>
        <w:tab w:val="right" w:pos="8306"/>
      </w:tabs>
      <w:snapToGrid w:val="0"/>
      <w:jc w:val="left"/>
    </w:pPr>
    <w:rPr>
      <w:rFonts w:ascii="Times New Roman" w:hAnsi="Times New Roman"/>
      <w:sz w:val="18"/>
      <w:szCs w:val="18"/>
    </w:rPr>
  </w:style>
  <w:style w:type="paragraph" w:customStyle="1" w:styleId="2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0">
    <w:name w:val="Char Char Char Char Char Char Char Char Char Char Char Char Char"/>
    <w:basedOn w:val="1"/>
    <w:qFormat/>
    <w:uiPriority w:val="0"/>
    <w:pPr>
      <w:widowControl/>
      <w:spacing w:after="160" w:line="240" w:lineRule="exact"/>
      <w:jc w:val="left"/>
    </w:pPr>
  </w:style>
  <w:style w:type="paragraph" w:customStyle="1" w:styleId="23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正文文本缩进 3 New New"/>
    <w:basedOn w:val="233"/>
    <w:qFormat/>
    <w:uiPriority w:val="0"/>
    <w:pPr>
      <w:spacing w:line="400" w:lineRule="exact"/>
      <w:ind w:left="2" w:leftChars="1"/>
    </w:pPr>
    <w:rPr>
      <w:rFonts w:ascii="宋体" w:hAnsi="宋体"/>
      <w:szCs w:val="24"/>
    </w:rPr>
  </w:style>
  <w:style w:type="paragraph" w:customStyle="1" w:styleId="233">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35">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36">
    <w:name w:val="*正文"/>
    <w:basedOn w:val="1"/>
    <w:qFormat/>
    <w:uiPriority w:val="0"/>
    <w:pPr>
      <w:ind w:firstLine="480"/>
    </w:pPr>
    <w:rPr>
      <w:rFonts w:ascii="宋体" w:hAnsi="宋体"/>
      <w:kern w:val="16"/>
    </w:rPr>
  </w:style>
  <w:style w:type="paragraph" w:customStyle="1" w:styleId="237">
    <w:name w:val="3 Char"/>
    <w:basedOn w:val="1"/>
    <w:qFormat/>
    <w:uiPriority w:val="0"/>
    <w:pPr>
      <w:widowControl/>
      <w:spacing w:line="400" w:lineRule="exact"/>
      <w:jc w:val="center"/>
    </w:pPr>
    <w:rPr>
      <w:rFonts w:ascii="Verdana" w:hAnsi="Verdana"/>
      <w:kern w:val="0"/>
      <w:szCs w:val="20"/>
      <w:lang w:eastAsia="en-US"/>
    </w:rPr>
  </w:style>
  <w:style w:type="paragraph" w:customStyle="1" w:styleId="238">
    <w:name w:val="技术响应1"/>
    <w:basedOn w:val="1"/>
    <w:qFormat/>
    <w:uiPriority w:val="0"/>
    <w:pPr>
      <w:widowControl/>
      <w:spacing w:line="360" w:lineRule="auto"/>
      <w:ind w:firstLine="588"/>
      <w:jc w:val="center"/>
    </w:pPr>
    <w:rPr>
      <w:rFonts w:ascii="宋体"/>
      <w:b/>
      <w:kern w:val="0"/>
      <w:sz w:val="28"/>
      <w:szCs w:val="20"/>
    </w:rPr>
  </w:style>
  <w:style w:type="paragraph" w:customStyle="1" w:styleId="239">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41">
    <w:name w:val="表头"/>
    <w:basedOn w:val="14"/>
    <w:qFormat/>
    <w:uiPriority w:val="0"/>
    <w:pPr>
      <w:keepNext/>
      <w:keepLines/>
      <w:widowControl/>
      <w:spacing w:before="120" w:after="120" w:line="300" w:lineRule="auto"/>
      <w:jc w:val="center"/>
      <w:textAlignment w:val="baseline"/>
    </w:pPr>
    <w:rPr>
      <w:rFonts w:ascii="Times New Roman" w:hAnsi="Times New Roman" w:eastAsia="宋体" w:cs="Times New Roman"/>
      <w:sz w:val="21"/>
    </w:rPr>
  </w:style>
  <w:style w:type="paragraph" w:customStyle="1" w:styleId="242">
    <w:name w:val="表格文字"/>
    <w:basedOn w:val="1"/>
    <w:qFormat/>
    <w:uiPriority w:val="0"/>
    <w:pPr>
      <w:spacing w:before="25" w:after="25"/>
      <w:jc w:val="left"/>
    </w:pPr>
    <w:rPr>
      <w:bCs/>
      <w:spacing w:val="10"/>
      <w:kern w:val="0"/>
      <w:sz w:val="24"/>
      <w:szCs w:val="20"/>
    </w:rPr>
  </w:style>
  <w:style w:type="paragraph" w:customStyle="1" w:styleId="24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45">
    <w:name w:val="需求书2"/>
    <w:basedOn w:val="1"/>
    <w:qFormat/>
    <w:uiPriority w:val="0"/>
    <w:pPr>
      <w:tabs>
        <w:tab w:val="left" w:pos="630"/>
      </w:tabs>
      <w:spacing w:line="360" w:lineRule="auto"/>
    </w:pPr>
    <w:rPr>
      <w:rFonts w:ascii="宋体"/>
      <w:b/>
      <w:sz w:val="24"/>
    </w:rPr>
  </w:style>
  <w:style w:type="paragraph" w:customStyle="1" w:styleId="246">
    <w:name w:val="tabletext"/>
    <w:basedOn w:val="1"/>
    <w:qFormat/>
    <w:uiPriority w:val="0"/>
    <w:pPr>
      <w:widowControl/>
      <w:spacing w:before="100" w:beforeAutospacing="1" w:after="100" w:afterAutospacing="1"/>
      <w:jc w:val="left"/>
    </w:pPr>
    <w:rPr>
      <w:rFonts w:ascii="宋体" w:hAnsi="宋体"/>
      <w:kern w:val="0"/>
      <w:sz w:val="24"/>
    </w:rPr>
  </w:style>
  <w:style w:type="paragraph" w:customStyle="1" w:styleId="24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8">
    <w:name w:val="页脚 New"/>
    <w:basedOn w:val="146"/>
    <w:qFormat/>
    <w:uiPriority w:val="0"/>
    <w:pPr>
      <w:tabs>
        <w:tab w:val="center" w:pos="4153"/>
        <w:tab w:val="right" w:pos="8306"/>
      </w:tabs>
      <w:snapToGrid w:val="0"/>
      <w:jc w:val="left"/>
    </w:pPr>
    <w:rPr>
      <w:rFonts w:ascii="Times New Roman" w:hAnsi="Times New Roman"/>
      <w:sz w:val="18"/>
      <w:szCs w:val="18"/>
    </w:rPr>
  </w:style>
  <w:style w:type="paragraph" w:customStyle="1" w:styleId="249">
    <w:name w:val="正文 New New New New New New New New New New New New New New New New New New New New New New New New"/>
    <w:qFormat/>
    <w:uiPriority w:val="0"/>
    <w:pPr>
      <w:widowControl w:val="0"/>
      <w:spacing w:line="360" w:lineRule="auto"/>
      <w:jc w:val="center"/>
    </w:pPr>
    <w:rPr>
      <w:rFonts w:ascii="Times New Roman" w:hAnsi="Times New Roman" w:eastAsia="宋体" w:cs="Times New Roman"/>
      <w:kern w:val="2"/>
      <w:sz w:val="24"/>
      <w:szCs w:val="24"/>
      <w:lang w:val="en-US" w:eastAsia="zh-CN" w:bidi="ar-SA"/>
    </w:rPr>
  </w:style>
  <w:style w:type="paragraph" w:customStyle="1" w:styleId="250">
    <w:name w:val="Char Char Char Char Char Char Char Char1 Char Char Char Char"/>
    <w:basedOn w:val="1"/>
    <w:qFormat/>
    <w:uiPriority w:val="0"/>
    <w:pPr>
      <w:widowControl/>
      <w:spacing w:after="160" w:line="240" w:lineRule="exact"/>
      <w:jc w:val="left"/>
    </w:pPr>
    <w:rPr>
      <w:rFonts w:ascii="Tahoma" w:hAnsi="Tahoma"/>
      <w:b/>
    </w:rPr>
  </w:style>
  <w:style w:type="paragraph" w:customStyle="1" w:styleId="251">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252">
    <w:name w:val="标题 5 New New"/>
    <w:basedOn w:val="1"/>
    <w:next w:val="1"/>
    <w:qFormat/>
    <w:uiPriority w:val="0"/>
    <w:pPr>
      <w:keepNext/>
      <w:keepLines/>
      <w:widowControl/>
      <w:spacing w:line="360" w:lineRule="auto"/>
      <w:ind w:firstLine="200" w:firstLineChars="200"/>
      <w:jc w:val="left"/>
      <w:outlineLvl w:val="4"/>
    </w:pPr>
    <w:rPr>
      <w:b/>
      <w:bCs/>
      <w:sz w:val="28"/>
      <w:szCs w:val="28"/>
    </w:rPr>
  </w:style>
  <w:style w:type="paragraph" w:customStyle="1" w:styleId="2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254">
    <w:name w:val="样式 左侧:  0 厘米 悬挂缩进: 2.5 字符"/>
    <w:basedOn w:val="1"/>
    <w:qFormat/>
    <w:uiPriority w:val="0"/>
    <w:pPr>
      <w:ind w:left="525" w:hanging="525" w:hangingChars="250"/>
    </w:pPr>
    <w:rPr>
      <w:szCs w:val="20"/>
    </w:rPr>
  </w:style>
  <w:style w:type="paragraph" w:customStyle="1" w:styleId="255">
    <w:name w:val="Char1"/>
    <w:basedOn w:val="16"/>
    <w:qFormat/>
    <w:uiPriority w:val="0"/>
    <w:rPr>
      <w:rFonts w:ascii="Tahoma" w:hAnsi="Tahoma"/>
      <w:sz w:val="24"/>
    </w:rPr>
  </w:style>
  <w:style w:type="paragraph" w:customStyle="1" w:styleId="2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7">
    <w:name w:val="正文（不缩进）"/>
    <w:basedOn w:val="1"/>
    <w:qFormat/>
    <w:uiPriority w:val="0"/>
    <w:pPr>
      <w:tabs>
        <w:tab w:val="left" w:pos="420"/>
      </w:tabs>
      <w:spacing w:line="360" w:lineRule="auto"/>
    </w:pPr>
    <w:rPr>
      <w:sz w:val="24"/>
      <w:szCs w:val="20"/>
    </w:rPr>
  </w:style>
  <w:style w:type="paragraph" w:customStyle="1" w:styleId="258">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5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0">
    <w:name w:val="font5"/>
    <w:basedOn w:val="1"/>
    <w:qFormat/>
    <w:uiPriority w:val="0"/>
    <w:pPr>
      <w:widowControl/>
      <w:spacing w:before="100" w:beforeAutospacing="1" w:after="100" w:afterAutospacing="1"/>
    </w:pPr>
    <w:rPr>
      <w:rFonts w:hAnsi="宋体" w:cs="宋体"/>
      <w:sz w:val="18"/>
      <w:szCs w:val="18"/>
    </w:rPr>
  </w:style>
  <w:style w:type="paragraph" w:customStyle="1" w:styleId="261">
    <w:name w:val="正文_7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Char Char Char"/>
    <w:basedOn w:val="1"/>
    <w:qFormat/>
    <w:uiPriority w:val="0"/>
    <w:pPr>
      <w:adjustRightInd w:val="0"/>
      <w:spacing w:line="360" w:lineRule="auto"/>
    </w:pPr>
    <w:rPr>
      <w:kern w:val="0"/>
      <w:sz w:val="24"/>
      <w:szCs w:val="20"/>
    </w:rPr>
  </w:style>
  <w:style w:type="paragraph" w:customStyle="1" w:styleId="2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64">
    <w:name w:val="样式"/>
    <w:basedOn w:val="1"/>
    <w:next w:val="21"/>
    <w:qFormat/>
    <w:uiPriority w:val="0"/>
    <w:pPr>
      <w:jc w:val="center"/>
    </w:pPr>
    <w:rPr>
      <w:rFonts w:ascii="宋体" w:hAnsi="宋体"/>
      <w:color w:val="FF0000"/>
      <w:sz w:val="24"/>
    </w:rPr>
  </w:style>
  <w:style w:type="paragraph" w:customStyle="1" w:styleId="265">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66">
    <w:name w:val="纯文本 New"/>
    <w:basedOn w:val="233"/>
    <w:qFormat/>
    <w:uiPriority w:val="0"/>
    <w:rPr>
      <w:rFonts w:ascii="宋体" w:hAnsi="Courier New"/>
      <w:szCs w:val="24"/>
    </w:rPr>
  </w:style>
  <w:style w:type="paragraph" w:customStyle="1" w:styleId="267">
    <w:name w:val="DAS正文"/>
    <w:basedOn w:val="1"/>
    <w:qFormat/>
    <w:uiPriority w:val="0"/>
    <w:pPr>
      <w:spacing w:line="360" w:lineRule="exact"/>
    </w:pPr>
    <w:rPr>
      <w:rFonts w:ascii="Verdana" w:hAnsi="Verdana"/>
      <w:szCs w:val="21"/>
    </w:rPr>
  </w:style>
  <w:style w:type="paragraph" w:customStyle="1" w:styleId="26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character" w:customStyle="1" w:styleId="270">
    <w:name w:val="标题 3 字符"/>
    <w:qFormat/>
    <w:uiPriority w:val="0"/>
    <w:rPr>
      <w:rFonts w:ascii="Times New Roman" w:hAnsi="Times New Roman" w:eastAsia="宋体" w:cs="Times New Roman"/>
      <w:b/>
      <w:kern w:val="2"/>
      <w:sz w:val="32"/>
      <w:szCs w:val="24"/>
      <w:lang w:val="en-US" w:eastAsia="zh-CN" w:bidi="ar-SA"/>
    </w:rPr>
  </w:style>
  <w:style w:type="paragraph" w:customStyle="1" w:styleId="271">
    <w:name w:val="Table Paragraph"/>
    <w:basedOn w:val="1"/>
    <w:qFormat/>
    <w:uiPriority w:val="1"/>
    <w:pPr>
      <w:widowControl/>
      <w:jc w:val="left"/>
    </w:pPr>
    <w:rPr>
      <w:kern w:val="0"/>
      <w:sz w:val="22"/>
      <w:lang w:eastAsia="en-US"/>
    </w:rPr>
  </w:style>
  <w:style w:type="table" w:customStyle="1" w:styleId="272">
    <w:name w:val="Table Normal"/>
    <w:qFormat/>
    <w:uiPriority w:val="2"/>
    <w:tblPr>
      <w:tblCellMar>
        <w:top w:w="0" w:type="dxa"/>
        <w:left w:w="0" w:type="dxa"/>
        <w:bottom w:w="0" w:type="dxa"/>
        <w:right w:w="0" w:type="dxa"/>
      </w:tblCellMar>
    </w:tblPr>
  </w:style>
  <w:style w:type="paragraph" w:customStyle="1" w:styleId="273">
    <w:name w:val="null3"/>
    <w:qFormat/>
    <w:uiPriority w:val="0"/>
    <w:rPr>
      <w:rFonts w:hint="eastAsia" w:ascii="Calibri" w:hAnsi="Calibri" w:eastAsia="宋体" w:cs="宋体"/>
      <w:lang w:val="en-US" w:bidi="ar-SA"/>
    </w:rPr>
  </w:style>
  <w:style w:type="character" w:customStyle="1" w:styleId="274">
    <w:name w:val="alpha_contract_review_append_comment_6a4f6e56115943c19588bde8e8ec7317"/>
    <w:basedOn w:val="51"/>
    <w:qFormat/>
    <w:uiPriority w:val="0"/>
  </w:style>
  <w:style w:type="character" w:customStyle="1" w:styleId="275">
    <w:name w:val="alpha_contract_review_append_comment_a881a87b61594a9da77f658e6446c181"/>
    <w:basedOn w:val="51"/>
    <w:qFormat/>
    <w:uiPriority w:val="0"/>
  </w:style>
  <w:style w:type="paragraph" w:customStyle="1" w:styleId="27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77">
    <w:name w:val="样式 宋体 行距: 1.5 倍行距"/>
    <w:basedOn w:val="1"/>
    <w:qFormat/>
    <w:uiPriority w:val="99"/>
    <w:pPr>
      <w:jc w:val="center"/>
    </w:pPr>
    <w:rPr>
      <w:b/>
    </w:rPr>
  </w:style>
  <w:style w:type="paragraph" w:customStyle="1" w:styleId="278">
    <w:name w:val="Revision_0f5decb5-8888-416a-a042-3fa929187c44"/>
    <w:qFormat/>
    <w:uiPriority w:val="99"/>
    <w:rPr>
      <w:rFonts w:ascii="Times New Roman" w:hAnsi="Times New Roman" w:eastAsia="宋体" w:cs="Times New Roman"/>
      <w:kern w:val="2"/>
      <w:sz w:val="21"/>
      <w:szCs w:val="24"/>
      <w:lang w:val="en-US" w:eastAsia="zh-CN" w:bidi="ar-SA"/>
    </w:rPr>
  </w:style>
  <w:style w:type="paragraph" w:customStyle="1" w:styleId="279">
    <w:name w:val="Table Text"/>
    <w:basedOn w:val="1"/>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e23f7254-139e-4fe2-a6f8-48b27a093457</errorID>
      <errorWord>日至2026年</errorWord>
      <group>L1_Word</group>
      <groupName>字词问题</groupName>
      <ability>L2_Typo</ability>
      <abilityName>字词错误</abilityName>
      <candidateList>
        <item>日起至2026年</item>
      </candidateList>
      <explain/>
      <paraID>2A5BEF65</paraID>
      <start>15</start>
      <end>22</end>
      <status>unmodified</status>
      <modifiedWord/>
      <trackRevisions>false</trackRevisions>
    </reviewItem>
    <reviewItem>
      <errorID>573628e4-1b2f-4256-b854-1f967834ae0b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7E596662</paraID>
      <start>170</start>
      <end>171</end>
      <status>unmodified</status>
      <modifiedWord/>
      <trackRevisions>false</trackRevisions>
    </reviewItem>
    <reviewItem>
      <errorID>44f75537-ed9c-49c5-9cf5-9a7b26faf60b</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7E596662</paraID>
      <start>189</start>
      <end>191</end>
      <status>modified</status>
      <modifiedWord>账号</modifiedWord>
      <trackRevisions>true</trackRevisions>
    </reviewItem>
    <reviewItem>
      <errorID>9d9d25b8-c49f-4844-a5f5-b35250519632</errorID>
      <errorWord>证</errorWord>
      <group>L1_Word</group>
      <groupName>字词问题</groupName>
      <ability>L2_Typo</ability>
      <abilityName>字词错误</abilityName>
      <candidateList>
        <item>证金</item>
      </candidateList>
      <explain/>
      <paraID> C9CC4D2</paraID>
      <start>5</start>
      <end>6</end>
      <status>unmodified</status>
      <modifiedWord/>
      <trackRevisions>false</trackRevisions>
    </reviewItem>
    <reviewItem>
      <errorID>0b0aee31-56c1-4393-93fb-82587c49f219</errorID>
      <errorWord>国家发改委</errorWord>
      <group>L1_Knowledge</group>
      <groupName>知识性问题</groupName>
      <ability>L2_Knowledge</ability>
      <abilityName>其他知识</abilityName>
      <candidateList>
        <item>国家发展改革委</item>
      </candidateList>
      <explain/>
      <paraID>6E2400D3</paraID>
      <start>73</start>
      <end>78</end>
      <status>unmodified</status>
      <modifiedWord/>
      <trackRevisions>false</trackRevisions>
    </reviewItem>
    <reviewItem>
      <errorID>614225e4-abfd-4146-81b6-e5e22fc8d10c</errorID>
      <errorWord>（</errorWord>
      <group>L1_Punc</group>
      <groupName>标点问题</groupName>
      <ability>L2_Punc_CN</ability>
      <abilityName>标点符号问题</abilityName>
      <candidateList/>
      <explain>同一形式括号套用。</explain>
      <paraID>4BC51D01</paraID>
      <start>39</start>
      <end>40</end>
      <status>unmodified</status>
      <modifiedWord/>
      <trackRevisions>false</trackRevisions>
    </reviewItem>
    <reviewItem>
      <errorID>f902d84c-fc1f-4ec6-a7b5-dbe43ff5934f</errorID>
      <errorWord>）</errorWord>
      <group>L1_Punc</group>
      <groupName>标点问题</groupName>
      <ability>L2_Punc_CN</ability>
      <abilityName>标点符号问题</abilityName>
      <candidateList/>
      <explain>同一形式括号套用。</explain>
      <paraID>4BC51D01</paraID>
      <start>45</start>
      <end>46</end>
      <status>unmodified</status>
      <modifiedWord/>
      <trackRevisions>false</trackRevisions>
    </reviewItem>
    <reviewItem>
      <errorID>f1d7c4bb-5a38-4895-b051-3e305da93bd2</errorID>
      <errorWord>，</errorWord>
      <group>L1_Punc</group>
      <groupName>标点问题</groupName>
      <ability>L2_Punc_CN</ability>
      <abilityName>标点符号问题</abilityName>
      <candidateList/>
      <explain/>
      <paraID>1E0807B7</paraID>
      <start>26</start>
      <end>27</end>
      <status>unmodified</status>
      <modifiedWord/>
      <trackRevisions>false</trackRevisions>
    </reviewItem>
    <reviewItem>
      <errorID>01fad7bd-17b4-461b-ac17-1d769d348817</errorID>
      <errorWord>（</errorWord>
      <group>L1_Punc</group>
      <groupName>标点问题</groupName>
      <ability>L2_Punc_CN</ability>
      <abilityName>标点符号问题</abilityName>
      <candidateList/>
      <explain>同一形式括号套用。</explain>
      <paraID>630A5136</paraID>
      <start>20</start>
      <end>21</end>
      <status>unmodified</status>
      <modifiedWord/>
      <trackRevisions>false</trackRevisions>
    </reviewItem>
    <reviewItem>
      <errorID>7c518743-0f80-4c23-9fe7-e66dfe8472eb</errorID>
      <errorWord>）</errorWord>
      <group>L1_Punc</group>
      <groupName>标点问题</groupName>
      <ability>L2_Punc_CN</ability>
      <abilityName>标点符号问题</abilityName>
      <candidateList/>
      <explain>同一形式括号套用。</explain>
      <paraID>630A5136</paraID>
      <start>27</start>
      <end>28</end>
      <status>unmodified</status>
      <modifiedWord/>
      <trackRevisions>false</trackRevisions>
    </reviewItem>
    <reviewItem>
      <errorID>5141e5b8-5bc5-4f4d-8c2e-9afa942f755d</errorID>
      <errorWord>（</errorWord>
      <group>L1_Punc</group>
      <groupName>标点问题</groupName>
      <ability>L2_Punc_CN</ability>
      <abilityName>标点符号问题</abilityName>
      <candidateList/>
      <explain>同一形式括号套用。</explain>
      <paraID>797A567A</paraID>
      <start>36</start>
      <end>37</end>
      <status>unmodified</status>
      <modifiedWord/>
      <trackRevisions>false</trackRevisions>
    </reviewItem>
    <reviewItem>
      <errorID>192457f3-e9b5-4062-a084-7d4cbd2a8111</errorID>
      <errorWord>）</errorWord>
      <group>L1_Punc</group>
      <groupName>标点问题</groupName>
      <ability>L2_Punc_CN</ability>
      <abilityName>标点符号问题</abilityName>
      <candidateList/>
      <explain>同一形式括号套用。</explain>
      <paraID>797A567A</paraID>
      <start>77</start>
      <end>78</end>
      <status>unmodified</status>
      <modifiedWord/>
      <trackRevisions>false</trackRevisions>
    </reviewItem>
    <reviewItem>
      <errorID>d7ca705c-108b-4e01-b374-cceaada250c6</errorID>
      <errorWord>（</errorWord>
      <group>L1_Punc</group>
      <groupName>标点问题</groupName>
      <ability>L2_Punc_CN</ability>
      <abilityName>标点符号问题</abilityName>
      <candidateList/>
      <explain>同一形式括号套用。</explain>
      <paraID>33E87D78</paraID>
      <start>27</start>
      <end>28</end>
      <status>unmodified</status>
      <modifiedWord/>
      <trackRevisions>false</trackRevisions>
    </reviewItem>
    <reviewItem>
      <errorID>50bebf61-246c-4d11-b986-62d99c3fa07e</errorID>
      <errorWord>）</errorWord>
      <group>L1_Punc</group>
      <groupName>标点问题</groupName>
      <ability>L2_Punc_CN</ability>
      <abilityName>标点符号问题</abilityName>
      <candidateList/>
      <explain>同一形式括号套用。</explain>
      <paraID>33E87D78</paraID>
      <start>29</start>
      <end>30</end>
      <status>unmodified</status>
      <modifiedWord/>
      <trackRevisions>false</trackRevisions>
    </reviewItem>
    <reviewItem>
      <errorID>574ae40f-a637-4864-b0eb-dc5d89067a4b</errorID>
      <errorWord>（</errorWord>
      <group>L1_Punc</group>
      <groupName>标点问题</groupName>
      <ability>L2_Punc_CN</ability>
      <abilityName>标点符号问题</abilityName>
      <candidateList/>
      <explain>同一形式括号套用。</explain>
      <paraID>33E87D78</paraID>
      <start>35</start>
      <end>36</end>
      <status>unmodified</status>
      <modifiedWord/>
      <trackRevisions>false</trackRevisions>
    </reviewItem>
    <reviewItem>
      <errorID>00c74a75-28cc-4b96-8778-d8fcd1a70c1b</errorID>
      <errorWord>）</errorWord>
      <group>L1_Punc</group>
      <groupName>标点问题</groupName>
      <ability>L2_Punc_CN</ability>
      <abilityName>标点符号问题</abilityName>
      <candidateList/>
      <explain>同一形式括号套用。</explain>
      <paraID>33E87D78</paraID>
      <start>37</start>
      <end>38</end>
      <status>unmodified</status>
      <modifiedWord/>
      <trackRevisions>false</trackRevisions>
    </reviewItem>
    <reviewItem>
      <errorID>958300f6-6273-467d-983b-dd93d1fa1867</errorID>
      <errorWord>（</errorWord>
      <group>L1_Punc</group>
      <groupName>标点问题</groupName>
      <ability>L2_Punc_CN</ability>
      <abilityName>标点符号问题</abilityName>
      <candidateList/>
      <explain>同一形式括号套用。</explain>
      <paraID>33E87D78</paraID>
      <start>43</start>
      <end>44</end>
      <status>unmodified</status>
      <modifiedWord/>
      <trackRevisions>false</trackRevisions>
    </reviewItem>
    <reviewItem>
      <errorID>a76052a2-136a-4ff6-9a06-774435486fa7</errorID>
      <errorWord>）</errorWord>
      <group>L1_Punc</group>
      <groupName>标点问题</groupName>
      <ability>L2_Punc_CN</ability>
      <abilityName>标点符号问题</abilityName>
      <candidateList/>
      <explain>同一形式括号套用。</explain>
      <paraID>33E87D78</paraID>
      <start>45</start>
      <end>46</end>
      <status>unmodified</status>
      <modifiedWord/>
      <trackRevisions>false</trackRevisions>
    </reviewItem>
    <reviewItem>
      <errorID>3476dab9-0395-4ede-acbc-5b4dccdefaa6</errorID>
      <errorWord>（</errorWord>
      <group>L1_Punc</group>
      <groupName>标点问题</groupName>
      <ability>L2_Punc_CN</ability>
      <abilityName>标点符号问题</abilityName>
      <candidateList/>
      <explain>同一形式括号套用。</explain>
      <paraID>33E87D78</paraID>
      <start>51</start>
      <end>52</end>
      <status>unmodified</status>
      <modifiedWord/>
      <trackRevisions>false</trackRevisions>
    </reviewItem>
    <reviewItem>
      <errorID>ccb0064c-963f-4328-bb36-2ea43f1322b9</errorID>
      <errorWord>）</errorWord>
      <group>L1_Punc</group>
      <groupName>标点问题</groupName>
      <ability>L2_Punc_CN</ability>
      <abilityName>标点符号问题</abilityName>
      <candidateList/>
      <explain>同一形式括号套用。</explain>
      <paraID>33E87D78</paraID>
      <start>53</start>
      <end>54</end>
      <status>unmodified</status>
      <modifiedWord/>
      <trackRevisions>false</trackRevisions>
    </reviewItem>
    <reviewItem>
      <errorID>869375d2-e9d8-4310-9ab4-7718b0fa763e</errorID>
      <errorWord>（</errorWord>
      <group>L1_Punc</group>
      <groupName>标点问题</groupName>
      <ability>L2_Punc_CN</ability>
      <abilityName>标点符号问题</abilityName>
      <candidateList/>
      <explain>同一形式括号套用。</explain>
      <paraID>463B7CEF</paraID>
      <start>41</start>
      <end>42</end>
      <status>unmodified</status>
      <modifiedWord/>
      <trackRevisions>false</trackRevisions>
    </reviewItem>
    <reviewItem>
      <errorID>bfdaec0b-37fa-4ef4-92c2-9b814a768984</errorID>
      <errorWord>）</errorWord>
      <group>L1_Punc</group>
      <groupName>标点问题</groupName>
      <ability>L2_Punc_CN</ability>
      <abilityName>标点符号问题</abilityName>
      <candidateList/>
      <explain>同一形式括号套用。</explain>
      <paraID>463B7CEF</paraID>
      <start>45</start>
      <end>46</end>
      <status>unmodified</status>
      <modifiedWord/>
      <trackRevisions>false</trackRevisions>
    </reviewItem>
    <reviewItem>
      <errorID>b2d9a00d-2e4d-48ad-80ca-52aa4c555c70</errorID>
      <errorWord>（</errorWord>
      <group>L1_Punc</group>
      <groupName>标点问题</groupName>
      <ability>L2_Punc_CN</ability>
      <abilityName>标点符号问题</abilityName>
      <candidateList/>
      <explain>同一形式括号套用。</explain>
      <paraID>463B7CEF</paraID>
      <start>65</start>
      <end>66</end>
      <status>unmodified</status>
      <modifiedWord/>
      <trackRevisions>false</trackRevisions>
    </reviewItem>
    <reviewItem>
      <errorID>bdc71add-5a68-438f-9374-23e35b95b07a</errorID>
      <errorWord>（</errorWord>
      <group>L1_Punc</group>
      <groupName>标点问题</groupName>
      <ability>L2_Punc_CN</ability>
      <abilityName>标点符号问题</abilityName>
      <candidateList/>
      <explain>同一形式括号套用。</explain>
      <paraID>463B7CEF</paraID>
      <start>182</start>
      <end>183</end>
      <status>unmodified</status>
      <modifiedWord/>
      <trackRevisions>false</trackRevisions>
    </reviewItem>
    <reviewItem>
      <errorID>1e8ba6b2-302a-4599-9e69-f509efabae33</errorID>
      <errorWord>）</errorWord>
      <group>L1_Punc</group>
      <groupName>标点问题</groupName>
      <ability>L2_Punc_CN</ability>
      <abilityName>标点符号问题</abilityName>
      <candidateList/>
      <explain>同一形式括号套用。</explain>
      <paraID>463B7CEF</paraID>
      <start>187</start>
      <end>188</end>
      <status>unmodified</status>
      <modifiedWord/>
      <trackRevisions>false</trackRevisions>
    </reviewItem>
    <reviewItem>
      <errorID>5a170be0-8675-4dfd-9848-d0c5d91d4a07</errorID>
      <errorWord>（</errorWord>
      <group>L1_Punc</group>
      <groupName>标点问题</groupName>
      <ability>L2_Punc_CN</ability>
      <abilityName>标点符号问题</abilityName>
      <candidateList/>
      <explain>同一形式括号套用。</explain>
      <paraID>463B7CEF</paraID>
      <start>201</start>
      <end>202</end>
      <status>unmodified</status>
      <modifiedWord/>
      <trackRevisions>false</trackRevisions>
    </reviewItem>
    <reviewItem>
      <errorID>9ccba4ad-1826-4750-8f12-d764b5d1b729</errorID>
      <errorWord>）</errorWord>
      <group>L1_Punc</group>
      <groupName>标点问题</groupName>
      <ability>L2_Punc_CN</ability>
      <abilityName>标点符号问题</abilityName>
      <candidateList/>
      <explain>同一形式括号套用。</explain>
      <paraID>463B7CEF</paraID>
      <start>205</start>
      <end>206</end>
      <status>unmodified</status>
      <modifiedWord/>
      <trackRevisions>false</trackRevisions>
    </reviewItem>
    <reviewItem>
      <errorID>43e73b4d-decf-454e-b9d1-4801de872d4b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771C36F0</paraID>
      <start>65</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e9ee5-b26b-4dfb-ae6f-5020f90db3bb}">
  <ds:schemaRefs/>
</ds:datastoreItem>
</file>

<file path=docProps/app.xml><?xml version="1.0" encoding="utf-8"?>
<Properties xmlns="http://schemas.openxmlformats.org/officeDocument/2006/extended-properties" xmlns:vt="http://schemas.openxmlformats.org/officeDocument/2006/docPropsVTypes">
  <Template>Normal</Template>
  <Pages>76</Pages>
  <Words>35094</Words>
  <Characters>37026</Characters>
  <Paragraphs>3030</Paragraphs>
  <TotalTime>4</TotalTime>
  <ScaleCrop>false</ScaleCrop>
  <LinksUpToDate>false</LinksUpToDate>
  <CharactersWithSpaces>39108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2024-04-18T03:37:00Z</dcterms:created>
  <dc:creator>Administrator</dc:creator>
  <cp:lastModifiedBy>bangong</cp:lastModifiedBy>
  <cp:lastPrinted>2024-11-26T03:31:00Z</cp:lastPrinted>
  <dcterms:modified xsi:type="dcterms:W3CDTF">2026-07-07T02:15:54Z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6ed4ee9d4ba94ba689ed0682064d5bee_23</vt:lpwstr>
  </property>
  <property fmtid="{D5CDD505-2E9C-101B-9397-08002B2CF9AE}" pid="4" name="KSOTemplateDocerSaveRecord">
    <vt:lpwstr>eyJoZGlkIjoiMWVmNTNmMDhhMGVkYmM0ZmExYjEyOTE2YzZhZmU1MjciLCJ1c2VySWQiOiIxNTA1OTQ0ODM3In0=</vt:lpwstr>
  </property>
</Properties>
</file>