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rPr>
          <w:rFonts w:hAnsi="宋体"/>
          <w:color w:val="auto"/>
          <w:sz w:val="52"/>
          <w:szCs w:val="52"/>
          <w:highlight w:val="none"/>
        </w:rPr>
      </w:pPr>
    </w:p>
    <w:p>
      <w:pPr>
        <w:pStyle w:val="21"/>
        <w:rPr>
          <w:rFonts w:hAnsi="宋体"/>
          <w:color w:val="auto"/>
          <w:sz w:val="52"/>
          <w:szCs w:val="52"/>
          <w:highlight w:val="none"/>
        </w:rPr>
      </w:pPr>
      <w:r>
        <w:rPr>
          <w:color w:val="auto"/>
          <w:highlight w:val="none"/>
          <w:lang w:val="en-US"/>
        </w:rPr>
        <w:drawing>
          <wp:inline distT="0" distB="0" distL="0" distR="0">
            <wp:extent cx="2042795" cy="1887855"/>
            <wp:effectExtent l="0" t="0" r="0" b="0"/>
            <wp:docPr id="2" name="图片 12" descr="E:\聊天记录\1740548293\FileRecv\广远logo（新）2017.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2" descr="E:\聊天记录\1740548293\FileRecv\广远logo（新）2017.3.15.jpg"/>
                    <pic:cNvPicPr>
                      <a:picLocks noChangeAspect="1" noChangeArrowheads="1"/>
                    </pic:cNvPicPr>
                  </pic:nvPicPr>
                  <pic:blipFill>
                    <a:blip r:embed="rId11">
                      <a:extLst>
                        <a:ext uri="{28A0092B-C50C-407E-A947-70E740481C1C}">
                          <a14:useLocalDpi xmlns:a14="http://schemas.microsoft.com/office/drawing/2010/main" val="0"/>
                        </a:ext>
                      </a:extLst>
                    </a:blip>
                    <a:srcRect l="15063" t="19231" r="16025" b="17307"/>
                    <a:stretch>
                      <a:fillRect/>
                    </a:stretch>
                  </pic:blipFill>
                  <pic:spPr>
                    <a:xfrm>
                      <a:off x="0" y="0"/>
                      <a:ext cx="2042795" cy="1887855"/>
                    </a:xfrm>
                    <a:prstGeom prst="rect">
                      <a:avLst/>
                    </a:prstGeom>
                    <a:noFill/>
                    <a:ln>
                      <a:noFill/>
                    </a:ln>
                  </pic:spPr>
                </pic:pic>
              </a:graphicData>
            </a:graphic>
          </wp:inline>
        </w:drawing>
      </w:r>
      <w:r>
        <w:rPr>
          <w:rFonts w:hint="eastAsia" w:hAnsi="宋体"/>
          <w:color w:val="auto"/>
          <w:sz w:val="52"/>
          <w:szCs w:val="52"/>
          <w:highlight w:val="none"/>
        </w:rPr>
        <w:t xml:space="preserve">                 </w:t>
      </w:r>
    </w:p>
    <w:p>
      <w:pPr>
        <w:tabs>
          <w:tab w:val="left" w:pos="420"/>
          <w:tab w:val="left" w:pos="6660"/>
        </w:tabs>
        <w:jc w:val="center"/>
        <w:rPr>
          <w:rFonts w:hAnsi="宋体" w:cs="宋体"/>
          <w:b/>
          <w:color w:val="auto"/>
          <w:sz w:val="44"/>
          <w:szCs w:val="44"/>
          <w:highlight w:val="none"/>
        </w:rPr>
      </w:pPr>
    </w:p>
    <w:p>
      <w:pPr>
        <w:pStyle w:val="2"/>
        <w:rPr>
          <w:rFonts w:cs="宋体"/>
          <w:b/>
          <w:color w:val="auto"/>
          <w:sz w:val="52"/>
          <w:szCs w:val="52"/>
          <w:highlight w:val="none"/>
        </w:rPr>
      </w:pPr>
      <w:r>
        <w:rPr>
          <w:rFonts w:hint="eastAsia" w:cs="宋体"/>
          <w:b/>
          <w:color w:val="auto"/>
          <w:sz w:val="52"/>
          <w:szCs w:val="52"/>
          <w:highlight w:val="none"/>
        </w:rPr>
        <w:t>南海海洋预警信息发布和沿海</w:t>
      </w:r>
    </w:p>
    <w:p>
      <w:pPr>
        <w:pStyle w:val="2"/>
        <w:rPr>
          <w:color w:val="auto"/>
          <w:highlight w:val="none"/>
        </w:rPr>
      </w:pPr>
      <w:r>
        <w:rPr>
          <w:rFonts w:hint="eastAsia" w:cs="宋体"/>
          <w:b/>
          <w:color w:val="auto"/>
          <w:sz w:val="52"/>
          <w:szCs w:val="52"/>
          <w:highlight w:val="none"/>
        </w:rPr>
        <w:t>恶劣天气防灾叫应系统(二期)</w:t>
      </w:r>
    </w:p>
    <w:p>
      <w:pPr>
        <w:tabs>
          <w:tab w:val="left" w:pos="420"/>
          <w:tab w:val="left" w:pos="6660"/>
        </w:tabs>
        <w:spacing w:line="1600" w:lineRule="atLeast"/>
        <w:jc w:val="center"/>
        <w:rPr>
          <w:rFonts w:hAnsi="宋体" w:cs="宋体"/>
          <w:b/>
          <w:color w:val="auto"/>
          <w:sz w:val="72"/>
          <w:szCs w:val="72"/>
          <w:highlight w:val="none"/>
        </w:rPr>
      </w:pPr>
      <w:r>
        <w:rPr>
          <w:rFonts w:hint="eastAsia" w:hAnsi="宋体" w:cs="宋体"/>
          <w:b/>
          <w:color w:val="auto"/>
          <w:sz w:val="72"/>
          <w:szCs w:val="72"/>
          <w:highlight w:val="none"/>
        </w:rPr>
        <w:t>公开招标文件</w:t>
      </w:r>
    </w:p>
    <w:p>
      <w:pPr>
        <w:spacing w:line="500" w:lineRule="exact"/>
        <w:jc w:val="center"/>
        <w:rPr>
          <w:rFonts w:hAnsi="宋体" w:cs="宋体"/>
          <w:b/>
          <w:bCs/>
          <w:color w:val="auto"/>
          <w:sz w:val="28"/>
          <w:szCs w:val="28"/>
          <w:highlight w:val="none"/>
        </w:rPr>
      </w:pPr>
    </w:p>
    <w:p>
      <w:pPr>
        <w:spacing w:line="500" w:lineRule="exact"/>
        <w:rPr>
          <w:rFonts w:hAnsi="宋体" w:cs="宋体"/>
          <w:b/>
          <w:bCs/>
          <w:color w:val="auto"/>
          <w:sz w:val="28"/>
          <w:szCs w:val="28"/>
          <w:highlight w:val="none"/>
        </w:rPr>
      </w:pPr>
    </w:p>
    <w:p>
      <w:pPr>
        <w:spacing w:line="500" w:lineRule="exact"/>
        <w:rPr>
          <w:rFonts w:hAnsi="宋体" w:cs="宋体"/>
          <w:b/>
          <w:bCs/>
          <w:color w:val="auto"/>
          <w:sz w:val="28"/>
          <w:szCs w:val="28"/>
          <w:highlight w:val="none"/>
        </w:rPr>
      </w:pPr>
    </w:p>
    <w:p>
      <w:pPr>
        <w:spacing w:line="500" w:lineRule="exact"/>
        <w:jc w:val="center"/>
        <w:rPr>
          <w:rFonts w:hAnsi="宋体" w:cs="宋体"/>
          <w:b/>
          <w:bCs/>
          <w:color w:val="auto"/>
          <w:sz w:val="28"/>
          <w:szCs w:val="28"/>
          <w:highlight w:val="none"/>
        </w:rPr>
      </w:pPr>
    </w:p>
    <w:p>
      <w:pPr>
        <w:rPr>
          <w:rFonts w:hAnsi="宋体" w:cs="宋体"/>
          <w:color w:val="auto"/>
          <w:highlight w:val="none"/>
          <w:lang w:val="zh-CN"/>
        </w:rPr>
      </w:pPr>
    </w:p>
    <w:p>
      <w:pPr>
        <w:spacing w:line="500" w:lineRule="exact"/>
        <w:jc w:val="center"/>
        <w:rPr>
          <w:rFonts w:hAnsi="宋体" w:cs="宋体"/>
          <w:b/>
          <w:bCs/>
          <w:color w:val="auto"/>
          <w:sz w:val="28"/>
          <w:szCs w:val="28"/>
          <w:highlight w:val="none"/>
        </w:rPr>
      </w:pPr>
      <w:r>
        <w:rPr>
          <w:rFonts w:hint="eastAsia" w:hAnsi="宋体" w:cs="宋体"/>
          <w:b/>
          <w:bCs/>
          <w:color w:val="auto"/>
          <w:sz w:val="28"/>
          <w:szCs w:val="28"/>
          <w:highlight w:val="none"/>
        </w:rPr>
        <w:t>采购编号：GDYD230090</w:t>
      </w:r>
      <w:r>
        <w:rPr>
          <w:rFonts w:hint="eastAsia" w:hAnsi="宋体" w:cs="宋体"/>
          <w:b/>
          <w:bCs/>
          <w:color w:val="auto"/>
          <w:sz w:val="28"/>
          <w:szCs w:val="28"/>
          <w:highlight w:val="none"/>
        </w:rPr>
        <w:fldChar w:fldCharType="begin"/>
      </w:r>
      <w:r>
        <w:rPr>
          <w:rFonts w:hint="eastAsia" w:hAnsi="宋体" w:cs="宋体"/>
          <w:b/>
          <w:bCs/>
          <w:color w:val="auto"/>
          <w:sz w:val="28"/>
          <w:szCs w:val="28"/>
          <w:highlight w:val="none"/>
        </w:rPr>
        <w:instrText xml:space="preserve"> DOCVARIABLE  采购编号  \* MERGEFORMAT </w:instrText>
      </w:r>
      <w:r>
        <w:rPr>
          <w:rFonts w:hint="eastAsia" w:hAnsi="宋体" w:cs="宋体"/>
          <w:b/>
          <w:bCs/>
          <w:color w:val="auto"/>
          <w:sz w:val="28"/>
          <w:szCs w:val="28"/>
          <w:highlight w:val="none"/>
        </w:rPr>
        <w:fldChar w:fldCharType="end"/>
      </w:r>
    </w:p>
    <w:p>
      <w:pPr>
        <w:spacing w:line="360" w:lineRule="auto"/>
        <w:rPr>
          <w:rFonts w:hAnsi="宋体" w:cs="宋体"/>
          <w:b/>
          <w:color w:val="auto"/>
          <w:sz w:val="28"/>
          <w:szCs w:val="28"/>
          <w:highlight w:val="none"/>
        </w:rPr>
      </w:pPr>
    </w:p>
    <w:p>
      <w:pPr>
        <w:spacing w:line="360" w:lineRule="auto"/>
        <w:jc w:val="center"/>
        <w:rPr>
          <w:rFonts w:hAnsi="宋体" w:cs="宋体"/>
          <w:b/>
          <w:bCs/>
          <w:color w:val="auto"/>
          <w:sz w:val="28"/>
          <w:szCs w:val="28"/>
          <w:highlight w:val="none"/>
        </w:rPr>
      </w:pPr>
    </w:p>
    <w:p>
      <w:pPr>
        <w:spacing w:line="360" w:lineRule="auto"/>
        <w:jc w:val="center"/>
        <w:rPr>
          <w:rFonts w:hAnsi="宋体" w:cs="宋体"/>
          <w:b/>
          <w:bCs/>
          <w:color w:val="auto"/>
          <w:sz w:val="28"/>
          <w:szCs w:val="28"/>
          <w:highlight w:val="none"/>
        </w:rPr>
      </w:pPr>
      <w:r>
        <w:rPr>
          <w:rFonts w:hint="eastAsia" w:hAnsi="宋体" w:cs="宋体"/>
          <w:b/>
          <w:bCs/>
          <w:color w:val="auto"/>
          <w:sz w:val="28"/>
          <w:szCs w:val="28"/>
          <w:highlight w:val="none"/>
        </w:rPr>
        <w:t>广东远东招标代理有限公司  编制</w:t>
      </w:r>
    </w:p>
    <w:p>
      <w:pPr>
        <w:spacing w:line="360" w:lineRule="auto"/>
        <w:jc w:val="center"/>
        <w:rPr>
          <w:rFonts w:hAnsi="宋体" w:cs="宋体"/>
          <w:b/>
          <w:bCs/>
          <w:color w:val="auto"/>
          <w:sz w:val="28"/>
          <w:szCs w:val="28"/>
          <w:highlight w:val="none"/>
        </w:rPr>
      </w:pPr>
      <w:r>
        <w:rPr>
          <w:rFonts w:hint="eastAsia" w:hAnsi="宋体" w:cs="宋体"/>
          <w:b/>
          <w:bCs/>
          <w:color w:val="auto"/>
          <w:sz w:val="28"/>
          <w:szCs w:val="28"/>
          <w:highlight w:val="none"/>
        </w:rPr>
        <w:t>发布日期：2023年</w:t>
      </w:r>
      <w:r>
        <w:rPr>
          <w:rFonts w:hint="eastAsia" w:hAnsi="宋体" w:cs="宋体"/>
          <w:b/>
          <w:bCs/>
          <w:color w:val="auto"/>
          <w:sz w:val="28"/>
          <w:szCs w:val="28"/>
          <w:highlight w:val="none"/>
          <w:lang w:val="en-US" w:eastAsia="zh-CN"/>
        </w:rPr>
        <w:t>5</w:t>
      </w:r>
      <w:r>
        <w:rPr>
          <w:rFonts w:hint="eastAsia" w:hAnsi="宋体" w:cs="宋体"/>
          <w:b/>
          <w:bCs/>
          <w:color w:val="auto"/>
          <w:sz w:val="28"/>
          <w:szCs w:val="28"/>
          <w:highlight w:val="none"/>
        </w:rPr>
        <w:t>月</w:t>
      </w:r>
    </w:p>
    <w:p>
      <w:pPr>
        <w:pageBreakBefore/>
        <w:spacing w:line="360" w:lineRule="auto"/>
        <w:ind w:right="-34"/>
        <w:jc w:val="center"/>
        <w:rPr>
          <w:rFonts w:hAnsi="宋体" w:cs="宋体"/>
          <w:b/>
          <w:bCs/>
          <w:color w:val="auto"/>
          <w:kern w:val="2"/>
          <w:sz w:val="32"/>
          <w:szCs w:val="32"/>
          <w:highlight w:val="none"/>
          <w:lang w:val="zh-CN"/>
        </w:rPr>
      </w:pPr>
    </w:p>
    <w:p>
      <w:pPr>
        <w:spacing w:line="360" w:lineRule="auto"/>
        <w:ind w:right="16"/>
        <w:jc w:val="center"/>
        <w:rPr>
          <w:rFonts w:hAnsi="宋体" w:cs="宋体"/>
          <w:b/>
          <w:bCs/>
          <w:color w:val="auto"/>
          <w:kern w:val="2"/>
          <w:sz w:val="36"/>
          <w:szCs w:val="36"/>
          <w:highlight w:val="none"/>
          <w:lang w:val="zh-CN"/>
        </w:rPr>
      </w:pPr>
      <w:r>
        <w:rPr>
          <w:rFonts w:hint="eastAsia" w:hAnsi="宋体" w:cs="宋体"/>
          <w:b/>
          <w:bCs/>
          <w:color w:val="auto"/>
          <w:kern w:val="2"/>
          <w:sz w:val="36"/>
          <w:szCs w:val="36"/>
          <w:highlight w:val="none"/>
          <w:lang w:val="zh-CN"/>
        </w:rPr>
        <w:t>目  录</w:t>
      </w:r>
    </w:p>
    <w:p>
      <w:pPr>
        <w:spacing w:line="360" w:lineRule="auto"/>
        <w:ind w:right="16"/>
        <w:jc w:val="center"/>
        <w:rPr>
          <w:rFonts w:hAnsi="宋体" w:cs="宋体"/>
          <w:b/>
          <w:bCs/>
          <w:color w:val="auto"/>
          <w:kern w:val="2"/>
          <w:sz w:val="32"/>
          <w:szCs w:val="32"/>
          <w:highlight w:val="none"/>
          <w:lang w:val="zh-CN"/>
        </w:rPr>
      </w:pPr>
    </w:p>
    <w:p>
      <w:pPr>
        <w:spacing w:line="360" w:lineRule="auto"/>
        <w:ind w:right="16"/>
        <w:jc w:val="center"/>
        <w:rPr>
          <w:rFonts w:hAnsi="宋体" w:cs="宋体"/>
          <w:color w:val="auto"/>
          <w:kern w:val="2"/>
          <w:szCs w:val="21"/>
          <w:highlight w:val="none"/>
          <w:lang w:val="zh-CN"/>
        </w:rPr>
      </w:pPr>
    </w:p>
    <w:p>
      <w:pPr>
        <w:tabs>
          <w:tab w:val="left" w:pos="855"/>
        </w:tabs>
        <w:spacing w:line="360" w:lineRule="auto"/>
        <w:ind w:left="3165" w:leftChars="1100" w:right="-29" w:rightChars="-14" w:hanging="855"/>
        <w:jc w:val="both"/>
        <w:rPr>
          <w:rFonts w:hAnsi="宋体" w:cs="宋体"/>
          <w:b/>
          <w:bCs/>
          <w:color w:val="auto"/>
          <w:kern w:val="2"/>
          <w:sz w:val="28"/>
          <w:szCs w:val="28"/>
          <w:highlight w:val="none"/>
          <w:lang w:val="zh-CN"/>
        </w:rPr>
      </w:pPr>
      <w:r>
        <w:rPr>
          <w:rFonts w:hint="eastAsia" w:hAnsi="宋体" w:cs="宋体"/>
          <w:b/>
          <w:bCs/>
          <w:color w:val="auto"/>
          <w:kern w:val="2"/>
          <w:sz w:val="28"/>
          <w:szCs w:val="28"/>
          <w:highlight w:val="none"/>
          <w:lang w:val="zh-CN"/>
        </w:rPr>
        <w:t>第一篇  投标邀请书</w:t>
      </w:r>
    </w:p>
    <w:p>
      <w:pPr>
        <w:spacing w:line="360" w:lineRule="auto"/>
        <w:ind w:left="2310" w:leftChars="1100" w:right="-29" w:rightChars="-14"/>
        <w:jc w:val="both"/>
        <w:rPr>
          <w:rFonts w:hAnsi="宋体" w:cs="宋体"/>
          <w:b/>
          <w:bCs/>
          <w:color w:val="auto"/>
          <w:kern w:val="2"/>
          <w:sz w:val="28"/>
          <w:szCs w:val="28"/>
          <w:highlight w:val="none"/>
          <w:lang w:val="zh-CN"/>
        </w:rPr>
      </w:pPr>
    </w:p>
    <w:p>
      <w:pPr>
        <w:tabs>
          <w:tab w:val="left" w:pos="855"/>
        </w:tabs>
        <w:spacing w:line="360" w:lineRule="auto"/>
        <w:ind w:left="3165" w:leftChars="1100" w:right="-29" w:rightChars="-14" w:hanging="855"/>
        <w:jc w:val="both"/>
        <w:rPr>
          <w:rFonts w:hAnsi="宋体" w:cs="宋体"/>
          <w:b/>
          <w:bCs/>
          <w:color w:val="auto"/>
          <w:kern w:val="2"/>
          <w:sz w:val="28"/>
          <w:szCs w:val="28"/>
          <w:highlight w:val="none"/>
          <w:lang w:val="zh-CN"/>
        </w:rPr>
      </w:pPr>
      <w:r>
        <w:rPr>
          <w:rFonts w:hint="eastAsia" w:hAnsi="宋体" w:cs="宋体"/>
          <w:b/>
          <w:bCs/>
          <w:color w:val="auto"/>
          <w:kern w:val="2"/>
          <w:sz w:val="28"/>
          <w:szCs w:val="28"/>
          <w:highlight w:val="none"/>
          <w:lang w:val="zh-CN"/>
        </w:rPr>
        <w:t xml:space="preserve">第二篇  </w:t>
      </w:r>
      <w:r>
        <w:rPr>
          <w:color w:val="auto"/>
          <w:highlight w:val="none"/>
        </w:rPr>
        <w:fldChar w:fldCharType="begin"/>
      </w:r>
      <w:r>
        <w:rPr>
          <w:color w:val="auto"/>
          <w:highlight w:val="none"/>
        </w:rPr>
        <w:instrText xml:space="preserve"> HYPERLINK "file:///C:\\2013年7月11日桌面备份\\海丰中医院\\太和医院\\l" </w:instrText>
      </w:r>
      <w:r>
        <w:rPr>
          <w:color w:val="auto"/>
          <w:highlight w:val="none"/>
        </w:rPr>
        <w:fldChar w:fldCharType="separate"/>
      </w:r>
      <w:r>
        <w:rPr>
          <w:rFonts w:hint="eastAsia" w:hAnsi="宋体" w:cs="宋体"/>
          <w:b/>
          <w:bCs/>
          <w:color w:val="auto"/>
          <w:kern w:val="2"/>
          <w:sz w:val="28"/>
          <w:szCs w:val="28"/>
          <w:highlight w:val="none"/>
          <w:lang w:val="zh-CN"/>
        </w:rPr>
        <w:t xml:space="preserve">投标人须知 </w:t>
      </w:r>
      <w:r>
        <w:rPr>
          <w:rFonts w:hint="eastAsia" w:hAnsi="宋体" w:cs="宋体"/>
          <w:b/>
          <w:bCs/>
          <w:color w:val="auto"/>
          <w:kern w:val="2"/>
          <w:sz w:val="28"/>
          <w:szCs w:val="28"/>
          <w:highlight w:val="none"/>
          <w:lang w:val="zh-CN"/>
        </w:rPr>
        <w:fldChar w:fldCharType="end"/>
      </w:r>
    </w:p>
    <w:p>
      <w:pPr>
        <w:spacing w:line="360" w:lineRule="auto"/>
        <w:ind w:left="2310" w:leftChars="1100" w:right="-29" w:rightChars="-14"/>
        <w:jc w:val="both"/>
        <w:rPr>
          <w:rFonts w:hAnsi="宋体" w:cs="宋体"/>
          <w:b/>
          <w:bCs/>
          <w:color w:val="auto"/>
          <w:kern w:val="2"/>
          <w:sz w:val="28"/>
          <w:szCs w:val="28"/>
          <w:highlight w:val="none"/>
          <w:lang w:val="zh-CN"/>
        </w:rPr>
      </w:pPr>
    </w:p>
    <w:p>
      <w:pPr>
        <w:tabs>
          <w:tab w:val="left" w:pos="855"/>
        </w:tabs>
        <w:spacing w:line="360" w:lineRule="auto"/>
        <w:ind w:left="3165" w:leftChars="1100" w:right="-29" w:rightChars="-14" w:hanging="855"/>
        <w:jc w:val="both"/>
        <w:rPr>
          <w:rFonts w:hAnsi="宋体" w:cs="宋体"/>
          <w:b/>
          <w:bCs/>
          <w:color w:val="auto"/>
          <w:kern w:val="2"/>
          <w:sz w:val="28"/>
          <w:szCs w:val="28"/>
          <w:highlight w:val="none"/>
          <w:lang w:val="zh-CN"/>
        </w:rPr>
      </w:pPr>
      <w:r>
        <w:rPr>
          <w:rFonts w:hint="eastAsia" w:hAnsi="宋体" w:cs="宋体"/>
          <w:b/>
          <w:bCs/>
          <w:color w:val="auto"/>
          <w:kern w:val="2"/>
          <w:sz w:val="28"/>
          <w:szCs w:val="28"/>
          <w:highlight w:val="none"/>
          <w:lang w:val="zh-CN"/>
        </w:rPr>
        <w:t xml:space="preserve">第三篇  </w:t>
      </w:r>
      <w:r>
        <w:rPr>
          <w:color w:val="auto"/>
          <w:highlight w:val="none"/>
        </w:rPr>
        <w:fldChar w:fldCharType="begin"/>
      </w:r>
      <w:r>
        <w:rPr>
          <w:color w:val="auto"/>
          <w:highlight w:val="none"/>
        </w:rPr>
        <w:instrText xml:space="preserve"> HYPERLINK "file:///C:\\2013年7月11日桌面备份\\海丰中医院\\太和医院\\l" </w:instrText>
      </w:r>
      <w:r>
        <w:rPr>
          <w:color w:val="auto"/>
          <w:highlight w:val="none"/>
        </w:rPr>
        <w:fldChar w:fldCharType="separate"/>
      </w:r>
      <w:r>
        <w:rPr>
          <w:rFonts w:hint="eastAsia" w:hAnsi="宋体" w:cs="宋体"/>
          <w:b/>
          <w:bCs/>
          <w:color w:val="auto"/>
          <w:kern w:val="2"/>
          <w:sz w:val="28"/>
          <w:szCs w:val="28"/>
          <w:highlight w:val="none"/>
          <w:lang w:val="zh-CN"/>
        </w:rPr>
        <w:t>合同条款</w:t>
      </w:r>
      <w:r>
        <w:rPr>
          <w:rFonts w:hint="eastAsia" w:hAnsi="宋体" w:cs="宋体"/>
          <w:b/>
          <w:bCs/>
          <w:color w:val="auto"/>
          <w:kern w:val="2"/>
          <w:sz w:val="28"/>
          <w:szCs w:val="28"/>
          <w:highlight w:val="none"/>
          <w:lang w:val="zh-CN"/>
        </w:rPr>
        <w:fldChar w:fldCharType="end"/>
      </w:r>
      <w:r>
        <w:rPr>
          <w:rFonts w:hint="eastAsia" w:hAnsi="宋体" w:cs="宋体"/>
          <w:b/>
          <w:bCs/>
          <w:color w:val="auto"/>
          <w:kern w:val="2"/>
          <w:sz w:val="28"/>
          <w:szCs w:val="28"/>
          <w:highlight w:val="none"/>
          <w:lang w:val="zh-CN"/>
        </w:rPr>
        <w:t>格式</w:t>
      </w:r>
    </w:p>
    <w:p>
      <w:pPr>
        <w:spacing w:line="360" w:lineRule="auto"/>
        <w:ind w:left="2310" w:leftChars="1100" w:right="-29" w:rightChars="-14"/>
        <w:jc w:val="both"/>
        <w:rPr>
          <w:rFonts w:hAnsi="宋体" w:cs="宋体"/>
          <w:b/>
          <w:bCs/>
          <w:color w:val="auto"/>
          <w:kern w:val="2"/>
          <w:sz w:val="28"/>
          <w:szCs w:val="28"/>
          <w:highlight w:val="none"/>
          <w:lang w:val="zh-CN"/>
        </w:rPr>
      </w:pPr>
    </w:p>
    <w:p>
      <w:pPr>
        <w:tabs>
          <w:tab w:val="left" w:pos="855"/>
        </w:tabs>
        <w:spacing w:line="360" w:lineRule="auto"/>
        <w:ind w:left="3165" w:leftChars="1100" w:right="-29" w:rightChars="-14" w:hanging="855"/>
        <w:jc w:val="both"/>
        <w:rPr>
          <w:rFonts w:hAnsi="宋体" w:cs="宋体"/>
          <w:b/>
          <w:bCs/>
          <w:color w:val="auto"/>
          <w:kern w:val="2"/>
          <w:sz w:val="28"/>
          <w:szCs w:val="28"/>
          <w:highlight w:val="none"/>
          <w:lang w:val="zh-CN"/>
        </w:rPr>
      </w:pPr>
      <w:r>
        <w:rPr>
          <w:rFonts w:hint="eastAsia" w:hAnsi="宋体" w:cs="宋体"/>
          <w:b/>
          <w:bCs/>
          <w:color w:val="auto"/>
          <w:kern w:val="2"/>
          <w:sz w:val="28"/>
          <w:szCs w:val="28"/>
          <w:highlight w:val="none"/>
          <w:lang w:val="zh-CN"/>
        </w:rPr>
        <w:t>第四篇  用户需求书</w:t>
      </w:r>
    </w:p>
    <w:p>
      <w:pPr>
        <w:spacing w:line="360" w:lineRule="auto"/>
        <w:ind w:left="2310" w:leftChars="1100" w:right="-29" w:rightChars="-14"/>
        <w:jc w:val="both"/>
        <w:rPr>
          <w:rFonts w:hAnsi="宋体" w:cs="宋体"/>
          <w:b/>
          <w:bCs/>
          <w:color w:val="auto"/>
          <w:kern w:val="2"/>
          <w:sz w:val="28"/>
          <w:szCs w:val="28"/>
          <w:highlight w:val="none"/>
          <w:lang w:val="zh-CN"/>
        </w:rPr>
      </w:pPr>
    </w:p>
    <w:p>
      <w:pPr>
        <w:tabs>
          <w:tab w:val="left" w:pos="855"/>
        </w:tabs>
        <w:spacing w:line="360" w:lineRule="auto"/>
        <w:ind w:left="3165" w:leftChars="1100" w:right="-29" w:rightChars="-14" w:hanging="855"/>
        <w:jc w:val="both"/>
        <w:rPr>
          <w:rFonts w:hAnsi="宋体" w:cs="宋体"/>
          <w:b/>
          <w:bCs/>
          <w:color w:val="auto"/>
          <w:kern w:val="2"/>
          <w:sz w:val="28"/>
          <w:szCs w:val="28"/>
          <w:highlight w:val="none"/>
          <w:lang w:val="zh-CN"/>
        </w:rPr>
      </w:pPr>
      <w:r>
        <w:rPr>
          <w:rFonts w:hint="eastAsia" w:hAnsi="宋体" w:cs="宋体"/>
          <w:b/>
          <w:bCs/>
          <w:color w:val="auto"/>
          <w:kern w:val="2"/>
          <w:sz w:val="28"/>
          <w:szCs w:val="28"/>
          <w:highlight w:val="none"/>
          <w:lang w:val="zh-CN"/>
        </w:rPr>
        <w:t>第五篇  投标文件格式</w:t>
      </w:r>
    </w:p>
    <w:p>
      <w:pPr>
        <w:spacing w:line="360" w:lineRule="auto"/>
        <w:ind w:left="2310" w:leftChars="1100" w:right="-29" w:rightChars="-14"/>
        <w:jc w:val="both"/>
        <w:rPr>
          <w:rFonts w:hAnsi="宋体" w:cs="宋体"/>
          <w:b/>
          <w:bCs/>
          <w:color w:val="auto"/>
          <w:kern w:val="2"/>
          <w:sz w:val="28"/>
          <w:szCs w:val="28"/>
          <w:highlight w:val="none"/>
          <w:lang w:val="zh-CN"/>
        </w:rPr>
      </w:pPr>
    </w:p>
    <w:p>
      <w:pPr>
        <w:spacing w:line="360" w:lineRule="auto"/>
        <w:ind w:left="2310" w:leftChars="1100" w:right="-29" w:rightChars="-14"/>
        <w:jc w:val="both"/>
        <w:rPr>
          <w:rFonts w:hAnsi="宋体" w:cs="宋体"/>
          <w:b/>
          <w:bCs/>
          <w:color w:val="auto"/>
          <w:kern w:val="2"/>
          <w:sz w:val="28"/>
          <w:szCs w:val="28"/>
          <w:highlight w:val="none"/>
          <w:lang w:val="zh-CN"/>
        </w:rPr>
      </w:pPr>
      <w:r>
        <w:rPr>
          <w:rFonts w:hint="eastAsia" w:hAnsi="宋体" w:cs="宋体"/>
          <w:b/>
          <w:bCs/>
          <w:color w:val="auto"/>
          <w:kern w:val="2"/>
          <w:sz w:val="28"/>
          <w:szCs w:val="28"/>
          <w:highlight w:val="none"/>
          <w:lang w:val="zh-CN"/>
        </w:rPr>
        <w:t xml:space="preserve">附件一： </w:t>
      </w:r>
      <w:r>
        <w:rPr>
          <w:rFonts w:hAnsi="宋体" w:cs="宋体"/>
          <w:b/>
          <w:bCs/>
          <w:color w:val="auto"/>
          <w:kern w:val="2"/>
          <w:sz w:val="28"/>
          <w:szCs w:val="28"/>
          <w:highlight w:val="none"/>
          <w:lang w:val="zh-CN"/>
        </w:rPr>
        <w:t xml:space="preserve"> </w:t>
      </w:r>
      <w:r>
        <w:rPr>
          <w:rFonts w:hint="eastAsia" w:hAnsi="宋体" w:cs="宋体"/>
          <w:b/>
          <w:bCs/>
          <w:color w:val="auto"/>
          <w:kern w:val="2"/>
          <w:sz w:val="28"/>
          <w:szCs w:val="28"/>
          <w:highlight w:val="none"/>
          <w:lang w:val="zh-CN"/>
        </w:rPr>
        <w:t>评标工作大纲</w:t>
      </w:r>
    </w:p>
    <w:p>
      <w:pPr>
        <w:spacing w:line="360" w:lineRule="auto"/>
        <w:ind w:left="2310" w:leftChars="1100" w:right="-29" w:rightChars="-14"/>
        <w:jc w:val="both"/>
        <w:rPr>
          <w:rFonts w:hAnsi="宋体" w:cs="宋体"/>
          <w:b/>
          <w:bCs/>
          <w:color w:val="auto"/>
          <w:kern w:val="2"/>
          <w:sz w:val="28"/>
          <w:szCs w:val="28"/>
          <w:highlight w:val="none"/>
          <w:lang w:val="zh-CN"/>
        </w:rPr>
      </w:pPr>
    </w:p>
    <w:p>
      <w:pPr>
        <w:spacing w:line="360" w:lineRule="auto"/>
        <w:ind w:left="2310" w:leftChars="1100" w:right="-29" w:rightChars="-14"/>
        <w:jc w:val="both"/>
        <w:rPr>
          <w:rFonts w:hAnsi="宋体" w:cs="宋体"/>
          <w:b/>
          <w:bCs/>
          <w:color w:val="auto"/>
          <w:kern w:val="2"/>
          <w:sz w:val="28"/>
          <w:szCs w:val="28"/>
          <w:highlight w:val="none"/>
          <w:lang w:val="zh-CN"/>
        </w:rPr>
      </w:pPr>
      <w:r>
        <w:rPr>
          <w:rFonts w:hint="eastAsia" w:hAnsi="宋体" w:cs="宋体"/>
          <w:b/>
          <w:bCs/>
          <w:color w:val="auto"/>
          <w:kern w:val="2"/>
          <w:sz w:val="28"/>
          <w:szCs w:val="28"/>
          <w:highlight w:val="none"/>
          <w:lang w:val="zh-CN"/>
        </w:rPr>
        <w:t xml:space="preserve">附件二： </w:t>
      </w:r>
      <w:r>
        <w:rPr>
          <w:rFonts w:hAnsi="宋体" w:cs="宋体"/>
          <w:b/>
          <w:bCs/>
          <w:color w:val="auto"/>
          <w:kern w:val="2"/>
          <w:sz w:val="28"/>
          <w:szCs w:val="28"/>
          <w:highlight w:val="none"/>
          <w:lang w:val="zh-CN"/>
        </w:rPr>
        <w:t xml:space="preserve"> </w:t>
      </w:r>
      <w:r>
        <w:rPr>
          <w:rFonts w:hint="eastAsia" w:hAnsi="宋体" w:cs="宋体"/>
          <w:b/>
          <w:bCs/>
          <w:color w:val="auto"/>
          <w:kern w:val="2"/>
          <w:sz w:val="28"/>
          <w:szCs w:val="28"/>
          <w:highlight w:val="none"/>
          <w:lang w:val="zh-CN"/>
        </w:rPr>
        <w:t>中标服务费收费标准</w:t>
      </w:r>
    </w:p>
    <w:p>
      <w:pPr>
        <w:pStyle w:val="3"/>
        <w:keepNext/>
        <w:keepLines/>
        <w:pageBreakBefore/>
        <w:tabs>
          <w:tab w:val="left" w:pos="1080"/>
        </w:tabs>
        <w:spacing w:line="360" w:lineRule="auto"/>
        <w:ind w:left="567" w:hanging="567"/>
        <w:jc w:val="center"/>
        <w:rPr>
          <w:rFonts w:hAnsi="宋体" w:cs="宋体"/>
          <w:b/>
          <w:bCs/>
          <w:color w:val="auto"/>
          <w:kern w:val="44"/>
          <w:sz w:val="32"/>
          <w:szCs w:val="32"/>
          <w:highlight w:val="none"/>
          <w:lang w:val="zh-CN"/>
        </w:rPr>
      </w:pPr>
      <w:r>
        <w:rPr>
          <w:rFonts w:hint="eastAsia" w:hAnsi="宋体" w:cs="宋体"/>
          <w:b/>
          <w:bCs/>
          <w:color w:val="auto"/>
          <w:kern w:val="44"/>
          <w:sz w:val="32"/>
          <w:szCs w:val="32"/>
          <w:highlight w:val="none"/>
          <w:lang w:val="zh-CN"/>
        </w:rPr>
        <w:t>第一篇</w:t>
      </w:r>
      <w:r>
        <w:rPr>
          <w:rFonts w:hint="eastAsia" w:hAnsi="宋体" w:cs="宋体"/>
          <w:b/>
          <w:bCs/>
          <w:color w:val="auto"/>
          <w:kern w:val="44"/>
          <w:sz w:val="32"/>
          <w:szCs w:val="32"/>
          <w:highlight w:val="none"/>
          <w:lang w:val="zh-CN"/>
        </w:rPr>
        <w:tab/>
      </w:r>
      <w:r>
        <w:rPr>
          <w:rFonts w:hint="eastAsia" w:hAnsi="宋体" w:cs="宋体"/>
          <w:b/>
          <w:bCs/>
          <w:color w:val="auto"/>
          <w:kern w:val="44"/>
          <w:sz w:val="32"/>
          <w:szCs w:val="32"/>
          <w:highlight w:val="none"/>
          <w:lang w:val="zh-CN"/>
        </w:rPr>
        <w:t>投标邀请书</w:t>
      </w:r>
    </w:p>
    <w:p>
      <w:pPr>
        <w:widowControl/>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u w:val="single"/>
        </w:rPr>
        <w:t>广东远东招标代理有限公司</w:t>
      </w:r>
      <w:r>
        <w:rPr>
          <w:rFonts w:hint="eastAsia" w:ascii="仿宋" w:hAnsi="仿宋" w:eastAsia="仿宋" w:cs="仿宋"/>
          <w:color w:val="auto"/>
          <w:szCs w:val="21"/>
          <w:highlight w:val="none"/>
        </w:rPr>
        <w:t>受</w:t>
      </w:r>
      <w:r>
        <w:rPr>
          <w:rFonts w:hint="eastAsia" w:ascii="仿宋" w:hAnsi="仿宋" w:eastAsia="仿宋" w:cs="仿宋"/>
          <w:color w:val="auto"/>
          <w:szCs w:val="21"/>
          <w:highlight w:val="none"/>
          <w:u w:val="single"/>
        </w:rPr>
        <w:t>广东省气象局</w:t>
      </w:r>
      <w:r>
        <w:rPr>
          <w:rFonts w:hint="eastAsia" w:ascii="仿宋" w:hAnsi="仿宋" w:eastAsia="仿宋" w:cs="仿宋"/>
          <w:color w:val="auto"/>
          <w:szCs w:val="21"/>
          <w:highlight w:val="none"/>
        </w:rPr>
        <w:t>的委托，对</w:t>
      </w:r>
      <w:r>
        <w:rPr>
          <w:rFonts w:hint="eastAsia" w:ascii="仿宋" w:hAnsi="仿宋" w:eastAsia="仿宋" w:cs="仿宋"/>
          <w:bCs/>
          <w:color w:val="auto"/>
          <w:szCs w:val="21"/>
          <w:highlight w:val="none"/>
          <w:u w:val="single"/>
          <w:lang w:val="zh-CN"/>
        </w:rPr>
        <w:t>南海海洋预警信息发布和沿海恶劣天气防灾叫应系统(二期)</w:t>
      </w:r>
      <w:r>
        <w:rPr>
          <w:rFonts w:hint="eastAsia" w:ascii="仿宋" w:hAnsi="仿宋" w:eastAsia="仿宋" w:cs="仿宋"/>
          <w:color w:val="auto"/>
          <w:szCs w:val="21"/>
          <w:highlight w:val="none"/>
        </w:rPr>
        <w:t>进行公开招标采购，欢迎符合资格条件的供应商投标。</w:t>
      </w:r>
    </w:p>
    <w:p>
      <w:pPr>
        <w:widowControl/>
        <w:spacing w:line="360" w:lineRule="auto"/>
        <w:ind w:firstLine="560"/>
        <w:rPr>
          <w:rFonts w:ascii="仿宋" w:hAnsi="仿宋" w:eastAsia="仿宋" w:cs="仿宋"/>
          <w:color w:val="auto"/>
          <w:szCs w:val="21"/>
          <w:highlight w:val="none"/>
        </w:rPr>
      </w:pPr>
      <w:r>
        <w:rPr>
          <w:rFonts w:hint="eastAsia" w:ascii="仿宋" w:hAnsi="仿宋" w:eastAsia="仿宋" w:cs="仿宋"/>
          <w:color w:val="auto"/>
          <w:szCs w:val="21"/>
          <w:highlight w:val="none"/>
        </w:rPr>
        <w:t>一、采购编号：</w:t>
      </w:r>
      <w:r>
        <w:rPr>
          <w:rFonts w:hint="eastAsia" w:ascii="仿宋" w:hAnsi="仿宋" w:eastAsia="仿宋" w:cs="仿宋"/>
          <w:color w:val="auto"/>
          <w:kern w:val="2"/>
          <w:szCs w:val="21"/>
          <w:highlight w:val="none"/>
          <w:lang w:val="zh-CN"/>
        </w:rPr>
        <w:t>GDYD230090</w:t>
      </w:r>
    </w:p>
    <w:p>
      <w:pPr>
        <w:widowControl/>
        <w:spacing w:line="360" w:lineRule="auto"/>
        <w:ind w:firstLine="560"/>
        <w:rPr>
          <w:rFonts w:ascii="仿宋" w:hAnsi="仿宋" w:eastAsia="仿宋" w:cs="仿宋"/>
          <w:color w:val="auto"/>
          <w:szCs w:val="21"/>
          <w:highlight w:val="none"/>
        </w:rPr>
      </w:pPr>
      <w:r>
        <w:rPr>
          <w:rFonts w:hint="eastAsia" w:ascii="仿宋" w:hAnsi="仿宋" w:eastAsia="仿宋" w:cs="仿宋"/>
          <w:color w:val="auto"/>
          <w:szCs w:val="21"/>
          <w:highlight w:val="none"/>
        </w:rPr>
        <w:t>二、采购项目名称：南海海洋预警信息发布和沿海恶劣天气防灾叫应系统(二期)</w:t>
      </w:r>
    </w:p>
    <w:p>
      <w:pPr>
        <w:widowControl/>
        <w:spacing w:line="360" w:lineRule="auto"/>
        <w:ind w:firstLine="560"/>
        <w:rPr>
          <w:rFonts w:ascii="仿宋" w:hAnsi="仿宋" w:eastAsia="仿宋" w:cs="仿宋"/>
          <w:color w:val="auto"/>
          <w:szCs w:val="21"/>
          <w:highlight w:val="none"/>
        </w:rPr>
      </w:pPr>
      <w:r>
        <w:rPr>
          <w:rFonts w:hint="eastAsia" w:ascii="仿宋" w:hAnsi="仿宋" w:eastAsia="仿宋" w:cs="仿宋"/>
          <w:color w:val="auto"/>
          <w:szCs w:val="21"/>
          <w:highlight w:val="none"/>
        </w:rPr>
        <w:t>三、采购预算：人民币</w:t>
      </w:r>
      <w:r>
        <w:rPr>
          <w:rFonts w:ascii="仿宋" w:hAnsi="仿宋" w:eastAsia="仿宋" w:cs="仿宋"/>
          <w:color w:val="auto"/>
          <w:szCs w:val="21"/>
          <w:highlight w:val="none"/>
        </w:rPr>
        <w:t>5</w:t>
      </w:r>
      <w:r>
        <w:rPr>
          <w:rFonts w:hint="eastAsia" w:ascii="仿宋" w:hAnsi="仿宋" w:eastAsia="仿宋" w:cs="仿宋"/>
          <w:color w:val="auto"/>
          <w:szCs w:val="21"/>
          <w:highlight w:val="none"/>
        </w:rPr>
        <w:t>,</w:t>
      </w:r>
      <w:r>
        <w:rPr>
          <w:rFonts w:ascii="仿宋" w:hAnsi="仿宋" w:eastAsia="仿宋" w:cs="仿宋"/>
          <w:color w:val="auto"/>
          <w:szCs w:val="21"/>
          <w:highlight w:val="none"/>
        </w:rPr>
        <w:t>300</w:t>
      </w:r>
      <w:r>
        <w:rPr>
          <w:rFonts w:hint="eastAsia" w:ascii="仿宋" w:hAnsi="仿宋" w:eastAsia="仿宋" w:cs="仿宋"/>
          <w:color w:val="auto"/>
          <w:szCs w:val="21"/>
          <w:highlight w:val="none"/>
        </w:rPr>
        <w:t>,</w:t>
      </w:r>
      <w:r>
        <w:rPr>
          <w:rFonts w:ascii="仿宋" w:hAnsi="仿宋" w:eastAsia="仿宋" w:cs="仿宋"/>
          <w:color w:val="auto"/>
          <w:szCs w:val="21"/>
          <w:highlight w:val="none"/>
        </w:rPr>
        <w:t>0</w:t>
      </w:r>
      <w:r>
        <w:rPr>
          <w:rFonts w:hint="eastAsia" w:ascii="仿宋" w:hAnsi="仿宋" w:eastAsia="仿宋" w:cs="仿宋"/>
          <w:color w:val="auto"/>
          <w:szCs w:val="21"/>
          <w:highlight w:val="none"/>
        </w:rPr>
        <w:t>00.00元</w:t>
      </w:r>
    </w:p>
    <w:p>
      <w:pPr>
        <w:widowControl/>
        <w:spacing w:line="360" w:lineRule="auto"/>
        <w:ind w:firstLine="560"/>
        <w:rPr>
          <w:rFonts w:ascii="仿宋" w:hAnsi="仿宋" w:eastAsia="仿宋" w:cs="仿宋"/>
          <w:color w:val="auto"/>
          <w:szCs w:val="21"/>
          <w:highlight w:val="none"/>
        </w:rPr>
      </w:pPr>
      <w:r>
        <w:rPr>
          <w:rFonts w:hint="eastAsia" w:ascii="仿宋" w:hAnsi="仿宋" w:eastAsia="仿宋" w:cs="仿宋"/>
          <w:color w:val="auto"/>
          <w:szCs w:val="21"/>
          <w:highlight w:val="none"/>
        </w:rPr>
        <w:t>四、项目内容及需求：(采购项目技术规格、参数及要求)</w:t>
      </w:r>
    </w:p>
    <w:p>
      <w:pPr>
        <w:widowControl/>
        <w:spacing w:line="360" w:lineRule="auto"/>
        <w:ind w:firstLine="560"/>
        <w:rPr>
          <w:rFonts w:ascii="仿宋" w:hAnsi="仿宋" w:eastAsia="仿宋" w:cs="仿宋"/>
          <w:color w:val="auto"/>
          <w:szCs w:val="21"/>
          <w:highlight w:val="none"/>
        </w:rPr>
      </w:pPr>
      <w:r>
        <w:rPr>
          <w:rFonts w:hint="eastAsia" w:ascii="仿宋" w:hAnsi="仿宋" w:eastAsia="仿宋" w:cs="仿宋"/>
          <w:color w:val="auto"/>
          <w:szCs w:val="21"/>
          <w:highlight w:val="none"/>
        </w:rPr>
        <w:t>1.采购项目内容及最高限价</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2"/>
        <w:gridCol w:w="3248"/>
        <w:gridCol w:w="1590"/>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0" w:type="auto"/>
            <w:vMerge w:val="restart"/>
            <w:shd w:val="clear" w:color="auto" w:fill="EEECE1"/>
            <w:vAlign w:val="center"/>
          </w:tcPr>
          <w:p>
            <w:pPr>
              <w:widowControl/>
              <w:jc w:val="center"/>
              <w:rPr>
                <w:rFonts w:ascii="仿宋" w:hAnsi="仿宋" w:eastAsia="仿宋" w:cs="宋体"/>
                <w:color w:val="auto"/>
                <w:highlight w:val="none"/>
              </w:rPr>
            </w:pPr>
            <w:r>
              <w:rPr>
                <w:rFonts w:hint="eastAsia" w:ascii="仿宋" w:hAnsi="仿宋" w:eastAsia="仿宋" w:cs="宋体"/>
                <w:color w:val="auto"/>
                <w:highlight w:val="none"/>
              </w:rPr>
              <w:t>项目名称</w:t>
            </w:r>
          </w:p>
        </w:tc>
        <w:tc>
          <w:tcPr>
            <w:tcW w:w="0" w:type="auto"/>
            <w:vMerge w:val="restart"/>
            <w:shd w:val="clear" w:color="auto" w:fill="EEECE1"/>
            <w:vAlign w:val="center"/>
          </w:tcPr>
          <w:p>
            <w:pPr>
              <w:widowControl/>
              <w:jc w:val="center"/>
              <w:rPr>
                <w:rFonts w:ascii="仿宋" w:hAnsi="仿宋" w:eastAsia="仿宋" w:cs="宋体"/>
                <w:color w:val="auto"/>
                <w:highlight w:val="none"/>
              </w:rPr>
            </w:pPr>
            <w:r>
              <w:rPr>
                <w:rFonts w:hint="eastAsia" w:ascii="仿宋" w:hAnsi="仿宋" w:eastAsia="仿宋" w:cs="宋体"/>
                <w:color w:val="auto"/>
                <w:highlight w:val="none"/>
              </w:rPr>
              <w:t>分项内容</w:t>
            </w:r>
          </w:p>
        </w:tc>
        <w:tc>
          <w:tcPr>
            <w:tcW w:w="0" w:type="auto"/>
            <w:gridSpan w:val="2"/>
            <w:shd w:val="clear" w:color="auto" w:fill="EEECE1"/>
            <w:vAlign w:val="center"/>
          </w:tcPr>
          <w:p>
            <w:pPr>
              <w:widowControl/>
              <w:jc w:val="center"/>
              <w:rPr>
                <w:rFonts w:ascii="仿宋" w:hAnsi="仿宋" w:eastAsia="仿宋" w:cs="宋体"/>
                <w:color w:val="auto"/>
                <w:highlight w:val="none"/>
              </w:rPr>
            </w:pPr>
            <w:r>
              <w:rPr>
                <w:rFonts w:hint="eastAsia" w:ascii="仿宋" w:hAnsi="仿宋" w:eastAsia="仿宋" w:cs="宋体"/>
                <w:color w:val="auto"/>
                <w:highlight w:val="none"/>
              </w:rPr>
              <w:t>最高限价（人民币）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0" w:type="auto"/>
            <w:vMerge w:val="continue"/>
            <w:shd w:val="clear" w:color="auto" w:fill="EEECE1"/>
            <w:vAlign w:val="center"/>
          </w:tcPr>
          <w:p>
            <w:pPr>
              <w:widowControl/>
              <w:jc w:val="center"/>
              <w:rPr>
                <w:rFonts w:ascii="仿宋" w:hAnsi="仿宋" w:eastAsia="仿宋" w:cs="宋体"/>
                <w:color w:val="auto"/>
                <w:highlight w:val="none"/>
              </w:rPr>
            </w:pPr>
          </w:p>
        </w:tc>
        <w:tc>
          <w:tcPr>
            <w:tcW w:w="0" w:type="auto"/>
            <w:vMerge w:val="continue"/>
            <w:shd w:val="clear" w:color="auto" w:fill="EEECE1"/>
            <w:vAlign w:val="center"/>
          </w:tcPr>
          <w:p>
            <w:pPr>
              <w:widowControl/>
              <w:jc w:val="center"/>
              <w:rPr>
                <w:rFonts w:ascii="仿宋" w:hAnsi="仿宋" w:eastAsia="仿宋" w:cs="宋体"/>
                <w:color w:val="auto"/>
                <w:highlight w:val="none"/>
              </w:rPr>
            </w:pPr>
          </w:p>
        </w:tc>
        <w:tc>
          <w:tcPr>
            <w:tcW w:w="0" w:type="auto"/>
            <w:shd w:val="clear" w:color="auto" w:fill="EEECE1"/>
            <w:vAlign w:val="center"/>
          </w:tcPr>
          <w:p>
            <w:pPr>
              <w:widowControl/>
              <w:jc w:val="center"/>
              <w:rPr>
                <w:rFonts w:ascii="仿宋" w:hAnsi="仿宋" w:eastAsia="仿宋" w:cs="宋体"/>
                <w:color w:val="auto"/>
                <w:highlight w:val="none"/>
              </w:rPr>
            </w:pPr>
            <w:r>
              <w:rPr>
                <w:rFonts w:hint="eastAsia" w:ascii="仿宋" w:hAnsi="仿宋" w:eastAsia="仿宋" w:cs="宋体"/>
                <w:color w:val="auto"/>
                <w:highlight w:val="none"/>
              </w:rPr>
              <w:t>分项限价</w:t>
            </w:r>
          </w:p>
        </w:tc>
        <w:tc>
          <w:tcPr>
            <w:tcW w:w="0" w:type="auto"/>
            <w:shd w:val="clear" w:color="auto" w:fill="EEECE1"/>
            <w:vAlign w:val="center"/>
          </w:tcPr>
          <w:p>
            <w:pPr>
              <w:widowControl/>
              <w:jc w:val="center"/>
              <w:rPr>
                <w:rFonts w:ascii="仿宋" w:hAnsi="仿宋" w:eastAsia="仿宋" w:cs="宋体"/>
                <w:color w:val="auto"/>
                <w:highlight w:val="none"/>
              </w:rPr>
            </w:pPr>
            <w:r>
              <w:rPr>
                <w:rFonts w:hint="eastAsia" w:ascii="仿宋" w:hAnsi="仿宋" w:eastAsia="仿宋" w:cs="宋体"/>
                <w:color w:val="auto"/>
                <w:highlight w:val="none"/>
              </w:rPr>
              <w:t>总限价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0" w:type="auto"/>
            <w:vMerge w:val="restart"/>
            <w:vAlign w:val="center"/>
          </w:tcPr>
          <w:p>
            <w:pPr>
              <w:widowControl/>
              <w:jc w:val="center"/>
              <w:rPr>
                <w:rFonts w:ascii="仿宋" w:hAnsi="仿宋" w:eastAsia="仿宋"/>
                <w:color w:val="auto"/>
                <w:highlight w:val="none"/>
              </w:rPr>
            </w:pPr>
            <w:r>
              <w:rPr>
                <w:rFonts w:hint="eastAsia" w:ascii="仿宋" w:hAnsi="仿宋" w:eastAsia="仿宋" w:cs="宋体"/>
                <w:color w:val="auto"/>
                <w:highlight w:val="none"/>
              </w:rPr>
              <w:t>南海海洋预警信息发布和沿海恶劣天气防灾叫应系统(二期)</w:t>
            </w:r>
          </w:p>
        </w:tc>
        <w:tc>
          <w:tcPr>
            <w:tcW w:w="0" w:type="auto"/>
            <w:vAlign w:val="center"/>
          </w:tcPr>
          <w:p>
            <w:pPr>
              <w:widowControl/>
              <w:rPr>
                <w:rFonts w:ascii="仿宋" w:hAnsi="仿宋" w:eastAsia="仿宋" w:cs="宋体"/>
                <w:color w:val="auto"/>
                <w:highlight w:val="none"/>
              </w:rPr>
            </w:pPr>
            <w:r>
              <w:rPr>
                <w:rFonts w:hint="eastAsia" w:ascii="仿宋" w:hAnsi="仿宋" w:eastAsia="仿宋" w:cs="宋体"/>
                <w:color w:val="auto"/>
                <w:highlight w:val="none"/>
              </w:rPr>
              <w:t>预警信息采集、发布与质控和预警信息发布系统运营服务</w:t>
            </w:r>
          </w:p>
        </w:tc>
        <w:tc>
          <w:tcPr>
            <w:tcW w:w="0" w:type="auto"/>
            <w:vAlign w:val="center"/>
          </w:tcPr>
          <w:p>
            <w:pPr>
              <w:widowControl/>
              <w:jc w:val="center"/>
              <w:rPr>
                <w:rFonts w:ascii="仿宋" w:hAnsi="仿宋" w:eastAsia="仿宋" w:cs="仿宋"/>
                <w:color w:val="auto"/>
                <w:szCs w:val="21"/>
                <w:highlight w:val="none"/>
              </w:rPr>
            </w:pPr>
            <w:r>
              <w:rPr>
                <w:rFonts w:hint="eastAsia" w:ascii="仿宋" w:hAnsi="仿宋" w:eastAsia="仿宋" w:cs="仿宋"/>
                <w:color w:val="auto"/>
                <w:szCs w:val="21"/>
                <w:highlight w:val="none"/>
              </w:rPr>
              <w:t>4</w:t>
            </w:r>
            <w:r>
              <w:rPr>
                <w:rFonts w:ascii="仿宋" w:hAnsi="仿宋" w:eastAsia="仿宋" w:cs="仿宋"/>
                <w:color w:val="auto"/>
                <w:szCs w:val="21"/>
                <w:highlight w:val="none"/>
              </w:rPr>
              <w:t>,393,400.00</w:t>
            </w:r>
            <w:r>
              <w:rPr>
                <w:rFonts w:hint="eastAsia" w:ascii="仿宋" w:hAnsi="仿宋" w:eastAsia="仿宋" w:cs="仿宋"/>
                <w:color w:val="auto"/>
                <w:szCs w:val="21"/>
                <w:highlight w:val="none"/>
              </w:rPr>
              <w:t>元</w:t>
            </w:r>
          </w:p>
        </w:tc>
        <w:tc>
          <w:tcPr>
            <w:tcW w:w="0" w:type="auto"/>
            <w:vMerge w:val="restart"/>
            <w:vAlign w:val="center"/>
          </w:tcPr>
          <w:p>
            <w:pPr>
              <w:widowControl/>
              <w:jc w:val="center"/>
              <w:rPr>
                <w:rFonts w:ascii="仿宋" w:hAnsi="仿宋" w:eastAsia="仿宋" w:cs="宋体"/>
                <w:color w:val="auto"/>
                <w:highlight w:val="none"/>
              </w:rPr>
            </w:pPr>
            <w:r>
              <w:rPr>
                <w:rFonts w:ascii="仿宋" w:hAnsi="仿宋" w:eastAsia="仿宋" w:cs="仿宋"/>
                <w:color w:val="auto"/>
                <w:szCs w:val="21"/>
                <w:highlight w:val="none"/>
              </w:rPr>
              <w:t>5,300,000.00</w:t>
            </w:r>
            <w:r>
              <w:rPr>
                <w:rFonts w:hint="eastAsia" w:ascii="仿宋" w:hAnsi="仿宋" w:eastAsia="仿宋" w:cs="仿宋"/>
                <w:color w:val="auto"/>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0" w:type="auto"/>
            <w:vMerge w:val="continue"/>
            <w:vAlign w:val="center"/>
          </w:tcPr>
          <w:p>
            <w:pPr>
              <w:widowControl/>
              <w:jc w:val="center"/>
              <w:rPr>
                <w:rFonts w:ascii="仿宋" w:hAnsi="仿宋" w:eastAsia="仿宋"/>
                <w:color w:val="auto"/>
                <w:highlight w:val="none"/>
              </w:rPr>
            </w:pPr>
          </w:p>
        </w:tc>
        <w:tc>
          <w:tcPr>
            <w:tcW w:w="0" w:type="auto"/>
            <w:vAlign w:val="center"/>
          </w:tcPr>
          <w:p>
            <w:pPr>
              <w:widowControl/>
              <w:rPr>
                <w:rFonts w:ascii="仿宋" w:hAnsi="仿宋" w:eastAsia="仿宋" w:cs="宋体"/>
                <w:color w:val="auto"/>
                <w:highlight w:val="none"/>
              </w:rPr>
            </w:pPr>
            <w:r>
              <w:rPr>
                <w:rFonts w:hint="eastAsia" w:ascii="仿宋" w:hAnsi="仿宋" w:eastAsia="仿宋" w:cs="宋体"/>
                <w:color w:val="auto"/>
                <w:highlight w:val="none"/>
              </w:rPr>
              <w:t>报灾系统运营服务</w:t>
            </w:r>
          </w:p>
        </w:tc>
        <w:tc>
          <w:tcPr>
            <w:tcW w:w="0" w:type="auto"/>
            <w:vAlign w:val="center"/>
          </w:tcPr>
          <w:p>
            <w:pPr>
              <w:widowControl/>
              <w:jc w:val="center"/>
              <w:rPr>
                <w:rFonts w:ascii="仿宋" w:hAnsi="仿宋" w:eastAsia="仿宋" w:cs="宋体"/>
                <w:color w:val="auto"/>
                <w:highlight w:val="none"/>
              </w:rPr>
            </w:pPr>
            <w:r>
              <w:rPr>
                <w:rFonts w:hint="eastAsia" w:ascii="仿宋" w:hAnsi="仿宋" w:eastAsia="仿宋" w:cs="宋体"/>
                <w:color w:val="auto"/>
                <w:highlight w:val="none"/>
              </w:rPr>
              <w:t>9</w:t>
            </w:r>
            <w:r>
              <w:rPr>
                <w:rFonts w:ascii="仿宋" w:hAnsi="仿宋" w:eastAsia="仿宋" w:cs="宋体"/>
                <w:color w:val="auto"/>
                <w:highlight w:val="none"/>
              </w:rPr>
              <w:t>06,600.00</w:t>
            </w:r>
            <w:r>
              <w:rPr>
                <w:rFonts w:hint="eastAsia" w:ascii="仿宋" w:hAnsi="仿宋" w:eastAsia="仿宋" w:cs="宋体"/>
                <w:color w:val="auto"/>
                <w:highlight w:val="none"/>
              </w:rPr>
              <w:t>元</w:t>
            </w:r>
          </w:p>
        </w:tc>
        <w:tc>
          <w:tcPr>
            <w:tcW w:w="0" w:type="auto"/>
            <w:vMerge w:val="continue"/>
            <w:vAlign w:val="center"/>
          </w:tcPr>
          <w:p>
            <w:pPr>
              <w:widowControl/>
              <w:jc w:val="center"/>
              <w:rPr>
                <w:rFonts w:ascii="仿宋" w:hAnsi="仿宋" w:eastAsia="仿宋" w:cs="宋体"/>
                <w:color w:val="auto"/>
                <w:highlight w:val="none"/>
              </w:rPr>
            </w:pPr>
          </w:p>
        </w:tc>
      </w:tr>
    </w:tbl>
    <w:p>
      <w:pPr>
        <w:widowControl/>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 本项目属于按照《政府采购促进中小企业发展管理办法》(财库(2020)46号)规定预留采购份额无法确保充分供应、充分竞争，或者存在可能影响政府采购目标实现的情形，因此不专门面向中小企业预留采购份额。不允许投标人只对其中部分内容进行投标。产品详细技术参数及执行标准、规格等详见招标文件中的第四篇用户需求书。</w:t>
      </w:r>
    </w:p>
    <w:p>
      <w:pPr>
        <w:widowControl/>
        <w:spacing w:line="360" w:lineRule="auto"/>
        <w:ind w:left="420"/>
        <w:rPr>
          <w:rFonts w:ascii="仿宋" w:hAnsi="仿宋" w:eastAsia="仿宋" w:cs="仿宋"/>
          <w:color w:val="auto"/>
          <w:szCs w:val="21"/>
          <w:highlight w:val="none"/>
        </w:rPr>
      </w:pPr>
      <w:r>
        <w:rPr>
          <w:rFonts w:hint="eastAsia" w:ascii="仿宋" w:hAnsi="仿宋" w:eastAsia="仿宋" w:cs="仿宋"/>
          <w:color w:val="auto"/>
          <w:szCs w:val="21"/>
          <w:highlight w:val="none"/>
        </w:rPr>
        <w:t>1.2 本项目适用的扶持性政策</w:t>
      </w:r>
    </w:p>
    <w:p>
      <w:pPr>
        <w:widowControl/>
        <w:spacing w:line="360" w:lineRule="auto"/>
        <w:ind w:left="840"/>
        <w:rPr>
          <w:rFonts w:ascii="仿宋" w:hAnsi="仿宋" w:eastAsia="仿宋" w:cs="仿宋"/>
          <w:color w:val="auto"/>
          <w:szCs w:val="21"/>
          <w:highlight w:val="none"/>
        </w:rPr>
      </w:pPr>
      <w:r>
        <w:rPr>
          <w:rFonts w:hint="eastAsia" w:ascii="仿宋" w:hAnsi="仿宋" w:eastAsia="仿宋" w:cs="仿宋"/>
          <w:color w:val="auto"/>
          <w:szCs w:val="21"/>
          <w:highlight w:val="none"/>
        </w:rPr>
        <w:t>1.2.1 《政府采购促进中小企业发展管理办法》(财库(2020)46号)</w:t>
      </w:r>
    </w:p>
    <w:p>
      <w:pPr>
        <w:widowControl/>
        <w:spacing w:line="360" w:lineRule="auto"/>
        <w:ind w:left="840"/>
        <w:rPr>
          <w:rFonts w:ascii="仿宋" w:hAnsi="仿宋" w:eastAsia="仿宋" w:cs="仿宋"/>
          <w:color w:val="auto"/>
          <w:szCs w:val="21"/>
          <w:highlight w:val="none"/>
        </w:rPr>
      </w:pPr>
      <w:r>
        <w:rPr>
          <w:rFonts w:hint="eastAsia" w:ascii="仿宋" w:hAnsi="仿宋" w:eastAsia="仿宋" w:cs="仿宋"/>
          <w:color w:val="auto"/>
          <w:szCs w:val="21"/>
          <w:highlight w:val="none"/>
        </w:rPr>
        <w:t>1.2.2 《关于政府采购支持监狱企业发展有关问题的通知》(财库〔2014〕68号)</w:t>
      </w:r>
    </w:p>
    <w:p>
      <w:pPr>
        <w:widowControl/>
        <w:spacing w:line="360" w:lineRule="auto"/>
        <w:ind w:left="840"/>
        <w:rPr>
          <w:rFonts w:ascii="仿宋" w:hAnsi="仿宋" w:eastAsia="仿宋" w:cs="仿宋"/>
          <w:color w:val="auto"/>
          <w:szCs w:val="21"/>
          <w:highlight w:val="none"/>
        </w:rPr>
      </w:pPr>
      <w:r>
        <w:rPr>
          <w:rFonts w:hint="eastAsia" w:ascii="仿宋" w:hAnsi="仿宋" w:eastAsia="仿宋" w:cs="仿宋"/>
          <w:color w:val="auto"/>
          <w:szCs w:val="21"/>
          <w:highlight w:val="none"/>
        </w:rPr>
        <w:t>1.2.3 《关于促进残疾人就业政府采购政策的通知》（财库〔2017〕141号)</w:t>
      </w:r>
    </w:p>
    <w:p>
      <w:pPr>
        <w:widowControl/>
        <w:spacing w:line="360" w:lineRule="auto"/>
        <w:ind w:left="840"/>
        <w:rPr>
          <w:rFonts w:ascii="仿宋" w:hAnsi="仿宋" w:eastAsia="仿宋" w:cs="仿宋"/>
          <w:color w:val="auto"/>
          <w:szCs w:val="21"/>
          <w:highlight w:val="none"/>
        </w:rPr>
      </w:pPr>
      <w:r>
        <w:rPr>
          <w:rFonts w:hint="eastAsia" w:ascii="仿宋" w:hAnsi="仿宋" w:eastAsia="仿宋" w:cs="仿宋"/>
          <w:color w:val="auto"/>
          <w:szCs w:val="21"/>
          <w:highlight w:val="none"/>
        </w:rPr>
        <w:t>1.2.4 《关于环境标志产品政府采购实施的意见》（财库〔2006〕90号）</w:t>
      </w:r>
    </w:p>
    <w:p>
      <w:pPr>
        <w:widowControl/>
        <w:spacing w:line="360" w:lineRule="auto"/>
        <w:ind w:left="840"/>
        <w:rPr>
          <w:rFonts w:ascii="仿宋" w:hAnsi="仿宋" w:eastAsia="仿宋" w:cs="仿宋"/>
          <w:color w:val="auto"/>
          <w:szCs w:val="21"/>
          <w:highlight w:val="none"/>
        </w:rPr>
      </w:pPr>
      <w:r>
        <w:rPr>
          <w:rFonts w:hint="eastAsia" w:ascii="仿宋" w:hAnsi="仿宋" w:eastAsia="仿宋" w:cs="仿宋"/>
          <w:color w:val="auto"/>
          <w:szCs w:val="21"/>
          <w:highlight w:val="none"/>
        </w:rPr>
        <w:t>1.2.5 《节能产品政府采购实施意见》的通知（财库〔2004〕185号）</w:t>
      </w:r>
    </w:p>
    <w:p>
      <w:pPr>
        <w:widowControl/>
        <w:spacing w:line="360" w:lineRule="auto"/>
        <w:ind w:left="840"/>
        <w:rPr>
          <w:rFonts w:ascii="仿宋" w:hAnsi="仿宋" w:eastAsia="仿宋" w:cs="仿宋"/>
          <w:color w:val="auto"/>
          <w:szCs w:val="21"/>
          <w:highlight w:val="none"/>
        </w:rPr>
      </w:pPr>
      <w:r>
        <w:rPr>
          <w:rFonts w:hint="eastAsia" w:ascii="仿宋" w:hAnsi="仿宋" w:eastAsia="仿宋" w:cs="仿宋"/>
          <w:color w:val="auto"/>
          <w:szCs w:val="21"/>
          <w:highlight w:val="none"/>
        </w:rPr>
        <w:t>1.2.6 《关于开展政府采购信用担保试点工作方案》（财库〔2011〕124号）</w:t>
      </w:r>
    </w:p>
    <w:p>
      <w:pPr>
        <w:widowControl/>
        <w:spacing w:line="360" w:lineRule="auto"/>
        <w:ind w:left="420"/>
        <w:rPr>
          <w:rFonts w:ascii="仿宋" w:hAnsi="仿宋" w:eastAsia="仿宋" w:cs="仿宋"/>
          <w:color w:val="auto"/>
          <w:szCs w:val="21"/>
          <w:highlight w:val="none"/>
        </w:rPr>
      </w:pPr>
      <w:r>
        <w:rPr>
          <w:rFonts w:hint="eastAsia" w:ascii="仿宋" w:hAnsi="仿宋" w:eastAsia="仿宋" w:cs="仿宋"/>
          <w:color w:val="auto"/>
          <w:szCs w:val="21"/>
          <w:highlight w:val="none"/>
        </w:rPr>
        <w:t>2.采购项目品目：C</w:t>
      </w:r>
      <w:r>
        <w:rPr>
          <w:rFonts w:ascii="仿宋" w:hAnsi="仿宋" w:eastAsia="仿宋" w:cs="仿宋"/>
          <w:color w:val="auto"/>
          <w:szCs w:val="21"/>
          <w:highlight w:val="none"/>
        </w:rPr>
        <w:t>0903</w:t>
      </w:r>
      <w:r>
        <w:rPr>
          <w:rFonts w:hint="eastAsia" w:ascii="仿宋" w:hAnsi="仿宋" w:eastAsia="仿宋" w:cs="仿宋"/>
          <w:color w:val="auto"/>
          <w:szCs w:val="21"/>
          <w:highlight w:val="none"/>
        </w:rPr>
        <w:t xml:space="preserve"> 气象服务</w:t>
      </w:r>
    </w:p>
    <w:p>
      <w:pPr>
        <w:widowControl/>
        <w:spacing w:line="360" w:lineRule="auto"/>
        <w:ind w:firstLine="588"/>
        <w:rPr>
          <w:rFonts w:ascii="仿宋" w:hAnsi="仿宋" w:eastAsia="仿宋" w:cs="仿宋"/>
          <w:color w:val="auto"/>
          <w:szCs w:val="21"/>
          <w:highlight w:val="none"/>
        </w:rPr>
      </w:pPr>
      <w:r>
        <w:rPr>
          <w:rFonts w:hint="eastAsia" w:ascii="仿宋" w:hAnsi="仿宋" w:eastAsia="仿宋" w:cs="仿宋"/>
          <w:color w:val="auto"/>
          <w:szCs w:val="21"/>
          <w:highlight w:val="none"/>
        </w:rPr>
        <w:t>五、申请人的资格：</w:t>
      </w:r>
    </w:p>
    <w:p>
      <w:pPr>
        <w:spacing w:line="360" w:lineRule="auto"/>
        <w:ind w:right="-34" w:firstLine="567" w:firstLineChars="270"/>
        <w:jc w:val="both"/>
        <w:rPr>
          <w:rFonts w:ascii="仿宋" w:hAnsi="仿宋" w:eastAsia="仿宋" w:cs="仿宋"/>
          <w:color w:val="auto"/>
          <w:szCs w:val="21"/>
          <w:highlight w:val="none"/>
        </w:rPr>
      </w:pPr>
      <w:r>
        <w:rPr>
          <w:rFonts w:hint="eastAsia" w:ascii="仿宋" w:hAnsi="仿宋" w:eastAsia="仿宋" w:cs="仿宋"/>
          <w:color w:val="auto"/>
          <w:szCs w:val="21"/>
          <w:highlight w:val="none"/>
        </w:rPr>
        <w:t>1.投标供应商应具备《政府采购法》第二十二条规定的条件，提供下列材料：</w:t>
      </w:r>
    </w:p>
    <w:p>
      <w:pPr>
        <w:spacing w:line="360" w:lineRule="auto"/>
        <w:ind w:right="-34" w:firstLine="569" w:firstLineChars="270"/>
        <w:jc w:val="both"/>
        <w:rPr>
          <w:rFonts w:hint="eastAsia" w:ascii="仿宋" w:hAnsi="仿宋" w:eastAsia="仿宋" w:cs="仿宋"/>
          <w:color w:val="auto"/>
          <w:szCs w:val="21"/>
          <w:highlight w:val="none"/>
          <w:lang w:eastAsia="zh-CN"/>
        </w:rPr>
      </w:pPr>
      <w:r>
        <w:rPr>
          <w:rFonts w:hint="eastAsia" w:ascii="仿宋" w:hAnsi="仿宋" w:eastAsia="仿宋" w:cs="仿宋"/>
          <w:b/>
          <w:color w:val="auto"/>
          <w:szCs w:val="21"/>
          <w:highlight w:val="none"/>
        </w:rPr>
        <w:t>1）具有独立承担民事责任的能力：</w:t>
      </w:r>
      <w:r>
        <w:rPr>
          <w:rFonts w:hint="eastAsia" w:ascii="仿宋" w:hAnsi="仿宋" w:eastAsia="仿宋" w:cs="仿宋"/>
          <w:b w:val="0"/>
          <w:bCs/>
          <w:color w:val="000000"/>
          <w:szCs w:val="21"/>
          <w:highlight w:val="none"/>
        </w:rP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r>
        <w:rPr>
          <w:rFonts w:hint="eastAsia" w:ascii="仿宋" w:hAnsi="仿宋" w:eastAsia="仿宋" w:cs="仿宋"/>
          <w:color w:val="auto"/>
          <w:szCs w:val="21"/>
          <w:highlight w:val="none"/>
          <w:lang w:eastAsia="zh-CN"/>
        </w:rPr>
        <w:t>。</w:t>
      </w:r>
    </w:p>
    <w:p>
      <w:pPr>
        <w:spacing w:line="360" w:lineRule="auto"/>
        <w:ind w:right="-34" w:firstLine="569" w:firstLineChars="270"/>
        <w:jc w:val="both"/>
        <w:rPr>
          <w:rFonts w:hint="eastAsia" w:ascii="仿宋" w:hAnsi="仿宋" w:eastAsia="仿宋" w:cs="仿宋"/>
          <w:color w:val="auto"/>
          <w:szCs w:val="21"/>
          <w:highlight w:val="none"/>
          <w:lang w:eastAsia="zh-CN"/>
        </w:rPr>
      </w:pPr>
      <w:r>
        <w:rPr>
          <w:rFonts w:hint="eastAsia" w:ascii="仿宋" w:hAnsi="仿宋" w:eastAsia="仿宋" w:cs="仿宋"/>
          <w:b/>
          <w:color w:val="auto"/>
          <w:szCs w:val="21"/>
          <w:highlight w:val="none"/>
        </w:rPr>
        <w:t>2）有依法缴纳税收和社会保障资金的良好记录：</w:t>
      </w:r>
      <w:r>
        <w:rPr>
          <w:rFonts w:hint="eastAsia" w:ascii="仿宋" w:hAnsi="仿宋" w:eastAsia="仿宋" w:cs="仿宋"/>
          <w:color w:val="auto"/>
          <w:szCs w:val="21"/>
          <w:highlight w:val="none"/>
          <w:lang w:eastAsia="zh-CN"/>
        </w:rPr>
        <w:t>提供投标截止日前6个月内任意1个月依法缴纳税收和社会保障资金的相关材料。如依法免税或不需要缴纳社会保障资金的，提供相应证明材料。</w:t>
      </w:r>
    </w:p>
    <w:p>
      <w:pPr>
        <w:spacing w:line="360" w:lineRule="auto"/>
        <w:ind w:right="-34" w:firstLine="569" w:firstLineChars="270"/>
        <w:jc w:val="both"/>
        <w:rPr>
          <w:rFonts w:hint="eastAsia" w:ascii="仿宋" w:hAnsi="仿宋" w:eastAsia="仿宋" w:cs="仿宋"/>
          <w:color w:val="auto"/>
          <w:szCs w:val="21"/>
          <w:highlight w:val="none"/>
          <w:lang w:eastAsia="zh-CN"/>
        </w:rPr>
      </w:pPr>
      <w:r>
        <w:rPr>
          <w:rFonts w:hint="eastAsia" w:ascii="仿宋" w:hAnsi="仿宋" w:eastAsia="仿宋" w:cs="仿宋"/>
          <w:b/>
          <w:color w:val="auto"/>
          <w:szCs w:val="21"/>
          <w:highlight w:val="none"/>
        </w:rPr>
        <w:t>3）具有良好的商业信誉和健全的财务会计制度：</w:t>
      </w:r>
      <w:r>
        <w:rPr>
          <w:rFonts w:hint="eastAsia" w:ascii="仿宋" w:hAnsi="仿宋" w:eastAsia="仿宋" w:cs="仿宋"/>
          <w:color w:val="auto"/>
          <w:szCs w:val="21"/>
          <w:highlight w:val="none"/>
          <w:lang w:eastAsia="zh-CN"/>
        </w:rPr>
        <w:t>供应商必须具有良好的商业信誉和健全的财务会计制度（提供2021年度财务状况报告或基本开户行出具的资信证明）。</w:t>
      </w:r>
    </w:p>
    <w:p>
      <w:pPr>
        <w:spacing w:line="360" w:lineRule="auto"/>
        <w:ind w:right="-34" w:firstLine="569" w:firstLineChars="270"/>
        <w:jc w:val="both"/>
        <w:rPr>
          <w:rFonts w:hint="eastAsia" w:ascii="仿宋" w:hAnsi="仿宋" w:eastAsia="仿宋" w:cs="仿宋"/>
          <w:color w:val="auto"/>
          <w:szCs w:val="21"/>
          <w:highlight w:val="none"/>
          <w:lang w:eastAsia="zh-CN"/>
        </w:rPr>
      </w:pPr>
      <w:r>
        <w:rPr>
          <w:rFonts w:hint="eastAsia" w:ascii="仿宋" w:hAnsi="仿宋" w:eastAsia="仿宋" w:cs="仿宋"/>
          <w:b/>
          <w:color w:val="auto"/>
          <w:szCs w:val="21"/>
          <w:highlight w:val="none"/>
        </w:rPr>
        <w:t>4）履行合同所</w:t>
      </w:r>
      <w:r>
        <w:rPr>
          <w:rFonts w:hint="eastAsia" w:ascii="仿宋" w:hAnsi="仿宋" w:eastAsia="仿宋" w:cs="仿宋"/>
          <w:b/>
          <w:color w:val="auto"/>
          <w:szCs w:val="21"/>
          <w:highlight w:val="none"/>
          <w:lang w:eastAsia="zh-CN"/>
        </w:rPr>
        <w:t>所必需的</w:t>
      </w:r>
      <w:r>
        <w:rPr>
          <w:rFonts w:hint="eastAsia" w:ascii="仿宋" w:hAnsi="仿宋" w:eastAsia="仿宋" w:cs="仿宋"/>
          <w:b/>
          <w:color w:val="auto"/>
          <w:szCs w:val="21"/>
          <w:highlight w:val="none"/>
        </w:rPr>
        <w:t>备和专业技术能力：</w:t>
      </w:r>
      <w:r>
        <w:rPr>
          <w:rFonts w:hint="eastAsia" w:ascii="仿宋" w:hAnsi="仿宋" w:eastAsia="仿宋" w:cs="仿宋"/>
          <w:color w:val="auto"/>
          <w:szCs w:val="21"/>
          <w:highlight w:val="none"/>
          <w:lang w:eastAsia="zh-CN"/>
        </w:rPr>
        <w:t>填报所必需的设备及专业技术能力情况。（格式自拟）</w:t>
      </w:r>
    </w:p>
    <w:p>
      <w:pPr>
        <w:pStyle w:val="45"/>
        <w:shd w:val="clear" w:color="auto" w:fill="FFFFFF"/>
        <w:spacing w:before="0" w:beforeAutospacing="0" w:after="0" w:afterAutospacing="0" w:line="360" w:lineRule="auto"/>
        <w:ind w:firstLine="480"/>
        <w:textAlignment w:val="baseline"/>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rPr>
        <w:t>5）参加采购活动前3年内，在经营活动中没有重大违法记录：</w:t>
      </w:r>
      <w:r>
        <w:rPr>
          <w:rFonts w:hint="eastAsia" w:ascii="仿宋" w:hAnsi="仿宋" w:eastAsia="仿宋" w:cs="仿宋"/>
          <w:color w:val="auto"/>
          <w:sz w:val="21"/>
          <w:szCs w:val="21"/>
          <w:highlight w:val="none"/>
          <w:lang w:eastAsia="zh-CN"/>
        </w:rPr>
        <w:t>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spacing w:line="360" w:lineRule="auto"/>
        <w:ind w:right="-34" w:firstLine="569" w:firstLineChars="270"/>
        <w:jc w:val="both"/>
        <w:rPr>
          <w:rFonts w:ascii="仿宋" w:hAnsi="仿宋" w:eastAsia="仿宋" w:cs="仿宋"/>
          <w:b/>
          <w:color w:val="auto"/>
          <w:szCs w:val="21"/>
          <w:highlight w:val="none"/>
        </w:rPr>
      </w:pPr>
      <w:r>
        <w:rPr>
          <w:rFonts w:hint="eastAsia" w:ascii="仿宋" w:hAnsi="仿宋" w:eastAsia="仿宋" w:cs="仿宋"/>
          <w:b/>
          <w:color w:val="auto"/>
          <w:szCs w:val="21"/>
          <w:highlight w:val="none"/>
        </w:rPr>
        <w:t>2.落实政府采购政策需满足的资格要求：</w:t>
      </w:r>
      <w:r>
        <w:rPr>
          <w:rFonts w:hint="eastAsia" w:ascii="仿宋" w:hAnsi="仿宋" w:eastAsia="仿宋" w:cs="仿宋"/>
          <w:color w:val="auto"/>
          <w:szCs w:val="21"/>
          <w:highlight w:val="none"/>
        </w:rPr>
        <w:t>无</w:t>
      </w:r>
    </w:p>
    <w:p>
      <w:pPr>
        <w:spacing w:line="360" w:lineRule="auto"/>
        <w:ind w:right="-34" w:firstLine="569" w:firstLineChars="270"/>
        <w:jc w:val="both"/>
        <w:rPr>
          <w:rFonts w:ascii="仿宋" w:hAnsi="仿宋" w:eastAsia="仿宋" w:cs="仿宋"/>
          <w:b/>
          <w:color w:val="auto"/>
          <w:szCs w:val="21"/>
          <w:highlight w:val="none"/>
        </w:rPr>
      </w:pPr>
      <w:r>
        <w:rPr>
          <w:rFonts w:hint="eastAsia" w:ascii="仿宋" w:hAnsi="仿宋" w:eastAsia="仿宋" w:cs="仿宋"/>
          <w:b/>
          <w:color w:val="auto"/>
          <w:szCs w:val="21"/>
          <w:highlight w:val="none"/>
        </w:rPr>
        <w:t>3.本项目的特定资格要求：</w:t>
      </w:r>
    </w:p>
    <w:p>
      <w:pPr>
        <w:spacing w:line="360" w:lineRule="auto"/>
        <w:ind w:right="-34" w:firstLine="569" w:firstLineChars="270"/>
        <w:jc w:val="both"/>
        <w:rPr>
          <w:rFonts w:ascii="仿宋" w:hAnsi="仿宋" w:eastAsia="仿宋" w:cs="仿宋"/>
          <w:b/>
          <w:color w:val="auto"/>
          <w:szCs w:val="21"/>
          <w:highlight w:val="none"/>
        </w:rPr>
      </w:pPr>
      <w:r>
        <w:rPr>
          <w:rFonts w:hint="eastAsia" w:ascii="仿宋" w:hAnsi="仿宋" w:eastAsia="仿宋" w:cs="仿宋"/>
          <w:b/>
          <w:color w:val="auto"/>
          <w:szCs w:val="21"/>
          <w:highlight w:val="none"/>
        </w:rPr>
        <w:t>1）信用记录：</w:t>
      </w:r>
      <w:r>
        <w:rPr>
          <w:rFonts w:hint="eastAsia" w:ascii="仿宋" w:hAnsi="仿宋" w:eastAsia="仿宋" w:cs="仿宋"/>
          <w:color w:val="auto"/>
          <w:szCs w:val="21"/>
          <w:highlight w:val="none"/>
        </w:rPr>
        <w:t>供应商未被列入“信用中国”网站(www.creditchina.gov.cn)“记录失信被执行人或重大税收违法案件当事人名单”记录名单； 不处于中国政府采购网(www.ccgp.gov.cn)“政府采购严重违法失信行为信息记录”中的禁止参加政府采购活动期间。 （以采购代理机构于投标（响应） 截止时间当天在“信用中国”网站（www.creditchina.gov.cn） 及中国政府采购网（http://www.ccgp.gov.cn/） 查询结果为准， 如相关失信记录已失效，供应商需提供相关证明资料） 。</w:t>
      </w:r>
    </w:p>
    <w:p>
      <w:pPr>
        <w:pStyle w:val="23"/>
        <w:spacing w:line="360" w:lineRule="auto"/>
        <w:ind w:left="0" w:leftChars="0" w:firstLine="632" w:firstLineChars="300"/>
        <w:rPr>
          <w:rFonts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2）</w:t>
      </w:r>
      <w:r>
        <w:rPr>
          <w:rFonts w:hint="eastAsia" w:ascii="仿宋" w:hAnsi="仿宋" w:eastAsia="仿宋" w:cs="仿宋"/>
          <w:color w:val="auto"/>
          <w:kern w:val="0"/>
          <w:sz w:val="21"/>
          <w:szCs w:val="21"/>
          <w:highlight w:val="none"/>
        </w:rPr>
        <w:t>单位负责人为同一人或者存在直接控股、管理关系的不同供应商，不得同时参加本采购项目（或采购包）投标（响应）。为本项目提供整体设计、规范编制或者项目管理、 监理、检测等服务的供应商，不得再参与本项目投标（响应）。投标（报价） 函相关承诺要求内容。</w:t>
      </w:r>
    </w:p>
    <w:p>
      <w:pPr>
        <w:pStyle w:val="23"/>
        <w:spacing w:line="360" w:lineRule="auto"/>
        <w:ind w:left="0" w:leftChars="0" w:firstLine="632" w:firstLineChars="300"/>
        <w:rPr>
          <w:rFonts w:ascii="仿宋" w:hAnsi="仿宋" w:eastAsia="仿宋" w:cs="仿宋"/>
          <w:color w:val="auto"/>
          <w:kern w:val="0"/>
          <w:sz w:val="21"/>
          <w:szCs w:val="21"/>
          <w:highlight w:val="none"/>
        </w:rPr>
      </w:pPr>
      <w:r>
        <w:rPr>
          <w:rFonts w:hint="eastAsia" w:ascii="仿宋" w:hAnsi="仿宋" w:eastAsia="仿宋" w:cs="仿宋"/>
          <w:b/>
          <w:bCs/>
          <w:color w:val="auto"/>
          <w:kern w:val="0"/>
          <w:sz w:val="21"/>
          <w:szCs w:val="21"/>
          <w:highlight w:val="none"/>
        </w:rPr>
        <w:t>3）</w:t>
      </w:r>
      <w:r>
        <w:rPr>
          <w:rFonts w:hint="eastAsia" w:ascii="仿宋" w:hAnsi="仿宋" w:eastAsia="仿宋" w:cs="仿宋"/>
          <w:color w:val="auto"/>
          <w:kern w:val="0"/>
          <w:sz w:val="21"/>
          <w:szCs w:val="21"/>
          <w:highlight w:val="none"/>
        </w:rPr>
        <w:t>已办理报名并成功购买本招标文件的供应商。</w:t>
      </w:r>
    </w:p>
    <w:p>
      <w:pPr>
        <w:spacing w:line="360" w:lineRule="auto"/>
        <w:ind w:right="-34" w:firstLine="567" w:firstLineChars="270"/>
        <w:jc w:val="both"/>
        <w:rPr>
          <w:rFonts w:ascii="仿宋" w:hAnsi="仿宋" w:eastAsia="仿宋" w:cs="仿宋"/>
          <w:color w:val="auto"/>
          <w:szCs w:val="21"/>
          <w:highlight w:val="none"/>
        </w:rPr>
      </w:pPr>
      <w:r>
        <w:rPr>
          <w:rFonts w:hint="eastAsia" w:ascii="仿宋" w:hAnsi="仿宋" w:eastAsia="仿宋" w:cs="仿宋"/>
          <w:color w:val="auto"/>
          <w:szCs w:val="21"/>
          <w:highlight w:val="none"/>
        </w:rPr>
        <w:t>获取招标文件方式：投标人直接在（远东电子交易平台http://www.gdydzb.com/）上报名。</w:t>
      </w:r>
    </w:p>
    <w:p>
      <w:pPr>
        <w:spacing w:line="360" w:lineRule="auto"/>
        <w:ind w:right="-34" w:firstLine="210" w:firstLineChars="100"/>
        <w:jc w:val="both"/>
        <w:rPr>
          <w:rFonts w:ascii="仿宋" w:hAnsi="仿宋" w:eastAsia="仿宋" w:cs="仿宋"/>
          <w:color w:val="auto"/>
          <w:szCs w:val="21"/>
          <w:highlight w:val="none"/>
        </w:rPr>
      </w:pPr>
      <w:r>
        <w:rPr>
          <w:rFonts w:hint="eastAsia" w:ascii="仿宋" w:hAnsi="仿宋" w:eastAsia="仿宋" w:cs="仿宋"/>
          <w:color w:val="auto"/>
          <w:szCs w:val="21"/>
          <w:highlight w:val="none"/>
        </w:rPr>
        <w:t>【备注】：</w:t>
      </w:r>
    </w:p>
    <w:p>
      <w:pPr>
        <w:spacing w:line="360" w:lineRule="auto"/>
        <w:ind w:right="-34" w:firstLine="420" w:firstLineChars="200"/>
        <w:jc w:val="both"/>
        <w:rPr>
          <w:rFonts w:ascii="仿宋" w:hAnsi="仿宋" w:eastAsia="仿宋" w:cs="仿宋"/>
          <w:color w:val="auto"/>
          <w:szCs w:val="21"/>
          <w:highlight w:val="none"/>
        </w:rPr>
      </w:pPr>
      <w:r>
        <w:rPr>
          <w:rFonts w:hint="eastAsia" w:ascii="仿宋" w:hAnsi="仿宋" w:eastAsia="仿宋" w:cs="仿宋"/>
          <w:color w:val="auto"/>
          <w:szCs w:val="21"/>
          <w:highlight w:val="none"/>
        </w:rPr>
        <w:t>1.已办理报名并成功购买招标文件的供应商参加投标的，不代表通过资格性审查、符合性审查。</w:t>
      </w:r>
    </w:p>
    <w:p>
      <w:pPr>
        <w:spacing w:line="360" w:lineRule="auto"/>
        <w:ind w:right="-34" w:firstLine="420" w:firstLineChars="200"/>
        <w:jc w:val="both"/>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2.本项目招标文件只在远东电子交易平台在线上发售，投标供应商在购买招标文件之前，登录广东远东招标代理有限公司网站http://www.gdydzb.com或远东电子交易平台http://trade.gdydzb.com进行网上注册（已注册请忽略，直接登录进行报名与购标操作），具体流程操作见网站http://www.gdydzb.com“下载专区——投标人操作手册”或远东电子交易平台http://trade.gdydzb.com </w:t>
      </w:r>
      <w:r>
        <w:rPr>
          <w:rFonts w:hint="eastAsia" w:ascii="仿宋" w:hAnsi="仿宋" w:eastAsia="仿宋" w:cs="仿宋"/>
          <w:color w:val="auto"/>
          <w:szCs w:val="21"/>
          <w:highlight w:val="none"/>
          <w:lang w:eastAsia="zh-CN"/>
        </w:rPr>
        <w:t>登录窗口</w:t>
      </w:r>
      <w:r>
        <w:rPr>
          <w:rFonts w:hint="eastAsia" w:ascii="仿宋" w:hAnsi="仿宋" w:eastAsia="仿宋" w:cs="仿宋"/>
          <w:color w:val="auto"/>
          <w:szCs w:val="21"/>
          <w:highlight w:val="none"/>
        </w:rPr>
        <w:t>的“操作手册”。</w:t>
      </w:r>
    </w:p>
    <w:p>
      <w:pPr>
        <w:spacing w:line="360" w:lineRule="auto"/>
        <w:ind w:right="-34" w:firstLine="420" w:firstLineChars="200"/>
        <w:jc w:val="both"/>
        <w:rPr>
          <w:rFonts w:ascii="仿宋" w:hAnsi="仿宋" w:eastAsia="仿宋" w:cs="仿宋"/>
          <w:color w:val="auto"/>
          <w:szCs w:val="21"/>
          <w:highlight w:val="none"/>
        </w:rPr>
      </w:pPr>
      <w:r>
        <w:rPr>
          <w:rFonts w:hint="eastAsia" w:ascii="仿宋" w:hAnsi="仿宋" w:eastAsia="仿宋" w:cs="仿宋"/>
          <w:color w:val="auto"/>
          <w:szCs w:val="21"/>
          <w:highlight w:val="none"/>
        </w:rPr>
        <w:t>3.符合资格的供应商在网上注册成功后方可报名与购买招标文件，购买方式：网上购买，主要操作过程如下：</w:t>
      </w:r>
    </w:p>
    <w:p>
      <w:pPr>
        <w:spacing w:line="360" w:lineRule="auto"/>
        <w:ind w:right="-34" w:firstLine="420" w:firstLineChars="200"/>
        <w:jc w:val="both"/>
        <w:rPr>
          <w:rFonts w:ascii="仿宋" w:hAnsi="仿宋" w:eastAsia="仿宋" w:cs="仿宋"/>
          <w:color w:val="auto"/>
          <w:szCs w:val="21"/>
          <w:highlight w:val="none"/>
        </w:rPr>
      </w:pPr>
      <w:r>
        <w:rPr>
          <w:rFonts w:hint="eastAsia" w:ascii="仿宋" w:hAnsi="仿宋" w:eastAsia="仿宋" w:cs="仿宋"/>
          <w:color w:val="auto"/>
          <w:szCs w:val="21"/>
          <w:highlight w:val="none"/>
        </w:rPr>
        <w:t>1）注册：在远东电子交易平台(http://trade.gdydzb.com)完成注册（详细可查看《投标人操作手册》）；</w:t>
      </w:r>
    </w:p>
    <w:p>
      <w:pPr>
        <w:spacing w:line="360" w:lineRule="auto"/>
        <w:ind w:right="-34" w:firstLine="420" w:firstLineChars="200"/>
        <w:jc w:val="both"/>
        <w:rPr>
          <w:rFonts w:ascii="仿宋" w:hAnsi="仿宋" w:eastAsia="仿宋" w:cs="仿宋"/>
          <w:color w:val="auto"/>
          <w:szCs w:val="21"/>
          <w:highlight w:val="none"/>
        </w:rPr>
      </w:pPr>
      <w:r>
        <w:rPr>
          <w:rFonts w:hint="eastAsia" w:ascii="仿宋" w:hAnsi="仿宋" w:eastAsia="仿宋" w:cs="仿宋"/>
          <w:color w:val="auto"/>
          <w:szCs w:val="21"/>
          <w:highlight w:val="none"/>
        </w:rPr>
        <w:t>2）选择项目：登录后，在“所有项目”中，搜索到需要参与的项目，点击"投标</w:t>
      </w:r>
      <w:bookmarkStart w:id="51" w:name="_GoBack"/>
      <w:bookmarkEnd w:id="51"/>
      <w:r>
        <w:rPr>
          <w:rFonts w:hint="eastAsia" w:ascii="仿宋" w:hAnsi="仿宋" w:eastAsia="仿宋" w:cs="仿宋"/>
          <w:color w:val="auto"/>
          <w:szCs w:val="21"/>
          <w:highlight w:val="none"/>
        </w:rPr>
        <w:t>"；</w:t>
      </w:r>
    </w:p>
    <w:p>
      <w:pPr>
        <w:spacing w:line="360" w:lineRule="auto"/>
        <w:ind w:right="-34" w:firstLine="420" w:firstLineChars="200"/>
        <w:jc w:val="both"/>
        <w:rPr>
          <w:rFonts w:ascii="仿宋" w:hAnsi="仿宋" w:eastAsia="仿宋" w:cs="仿宋"/>
          <w:color w:val="auto"/>
          <w:szCs w:val="21"/>
          <w:highlight w:val="none"/>
        </w:rPr>
      </w:pPr>
      <w:r>
        <w:rPr>
          <w:rFonts w:hint="eastAsia" w:ascii="仿宋" w:hAnsi="仿宋" w:eastAsia="仿宋" w:cs="仿宋"/>
          <w:color w:val="auto"/>
          <w:szCs w:val="21"/>
          <w:highlight w:val="none"/>
        </w:rPr>
        <w:t>3）报名参与：选择相应的标段/子包报名登记资料（请根据供应商资格提交相应的资料扫描件，如有多个请全部压缩成一个文件再上传），提交后请等待审核；</w:t>
      </w:r>
    </w:p>
    <w:p>
      <w:pPr>
        <w:spacing w:line="360" w:lineRule="auto"/>
        <w:ind w:right="-34" w:firstLine="420" w:firstLineChars="200"/>
        <w:jc w:val="both"/>
        <w:rPr>
          <w:rFonts w:ascii="仿宋" w:hAnsi="仿宋" w:eastAsia="仿宋" w:cs="仿宋"/>
          <w:color w:val="auto"/>
          <w:szCs w:val="21"/>
          <w:highlight w:val="none"/>
        </w:rPr>
      </w:pPr>
      <w:r>
        <w:rPr>
          <w:rFonts w:hint="eastAsia" w:ascii="仿宋" w:hAnsi="仿宋" w:eastAsia="仿宋" w:cs="仿宋"/>
          <w:color w:val="auto"/>
          <w:szCs w:val="21"/>
          <w:highlight w:val="none"/>
        </w:rPr>
        <w:t>4）购买招标文件：在登记资料通过审核后，请在“标书购买”中选择相应的标段，通过网上支付方式完成支付并下载招标文件。</w:t>
      </w:r>
    </w:p>
    <w:p>
      <w:pPr>
        <w:spacing w:line="360" w:lineRule="auto"/>
        <w:ind w:right="-34" w:firstLine="420" w:firstLineChars="200"/>
        <w:jc w:val="both"/>
        <w:rPr>
          <w:rFonts w:ascii="仿宋" w:hAnsi="仿宋" w:eastAsia="仿宋" w:cs="仿宋"/>
          <w:color w:val="auto"/>
          <w:szCs w:val="21"/>
          <w:highlight w:val="none"/>
        </w:rPr>
      </w:pPr>
      <w:r>
        <w:rPr>
          <w:rFonts w:hint="eastAsia" w:ascii="仿宋" w:hAnsi="仿宋" w:eastAsia="仿宋" w:cs="仿宋"/>
          <w:color w:val="auto"/>
          <w:szCs w:val="21"/>
          <w:highlight w:val="none"/>
        </w:rPr>
        <w:t>5）标书款发票：申请开票后，电子发票下载地址会发给投标人所留的手机号码与邮箱。</w:t>
      </w:r>
    </w:p>
    <w:p>
      <w:pPr>
        <w:spacing w:line="360" w:lineRule="auto"/>
        <w:ind w:right="-34" w:firstLine="420" w:firstLineChars="200"/>
        <w:jc w:val="both"/>
        <w:rPr>
          <w:rFonts w:ascii="仿宋" w:hAnsi="仿宋" w:eastAsia="仿宋" w:cs="仿宋"/>
          <w:color w:val="auto"/>
          <w:szCs w:val="21"/>
          <w:highlight w:val="none"/>
        </w:rPr>
      </w:pPr>
      <w:r>
        <w:rPr>
          <w:rFonts w:hint="eastAsia" w:ascii="仿宋" w:hAnsi="仿宋" w:eastAsia="仿宋" w:cs="仿宋"/>
          <w:color w:val="auto"/>
          <w:szCs w:val="21"/>
          <w:highlight w:val="none"/>
        </w:rPr>
        <w:t>六、符合资格的供应商应当在2023年</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日起至2023年</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lang w:val="en-US" w:eastAsia="zh-CN"/>
        </w:rPr>
        <w:t>15</w:t>
      </w:r>
      <w:r>
        <w:rPr>
          <w:rFonts w:hint="eastAsia" w:ascii="仿宋" w:hAnsi="仿宋" w:eastAsia="仿宋" w:cs="仿宋"/>
          <w:color w:val="auto"/>
          <w:szCs w:val="21"/>
          <w:highlight w:val="none"/>
        </w:rPr>
        <w:t>日期间（办公时间内：上午9:00分至12:00；下午14:30至17:30，法定节假日除外）网上购买招标文件，招标文件售价300元（人民币），售后不退。</w:t>
      </w:r>
    </w:p>
    <w:p>
      <w:pPr>
        <w:spacing w:line="360" w:lineRule="auto"/>
        <w:ind w:right="-34" w:firstLine="420" w:firstLineChars="200"/>
        <w:jc w:val="both"/>
        <w:rPr>
          <w:rFonts w:ascii="仿宋" w:hAnsi="仿宋" w:eastAsia="仿宋" w:cs="仿宋"/>
          <w:color w:val="auto"/>
          <w:szCs w:val="21"/>
          <w:highlight w:val="none"/>
        </w:rPr>
      </w:pPr>
      <w:r>
        <w:rPr>
          <w:rFonts w:hint="eastAsia" w:ascii="仿宋" w:hAnsi="仿宋" w:eastAsia="仿宋" w:cs="仿宋"/>
          <w:color w:val="auto"/>
          <w:szCs w:val="21"/>
          <w:highlight w:val="none"/>
        </w:rPr>
        <w:t>七、投标截止时间：2023年</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lang w:val="en-US" w:eastAsia="zh-CN"/>
        </w:rPr>
        <w:t>29</w:t>
      </w:r>
      <w:r>
        <w:rPr>
          <w:rFonts w:hint="eastAsia" w:ascii="仿宋" w:hAnsi="仿宋" w:eastAsia="仿宋" w:cs="仿宋"/>
          <w:color w:val="auto"/>
          <w:szCs w:val="21"/>
          <w:highlight w:val="none"/>
        </w:rPr>
        <w:t>日09时30分</w:t>
      </w:r>
    </w:p>
    <w:p>
      <w:pPr>
        <w:spacing w:line="360" w:lineRule="auto"/>
        <w:ind w:right="-34" w:firstLine="420" w:firstLineChars="200"/>
        <w:jc w:val="both"/>
        <w:rPr>
          <w:rFonts w:ascii="仿宋" w:hAnsi="仿宋" w:eastAsia="仿宋" w:cs="仿宋"/>
          <w:color w:val="auto"/>
          <w:szCs w:val="21"/>
          <w:highlight w:val="none"/>
        </w:rPr>
      </w:pPr>
      <w:r>
        <w:rPr>
          <w:rFonts w:hint="eastAsia" w:ascii="仿宋" w:hAnsi="仿宋" w:eastAsia="仿宋" w:cs="仿宋"/>
          <w:color w:val="auto"/>
          <w:szCs w:val="21"/>
          <w:highlight w:val="none"/>
        </w:rPr>
        <w:t>八、投标文件递交地点：广州市越秀区越秀北路222号越良大厦13楼开标室</w:t>
      </w:r>
    </w:p>
    <w:p>
      <w:pPr>
        <w:spacing w:line="360" w:lineRule="auto"/>
        <w:ind w:right="-34" w:firstLine="420" w:firstLineChars="200"/>
        <w:jc w:val="both"/>
        <w:rPr>
          <w:rFonts w:ascii="仿宋" w:hAnsi="仿宋" w:eastAsia="仿宋" w:cs="仿宋"/>
          <w:color w:val="auto"/>
          <w:szCs w:val="21"/>
          <w:highlight w:val="none"/>
        </w:rPr>
      </w:pPr>
      <w:r>
        <w:rPr>
          <w:rFonts w:hint="eastAsia" w:ascii="仿宋" w:hAnsi="仿宋" w:eastAsia="仿宋" w:cs="仿宋"/>
          <w:color w:val="auto"/>
          <w:szCs w:val="21"/>
          <w:highlight w:val="none"/>
        </w:rPr>
        <w:t>九、开标评标时间：2023年</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lang w:val="en-US" w:eastAsia="zh-CN"/>
        </w:rPr>
        <w:t>29</w:t>
      </w:r>
      <w:r>
        <w:rPr>
          <w:rFonts w:hint="eastAsia" w:ascii="仿宋" w:hAnsi="仿宋" w:eastAsia="仿宋" w:cs="仿宋"/>
          <w:color w:val="auto"/>
          <w:szCs w:val="21"/>
          <w:highlight w:val="none"/>
        </w:rPr>
        <w:t>日09时30分</w:t>
      </w:r>
    </w:p>
    <w:p>
      <w:pPr>
        <w:spacing w:line="360" w:lineRule="auto"/>
        <w:ind w:right="-34" w:firstLine="420" w:firstLineChars="200"/>
        <w:jc w:val="both"/>
        <w:rPr>
          <w:rFonts w:ascii="仿宋" w:hAnsi="仿宋" w:eastAsia="仿宋" w:cs="仿宋"/>
          <w:color w:val="auto"/>
          <w:szCs w:val="21"/>
          <w:highlight w:val="none"/>
        </w:rPr>
      </w:pPr>
      <w:r>
        <w:rPr>
          <w:rFonts w:hint="eastAsia" w:ascii="仿宋" w:hAnsi="仿宋" w:eastAsia="仿宋" w:cs="仿宋"/>
          <w:color w:val="auto"/>
          <w:szCs w:val="21"/>
          <w:highlight w:val="none"/>
        </w:rPr>
        <w:t>十、开标评标地点：广州市越秀区越秀北路222号越良大厦13楼开标室</w:t>
      </w:r>
    </w:p>
    <w:p>
      <w:pPr>
        <w:spacing w:line="360" w:lineRule="auto"/>
        <w:ind w:right="-34" w:firstLine="420" w:firstLineChars="200"/>
        <w:jc w:val="both"/>
        <w:rPr>
          <w:rFonts w:ascii="仿宋" w:hAnsi="仿宋" w:eastAsia="仿宋" w:cs="仿宋"/>
          <w:color w:val="auto"/>
          <w:szCs w:val="21"/>
          <w:highlight w:val="none"/>
        </w:rPr>
      </w:pPr>
      <w:r>
        <w:rPr>
          <w:rFonts w:hint="eastAsia" w:ascii="仿宋" w:hAnsi="仿宋" w:eastAsia="仿宋" w:cs="仿宋"/>
          <w:color w:val="auto"/>
          <w:szCs w:val="21"/>
          <w:highlight w:val="none"/>
        </w:rPr>
        <w:t>十一、本公告期限（5个工作日）自2023年</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日至2023年</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lang w:val="en-US" w:eastAsia="zh-CN"/>
        </w:rPr>
        <w:t>15</w:t>
      </w:r>
      <w:r>
        <w:rPr>
          <w:rFonts w:hint="eastAsia" w:ascii="仿宋" w:hAnsi="仿宋" w:eastAsia="仿宋" w:cs="仿宋"/>
          <w:color w:val="auto"/>
          <w:szCs w:val="21"/>
          <w:highlight w:val="none"/>
        </w:rPr>
        <w:t>日止。</w:t>
      </w:r>
    </w:p>
    <w:tbl>
      <w:tblPr>
        <w:tblStyle w:val="49"/>
        <w:tblW w:w="0" w:type="auto"/>
        <w:tblInd w:w="160" w:type="dxa"/>
        <w:tblLayout w:type="fixed"/>
        <w:tblCellMar>
          <w:top w:w="0" w:type="dxa"/>
          <w:left w:w="0" w:type="dxa"/>
          <w:bottom w:w="0" w:type="dxa"/>
          <w:right w:w="0" w:type="dxa"/>
        </w:tblCellMar>
      </w:tblPr>
      <w:tblGrid>
        <w:gridCol w:w="1933"/>
        <w:gridCol w:w="3415"/>
        <w:gridCol w:w="1620"/>
        <w:gridCol w:w="2619"/>
      </w:tblGrid>
      <w:tr>
        <w:tblPrEx>
          <w:tblCellMar>
            <w:top w:w="0" w:type="dxa"/>
            <w:left w:w="0" w:type="dxa"/>
            <w:bottom w:w="0" w:type="dxa"/>
            <w:right w:w="0" w:type="dxa"/>
          </w:tblCellMar>
        </w:tblPrEx>
        <w:trPr>
          <w:trHeight w:val="227" w:hRule="atLeast"/>
        </w:trPr>
        <w:tc>
          <w:tcPr>
            <w:tcW w:w="1933" w:type="dxa"/>
            <w:tcMar>
              <w:top w:w="0" w:type="dxa"/>
              <w:left w:w="108" w:type="dxa"/>
              <w:bottom w:w="0" w:type="dxa"/>
              <w:right w:w="108" w:type="dxa"/>
            </w:tcMar>
          </w:tcPr>
          <w:p>
            <w:pPr>
              <w:widowControl/>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代理机构联系人：</w:t>
            </w:r>
          </w:p>
        </w:tc>
        <w:tc>
          <w:tcPr>
            <w:tcW w:w="3415" w:type="dxa"/>
            <w:tcMar>
              <w:top w:w="0" w:type="dxa"/>
              <w:left w:w="108" w:type="dxa"/>
              <w:bottom w:w="0" w:type="dxa"/>
              <w:right w:w="108" w:type="dxa"/>
            </w:tcMar>
          </w:tcPr>
          <w:p>
            <w:pPr>
              <w:widowControl/>
              <w:snapToGrid w:val="0"/>
              <w:spacing w:line="360" w:lineRule="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高小姐</w:t>
            </w:r>
          </w:p>
        </w:tc>
        <w:tc>
          <w:tcPr>
            <w:tcW w:w="1620" w:type="dxa"/>
            <w:tcMar>
              <w:top w:w="0" w:type="dxa"/>
              <w:left w:w="108" w:type="dxa"/>
              <w:bottom w:w="0" w:type="dxa"/>
              <w:right w:w="108" w:type="dxa"/>
            </w:tcMar>
          </w:tcPr>
          <w:p>
            <w:pPr>
              <w:widowControl/>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采购人联系人：</w:t>
            </w:r>
          </w:p>
        </w:tc>
        <w:tc>
          <w:tcPr>
            <w:tcW w:w="2619" w:type="dxa"/>
            <w:tcMar>
              <w:top w:w="0" w:type="dxa"/>
              <w:left w:w="108" w:type="dxa"/>
              <w:bottom w:w="0" w:type="dxa"/>
              <w:right w:w="108" w:type="dxa"/>
            </w:tcMar>
          </w:tcPr>
          <w:p>
            <w:pPr>
              <w:widowControl/>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张先生</w:t>
            </w:r>
          </w:p>
        </w:tc>
      </w:tr>
      <w:tr>
        <w:tblPrEx>
          <w:tblCellMar>
            <w:top w:w="0" w:type="dxa"/>
            <w:left w:w="0" w:type="dxa"/>
            <w:bottom w:w="0" w:type="dxa"/>
            <w:right w:w="0" w:type="dxa"/>
          </w:tblCellMar>
        </w:tblPrEx>
        <w:trPr>
          <w:trHeight w:val="227" w:hRule="atLeast"/>
        </w:trPr>
        <w:tc>
          <w:tcPr>
            <w:tcW w:w="1933" w:type="dxa"/>
            <w:tcMar>
              <w:top w:w="0" w:type="dxa"/>
              <w:left w:w="108" w:type="dxa"/>
              <w:bottom w:w="0" w:type="dxa"/>
              <w:right w:w="108" w:type="dxa"/>
            </w:tcMar>
          </w:tcPr>
          <w:p>
            <w:pPr>
              <w:widowControl/>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电话：</w:t>
            </w:r>
          </w:p>
        </w:tc>
        <w:tc>
          <w:tcPr>
            <w:tcW w:w="3415" w:type="dxa"/>
            <w:tcMar>
              <w:top w:w="0" w:type="dxa"/>
              <w:left w:w="108" w:type="dxa"/>
              <w:bottom w:w="0" w:type="dxa"/>
              <w:right w:w="108" w:type="dxa"/>
            </w:tcMar>
          </w:tcPr>
          <w:p>
            <w:pPr>
              <w:widowControl/>
              <w:snapToGrid w:val="0"/>
              <w:spacing w:line="360" w:lineRule="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020-83642820转826</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823</w:t>
            </w:r>
          </w:p>
        </w:tc>
        <w:tc>
          <w:tcPr>
            <w:tcW w:w="1620" w:type="dxa"/>
            <w:tcMar>
              <w:top w:w="0" w:type="dxa"/>
              <w:left w:w="108" w:type="dxa"/>
              <w:bottom w:w="0" w:type="dxa"/>
              <w:right w:w="108" w:type="dxa"/>
            </w:tcMar>
          </w:tcPr>
          <w:p>
            <w:pPr>
              <w:widowControl/>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电话：</w:t>
            </w:r>
          </w:p>
        </w:tc>
        <w:tc>
          <w:tcPr>
            <w:tcW w:w="2619" w:type="dxa"/>
            <w:tcMar>
              <w:top w:w="0" w:type="dxa"/>
              <w:left w:w="108" w:type="dxa"/>
              <w:bottom w:w="0" w:type="dxa"/>
              <w:right w:w="108" w:type="dxa"/>
            </w:tcMar>
          </w:tcPr>
          <w:p>
            <w:pPr>
              <w:widowControl/>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020-87776918</w:t>
            </w:r>
          </w:p>
        </w:tc>
      </w:tr>
      <w:tr>
        <w:tblPrEx>
          <w:tblCellMar>
            <w:top w:w="0" w:type="dxa"/>
            <w:left w:w="0" w:type="dxa"/>
            <w:bottom w:w="0" w:type="dxa"/>
            <w:right w:w="0" w:type="dxa"/>
          </w:tblCellMar>
        </w:tblPrEx>
        <w:trPr>
          <w:trHeight w:val="227" w:hRule="atLeast"/>
        </w:trPr>
        <w:tc>
          <w:tcPr>
            <w:tcW w:w="1933" w:type="dxa"/>
            <w:tcMar>
              <w:top w:w="0" w:type="dxa"/>
              <w:left w:w="108" w:type="dxa"/>
              <w:bottom w:w="0" w:type="dxa"/>
              <w:right w:w="108" w:type="dxa"/>
            </w:tcMar>
          </w:tcPr>
          <w:p>
            <w:pPr>
              <w:widowControl/>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传真：</w:t>
            </w:r>
          </w:p>
        </w:tc>
        <w:tc>
          <w:tcPr>
            <w:tcW w:w="3415" w:type="dxa"/>
            <w:tcMar>
              <w:top w:w="0" w:type="dxa"/>
              <w:left w:w="108" w:type="dxa"/>
              <w:bottom w:w="0" w:type="dxa"/>
              <w:right w:w="108" w:type="dxa"/>
            </w:tcMar>
          </w:tcPr>
          <w:p>
            <w:pPr>
              <w:widowControl/>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020-83642820转822</w:t>
            </w:r>
          </w:p>
        </w:tc>
        <w:tc>
          <w:tcPr>
            <w:tcW w:w="1620" w:type="dxa"/>
            <w:tcMar>
              <w:top w:w="0" w:type="dxa"/>
              <w:left w:w="108" w:type="dxa"/>
              <w:bottom w:w="0" w:type="dxa"/>
              <w:right w:w="108" w:type="dxa"/>
            </w:tcMar>
          </w:tcPr>
          <w:p>
            <w:pPr>
              <w:widowControl/>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传真：</w:t>
            </w:r>
          </w:p>
        </w:tc>
        <w:tc>
          <w:tcPr>
            <w:tcW w:w="2619" w:type="dxa"/>
            <w:tcMar>
              <w:top w:w="0" w:type="dxa"/>
              <w:left w:w="108" w:type="dxa"/>
              <w:bottom w:w="0" w:type="dxa"/>
              <w:right w:w="108" w:type="dxa"/>
            </w:tcMar>
          </w:tcPr>
          <w:p>
            <w:pPr>
              <w:widowControl/>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020-87776918</w:t>
            </w:r>
          </w:p>
        </w:tc>
      </w:tr>
      <w:tr>
        <w:tblPrEx>
          <w:tblCellMar>
            <w:top w:w="0" w:type="dxa"/>
            <w:left w:w="0" w:type="dxa"/>
            <w:bottom w:w="0" w:type="dxa"/>
            <w:right w:w="0" w:type="dxa"/>
          </w:tblCellMar>
        </w:tblPrEx>
        <w:trPr>
          <w:trHeight w:val="227" w:hRule="atLeast"/>
        </w:trPr>
        <w:tc>
          <w:tcPr>
            <w:tcW w:w="1933" w:type="dxa"/>
            <w:tcMar>
              <w:top w:w="0" w:type="dxa"/>
              <w:left w:w="108" w:type="dxa"/>
              <w:bottom w:w="0" w:type="dxa"/>
              <w:right w:w="108" w:type="dxa"/>
            </w:tcMar>
          </w:tcPr>
          <w:p>
            <w:pPr>
              <w:widowControl/>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联系地址：</w:t>
            </w:r>
          </w:p>
        </w:tc>
        <w:tc>
          <w:tcPr>
            <w:tcW w:w="3415" w:type="dxa"/>
            <w:tcMar>
              <w:top w:w="0" w:type="dxa"/>
              <w:left w:w="108" w:type="dxa"/>
              <w:bottom w:w="0" w:type="dxa"/>
              <w:right w:w="108" w:type="dxa"/>
            </w:tcMar>
          </w:tcPr>
          <w:p>
            <w:pPr>
              <w:widowControl/>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广州市越秀区越秀北路222号越良大厦6楼</w:t>
            </w:r>
          </w:p>
        </w:tc>
        <w:tc>
          <w:tcPr>
            <w:tcW w:w="1620" w:type="dxa"/>
            <w:tcMar>
              <w:top w:w="0" w:type="dxa"/>
              <w:left w:w="108" w:type="dxa"/>
              <w:bottom w:w="0" w:type="dxa"/>
              <w:right w:w="108" w:type="dxa"/>
            </w:tcMar>
          </w:tcPr>
          <w:p>
            <w:pPr>
              <w:widowControl/>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联系地址：</w:t>
            </w:r>
          </w:p>
        </w:tc>
        <w:tc>
          <w:tcPr>
            <w:tcW w:w="2619" w:type="dxa"/>
            <w:tcMar>
              <w:top w:w="0" w:type="dxa"/>
              <w:left w:w="108" w:type="dxa"/>
              <w:bottom w:w="0" w:type="dxa"/>
              <w:right w:w="108" w:type="dxa"/>
            </w:tcMar>
          </w:tcPr>
          <w:p>
            <w:pPr>
              <w:widowControl/>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广州市越秀区福今路6号</w:t>
            </w:r>
          </w:p>
        </w:tc>
      </w:tr>
    </w:tbl>
    <w:p>
      <w:pPr>
        <w:widowControl/>
        <w:spacing w:line="360" w:lineRule="auto"/>
        <w:ind w:firstLine="4340"/>
        <w:jc w:val="right"/>
        <w:rPr>
          <w:rFonts w:ascii="仿宋" w:hAnsi="仿宋" w:eastAsia="仿宋" w:cs="仿宋"/>
          <w:color w:val="auto"/>
          <w:szCs w:val="21"/>
          <w:highlight w:val="none"/>
        </w:rPr>
      </w:pPr>
      <w:r>
        <w:rPr>
          <w:rFonts w:hint="eastAsia" w:ascii="仿宋" w:hAnsi="仿宋" w:eastAsia="仿宋" w:cs="仿宋"/>
          <w:color w:val="auto"/>
          <w:szCs w:val="21"/>
          <w:highlight w:val="none"/>
        </w:rPr>
        <w:t>广东远东招标代理有限公司</w:t>
      </w:r>
    </w:p>
    <w:p>
      <w:pPr>
        <w:widowControl/>
        <w:spacing w:line="360" w:lineRule="auto"/>
        <w:ind w:right="315" w:firstLine="3920"/>
        <w:jc w:val="right"/>
        <w:rPr>
          <w:rFonts w:ascii="仿宋" w:hAnsi="仿宋" w:eastAsia="仿宋" w:cs="仿宋"/>
          <w:color w:val="auto"/>
          <w:szCs w:val="21"/>
          <w:highlight w:val="none"/>
        </w:rPr>
      </w:pPr>
      <w:r>
        <w:rPr>
          <w:rFonts w:hint="eastAsia" w:ascii="仿宋" w:hAnsi="仿宋" w:eastAsia="仿宋" w:cs="仿宋"/>
          <w:color w:val="auto"/>
          <w:szCs w:val="21"/>
          <w:highlight w:val="none"/>
        </w:rPr>
        <w:t>2023年</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日</w:t>
      </w:r>
    </w:p>
    <w:p>
      <w:pPr>
        <w:pStyle w:val="3"/>
        <w:keepNext/>
        <w:keepLines/>
        <w:pageBreakBefore/>
        <w:tabs>
          <w:tab w:val="left" w:pos="1080"/>
        </w:tabs>
        <w:spacing w:line="360" w:lineRule="auto"/>
        <w:ind w:left="567" w:hanging="567"/>
        <w:jc w:val="center"/>
        <w:rPr>
          <w:rFonts w:hAnsi="宋体" w:cs="宋体"/>
          <w:b/>
          <w:bCs/>
          <w:color w:val="auto"/>
          <w:kern w:val="44"/>
          <w:sz w:val="32"/>
          <w:szCs w:val="32"/>
          <w:highlight w:val="none"/>
          <w:lang w:val="zh-CN"/>
        </w:rPr>
      </w:pPr>
      <w:r>
        <w:rPr>
          <w:rFonts w:hint="eastAsia" w:hAnsi="宋体" w:cs="宋体"/>
          <w:b/>
          <w:bCs/>
          <w:color w:val="auto"/>
          <w:kern w:val="44"/>
          <w:sz w:val="32"/>
          <w:szCs w:val="32"/>
          <w:highlight w:val="none"/>
          <w:lang w:val="zh-CN"/>
        </w:rPr>
        <w:t xml:space="preserve">第二篇 </w:t>
      </w:r>
      <w:r>
        <w:rPr>
          <w:rFonts w:hint="eastAsia" w:hAnsi="宋体" w:cs="宋体"/>
          <w:b/>
          <w:bCs/>
          <w:color w:val="auto"/>
          <w:kern w:val="44"/>
          <w:sz w:val="32"/>
          <w:szCs w:val="32"/>
          <w:highlight w:val="none"/>
          <w:lang w:val="zh-CN"/>
        </w:rPr>
        <w:tab/>
      </w:r>
      <w:r>
        <w:rPr>
          <w:rFonts w:hint="eastAsia" w:hAnsi="宋体" w:cs="宋体"/>
          <w:b/>
          <w:bCs/>
          <w:color w:val="auto"/>
          <w:kern w:val="44"/>
          <w:sz w:val="32"/>
          <w:szCs w:val="32"/>
          <w:highlight w:val="none"/>
          <w:lang w:val="zh-CN"/>
        </w:rPr>
        <w:t>投标人须知</w:t>
      </w:r>
    </w:p>
    <w:p>
      <w:pPr>
        <w:pStyle w:val="3"/>
        <w:keepNext/>
        <w:keepLines/>
        <w:tabs>
          <w:tab w:val="left" w:pos="1134"/>
        </w:tabs>
        <w:spacing w:line="360" w:lineRule="auto"/>
        <w:ind w:left="1134" w:hanging="567"/>
        <w:jc w:val="center"/>
        <w:rPr>
          <w:rFonts w:hAnsi="宋体" w:cs="宋体"/>
          <w:b/>
          <w:bCs/>
          <w:color w:val="auto"/>
          <w:kern w:val="44"/>
          <w:highlight w:val="none"/>
          <w:lang w:val="zh-CN"/>
        </w:rPr>
      </w:pPr>
      <w:r>
        <w:rPr>
          <w:rFonts w:hint="eastAsia" w:hAnsi="宋体" w:cs="宋体"/>
          <w:b/>
          <w:bCs/>
          <w:color w:val="auto"/>
          <w:kern w:val="44"/>
          <w:highlight w:val="none"/>
          <w:lang w:val="zh-CN"/>
        </w:rPr>
        <w:t>一、投标须知前附表</w:t>
      </w:r>
    </w:p>
    <w:tbl>
      <w:tblPr>
        <w:tblStyle w:val="4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921"/>
        <w:gridCol w:w="675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blHeader/>
          <w:jc w:val="center"/>
        </w:trPr>
        <w:tc>
          <w:tcPr>
            <w:tcW w:w="699" w:type="dxa"/>
            <w:tcBorders>
              <w:top w:val="double" w:color="auto" w:sz="4" w:space="0"/>
              <w:left w:val="doub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项目</w:t>
            </w:r>
          </w:p>
        </w:tc>
        <w:tc>
          <w:tcPr>
            <w:tcW w:w="1921" w:type="dxa"/>
            <w:tcBorders>
              <w:top w:val="doub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内容</w:t>
            </w:r>
          </w:p>
        </w:tc>
        <w:tc>
          <w:tcPr>
            <w:tcW w:w="6756" w:type="dxa"/>
            <w:tcBorders>
              <w:top w:val="double" w:color="auto" w:sz="4" w:space="0"/>
              <w:left w:val="single" w:color="auto" w:sz="4" w:space="0"/>
              <w:bottom w:val="single" w:color="auto" w:sz="4" w:space="0"/>
              <w:right w:val="double" w:color="auto" w:sz="4" w:space="0"/>
            </w:tcBorders>
            <w:vAlign w:val="center"/>
          </w:tcPr>
          <w:p>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699"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921"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仿宋" w:hAnsi="仿宋" w:eastAsia="仿宋" w:cs="仿宋"/>
                <w:color w:val="auto"/>
                <w:szCs w:val="21"/>
                <w:highlight w:val="none"/>
              </w:rPr>
            </w:pPr>
            <w:r>
              <w:rPr>
                <w:rFonts w:hint="eastAsia" w:ascii="仿宋" w:hAnsi="仿宋" w:eastAsia="仿宋" w:cs="仿宋"/>
                <w:color w:val="auto"/>
                <w:szCs w:val="21"/>
                <w:highlight w:val="none"/>
              </w:rPr>
              <w:t>资金来源</w:t>
            </w:r>
          </w:p>
        </w:tc>
        <w:tc>
          <w:tcPr>
            <w:tcW w:w="6756"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财政资金。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99" w:type="dxa"/>
            <w:vMerge w:val="restart"/>
            <w:tcBorders>
              <w:top w:val="single" w:color="auto" w:sz="4" w:space="0"/>
              <w:left w:val="double" w:color="auto" w:sz="4" w:space="0"/>
              <w:right w:val="single" w:color="auto" w:sz="4" w:space="0"/>
            </w:tcBorders>
            <w:vAlign w:val="center"/>
          </w:tcPr>
          <w:p>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921"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仿宋" w:hAnsi="仿宋" w:eastAsia="仿宋" w:cs="仿宋"/>
                <w:color w:val="auto"/>
                <w:szCs w:val="21"/>
                <w:highlight w:val="none"/>
              </w:rPr>
            </w:pPr>
            <w:r>
              <w:rPr>
                <w:rFonts w:hint="eastAsia" w:ascii="仿宋" w:hAnsi="仿宋" w:eastAsia="仿宋" w:cs="仿宋"/>
                <w:color w:val="auto"/>
                <w:szCs w:val="21"/>
                <w:highlight w:val="none"/>
              </w:rPr>
              <w:t>合格的投标人</w:t>
            </w:r>
          </w:p>
        </w:tc>
        <w:tc>
          <w:tcPr>
            <w:tcW w:w="6756"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仿宋" w:hAnsi="仿宋" w:eastAsia="仿宋" w:cs="仿宋"/>
                <w:color w:val="auto"/>
                <w:szCs w:val="21"/>
                <w:highlight w:val="none"/>
                <w:u w:val="single"/>
              </w:rPr>
            </w:pPr>
            <w:r>
              <w:rPr>
                <w:rFonts w:hint="eastAsia" w:ascii="仿宋" w:hAnsi="仿宋" w:eastAsia="仿宋" w:cs="仿宋"/>
                <w:color w:val="auto"/>
                <w:szCs w:val="21"/>
                <w:highlight w:val="none"/>
                <w:lang w:val="zh-CN"/>
              </w:rPr>
              <w:t>具体要求见本招标文件第一篇第五点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99" w:type="dxa"/>
            <w:vMerge w:val="continue"/>
            <w:tcBorders>
              <w:left w:val="double" w:color="auto" w:sz="4" w:space="0"/>
              <w:right w:val="single" w:color="auto" w:sz="4" w:space="0"/>
            </w:tcBorders>
            <w:vAlign w:val="center"/>
          </w:tcPr>
          <w:p>
            <w:pPr>
              <w:spacing w:line="360" w:lineRule="auto"/>
              <w:ind w:left="125"/>
              <w:jc w:val="center"/>
              <w:rPr>
                <w:rFonts w:ascii="仿宋" w:hAnsi="仿宋" w:eastAsia="仿宋" w:cs="仿宋"/>
                <w:color w:val="auto"/>
                <w:szCs w:val="21"/>
                <w:highlight w:val="none"/>
              </w:rPr>
            </w:pPr>
          </w:p>
        </w:tc>
        <w:tc>
          <w:tcPr>
            <w:tcW w:w="1921"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仿宋" w:hAnsi="仿宋" w:eastAsia="仿宋" w:cs="仿宋"/>
                <w:color w:val="auto"/>
                <w:szCs w:val="21"/>
                <w:highlight w:val="none"/>
              </w:rPr>
            </w:pPr>
            <w:r>
              <w:rPr>
                <w:rFonts w:hint="eastAsia" w:ascii="仿宋" w:hAnsi="仿宋" w:eastAsia="仿宋" w:cs="仿宋"/>
                <w:color w:val="auto"/>
                <w:szCs w:val="21"/>
                <w:highlight w:val="none"/>
              </w:rPr>
              <w:t>关于联合体</w:t>
            </w:r>
          </w:p>
        </w:tc>
        <w:tc>
          <w:tcPr>
            <w:tcW w:w="6756" w:type="dxa"/>
            <w:tcBorders>
              <w:top w:val="single" w:color="auto" w:sz="4" w:space="0"/>
              <w:left w:val="single" w:color="auto" w:sz="4" w:space="0"/>
              <w:bottom w:val="single" w:color="auto" w:sz="4" w:space="0"/>
              <w:right w:val="double" w:color="auto" w:sz="4" w:space="0"/>
            </w:tcBorders>
            <w:vAlign w:val="center"/>
          </w:tcPr>
          <w:p>
            <w:pPr>
              <w:spacing w:line="360" w:lineRule="auto"/>
              <w:ind w:right="-195" w:rightChars="-93"/>
              <w:rPr>
                <w:rFonts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本项目不允许联合体投标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99" w:type="dxa"/>
            <w:vMerge w:val="continue"/>
            <w:tcBorders>
              <w:left w:val="double" w:color="auto" w:sz="4" w:space="0"/>
              <w:right w:val="single" w:color="auto" w:sz="4" w:space="0"/>
            </w:tcBorders>
            <w:vAlign w:val="center"/>
          </w:tcPr>
          <w:p>
            <w:pPr>
              <w:spacing w:line="360" w:lineRule="auto"/>
              <w:ind w:left="125"/>
              <w:jc w:val="center"/>
              <w:rPr>
                <w:rFonts w:ascii="仿宋" w:hAnsi="仿宋" w:eastAsia="仿宋" w:cs="仿宋"/>
                <w:color w:val="auto"/>
                <w:szCs w:val="21"/>
                <w:highlight w:val="none"/>
              </w:rPr>
            </w:pPr>
          </w:p>
        </w:tc>
        <w:tc>
          <w:tcPr>
            <w:tcW w:w="1921"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仿宋" w:hAnsi="仿宋" w:eastAsia="仿宋" w:cs="仿宋"/>
                <w:color w:val="auto"/>
                <w:szCs w:val="21"/>
                <w:highlight w:val="none"/>
              </w:rPr>
            </w:pPr>
            <w:r>
              <w:rPr>
                <w:rFonts w:hint="eastAsia" w:ascii="仿宋" w:hAnsi="仿宋" w:eastAsia="仿宋" w:cs="仿宋"/>
                <w:color w:val="auto"/>
                <w:szCs w:val="21"/>
                <w:highlight w:val="none"/>
              </w:rPr>
              <w:t>投标人所投货物必须满足条件</w:t>
            </w:r>
          </w:p>
        </w:tc>
        <w:tc>
          <w:tcPr>
            <w:tcW w:w="6756"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详见第一篇《投标邀请书》中的规定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99" w:type="dxa"/>
            <w:tcBorders>
              <w:left w:val="double" w:color="auto" w:sz="4" w:space="0"/>
              <w:right w:val="single" w:color="auto" w:sz="4" w:space="0"/>
            </w:tcBorders>
            <w:vAlign w:val="center"/>
          </w:tcPr>
          <w:p>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1921"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仿宋" w:hAnsi="仿宋" w:eastAsia="仿宋" w:cs="仿宋"/>
                <w:color w:val="auto"/>
                <w:szCs w:val="21"/>
                <w:highlight w:val="none"/>
              </w:rPr>
            </w:pPr>
            <w:r>
              <w:rPr>
                <w:rFonts w:hint="eastAsia" w:ascii="仿宋" w:hAnsi="仿宋" w:eastAsia="仿宋" w:cs="仿宋"/>
                <w:color w:val="auto"/>
                <w:szCs w:val="21"/>
                <w:highlight w:val="none"/>
              </w:rPr>
              <w:t>踏勘现场</w:t>
            </w:r>
          </w:p>
        </w:tc>
        <w:tc>
          <w:tcPr>
            <w:tcW w:w="6756"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9"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19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定义</w:t>
            </w:r>
          </w:p>
        </w:tc>
        <w:tc>
          <w:tcPr>
            <w:tcW w:w="6756" w:type="dxa"/>
            <w:tcBorders>
              <w:top w:val="single" w:color="auto" w:sz="4" w:space="0"/>
              <w:left w:val="single" w:color="auto" w:sz="4" w:space="0"/>
              <w:bottom w:val="single" w:color="auto" w:sz="4" w:space="0"/>
              <w:right w:val="double" w:color="auto" w:sz="4" w:space="0"/>
            </w:tcBorders>
            <w:vAlign w:val="center"/>
          </w:tcPr>
          <w:p>
            <w:pPr>
              <w:tabs>
                <w:tab w:val="left" w:pos="19"/>
                <w:tab w:val="left" w:pos="586"/>
              </w:tabs>
              <w:spacing w:line="360" w:lineRule="auto"/>
              <w:jc w:val="both"/>
              <w:rPr>
                <w:rFonts w:ascii="仿宋" w:hAnsi="仿宋" w:eastAsia="仿宋" w:cs="仿宋"/>
                <w:color w:val="auto"/>
                <w:highlight w:val="none"/>
                <w:lang w:val="zh-CN"/>
              </w:rPr>
            </w:pPr>
            <w:r>
              <w:rPr>
                <w:rFonts w:hint="eastAsia" w:ascii="仿宋" w:hAnsi="仿宋" w:eastAsia="仿宋" w:cs="仿宋"/>
                <w:color w:val="auto"/>
                <w:highlight w:val="none"/>
                <w:lang w:val="zh-CN"/>
              </w:rPr>
              <w:t>1.采购人：本项目的采购人是</w:t>
            </w:r>
            <w:r>
              <w:rPr>
                <w:rFonts w:hint="eastAsia" w:ascii="仿宋" w:hAnsi="仿宋" w:eastAsia="仿宋" w:cs="仿宋"/>
                <w:color w:val="auto"/>
                <w:highlight w:val="none"/>
              </w:rPr>
              <w:t>广东省气象局</w:t>
            </w:r>
            <w:r>
              <w:rPr>
                <w:rFonts w:hint="eastAsia" w:ascii="仿宋" w:hAnsi="仿宋" w:eastAsia="仿宋" w:cs="仿宋"/>
                <w:color w:val="auto"/>
                <w:highlight w:val="none"/>
                <w:lang w:val="zh-CN"/>
              </w:rPr>
              <w:t>。</w:t>
            </w:r>
          </w:p>
          <w:p>
            <w:pPr>
              <w:tabs>
                <w:tab w:val="left" w:pos="19"/>
                <w:tab w:val="left" w:pos="586"/>
              </w:tabs>
              <w:spacing w:line="360" w:lineRule="auto"/>
              <w:jc w:val="both"/>
              <w:rPr>
                <w:rFonts w:ascii="仿宋" w:hAnsi="仿宋" w:eastAsia="仿宋" w:cs="仿宋"/>
                <w:color w:val="auto"/>
                <w:highlight w:val="none"/>
                <w:lang w:val="zh-CN"/>
              </w:rPr>
            </w:pPr>
            <w:r>
              <w:rPr>
                <w:rFonts w:hint="eastAsia" w:ascii="仿宋" w:hAnsi="仿宋" w:eastAsia="仿宋" w:cs="仿宋"/>
                <w:color w:val="auto"/>
                <w:highlight w:val="none"/>
                <w:lang w:val="zh-CN"/>
              </w:rPr>
              <w:t>2.采购代理机构：系指 广东远东招标代理有限公司。</w:t>
            </w:r>
          </w:p>
          <w:p>
            <w:pPr>
              <w:tabs>
                <w:tab w:val="left" w:pos="19"/>
                <w:tab w:val="left" w:pos="586"/>
              </w:tabs>
              <w:spacing w:line="360" w:lineRule="auto"/>
              <w:jc w:val="both"/>
              <w:rPr>
                <w:rFonts w:ascii="仿宋" w:hAnsi="仿宋" w:eastAsia="仿宋" w:cs="仿宋"/>
                <w:color w:val="auto"/>
                <w:highlight w:val="none"/>
              </w:rPr>
            </w:pPr>
            <w:r>
              <w:rPr>
                <w:rFonts w:hint="eastAsia" w:ascii="仿宋" w:hAnsi="仿宋" w:eastAsia="仿宋" w:cs="仿宋"/>
                <w:color w:val="auto"/>
                <w:highlight w:val="none"/>
                <w:lang w:val="zh-CN"/>
              </w:rPr>
              <w:t>3.政府采购监督管理部门：</w:t>
            </w:r>
            <w:r>
              <w:rPr>
                <w:rFonts w:hint="eastAsia" w:ascii="仿宋" w:hAnsi="仿宋" w:eastAsia="仿宋" w:cs="仿宋"/>
                <w:color w:val="auto"/>
                <w:highlight w:val="none"/>
              </w:rPr>
              <w:t>中华人民共和国财政部</w:t>
            </w:r>
            <w:r>
              <w:rPr>
                <w:rFonts w:hint="eastAsia" w:ascii="仿宋" w:hAnsi="仿宋" w:eastAsia="仿宋" w:cs="仿宋"/>
                <w:color w:val="auto"/>
                <w:highlight w:val="none"/>
                <w:lang w:val="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99"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1921"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仿宋" w:hAnsi="仿宋" w:eastAsia="仿宋" w:cs="仿宋"/>
                <w:color w:val="auto"/>
                <w:szCs w:val="21"/>
                <w:highlight w:val="none"/>
              </w:rPr>
            </w:pPr>
            <w:r>
              <w:rPr>
                <w:rFonts w:hint="eastAsia" w:ascii="仿宋" w:hAnsi="仿宋" w:eastAsia="仿宋" w:cs="仿宋"/>
                <w:color w:val="auto"/>
                <w:kern w:val="2"/>
                <w:szCs w:val="21"/>
                <w:highlight w:val="none"/>
                <w:lang w:val="zh-CN"/>
              </w:rPr>
              <w:t>招标文件的澄清</w:t>
            </w:r>
          </w:p>
        </w:tc>
        <w:tc>
          <w:tcPr>
            <w:tcW w:w="6756"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1.采购人不统一组织答疑会</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2.投标人质疑期限：招标文件公示期间或者自期满之日起7个工作日内以书面形式向采购人或招标代理机构提出质疑</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3.采购人澄清、修补或答疑期限：在投标截止日期前</w:t>
            </w:r>
            <w:r>
              <w:rPr>
                <w:rFonts w:hint="eastAsia" w:ascii="仿宋" w:hAnsi="仿宋" w:eastAsia="仿宋" w:cs="仿宋"/>
                <w:color w:val="auto"/>
                <w:szCs w:val="21"/>
                <w:highlight w:val="none"/>
                <w:u w:val="single"/>
              </w:rPr>
              <w:t>15</w:t>
            </w:r>
            <w:r>
              <w:rPr>
                <w:rFonts w:hint="eastAsia" w:ascii="仿宋" w:hAnsi="仿宋" w:eastAsia="仿宋" w:cs="仿宋"/>
                <w:color w:val="auto"/>
                <w:szCs w:val="21"/>
                <w:highlight w:val="none"/>
              </w:rPr>
              <w:t xml:space="preserve"> 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99" w:type="dxa"/>
            <w:tcBorders>
              <w:left w:val="doub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1921"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仿宋" w:hAnsi="仿宋" w:eastAsia="仿宋" w:cs="仿宋"/>
                <w:color w:val="auto"/>
                <w:szCs w:val="21"/>
                <w:highlight w:val="none"/>
              </w:rPr>
            </w:pPr>
            <w:r>
              <w:rPr>
                <w:rFonts w:hint="eastAsia" w:ascii="仿宋" w:hAnsi="仿宋" w:eastAsia="仿宋" w:cs="仿宋"/>
                <w:color w:val="auto"/>
                <w:szCs w:val="21"/>
                <w:highlight w:val="none"/>
              </w:rPr>
              <w:t>投标样板</w:t>
            </w:r>
          </w:p>
        </w:tc>
        <w:tc>
          <w:tcPr>
            <w:tcW w:w="6756"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99"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7</w:t>
            </w:r>
          </w:p>
        </w:tc>
        <w:tc>
          <w:tcPr>
            <w:tcW w:w="1921"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仿宋" w:hAnsi="仿宋" w:eastAsia="仿宋" w:cs="仿宋"/>
                <w:color w:val="auto"/>
                <w:szCs w:val="21"/>
                <w:highlight w:val="none"/>
              </w:rPr>
            </w:pPr>
            <w:r>
              <w:rPr>
                <w:rFonts w:hint="eastAsia" w:ascii="仿宋" w:hAnsi="仿宋" w:eastAsia="仿宋" w:cs="仿宋"/>
                <w:color w:val="auto"/>
                <w:szCs w:val="21"/>
                <w:highlight w:val="none"/>
              </w:rPr>
              <w:t>投标报价</w:t>
            </w:r>
          </w:p>
        </w:tc>
        <w:tc>
          <w:tcPr>
            <w:tcW w:w="6756" w:type="dxa"/>
            <w:tcBorders>
              <w:top w:val="single" w:color="auto" w:sz="4" w:space="0"/>
              <w:left w:val="single" w:color="auto" w:sz="4" w:space="0"/>
              <w:bottom w:val="single" w:color="auto" w:sz="4" w:space="0"/>
              <w:right w:val="double" w:color="auto" w:sz="4" w:space="0"/>
            </w:tcBorders>
            <w:vAlign w:val="center"/>
          </w:tcPr>
          <w:p>
            <w:pPr>
              <w:autoSpaceDE/>
              <w:autoSpaceDN/>
              <w:adjustRightInd/>
              <w:spacing w:line="360" w:lineRule="auto"/>
              <w:jc w:val="both"/>
              <w:rPr>
                <w:rFonts w:ascii="仿宋" w:hAnsi="仿宋" w:eastAsia="仿宋" w:cs="仿宋"/>
                <w:color w:val="auto"/>
                <w:szCs w:val="21"/>
                <w:highlight w:val="none"/>
              </w:rPr>
            </w:pPr>
            <w:r>
              <w:rPr>
                <w:rFonts w:hint="eastAsia" w:ascii="仿宋" w:hAnsi="仿宋" w:eastAsia="仿宋" w:cs="仿宋"/>
                <w:color w:val="auto"/>
                <w:szCs w:val="21"/>
                <w:highlight w:val="none"/>
              </w:rPr>
              <w:t>本采购项目最高投标限价为：详见第一篇《投标邀请书》中的规定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99"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szCs w:val="21"/>
                <w:highlight w:val="none"/>
              </w:rPr>
            </w:pPr>
            <w:r>
              <w:rPr>
                <w:rFonts w:hint="eastAsia" w:ascii="仿宋" w:hAnsi="仿宋" w:eastAsia="仿宋" w:cs="仿宋"/>
                <w:color w:val="auto"/>
                <w:kern w:val="2"/>
                <w:szCs w:val="21"/>
                <w:highlight w:val="none"/>
                <w:lang w:val="zh-CN"/>
              </w:rPr>
              <w:t>8</w:t>
            </w:r>
          </w:p>
        </w:tc>
        <w:tc>
          <w:tcPr>
            <w:tcW w:w="1921"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仿宋" w:hAnsi="仿宋" w:eastAsia="仿宋" w:cs="仿宋"/>
                <w:color w:val="auto"/>
                <w:szCs w:val="21"/>
                <w:highlight w:val="none"/>
              </w:rPr>
            </w:pPr>
            <w:r>
              <w:rPr>
                <w:rFonts w:hint="eastAsia" w:ascii="仿宋" w:hAnsi="仿宋" w:eastAsia="仿宋" w:cs="仿宋"/>
                <w:color w:val="auto"/>
                <w:kern w:val="2"/>
                <w:szCs w:val="21"/>
                <w:highlight w:val="none"/>
                <w:lang w:val="zh-CN"/>
              </w:rPr>
              <w:t>证明投标人的资格性的证明文件</w:t>
            </w:r>
          </w:p>
        </w:tc>
        <w:tc>
          <w:tcPr>
            <w:tcW w:w="6756" w:type="dxa"/>
            <w:tcBorders>
              <w:top w:val="single" w:color="auto" w:sz="4" w:space="0"/>
              <w:left w:val="single" w:color="auto" w:sz="4" w:space="0"/>
              <w:bottom w:val="single" w:color="auto" w:sz="4" w:space="0"/>
              <w:right w:val="double" w:color="auto" w:sz="4" w:space="0"/>
            </w:tcBorders>
            <w:vAlign w:val="center"/>
          </w:tcPr>
          <w:p>
            <w:pPr>
              <w:spacing w:line="360" w:lineRule="auto"/>
              <w:ind w:right="-34"/>
              <w:jc w:val="both"/>
              <w:rPr>
                <w:rFonts w:ascii="仿宋" w:hAnsi="仿宋" w:eastAsia="仿宋" w:cs="仿宋"/>
                <w:color w:val="auto"/>
                <w:szCs w:val="21"/>
                <w:highlight w:val="none"/>
              </w:rPr>
            </w:pPr>
            <w:r>
              <w:rPr>
                <w:rFonts w:hint="eastAsia" w:ascii="仿宋" w:hAnsi="仿宋" w:eastAsia="仿宋" w:cs="仿宋"/>
                <w:color w:val="auto"/>
                <w:szCs w:val="21"/>
                <w:highlight w:val="none"/>
              </w:rPr>
              <w:t>1.投标供应商应具备《政府采购法》第二十二条规定的条件，提供下列材料：</w:t>
            </w:r>
          </w:p>
          <w:p>
            <w:pPr>
              <w:spacing w:line="360" w:lineRule="auto"/>
              <w:ind w:right="-34"/>
              <w:jc w:val="both"/>
              <w:rPr>
                <w:rFonts w:hint="eastAsia" w:ascii="仿宋" w:hAnsi="仿宋" w:eastAsia="仿宋" w:cs="仿宋"/>
                <w:b/>
                <w:color w:val="auto"/>
                <w:szCs w:val="21"/>
                <w:highlight w:val="none"/>
                <w:lang w:eastAsia="zh-CN"/>
              </w:rPr>
            </w:pPr>
            <w:r>
              <w:rPr>
                <w:rFonts w:hint="eastAsia" w:ascii="仿宋" w:hAnsi="仿宋" w:eastAsia="仿宋" w:cs="仿宋"/>
                <w:b/>
                <w:color w:val="auto"/>
                <w:szCs w:val="21"/>
                <w:highlight w:val="none"/>
              </w:rPr>
              <w:t>1）具有独立承担民事责任的能力：</w:t>
            </w:r>
            <w:r>
              <w:rPr>
                <w:rFonts w:hint="eastAsia" w:ascii="仿宋" w:hAnsi="仿宋" w:eastAsia="仿宋" w:cs="仿宋"/>
                <w:bCs/>
                <w:color w:val="auto"/>
                <w:szCs w:val="21"/>
                <w:highlight w:val="none"/>
                <w:lang w:eastAsia="zh-CN"/>
              </w:rPr>
              <w:t>提供投标截止日前6个月内任意1个月依法缴纳税收和社会保障资金的相关材料。如依法免税或不需要缴纳社会保障资金的，提供相应证明材料。</w:t>
            </w:r>
          </w:p>
          <w:p>
            <w:pPr>
              <w:pStyle w:val="45"/>
              <w:shd w:val="clear" w:color="auto" w:fill="FFFFFF"/>
              <w:spacing w:before="0" w:beforeAutospacing="0" w:after="0" w:afterAutospacing="0" w:line="360" w:lineRule="auto"/>
              <w:textAlignment w:val="baseline"/>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2）有依法缴纳税收和社会保障资金的良好记录：</w:t>
            </w:r>
            <w:r>
              <w:rPr>
                <w:rFonts w:hint="eastAsia" w:ascii="仿宋" w:hAnsi="仿宋" w:eastAsia="仿宋" w:cs="仿宋"/>
                <w:bCs/>
                <w:color w:val="auto"/>
                <w:sz w:val="21"/>
                <w:szCs w:val="21"/>
                <w:highlight w:val="none"/>
              </w:rPr>
              <w:t>有依法缴纳税收和社会保障资金的良好记录（提供承诺函，格式自拟）。</w:t>
            </w:r>
          </w:p>
          <w:p>
            <w:pPr>
              <w:pStyle w:val="45"/>
              <w:shd w:val="clear" w:color="auto" w:fill="FFFFFF"/>
              <w:spacing w:before="0" w:beforeAutospacing="0" w:after="0" w:afterAutospacing="0" w:line="360" w:lineRule="auto"/>
              <w:textAlignment w:val="baseline"/>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rPr>
              <w:t>3）具有良好的商业信誉和健全的财务会计制度：</w:t>
            </w:r>
            <w:r>
              <w:rPr>
                <w:rFonts w:hint="eastAsia" w:ascii="仿宋" w:hAnsi="仿宋" w:eastAsia="仿宋" w:cs="仿宋"/>
                <w:bCs/>
                <w:color w:val="auto"/>
                <w:sz w:val="21"/>
                <w:szCs w:val="21"/>
                <w:highlight w:val="none"/>
                <w:lang w:eastAsia="zh-CN"/>
              </w:rPr>
              <w:t>供应商必须具有良好的商业信誉和健全的财务会计制度（提供2021年度财务状况报告或基本开户行出具的资信证明）。</w:t>
            </w:r>
          </w:p>
          <w:p>
            <w:pPr>
              <w:pStyle w:val="45"/>
              <w:shd w:val="clear" w:color="auto" w:fill="FFFFFF"/>
              <w:spacing w:before="0" w:beforeAutospacing="0" w:after="0" w:afterAutospacing="0" w:line="360" w:lineRule="auto"/>
              <w:textAlignment w:val="baseline"/>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rPr>
              <w:t>4）履行合同所必需的设备和专业技术能力：</w:t>
            </w:r>
            <w:r>
              <w:rPr>
                <w:rFonts w:hint="eastAsia" w:ascii="仿宋" w:hAnsi="仿宋" w:eastAsia="仿宋" w:cs="仿宋"/>
                <w:bCs/>
                <w:color w:val="auto"/>
                <w:sz w:val="21"/>
                <w:szCs w:val="21"/>
                <w:highlight w:val="none"/>
                <w:lang w:eastAsia="zh-CN"/>
              </w:rPr>
              <w:t>填报所必需的设备及专业技术能力情况。（格式自拟）</w:t>
            </w:r>
          </w:p>
          <w:p>
            <w:pPr>
              <w:pStyle w:val="45"/>
              <w:shd w:val="clear" w:color="auto" w:fill="FFFFFF"/>
              <w:spacing w:before="0" w:beforeAutospacing="0" w:after="0" w:afterAutospacing="0" w:line="360" w:lineRule="auto"/>
              <w:textAlignment w:val="baseline"/>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rPr>
              <w:t>5）参加采购活动前3年内，在经营活动中没有重大违法记录：</w:t>
            </w:r>
            <w:r>
              <w:rPr>
                <w:rFonts w:hint="eastAsia" w:ascii="仿宋" w:hAnsi="仿宋" w:eastAsia="仿宋" w:cs="仿宋"/>
                <w:bCs/>
                <w:color w:val="auto"/>
                <w:sz w:val="21"/>
                <w:szCs w:val="21"/>
                <w:highlight w:val="none"/>
                <w:lang w:eastAsia="zh-CN"/>
              </w:rPr>
              <w:t>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spacing w:line="360" w:lineRule="auto"/>
              <w:ind w:right="-34"/>
              <w:jc w:val="both"/>
              <w:rPr>
                <w:rFonts w:ascii="仿宋" w:hAnsi="仿宋" w:eastAsia="仿宋" w:cs="仿宋"/>
                <w:b/>
                <w:color w:val="auto"/>
                <w:szCs w:val="21"/>
                <w:highlight w:val="none"/>
              </w:rPr>
            </w:pPr>
            <w:r>
              <w:rPr>
                <w:rFonts w:hint="eastAsia" w:ascii="仿宋" w:hAnsi="仿宋" w:eastAsia="仿宋" w:cs="仿宋"/>
                <w:b/>
                <w:color w:val="auto"/>
                <w:szCs w:val="21"/>
                <w:highlight w:val="none"/>
              </w:rPr>
              <w:t>2.落实政府采购政策需满足的资格要求：</w:t>
            </w:r>
            <w:r>
              <w:rPr>
                <w:rFonts w:hint="eastAsia" w:ascii="仿宋" w:hAnsi="仿宋" w:eastAsia="仿宋" w:cs="仿宋"/>
                <w:color w:val="auto"/>
                <w:szCs w:val="21"/>
                <w:highlight w:val="none"/>
              </w:rPr>
              <w:t>无</w:t>
            </w:r>
          </w:p>
          <w:p>
            <w:pPr>
              <w:spacing w:line="360" w:lineRule="auto"/>
              <w:ind w:right="-34"/>
              <w:jc w:val="both"/>
              <w:rPr>
                <w:rFonts w:ascii="仿宋" w:hAnsi="仿宋" w:eastAsia="仿宋" w:cs="仿宋"/>
                <w:b/>
                <w:color w:val="auto"/>
                <w:szCs w:val="21"/>
                <w:highlight w:val="none"/>
              </w:rPr>
            </w:pPr>
            <w:r>
              <w:rPr>
                <w:rFonts w:hint="eastAsia" w:ascii="仿宋" w:hAnsi="仿宋" w:eastAsia="仿宋" w:cs="仿宋"/>
                <w:b/>
                <w:color w:val="auto"/>
                <w:szCs w:val="21"/>
                <w:highlight w:val="none"/>
              </w:rPr>
              <w:t>3.本项目的特定资格要求：</w:t>
            </w:r>
          </w:p>
          <w:p>
            <w:pPr>
              <w:spacing w:line="360" w:lineRule="auto"/>
              <w:jc w:val="both"/>
              <w:rPr>
                <w:rFonts w:ascii="仿宋" w:hAnsi="仿宋" w:eastAsia="仿宋" w:cs="仿宋"/>
                <w:b/>
                <w:color w:val="auto"/>
                <w:szCs w:val="21"/>
                <w:highlight w:val="none"/>
              </w:rPr>
            </w:pPr>
            <w:r>
              <w:rPr>
                <w:rFonts w:hint="eastAsia" w:ascii="仿宋" w:hAnsi="仿宋" w:eastAsia="仿宋" w:cs="仿宋"/>
                <w:b/>
                <w:color w:val="auto"/>
                <w:szCs w:val="21"/>
                <w:highlight w:val="none"/>
              </w:rPr>
              <w:t>1）信用记录：</w:t>
            </w:r>
            <w:r>
              <w:rPr>
                <w:rFonts w:hint="eastAsia" w:ascii="仿宋" w:hAnsi="仿宋" w:eastAsia="仿宋" w:cs="仿宋"/>
                <w:color w:val="auto"/>
                <w:szCs w:val="21"/>
                <w:highlight w:val="none"/>
              </w:rPr>
              <w:t>供应商未被列入“信用中国”网站(www.creditchina.gov.cn)“记录失信被执行人或重大税收违法案件当事人名单”记录名单； 不处于中国政府采购网(www.ccgp.gov.cn)“政府采购严重违法失信行为信息记录”中的禁止参加政府采购活动期间。 （以采购代理机构于投标（响应） 截止时间当天在“信用中国”网站（www.creditchina.gov.cn）及中国政府采购网（http://www.ccgp.gov.cn/） 查询结果为准， 如相关失信记录已失效，供应商需提供相关证明资料） 。</w:t>
            </w:r>
          </w:p>
          <w:p>
            <w:pPr>
              <w:pStyle w:val="23"/>
              <w:spacing w:line="360" w:lineRule="auto"/>
              <w:ind w:left="0" w:leftChars="0" w:firstLineChars="0"/>
              <w:rPr>
                <w:rFonts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2）</w:t>
            </w:r>
            <w:r>
              <w:rPr>
                <w:rFonts w:hint="eastAsia" w:ascii="仿宋" w:hAnsi="仿宋" w:eastAsia="仿宋" w:cs="仿宋"/>
                <w:color w:val="auto"/>
                <w:kern w:val="0"/>
                <w:sz w:val="21"/>
                <w:szCs w:val="21"/>
                <w:highlight w:val="none"/>
              </w:rPr>
              <w:t>单位负责人为同一人或者存在直接控股、管理关系的不同供应商，不得同时参加本采购项目（或采购包）投标（响应）。为本项目提供整体设计、规范编制或者项目管理、 监理、检测等服务的供应商，不得再参与本项目投标（响应）。投标（报价） 函相关承诺要求内容。</w:t>
            </w:r>
          </w:p>
          <w:p>
            <w:pPr>
              <w:pStyle w:val="23"/>
              <w:spacing w:line="360" w:lineRule="auto"/>
              <w:ind w:left="0" w:leftChars="0" w:firstLineChars="0"/>
              <w:rPr>
                <w:rFonts w:ascii="仿宋" w:hAnsi="仿宋" w:eastAsia="仿宋" w:cs="仿宋"/>
                <w:color w:val="auto"/>
                <w:highlight w:val="none"/>
              </w:rPr>
            </w:pPr>
            <w:r>
              <w:rPr>
                <w:rFonts w:hint="eastAsia" w:ascii="仿宋" w:hAnsi="仿宋" w:eastAsia="仿宋" w:cs="仿宋"/>
                <w:b/>
                <w:bCs/>
                <w:color w:val="auto"/>
                <w:kern w:val="0"/>
                <w:sz w:val="21"/>
                <w:szCs w:val="21"/>
                <w:highlight w:val="none"/>
              </w:rPr>
              <w:t>3）</w:t>
            </w:r>
            <w:r>
              <w:rPr>
                <w:rFonts w:hint="eastAsia" w:ascii="仿宋" w:hAnsi="仿宋" w:eastAsia="仿宋" w:cs="仿宋"/>
                <w:color w:val="auto"/>
                <w:kern w:val="0"/>
                <w:sz w:val="21"/>
                <w:szCs w:val="21"/>
                <w:highlight w:val="none"/>
              </w:rPr>
              <w:t>已办理报名并成功购买本招标文件的供应商。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99"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9</w:t>
            </w:r>
          </w:p>
        </w:tc>
        <w:tc>
          <w:tcPr>
            <w:tcW w:w="1921"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仿宋" w:hAnsi="仿宋" w:eastAsia="仿宋" w:cs="仿宋"/>
                <w:color w:val="auto"/>
                <w:szCs w:val="21"/>
                <w:highlight w:val="none"/>
              </w:rPr>
            </w:pPr>
            <w:r>
              <w:rPr>
                <w:rFonts w:hint="eastAsia" w:ascii="仿宋" w:hAnsi="仿宋" w:eastAsia="仿宋" w:cs="仿宋"/>
                <w:color w:val="auto"/>
                <w:szCs w:val="21"/>
                <w:highlight w:val="none"/>
              </w:rPr>
              <w:t>投标保证金</w:t>
            </w:r>
          </w:p>
        </w:tc>
        <w:tc>
          <w:tcPr>
            <w:tcW w:w="6756" w:type="dxa"/>
            <w:tcBorders>
              <w:top w:val="single" w:color="auto" w:sz="4" w:space="0"/>
              <w:left w:val="single" w:color="auto" w:sz="4" w:space="0"/>
              <w:bottom w:val="single" w:color="auto" w:sz="4" w:space="0"/>
              <w:right w:val="double" w:color="auto" w:sz="4" w:space="0"/>
            </w:tcBorders>
            <w:vAlign w:val="center"/>
          </w:tcPr>
          <w:p>
            <w:pPr>
              <w:autoSpaceDE/>
              <w:autoSpaceDN/>
              <w:adjustRightInd/>
              <w:spacing w:line="360" w:lineRule="auto"/>
              <w:jc w:val="both"/>
              <w:rPr>
                <w:rFonts w:ascii="仿宋" w:hAnsi="仿宋" w:eastAsia="仿宋" w:cs="仿宋"/>
                <w:bCs/>
                <w:color w:val="auto"/>
                <w:szCs w:val="21"/>
                <w:highlight w:val="none"/>
              </w:rPr>
            </w:pPr>
            <w:r>
              <w:rPr>
                <w:rFonts w:hint="eastAsia" w:ascii="仿宋" w:hAnsi="仿宋" w:eastAsia="仿宋" w:cs="仿宋"/>
                <w:bCs/>
                <w:color w:val="auto"/>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99"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10</w:t>
            </w:r>
          </w:p>
        </w:tc>
        <w:tc>
          <w:tcPr>
            <w:tcW w:w="1921"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仿宋" w:hAnsi="仿宋" w:eastAsia="仿宋" w:cs="仿宋"/>
                <w:color w:val="auto"/>
                <w:szCs w:val="21"/>
                <w:highlight w:val="none"/>
              </w:rPr>
            </w:pPr>
            <w:r>
              <w:rPr>
                <w:rFonts w:hint="eastAsia" w:ascii="仿宋" w:hAnsi="仿宋" w:eastAsia="仿宋" w:cs="仿宋"/>
                <w:color w:val="auto"/>
                <w:kern w:val="2"/>
                <w:szCs w:val="21"/>
                <w:highlight w:val="none"/>
                <w:lang w:val="zh-CN"/>
              </w:rPr>
              <w:t>投标有效期</w:t>
            </w:r>
          </w:p>
        </w:tc>
        <w:tc>
          <w:tcPr>
            <w:tcW w:w="6756" w:type="dxa"/>
            <w:tcBorders>
              <w:top w:val="single" w:color="auto" w:sz="4" w:space="0"/>
              <w:left w:val="single" w:color="auto" w:sz="4" w:space="0"/>
              <w:bottom w:val="single" w:color="auto" w:sz="4" w:space="0"/>
              <w:right w:val="double" w:color="auto" w:sz="4" w:space="0"/>
            </w:tcBorders>
            <w:vAlign w:val="center"/>
          </w:tcPr>
          <w:p>
            <w:pPr>
              <w:autoSpaceDE/>
              <w:autoSpaceDN/>
              <w:adjustRightInd/>
              <w:spacing w:line="360" w:lineRule="auto"/>
              <w:jc w:val="both"/>
              <w:rPr>
                <w:rFonts w:ascii="仿宋" w:hAnsi="仿宋" w:eastAsia="仿宋" w:cs="仿宋"/>
                <w:bCs/>
                <w:color w:val="auto"/>
                <w:szCs w:val="21"/>
                <w:highlight w:val="none"/>
              </w:rPr>
            </w:pPr>
            <w:r>
              <w:rPr>
                <w:rFonts w:hint="eastAsia" w:ascii="仿宋" w:hAnsi="仿宋" w:eastAsia="仿宋" w:cs="仿宋"/>
                <w:bCs/>
                <w:color w:val="auto"/>
                <w:kern w:val="2"/>
                <w:szCs w:val="21"/>
                <w:highlight w:val="none"/>
                <w:lang w:val="zh-CN"/>
              </w:rPr>
              <w:t>递交投标文件截止日后90天内有效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99"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11</w:t>
            </w:r>
          </w:p>
        </w:tc>
        <w:tc>
          <w:tcPr>
            <w:tcW w:w="1921"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投标文件份数</w:t>
            </w:r>
          </w:p>
        </w:tc>
        <w:tc>
          <w:tcPr>
            <w:tcW w:w="6756" w:type="dxa"/>
            <w:tcBorders>
              <w:top w:val="single" w:color="auto" w:sz="4" w:space="0"/>
              <w:left w:val="single" w:color="auto" w:sz="4" w:space="0"/>
              <w:bottom w:val="single" w:color="auto" w:sz="4" w:space="0"/>
              <w:right w:val="double" w:color="auto" w:sz="4" w:space="0"/>
            </w:tcBorders>
            <w:vAlign w:val="center"/>
          </w:tcPr>
          <w:p>
            <w:pPr>
              <w:autoSpaceDE/>
              <w:autoSpaceDN/>
              <w:adjustRightInd/>
              <w:spacing w:line="360" w:lineRule="auto"/>
              <w:ind w:left="315" w:hanging="315" w:hangingChars="150"/>
              <w:jc w:val="both"/>
              <w:rPr>
                <w:rFonts w:ascii="仿宋" w:hAnsi="仿宋" w:eastAsia="仿宋" w:cs="仿宋"/>
                <w:color w:val="auto"/>
                <w:szCs w:val="21"/>
                <w:highlight w:val="none"/>
              </w:rPr>
            </w:pPr>
            <w:r>
              <w:rPr>
                <w:rFonts w:hint="eastAsia" w:ascii="仿宋" w:hAnsi="仿宋" w:eastAsia="仿宋" w:cs="仿宋"/>
                <w:color w:val="auto"/>
                <w:szCs w:val="21"/>
                <w:highlight w:val="none"/>
              </w:rPr>
              <w:t>1.投标文件由自查表、商务技术文件、经济文件</w:t>
            </w:r>
            <w:r>
              <w:rPr>
                <w:rFonts w:hint="eastAsia" w:ascii="仿宋" w:hAnsi="仿宋" w:eastAsia="仿宋" w:cs="仿宋"/>
                <w:color w:val="auto"/>
                <w:kern w:val="2"/>
                <w:szCs w:val="21"/>
                <w:highlight w:val="none"/>
                <w:lang w:val="zh-CN"/>
              </w:rPr>
              <w:t>三部分</w:t>
            </w:r>
            <w:r>
              <w:rPr>
                <w:rFonts w:hint="eastAsia" w:ascii="仿宋" w:hAnsi="仿宋" w:eastAsia="仿宋" w:cs="仿宋"/>
                <w:color w:val="auto"/>
                <w:szCs w:val="21"/>
                <w:highlight w:val="none"/>
              </w:rPr>
              <w:t>组成，合编成一本投标文件。</w:t>
            </w:r>
          </w:p>
          <w:p>
            <w:pPr>
              <w:autoSpaceDE/>
              <w:autoSpaceDN/>
              <w:adjustRightInd/>
              <w:spacing w:line="360" w:lineRule="auto"/>
              <w:jc w:val="both"/>
              <w:rPr>
                <w:rFonts w:ascii="仿宋" w:hAnsi="仿宋" w:eastAsia="仿宋" w:cs="仿宋"/>
                <w:color w:val="auto"/>
                <w:szCs w:val="21"/>
                <w:highlight w:val="none"/>
              </w:rPr>
            </w:pPr>
            <w:r>
              <w:rPr>
                <w:rFonts w:hint="eastAsia" w:ascii="仿宋" w:hAnsi="仿宋" w:eastAsia="仿宋" w:cs="仿宋"/>
                <w:color w:val="auto"/>
                <w:szCs w:val="21"/>
                <w:highlight w:val="none"/>
              </w:rPr>
              <w:t>2.唱标信封一份。</w:t>
            </w:r>
          </w:p>
          <w:p>
            <w:pPr>
              <w:autoSpaceDE/>
              <w:autoSpaceDN/>
              <w:adjustRightInd/>
              <w:spacing w:line="360" w:lineRule="auto"/>
              <w:jc w:val="both"/>
              <w:rPr>
                <w:rFonts w:ascii="仿宋" w:hAnsi="仿宋" w:eastAsia="仿宋" w:cs="仿宋"/>
                <w:color w:val="auto"/>
                <w:szCs w:val="21"/>
                <w:highlight w:val="none"/>
              </w:rPr>
            </w:pPr>
            <w:r>
              <w:rPr>
                <w:rFonts w:hint="eastAsia" w:ascii="仿宋" w:hAnsi="仿宋" w:eastAsia="仿宋" w:cs="仿宋"/>
                <w:color w:val="auto"/>
                <w:szCs w:val="21"/>
                <w:highlight w:val="none"/>
              </w:rPr>
              <w:t>3.电子文件一份。</w:t>
            </w:r>
          </w:p>
          <w:p>
            <w:pPr>
              <w:autoSpaceDE/>
              <w:autoSpaceDN/>
              <w:adjustRightInd/>
              <w:spacing w:line="360" w:lineRule="auto"/>
              <w:ind w:left="210" w:leftChars="100"/>
              <w:jc w:val="both"/>
              <w:rPr>
                <w:rFonts w:ascii="仿宋" w:hAnsi="仿宋" w:eastAsia="仿宋" w:cs="仿宋"/>
                <w:color w:val="auto"/>
                <w:szCs w:val="21"/>
                <w:highlight w:val="none"/>
              </w:rPr>
            </w:pPr>
            <w:r>
              <w:rPr>
                <w:rFonts w:hint="eastAsia" w:ascii="仿宋" w:hAnsi="仿宋" w:eastAsia="仿宋" w:cs="仿宋"/>
                <w:color w:val="auto"/>
                <w:szCs w:val="21"/>
                <w:highlight w:val="none"/>
              </w:rPr>
              <w:t>投标文件一式五份，其中，一份正本，四份副本。</w:t>
            </w:r>
          </w:p>
          <w:p>
            <w:pPr>
              <w:autoSpaceDE/>
              <w:autoSpaceDN/>
              <w:adjustRightInd/>
              <w:spacing w:line="360" w:lineRule="auto"/>
              <w:ind w:left="210" w:leftChars="100"/>
              <w:jc w:val="both"/>
              <w:rPr>
                <w:rFonts w:ascii="仿宋" w:hAnsi="仿宋" w:eastAsia="仿宋" w:cs="仿宋"/>
                <w:color w:val="auto"/>
                <w:szCs w:val="21"/>
                <w:highlight w:val="none"/>
              </w:rPr>
            </w:pPr>
            <w:r>
              <w:rPr>
                <w:rFonts w:hint="eastAsia" w:ascii="仿宋" w:hAnsi="仿宋" w:eastAsia="仿宋" w:cs="仿宋"/>
                <w:color w:val="auto"/>
                <w:szCs w:val="21"/>
                <w:highlight w:val="none"/>
              </w:rPr>
              <w:t>投标文件密封包封为1包（内含投标文件正本及副本）</w:t>
            </w:r>
          </w:p>
          <w:p>
            <w:pPr>
              <w:autoSpaceDE/>
              <w:autoSpaceDN/>
              <w:adjustRightInd/>
              <w:spacing w:line="360" w:lineRule="auto"/>
              <w:ind w:left="210" w:leftChars="100"/>
              <w:jc w:val="both"/>
              <w:rPr>
                <w:rFonts w:ascii="仿宋" w:hAnsi="仿宋" w:eastAsia="仿宋" w:cs="仿宋"/>
                <w:color w:val="auto"/>
                <w:szCs w:val="21"/>
                <w:highlight w:val="none"/>
              </w:rPr>
            </w:pPr>
            <w:r>
              <w:rPr>
                <w:rFonts w:hint="eastAsia" w:ascii="仿宋" w:hAnsi="仿宋" w:eastAsia="仿宋" w:cs="仿宋"/>
                <w:color w:val="auto"/>
                <w:szCs w:val="21"/>
                <w:highlight w:val="none"/>
              </w:rPr>
              <w:t>唱标信封密封包封为1包（内含唱标信封1份，投标文件电子文件1份）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99"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12</w:t>
            </w:r>
          </w:p>
        </w:tc>
        <w:tc>
          <w:tcPr>
            <w:tcW w:w="1921"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仿宋" w:hAnsi="仿宋" w:eastAsia="仿宋" w:cs="仿宋"/>
                <w:color w:val="auto"/>
                <w:kern w:val="2"/>
                <w:szCs w:val="21"/>
                <w:highlight w:val="none"/>
                <w:lang w:val="zh-CN"/>
              </w:rPr>
            </w:pPr>
            <w:r>
              <w:rPr>
                <w:rFonts w:hint="eastAsia" w:ascii="仿宋" w:hAnsi="仿宋" w:eastAsia="仿宋" w:cs="仿宋"/>
                <w:bCs/>
                <w:color w:val="auto"/>
                <w:szCs w:val="21"/>
                <w:highlight w:val="none"/>
              </w:rPr>
              <w:t>投标文件的递交、接收和密封</w:t>
            </w:r>
          </w:p>
        </w:tc>
        <w:tc>
          <w:tcPr>
            <w:tcW w:w="6756" w:type="dxa"/>
            <w:tcBorders>
              <w:top w:val="single" w:color="auto" w:sz="4" w:space="0"/>
              <w:left w:val="single" w:color="auto" w:sz="4" w:space="0"/>
              <w:bottom w:val="single" w:color="auto" w:sz="4" w:space="0"/>
              <w:right w:val="double" w:color="auto" w:sz="4" w:space="0"/>
            </w:tcBorders>
            <w:vAlign w:val="center"/>
          </w:tcPr>
          <w:p>
            <w:pPr>
              <w:autoSpaceDE/>
              <w:autoSpaceDN/>
              <w:adjustRightInd/>
              <w:spacing w:line="360" w:lineRule="auto"/>
              <w:jc w:val="both"/>
              <w:rPr>
                <w:rFonts w:ascii="仿宋" w:hAnsi="仿宋" w:eastAsia="仿宋" w:cs="仿宋"/>
                <w:color w:val="auto"/>
                <w:szCs w:val="21"/>
                <w:highlight w:val="none"/>
              </w:rPr>
            </w:pPr>
            <w:r>
              <w:rPr>
                <w:rFonts w:hint="eastAsia" w:ascii="仿宋" w:hAnsi="仿宋" w:eastAsia="仿宋" w:cs="仿宋"/>
                <w:color w:val="auto"/>
                <w:szCs w:val="21"/>
                <w:highlight w:val="none"/>
              </w:rPr>
              <w:t>详见《投标邀请书》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99"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13</w:t>
            </w:r>
          </w:p>
        </w:tc>
        <w:tc>
          <w:tcPr>
            <w:tcW w:w="1921"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仿宋" w:hAnsi="仿宋" w:eastAsia="仿宋" w:cs="仿宋"/>
                <w:bCs/>
                <w:color w:val="auto"/>
                <w:szCs w:val="21"/>
                <w:highlight w:val="none"/>
              </w:rPr>
            </w:pPr>
            <w:r>
              <w:rPr>
                <w:rFonts w:hint="eastAsia" w:ascii="仿宋" w:hAnsi="仿宋" w:eastAsia="仿宋" w:cs="仿宋"/>
                <w:bCs/>
                <w:color w:val="auto"/>
                <w:szCs w:val="21"/>
                <w:highlight w:val="none"/>
              </w:rPr>
              <w:t>开标时间、地点</w:t>
            </w:r>
          </w:p>
        </w:tc>
        <w:tc>
          <w:tcPr>
            <w:tcW w:w="6756" w:type="dxa"/>
            <w:tcBorders>
              <w:top w:val="single" w:color="auto" w:sz="4" w:space="0"/>
              <w:left w:val="single" w:color="auto" w:sz="4" w:space="0"/>
              <w:bottom w:val="single" w:color="auto" w:sz="4" w:space="0"/>
              <w:right w:val="double" w:color="auto" w:sz="4" w:space="0"/>
            </w:tcBorders>
            <w:vAlign w:val="center"/>
          </w:tcPr>
          <w:p>
            <w:pPr>
              <w:autoSpaceDE/>
              <w:autoSpaceDN/>
              <w:adjustRightInd/>
              <w:spacing w:line="360" w:lineRule="auto"/>
              <w:jc w:val="both"/>
              <w:rPr>
                <w:rFonts w:ascii="仿宋" w:hAnsi="仿宋" w:eastAsia="仿宋" w:cs="仿宋"/>
                <w:color w:val="auto"/>
                <w:szCs w:val="21"/>
                <w:highlight w:val="none"/>
              </w:rPr>
            </w:pPr>
            <w:r>
              <w:rPr>
                <w:rFonts w:hint="eastAsia" w:ascii="仿宋" w:hAnsi="仿宋" w:eastAsia="仿宋" w:cs="仿宋"/>
                <w:color w:val="auto"/>
                <w:szCs w:val="21"/>
                <w:highlight w:val="none"/>
              </w:rPr>
              <w:t>详见《投标邀请书》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99"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14</w:t>
            </w:r>
          </w:p>
        </w:tc>
        <w:tc>
          <w:tcPr>
            <w:tcW w:w="1921"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仿宋" w:hAnsi="仿宋" w:eastAsia="仿宋" w:cs="仿宋"/>
                <w:bCs/>
                <w:color w:val="auto"/>
                <w:szCs w:val="21"/>
                <w:highlight w:val="none"/>
              </w:rPr>
            </w:pPr>
            <w:r>
              <w:rPr>
                <w:rFonts w:hint="eastAsia" w:ascii="仿宋" w:hAnsi="仿宋" w:eastAsia="仿宋" w:cs="仿宋"/>
                <w:bCs/>
                <w:color w:val="auto"/>
                <w:szCs w:val="21"/>
                <w:highlight w:val="none"/>
              </w:rPr>
              <w:t>评标委员会</w:t>
            </w:r>
          </w:p>
        </w:tc>
        <w:tc>
          <w:tcPr>
            <w:tcW w:w="6756"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评标委员会成员共</w:t>
            </w:r>
            <w:r>
              <w:rPr>
                <w:rFonts w:hint="eastAsia" w:ascii="仿宋" w:hAnsi="仿宋" w:eastAsia="仿宋" w:cs="仿宋"/>
                <w:color w:val="auto"/>
                <w:szCs w:val="21"/>
                <w:highlight w:val="none"/>
                <w:u w:val="single"/>
              </w:rPr>
              <w:t>5</w:t>
            </w:r>
            <w:r>
              <w:rPr>
                <w:rFonts w:hint="eastAsia" w:ascii="仿宋" w:hAnsi="仿宋" w:eastAsia="仿宋" w:cs="仿宋"/>
                <w:color w:val="auto"/>
                <w:szCs w:val="21"/>
                <w:highlight w:val="none"/>
              </w:rPr>
              <w:t>人：</w:t>
            </w:r>
            <w:r>
              <w:rPr>
                <w:rFonts w:hint="eastAsia" w:ascii="仿宋" w:hAnsi="仿宋" w:eastAsia="仿宋" w:cs="仿宋"/>
                <w:color w:val="auto"/>
                <w:kern w:val="2"/>
                <w:szCs w:val="21"/>
                <w:highlight w:val="none"/>
                <w:lang w:val="zh-CN"/>
              </w:rPr>
              <w:t>其中采购人代表1名；技术、经济等方面的专家</w:t>
            </w:r>
            <w:r>
              <w:rPr>
                <w:rFonts w:hint="eastAsia" w:ascii="仿宋" w:hAnsi="仿宋" w:eastAsia="仿宋" w:cs="仿宋"/>
                <w:color w:val="auto"/>
                <w:szCs w:val="21"/>
                <w:highlight w:val="none"/>
                <w:u w:val="single"/>
              </w:rPr>
              <w:t>4</w:t>
            </w:r>
            <w:r>
              <w:rPr>
                <w:rFonts w:hint="eastAsia" w:ascii="仿宋" w:hAnsi="仿宋" w:eastAsia="仿宋" w:cs="仿宋"/>
                <w:color w:val="auto"/>
                <w:szCs w:val="21"/>
                <w:highlight w:val="none"/>
              </w:rPr>
              <w:t>人</w:t>
            </w:r>
            <w:r>
              <w:rPr>
                <w:rFonts w:hint="eastAsia" w:ascii="仿宋" w:hAnsi="仿宋" w:eastAsia="仿宋" w:cs="仿宋"/>
                <w:color w:val="auto"/>
                <w:kern w:val="2"/>
                <w:szCs w:val="21"/>
                <w:highlight w:val="none"/>
                <w:lang w:val="zh-CN"/>
              </w:rPr>
              <w:t>由</w:t>
            </w:r>
            <w:r>
              <w:rPr>
                <w:rFonts w:hint="eastAsia" w:ascii="仿宋" w:hAnsi="仿宋" w:eastAsia="仿宋" w:cs="仿宋"/>
                <w:color w:val="auto"/>
                <w:kern w:val="2"/>
                <w:szCs w:val="21"/>
                <w:highlight w:val="none"/>
              </w:rPr>
              <w:t>财政部</w:t>
            </w:r>
            <w:r>
              <w:rPr>
                <w:rFonts w:hint="eastAsia" w:ascii="仿宋" w:hAnsi="仿宋" w:eastAsia="仿宋" w:cs="仿宋"/>
                <w:color w:val="auto"/>
                <w:kern w:val="2"/>
                <w:szCs w:val="21"/>
                <w:highlight w:val="none"/>
                <w:lang w:val="zh-CN"/>
              </w:rPr>
              <w:t>政府采购专家库中</w:t>
            </w:r>
            <w:r>
              <w:rPr>
                <w:rFonts w:hint="eastAsia" w:ascii="仿宋" w:hAnsi="仿宋" w:eastAsia="仿宋" w:cs="仿宋"/>
                <w:color w:val="auto"/>
                <w:szCs w:val="21"/>
                <w:highlight w:val="none"/>
              </w:rPr>
              <w:t>随机抽取确定。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99"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15</w:t>
            </w:r>
          </w:p>
        </w:tc>
        <w:tc>
          <w:tcPr>
            <w:tcW w:w="1921"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仿宋" w:hAnsi="仿宋" w:eastAsia="仿宋" w:cs="仿宋"/>
                <w:bCs/>
                <w:color w:val="auto"/>
                <w:szCs w:val="21"/>
                <w:highlight w:val="none"/>
              </w:rPr>
            </w:pPr>
            <w:r>
              <w:rPr>
                <w:rFonts w:hint="eastAsia" w:ascii="仿宋" w:hAnsi="仿宋" w:eastAsia="仿宋" w:cs="仿宋"/>
                <w:bCs/>
                <w:color w:val="auto"/>
                <w:szCs w:val="21"/>
                <w:highlight w:val="none"/>
              </w:rPr>
              <w:t>评标方法</w:t>
            </w:r>
          </w:p>
        </w:tc>
        <w:tc>
          <w:tcPr>
            <w:tcW w:w="6756"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综合评分法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99"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16</w:t>
            </w:r>
          </w:p>
        </w:tc>
        <w:tc>
          <w:tcPr>
            <w:tcW w:w="1921"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仿宋" w:hAnsi="仿宋" w:eastAsia="仿宋" w:cs="仿宋"/>
                <w:color w:val="auto"/>
                <w:szCs w:val="21"/>
                <w:highlight w:val="none"/>
              </w:rPr>
            </w:pPr>
            <w:r>
              <w:rPr>
                <w:rFonts w:hint="eastAsia" w:ascii="仿宋" w:hAnsi="仿宋" w:eastAsia="仿宋" w:cs="仿宋"/>
                <w:color w:val="auto"/>
                <w:szCs w:val="21"/>
                <w:highlight w:val="none"/>
              </w:rPr>
              <w:t>信息发布媒体</w:t>
            </w:r>
          </w:p>
        </w:tc>
        <w:tc>
          <w:tcPr>
            <w:tcW w:w="6756" w:type="dxa"/>
            <w:tcBorders>
              <w:top w:val="single" w:color="auto" w:sz="4" w:space="0"/>
              <w:left w:val="single" w:color="auto" w:sz="4" w:space="0"/>
              <w:bottom w:val="single" w:color="auto" w:sz="4" w:space="0"/>
              <w:right w:val="double" w:color="auto" w:sz="4" w:space="0"/>
            </w:tcBorders>
            <w:vAlign w:val="center"/>
          </w:tcPr>
          <w:p>
            <w:pPr>
              <w:pStyle w:val="2"/>
              <w:jc w:val="both"/>
              <w:rPr>
                <w:rFonts w:ascii="仿宋" w:hAnsi="仿宋" w:eastAsia="仿宋" w:cs="仿宋"/>
                <w:color w:val="auto"/>
                <w:szCs w:val="21"/>
                <w:highlight w:val="none"/>
              </w:rPr>
            </w:pPr>
            <w:r>
              <w:rPr>
                <w:rFonts w:hint="eastAsia" w:ascii="仿宋" w:hAnsi="仿宋" w:eastAsia="仿宋" w:cs="仿宋"/>
                <w:color w:val="auto"/>
                <w:szCs w:val="21"/>
                <w:highlight w:val="none"/>
              </w:rPr>
              <w:t>1.中国政府采购网（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仿宋" w:hAnsi="仿宋" w:eastAsia="仿宋" w:cs="仿宋"/>
                <w:color w:val="auto"/>
                <w:szCs w:val="21"/>
                <w:highlight w:val="none"/>
              </w:rPr>
              <w:t>http://www.ccgp.gov.cn</w:t>
            </w:r>
            <w:r>
              <w:rPr>
                <w:rFonts w:hint="eastAsia" w:ascii="仿宋" w:hAnsi="仿宋" w:eastAsia="仿宋" w:cs="仿宋"/>
                <w:color w:val="auto"/>
                <w:szCs w:val="21"/>
                <w:highlight w:val="none"/>
              </w:rPr>
              <w:fldChar w:fldCharType="end"/>
            </w:r>
            <w:r>
              <w:rPr>
                <w:rFonts w:hint="eastAsia" w:ascii="仿宋" w:hAnsi="仿宋" w:eastAsia="仿宋" w:cs="仿宋"/>
                <w:color w:val="auto"/>
                <w:szCs w:val="21"/>
                <w:highlight w:val="none"/>
              </w:rPr>
              <w:t>）；</w:t>
            </w:r>
          </w:p>
          <w:p>
            <w:pPr>
              <w:pStyle w:val="2"/>
              <w:jc w:val="both"/>
              <w:rPr>
                <w:rFonts w:ascii="仿宋" w:hAnsi="仿宋" w:eastAsia="仿宋" w:cs="仿宋"/>
                <w:color w:val="auto"/>
                <w:highlight w:val="none"/>
              </w:rPr>
            </w:pPr>
            <w:r>
              <w:rPr>
                <w:rFonts w:hint="eastAsia" w:ascii="仿宋" w:hAnsi="仿宋" w:eastAsia="仿宋" w:cs="仿宋"/>
                <w:color w:val="auto"/>
                <w:szCs w:val="21"/>
                <w:highlight w:val="none"/>
              </w:rPr>
              <w:t>2.广东远东招标代理有限公司网（http://www.gdydzb.com）</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99"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17</w:t>
            </w:r>
          </w:p>
        </w:tc>
        <w:tc>
          <w:tcPr>
            <w:tcW w:w="1921"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仿宋" w:hAnsi="仿宋" w:eastAsia="仿宋" w:cs="仿宋"/>
                <w:bCs/>
                <w:color w:val="auto"/>
                <w:szCs w:val="21"/>
                <w:highlight w:val="none"/>
              </w:rPr>
            </w:pPr>
            <w:r>
              <w:rPr>
                <w:rFonts w:hint="eastAsia" w:ascii="仿宋" w:hAnsi="仿宋" w:eastAsia="仿宋" w:cs="仿宋"/>
                <w:bCs/>
                <w:color w:val="auto"/>
                <w:szCs w:val="21"/>
                <w:highlight w:val="none"/>
              </w:rPr>
              <w:t>履约保证金</w:t>
            </w:r>
          </w:p>
        </w:tc>
        <w:tc>
          <w:tcPr>
            <w:tcW w:w="6756"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仿宋" w:hAnsi="仿宋" w:eastAsia="仿宋" w:cs="仿宋"/>
                <w:color w:val="auto"/>
                <w:szCs w:val="21"/>
                <w:highlight w:val="none"/>
              </w:rPr>
            </w:pPr>
            <w:r>
              <w:rPr>
                <w:rFonts w:hint="eastAsia" w:ascii="仿宋" w:hAnsi="仿宋" w:eastAsia="仿宋" w:cs="仿宋"/>
                <w:color w:val="auto"/>
                <w:highlight w:val="none"/>
              </w:rPr>
              <w:t>中标人须提交合同总额5%的银行保函</w:t>
            </w:r>
            <w:r>
              <w:rPr>
                <w:rFonts w:ascii="仿宋" w:hAnsi="仿宋" w:eastAsia="仿宋" w:cs="仿宋"/>
                <w:color w:val="auto"/>
                <w:highlight w:val="none"/>
              </w:rPr>
              <w:t>（项目完成后且中标人无违约行为，甲方退还该</w:t>
            </w:r>
            <w:r>
              <w:rPr>
                <w:rFonts w:hint="eastAsia" w:ascii="仿宋" w:hAnsi="仿宋" w:eastAsia="仿宋" w:cs="仿宋"/>
                <w:color w:val="auto"/>
                <w:highlight w:val="none"/>
              </w:rPr>
              <w:t>银行</w:t>
            </w:r>
            <w:r>
              <w:rPr>
                <w:rFonts w:ascii="仿宋" w:hAnsi="仿宋" w:eastAsia="仿宋" w:cs="仿宋"/>
                <w:color w:val="auto"/>
                <w:highlight w:val="none"/>
              </w:rPr>
              <w:t>保函）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9"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18</w:t>
            </w:r>
          </w:p>
        </w:tc>
        <w:tc>
          <w:tcPr>
            <w:tcW w:w="1921"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仿宋" w:hAnsi="仿宋" w:eastAsia="仿宋" w:cs="仿宋"/>
                <w:bCs/>
                <w:color w:val="auto"/>
                <w:szCs w:val="21"/>
                <w:highlight w:val="none"/>
              </w:rPr>
            </w:pPr>
            <w:r>
              <w:rPr>
                <w:rFonts w:hint="eastAsia" w:ascii="仿宋" w:hAnsi="仿宋" w:eastAsia="仿宋" w:cs="仿宋"/>
                <w:bCs/>
                <w:color w:val="auto"/>
                <w:szCs w:val="21"/>
                <w:highlight w:val="none"/>
              </w:rPr>
              <w:t>招标代理服务费</w:t>
            </w:r>
          </w:p>
        </w:tc>
        <w:tc>
          <w:tcPr>
            <w:tcW w:w="6756"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仿宋" w:hAnsi="仿宋" w:eastAsia="仿宋" w:cs="仿宋"/>
                <w:bCs/>
                <w:color w:val="auto"/>
                <w:szCs w:val="21"/>
                <w:highlight w:val="none"/>
              </w:rPr>
            </w:pPr>
            <w:r>
              <w:rPr>
                <w:rFonts w:hint="eastAsia" w:ascii="仿宋" w:hAnsi="仿宋" w:eastAsia="仿宋" w:cs="仿宋"/>
                <w:color w:val="auto"/>
                <w:szCs w:val="21"/>
                <w:highlight w:val="none"/>
              </w:rPr>
              <w:t>中标服务费由中标人在领取《中标通知书》原件前向采购代理机构一次性支付，按照国家计委颁布的«招标代理服务收费管理暂行办法»（计价格[2002]1980号）和国家发改委办公厅颁布的«国家发改委办公厅关于招标代理服务收费有关问题的通知»（发改办价格[2003]857号）的规定下浮2</w:t>
            </w:r>
            <w:r>
              <w:rPr>
                <w:rFonts w:ascii="仿宋" w:hAnsi="仿宋" w:eastAsia="仿宋" w:cs="仿宋"/>
                <w:color w:val="auto"/>
                <w:szCs w:val="21"/>
                <w:highlight w:val="none"/>
              </w:rPr>
              <w:t>0%</w:t>
            </w:r>
            <w:r>
              <w:rPr>
                <w:rFonts w:hint="eastAsia" w:ascii="仿宋" w:hAnsi="仿宋" w:eastAsia="仿宋" w:cs="仿宋"/>
                <w:color w:val="auto"/>
                <w:szCs w:val="21"/>
                <w:highlight w:val="none"/>
              </w:rPr>
              <w:t>收取中标服务费。</w:t>
            </w:r>
          </w:p>
        </w:tc>
      </w:tr>
    </w:tbl>
    <w:p>
      <w:pPr>
        <w:tabs>
          <w:tab w:val="left" w:pos="567"/>
        </w:tabs>
        <w:spacing w:line="312" w:lineRule="auto"/>
        <w:ind w:left="567" w:hanging="567"/>
        <w:jc w:val="both"/>
        <w:rPr>
          <w:rFonts w:hAnsi="宋体" w:cs="宋体"/>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pPr>
        <w:pStyle w:val="3"/>
        <w:keepNext/>
        <w:keepLines/>
        <w:tabs>
          <w:tab w:val="left" w:pos="1134"/>
        </w:tabs>
        <w:spacing w:line="360" w:lineRule="auto"/>
        <w:jc w:val="center"/>
        <w:rPr>
          <w:rFonts w:hAnsi="宋体" w:cs="宋体"/>
          <w:b/>
          <w:bCs/>
          <w:color w:val="auto"/>
          <w:kern w:val="44"/>
          <w:highlight w:val="none"/>
          <w:lang w:val="zh-CN"/>
        </w:rPr>
      </w:pPr>
      <w:r>
        <w:rPr>
          <w:rFonts w:hint="eastAsia" w:hAnsi="宋体" w:cs="宋体"/>
          <w:b/>
          <w:bCs/>
          <w:color w:val="auto"/>
          <w:kern w:val="44"/>
          <w:highlight w:val="none"/>
          <w:lang w:val="zh-CN"/>
        </w:rPr>
        <w:br w:type="page"/>
      </w:r>
      <w:r>
        <w:rPr>
          <w:rFonts w:hint="eastAsia" w:hAnsi="宋体" w:cs="宋体"/>
          <w:b/>
          <w:bCs/>
          <w:color w:val="auto"/>
          <w:kern w:val="44"/>
          <w:highlight w:val="none"/>
          <w:lang w:val="zh-CN"/>
        </w:rPr>
        <w:t>二、投标须知</w:t>
      </w:r>
    </w:p>
    <w:p>
      <w:pPr>
        <w:pStyle w:val="5"/>
        <w:spacing w:line="360" w:lineRule="auto"/>
        <w:rPr>
          <w:rFonts w:hAnsi="宋体" w:cs="宋体"/>
          <w:color w:val="auto"/>
          <w:kern w:val="44"/>
          <w:szCs w:val="21"/>
          <w:highlight w:val="none"/>
          <w:lang w:val="zh-CN"/>
        </w:rPr>
      </w:pPr>
      <w:bookmarkStart w:id="0" w:name="_Toc413396489"/>
      <w:r>
        <w:rPr>
          <w:rFonts w:hint="eastAsia" w:hAnsi="宋体" w:cs="宋体"/>
          <w:color w:val="auto"/>
          <w:kern w:val="44"/>
          <w:szCs w:val="21"/>
          <w:highlight w:val="none"/>
          <w:lang w:val="zh-CN"/>
        </w:rPr>
        <w:t>（一）总则</w:t>
      </w:r>
      <w:bookmarkEnd w:id="0"/>
    </w:p>
    <w:p>
      <w:pPr>
        <w:tabs>
          <w:tab w:val="left" w:pos="567"/>
        </w:tabs>
        <w:spacing w:line="360" w:lineRule="auto"/>
        <w:ind w:left="567" w:hanging="567"/>
        <w:jc w:val="both"/>
        <w:rPr>
          <w:rFonts w:ascii="仿宋" w:hAnsi="仿宋" w:eastAsia="仿宋" w:cs="仿宋"/>
          <w:color w:val="auto"/>
          <w:szCs w:val="21"/>
          <w:highlight w:val="none"/>
        </w:rPr>
      </w:pP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1</w:t>
      </w: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Pr>
          <w:rFonts w:hint="eastAsia" w:ascii="仿宋" w:hAnsi="仿宋" w:eastAsia="仿宋" w:cs="仿宋"/>
          <w:color w:val="auto"/>
          <w:kern w:val="2"/>
          <w:szCs w:val="21"/>
          <w:highlight w:val="none"/>
          <w:lang w:val="zh-CN"/>
        </w:rPr>
        <w:t>资金来源：详见</w:t>
      </w:r>
      <w:r>
        <w:rPr>
          <w:rFonts w:hint="eastAsia" w:ascii="仿宋" w:hAnsi="仿宋" w:eastAsia="仿宋" w:cs="仿宋"/>
          <w:color w:val="auto"/>
          <w:szCs w:val="21"/>
          <w:highlight w:val="none"/>
        </w:rPr>
        <w:t>《投标须知前附表》。</w:t>
      </w:r>
    </w:p>
    <w:p>
      <w:pPr>
        <w:tabs>
          <w:tab w:val="left" w:pos="567"/>
        </w:tabs>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2    </w:t>
      </w:r>
      <w:r>
        <w:rPr>
          <w:rFonts w:hint="eastAsia" w:ascii="仿宋" w:hAnsi="仿宋" w:eastAsia="仿宋" w:cs="仿宋"/>
          <w:color w:val="auto"/>
          <w:kern w:val="2"/>
          <w:szCs w:val="21"/>
          <w:highlight w:val="none"/>
          <w:lang w:val="zh-CN"/>
        </w:rPr>
        <w:t>招标适用范围：本招标文件仅适用于本次投标邀请中所叙述的货物及服务采购。本次招标采用一次报价一次评标定标的方式，投标人的报价必须固定，且只能作一个最有竞争力的报价和方案，否则将作无效投标处理。</w:t>
      </w:r>
    </w:p>
    <w:p>
      <w:pPr>
        <w:tabs>
          <w:tab w:val="left" w:pos="567"/>
        </w:tabs>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3     招标适用的法律：本次招标适用的主要法律法规为《中华人民共和国政府采购法》、《中华人民共和国政府采购法实施条例》（国务院第658号）、《政府采购货物和服务招标投标管理办法》（财政部令第87号）及国家和广东省政府采购相关法规。</w:t>
      </w:r>
    </w:p>
    <w:p>
      <w:pPr>
        <w:tabs>
          <w:tab w:val="left" w:pos="567"/>
        </w:tabs>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4</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合格的投标人</w:t>
      </w:r>
    </w:p>
    <w:p>
      <w:pPr>
        <w:tabs>
          <w:tab w:val="left" w:pos="567"/>
        </w:tabs>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4.1</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符合招标文件规定的资格要求及特殊条件要求，合格投标人的条件详见《投标须知前附表》的“合格的投标人”。</w:t>
      </w:r>
    </w:p>
    <w:p>
      <w:pPr>
        <w:tabs>
          <w:tab w:val="left" w:pos="567"/>
          <w:tab w:val="left" w:pos="720"/>
          <w:tab w:val="left" w:pos="3460"/>
        </w:tabs>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4.2</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投标人必须按《中华人民共和国政府采购法》及国家和地方政府采购相关法规的规定进行投标。</w:t>
      </w:r>
    </w:p>
    <w:p>
      <w:pPr>
        <w:tabs>
          <w:tab w:val="left" w:pos="1260"/>
        </w:tabs>
        <w:autoSpaceDE/>
        <w:autoSpaceDN/>
        <w:adjustRightInd/>
        <w:spacing w:line="360" w:lineRule="auto"/>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4.3  不同的投标人之间有下列情形之一的，不接受作为参与同一采购项目竞争的供应商：</w:t>
      </w:r>
    </w:p>
    <w:p>
      <w:pPr>
        <w:tabs>
          <w:tab w:val="left" w:pos="567"/>
        </w:tabs>
        <w:spacing w:line="360" w:lineRule="auto"/>
        <w:ind w:left="504" w:leftChars="220" w:hanging="42" w:hangingChars="2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4.3.1单位负责人为同一人或者存在直接控股、管理关系的不同供应商彼此存在投资与被投资关系的；</w:t>
      </w:r>
    </w:p>
    <w:p>
      <w:pPr>
        <w:tabs>
          <w:tab w:val="left" w:pos="567"/>
        </w:tabs>
        <w:spacing w:line="360" w:lineRule="auto"/>
        <w:ind w:left="504" w:leftChars="220" w:hanging="42" w:hangingChars="2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4.3.2为采购项目提供整体设计、规范编制或者项目管理、监理、检测等服务的供应商。</w:t>
      </w:r>
    </w:p>
    <w:p>
      <w:pPr>
        <w:tabs>
          <w:tab w:val="left" w:pos="567"/>
        </w:tabs>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4.4  本项目不允许联合体投标。</w:t>
      </w:r>
    </w:p>
    <w:p>
      <w:pPr>
        <w:tabs>
          <w:tab w:val="left" w:pos="567"/>
        </w:tabs>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5</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纪律与保密事项</w:t>
      </w:r>
    </w:p>
    <w:p>
      <w:pPr>
        <w:autoSpaceDE/>
        <w:autoSpaceDN/>
        <w:adjustRightInd/>
        <w:spacing w:line="360" w:lineRule="auto"/>
        <w:ind w:left="525" w:hanging="525" w:hangingChars="25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5.1  投标人不得相互串通投标报价，或以不正当的手段妨碍、排挤其他投标人，扰乱招标市场，破坏公平竞争原则，不得损害采购人或其他投标人的合法权益，投标人不得以向采购人、评标委员会成员行贿或者采取其他不正当手段谋取中标。</w:t>
      </w:r>
    </w:p>
    <w:p>
      <w:pPr>
        <w:autoSpaceDE/>
        <w:autoSpaceDN/>
        <w:adjustRightInd/>
        <w:spacing w:line="360" w:lineRule="auto"/>
        <w:ind w:left="525" w:hanging="525" w:hangingChars="25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5.2  获得本招标文件者，应对文件进行保密，不得用作本次投标以外的任何用途。若有要求，开标后，投标人应归还招标文件中保密的文件和资料。</w:t>
      </w:r>
    </w:p>
    <w:p>
      <w:pPr>
        <w:tabs>
          <w:tab w:val="left" w:pos="720"/>
          <w:tab w:val="left" w:pos="3460"/>
        </w:tabs>
        <w:autoSpaceDE/>
        <w:autoSpaceDN/>
        <w:adjustRightInd/>
        <w:spacing w:line="360" w:lineRule="auto"/>
        <w:ind w:left="525" w:hanging="525" w:hangingChars="25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5.3  由采购人向投标人提供的图纸、详细资料、样品、模型、模件和所有其他资料，被视为保密资料，仅被用于它所规定的用途。除非得到采购人的同意，不能向任何第三方透露。开标结束后，应采购人要求，投标人应归还所有从采购人处获得的保密资料。</w:t>
      </w:r>
    </w:p>
    <w:p>
      <w:pPr>
        <w:tabs>
          <w:tab w:val="left" w:pos="720"/>
          <w:tab w:val="left" w:pos="3460"/>
        </w:tabs>
        <w:autoSpaceDE/>
        <w:autoSpaceDN/>
        <w:adjustRightInd/>
        <w:spacing w:line="360" w:lineRule="auto"/>
        <w:ind w:left="525" w:hanging="525" w:hangingChars="25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5.4  除投标人被要求对投标文件进行澄清外，在确定中标供应商之前，投标人不得与采购人就投标价格、投标方案等实质性内容进行谈判，也不得私下接触评标委员会成员。</w:t>
      </w:r>
    </w:p>
    <w:p>
      <w:pPr>
        <w:autoSpaceDE/>
        <w:autoSpaceDN/>
        <w:adjustRightInd/>
        <w:spacing w:line="360" w:lineRule="auto"/>
        <w:ind w:left="525" w:hanging="525" w:hangingChars="25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5.5  从递交投标文件截止之日起至授予合同期间，在投标文件的审查、澄清、比较和评价阶段，投标人试图对评标委员会和采购代理机构施加任何影响或对采购人的比较及授予合同的决定产生影响，都可能导致其投标文件被拒绝。</w:t>
      </w:r>
    </w:p>
    <w:p>
      <w:pPr>
        <w:tabs>
          <w:tab w:val="left" w:pos="567"/>
        </w:tabs>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6    其它说明</w:t>
      </w:r>
    </w:p>
    <w:p>
      <w:pPr>
        <w:tabs>
          <w:tab w:val="left" w:pos="567"/>
        </w:tabs>
        <w:spacing w:line="360" w:lineRule="auto"/>
        <w:ind w:left="567" w:hanging="567" w:hangingChars="27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6.1  投标费用：不论投标结果如何，投标人应承担自身因投标文件编制、递交及其他参加本招标活动所涉及的一切费用，采购人对上述费用不负任何责任。</w:t>
      </w:r>
    </w:p>
    <w:p>
      <w:pPr>
        <w:tabs>
          <w:tab w:val="left" w:pos="567"/>
          <w:tab w:val="left" w:pos="927"/>
        </w:tabs>
        <w:spacing w:line="360" w:lineRule="auto"/>
        <w:ind w:left="630" w:hanging="630" w:hangingChars="30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6.2  踏勘现场</w:t>
      </w:r>
      <w:r>
        <w:rPr>
          <w:rFonts w:hint="eastAsia" w:ascii="仿宋" w:hAnsi="仿宋" w:eastAsia="仿宋" w:cs="仿宋"/>
          <w:color w:val="auto"/>
          <w:highlight w:val="none"/>
        </w:rPr>
        <w:t>（本项目不适用）</w:t>
      </w:r>
    </w:p>
    <w:p>
      <w:pPr>
        <w:spacing w:line="360" w:lineRule="auto"/>
        <w:ind w:left="462" w:leftChars="220" w:firstLine="315" w:firstLineChars="150"/>
        <w:rPr>
          <w:rFonts w:hAnsi="宋体" w:cs="宋体"/>
          <w:color w:val="auto"/>
          <w:kern w:val="2"/>
          <w:szCs w:val="21"/>
          <w:highlight w:val="none"/>
          <w:lang w:val="zh-CN"/>
        </w:rPr>
      </w:pPr>
    </w:p>
    <w:p>
      <w:pPr>
        <w:pStyle w:val="5"/>
        <w:spacing w:line="360" w:lineRule="auto"/>
        <w:rPr>
          <w:rFonts w:hAnsi="宋体" w:cs="宋体"/>
          <w:color w:val="auto"/>
          <w:kern w:val="44"/>
          <w:szCs w:val="21"/>
          <w:highlight w:val="none"/>
          <w:lang w:val="zh-CN"/>
        </w:rPr>
      </w:pPr>
      <w:bookmarkStart w:id="1" w:name="_Toc413396490"/>
      <w:r>
        <w:rPr>
          <w:rFonts w:hint="eastAsia" w:hAnsi="宋体" w:cs="宋体"/>
          <w:color w:val="auto"/>
          <w:kern w:val="44"/>
          <w:szCs w:val="21"/>
          <w:highlight w:val="none"/>
          <w:lang w:val="zh-CN"/>
        </w:rPr>
        <w:t>（二）招标文件</w:t>
      </w:r>
      <w:bookmarkEnd w:id="1"/>
    </w:p>
    <w:p>
      <w:pPr>
        <w:tabs>
          <w:tab w:val="left" w:pos="567"/>
        </w:tabs>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7</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招标文件的构成</w:t>
      </w:r>
    </w:p>
    <w:p>
      <w:pPr>
        <w:tabs>
          <w:tab w:val="left" w:pos="567"/>
        </w:tabs>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7.1</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招标文件包括：</w:t>
      </w:r>
    </w:p>
    <w:p>
      <w:pPr>
        <w:tabs>
          <w:tab w:val="left" w:pos="1890"/>
        </w:tabs>
        <w:spacing w:line="360" w:lineRule="auto"/>
        <w:ind w:left="1890" w:hanging="105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第一篇</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投标邀请书</w:t>
      </w:r>
    </w:p>
    <w:p>
      <w:pPr>
        <w:spacing w:line="360" w:lineRule="auto"/>
        <w:ind w:left="1890" w:hanging="105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第二篇</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投标人须知</w:t>
      </w:r>
    </w:p>
    <w:p>
      <w:pPr>
        <w:spacing w:line="360" w:lineRule="auto"/>
        <w:ind w:left="1890" w:hanging="105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第三篇</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合同条款格式</w:t>
      </w:r>
    </w:p>
    <w:p>
      <w:pPr>
        <w:spacing w:line="360" w:lineRule="auto"/>
        <w:ind w:left="1890" w:hanging="105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第四篇</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用户需求书</w:t>
      </w:r>
    </w:p>
    <w:p>
      <w:pPr>
        <w:spacing w:line="360" w:lineRule="auto"/>
        <w:ind w:left="1890" w:hanging="105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第五篇</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投标文件格式</w:t>
      </w:r>
    </w:p>
    <w:p>
      <w:pPr>
        <w:spacing w:line="360" w:lineRule="auto"/>
        <w:ind w:left="1890" w:hanging="105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附件一：  评标工作大纲</w:t>
      </w:r>
    </w:p>
    <w:p>
      <w:pPr>
        <w:spacing w:line="360" w:lineRule="auto"/>
        <w:ind w:left="1890" w:hanging="105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附件二：  中标服务费收费标准</w:t>
      </w:r>
    </w:p>
    <w:p>
      <w:pPr>
        <w:spacing w:line="360" w:lineRule="auto"/>
        <w:ind w:left="420" w:hanging="420" w:hangingChars="20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7.2</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投标人应认真阅读、并充分理解招标文件的全部内容（包括所有的补充、修改内容、重要事项、格式、条款和技术规范、参数及要求等）。投标人没有按照招标文件要求提交全部资料，或者投标没有对招标文件在各方面都作出实质性响应是投标人的风险，有可能导致其投标被拒绝，或被认定为无效投标或被确定为投标无效。</w:t>
      </w:r>
    </w:p>
    <w:p>
      <w:pPr>
        <w:spacing w:line="360" w:lineRule="auto"/>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7.3 本招标文件使用的词语有如下定义：</w:t>
      </w:r>
    </w:p>
    <w:p>
      <w:pPr>
        <w:numPr>
          <w:ilvl w:val="0"/>
          <w:numId w:val="7"/>
        </w:numPr>
        <w:tabs>
          <w:tab w:val="left" w:pos="993"/>
        </w:tabs>
        <w:spacing w:line="360" w:lineRule="auto"/>
        <w:ind w:left="1134" w:hanging="708"/>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“采购人”系指</w:t>
      </w:r>
      <w:r>
        <w:rPr>
          <w:rFonts w:hint="eastAsia" w:ascii="仿宋" w:hAnsi="仿宋" w:eastAsia="仿宋" w:cs="仿宋"/>
          <w:bCs/>
          <w:color w:val="auto"/>
          <w:szCs w:val="21"/>
          <w:highlight w:val="none"/>
          <w:u w:val="single"/>
          <w:lang w:val="zh-CN"/>
        </w:rPr>
        <w:t>广东省气象局</w:t>
      </w:r>
      <w:r>
        <w:rPr>
          <w:rFonts w:hint="eastAsia" w:ascii="仿宋" w:hAnsi="仿宋" w:eastAsia="仿宋" w:cs="仿宋"/>
          <w:color w:val="auto"/>
          <w:kern w:val="2"/>
          <w:szCs w:val="21"/>
          <w:highlight w:val="none"/>
          <w:lang w:val="zh-CN"/>
        </w:rPr>
        <w:t>。</w:t>
      </w:r>
    </w:p>
    <w:p>
      <w:pPr>
        <w:numPr>
          <w:ilvl w:val="0"/>
          <w:numId w:val="7"/>
        </w:numPr>
        <w:tabs>
          <w:tab w:val="left" w:pos="993"/>
        </w:tabs>
        <w:spacing w:line="360" w:lineRule="auto"/>
        <w:ind w:left="1134" w:hanging="708"/>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“采购代理机构”系指广东远东招标代理有限公司。</w:t>
      </w:r>
    </w:p>
    <w:p>
      <w:pPr>
        <w:numPr>
          <w:ilvl w:val="0"/>
          <w:numId w:val="7"/>
        </w:numPr>
        <w:tabs>
          <w:tab w:val="left" w:pos="993"/>
        </w:tabs>
        <w:spacing w:line="360" w:lineRule="auto"/>
        <w:ind w:left="1134" w:hanging="708"/>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“投标人”系指响应招标、参加投标竞争的具有独立民事责任的法人、其他组织或者自然人，并取得合法工商执照或者其他法人（负责人）证书。</w:t>
      </w:r>
    </w:p>
    <w:p>
      <w:pPr>
        <w:numPr>
          <w:ilvl w:val="0"/>
          <w:numId w:val="7"/>
        </w:numPr>
        <w:tabs>
          <w:tab w:val="left" w:pos="993"/>
        </w:tabs>
        <w:spacing w:line="360" w:lineRule="auto"/>
        <w:ind w:left="1134" w:hanging="708"/>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“中标人”系指由评标委员会评审推荐，经法定程序确定获得本项目中标资格的投标人。</w:t>
      </w:r>
    </w:p>
    <w:p>
      <w:pPr>
        <w:numPr>
          <w:ilvl w:val="0"/>
          <w:numId w:val="7"/>
        </w:numPr>
        <w:tabs>
          <w:tab w:val="left" w:pos="993"/>
        </w:tabs>
        <w:spacing w:line="360" w:lineRule="auto"/>
        <w:ind w:left="1134" w:hanging="708"/>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“评标委员会” 系指依法组建，负责本次招标的评标工作机构。</w:t>
      </w:r>
    </w:p>
    <w:p>
      <w:pPr>
        <w:numPr>
          <w:ilvl w:val="0"/>
          <w:numId w:val="7"/>
        </w:numPr>
        <w:tabs>
          <w:tab w:val="left" w:pos="993"/>
        </w:tabs>
        <w:spacing w:line="360" w:lineRule="auto"/>
        <w:ind w:left="1134" w:hanging="708"/>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“甲方”系指在合同条款中指明的采购人。</w:t>
      </w:r>
    </w:p>
    <w:p>
      <w:pPr>
        <w:numPr>
          <w:ilvl w:val="0"/>
          <w:numId w:val="7"/>
        </w:numPr>
        <w:tabs>
          <w:tab w:val="left" w:pos="993"/>
        </w:tabs>
        <w:spacing w:line="360" w:lineRule="auto"/>
        <w:ind w:left="1134" w:hanging="708"/>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“乙方”系指在合同条款中指明的本合同项下提供货物和相关服务的公司或实体。</w:t>
      </w:r>
    </w:p>
    <w:p>
      <w:pPr>
        <w:numPr>
          <w:ilvl w:val="0"/>
          <w:numId w:val="7"/>
        </w:numPr>
        <w:tabs>
          <w:tab w:val="left" w:pos="993"/>
        </w:tabs>
        <w:spacing w:line="360" w:lineRule="auto"/>
        <w:ind w:left="1134" w:hanging="708"/>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“招标文件”系指由采购代理机构发出的本招标文件，包括全部章节和附件。</w:t>
      </w:r>
    </w:p>
    <w:p>
      <w:pPr>
        <w:numPr>
          <w:ilvl w:val="0"/>
          <w:numId w:val="7"/>
        </w:numPr>
        <w:tabs>
          <w:tab w:val="left" w:pos="993"/>
        </w:tabs>
        <w:spacing w:line="360" w:lineRule="auto"/>
        <w:ind w:left="1134" w:hanging="708"/>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“投标文件”系指投标人根据本招标文件向采购代理机构提交的全部文件。</w:t>
      </w:r>
    </w:p>
    <w:p>
      <w:pPr>
        <w:numPr>
          <w:ilvl w:val="0"/>
          <w:numId w:val="7"/>
        </w:numPr>
        <w:tabs>
          <w:tab w:val="left" w:pos="993"/>
        </w:tabs>
        <w:spacing w:line="360" w:lineRule="auto"/>
        <w:ind w:left="1134" w:hanging="708"/>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“书面函件”系统手写、打字或印刷的函件，包括电传、电报和传真。</w:t>
      </w:r>
    </w:p>
    <w:p>
      <w:pPr>
        <w:numPr>
          <w:ilvl w:val="0"/>
          <w:numId w:val="7"/>
        </w:numPr>
        <w:tabs>
          <w:tab w:val="left" w:pos="993"/>
        </w:tabs>
        <w:spacing w:line="360" w:lineRule="auto"/>
        <w:ind w:left="1134" w:hanging="708"/>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“合同”系统由本次采购所产生的合同或合约文件。</w:t>
      </w:r>
    </w:p>
    <w:p>
      <w:pPr>
        <w:numPr>
          <w:ilvl w:val="0"/>
          <w:numId w:val="7"/>
        </w:numPr>
        <w:tabs>
          <w:tab w:val="left" w:pos="993"/>
        </w:tabs>
        <w:spacing w:line="360" w:lineRule="auto"/>
        <w:ind w:left="1134" w:hanging="708"/>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“日期”系指公历日。</w:t>
      </w:r>
    </w:p>
    <w:p>
      <w:pPr>
        <w:numPr>
          <w:ilvl w:val="0"/>
          <w:numId w:val="7"/>
        </w:numPr>
        <w:tabs>
          <w:tab w:val="left" w:pos="993"/>
        </w:tabs>
        <w:spacing w:line="360" w:lineRule="auto"/>
        <w:ind w:left="1134" w:hanging="708"/>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“时间”系指北京时间。</w:t>
      </w:r>
    </w:p>
    <w:p>
      <w:pPr>
        <w:numPr>
          <w:ilvl w:val="0"/>
          <w:numId w:val="7"/>
        </w:numPr>
        <w:tabs>
          <w:tab w:val="left" w:pos="993"/>
        </w:tabs>
        <w:spacing w:line="360" w:lineRule="auto"/>
        <w:ind w:left="1134" w:hanging="708"/>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货物”系指投标人须向采购人提供的符合招标文件要求的货物等，其来源地均应为中华人民共和国或与中华人民共和国有官方贸易关系的国家或地区。招标文件中没有提及招标货物来源地的，根据《政府采购法》的相关规定均应是本国货物，优先采购自主创新、节能、环保产品。投标的货物必须是合法生产的符合国家有关标准要求的全新原厂生产的产品，并满足政府采购招标文件规定的规格、参数、质量、价格、有效期、售后服务等要求。所有国内制造的货物必须具备出厂合格证和相关检测报告；所有进口货物必须均为合法正当渠道进口的且具备原产地证明、中国商检证明及合法进货渠道全套单证。在验收货物时，中标供应商必须提供上述全部相关资料及证明文件。</w:t>
      </w:r>
    </w:p>
    <w:p>
      <w:pPr>
        <w:numPr>
          <w:ilvl w:val="0"/>
          <w:numId w:val="7"/>
        </w:numPr>
        <w:tabs>
          <w:tab w:val="left" w:pos="993"/>
        </w:tabs>
        <w:spacing w:line="360" w:lineRule="auto"/>
        <w:ind w:left="1134" w:hanging="708"/>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“服务”系指与本项目有关的除货物和工程以外的其他政府采购对象，其中包括：投标人须承担的运输、安装、技术支持、培训以及招标文件规定的其它服务。</w:t>
      </w:r>
    </w:p>
    <w:p>
      <w:pPr>
        <w:numPr>
          <w:ilvl w:val="0"/>
          <w:numId w:val="7"/>
        </w:numPr>
        <w:tabs>
          <w:tab w:val="left" w:pos="993"/>
        </w:tabs>
        <w:spacing w:line="360" w:lineRule="auto"/>
        <w:ind w:left="1134" w:hanging="708"/>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 xml:space="preserve"> “实质性响应”系指符合招标文件的所有要求、条款、条件和规定，且没有不利于项目实施质量效果和服务保障的重大偏离或保留。</w:t>
      </w:r>
    </w:p>
    <w:p>
      <w:pPr>
        <w:numPr>
          <w:ilvl w:val="0"/>
          <w:numId w:val="7"/>
        </w:numPr>
        <w:tabs>
          <w:tab w:val="left" w:pos="993"/>
        </w:tabs>
        <w:spacing w:line="360" w:lineRule="auto"/>
        <w:ind w:left="1134" w:hanging="708"/>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“重大偏离或保留”系指影响到招标文件规定的范围、质量和性能或限制了采购人的权力和投标人义务的规定，而纠正这些偏离将影响到其他投标人的公平竞争地位。</w:t>
      </w:r>
    </w:p>
    <w:p>
      <w:pPr>
        <w:numPr>
          <w:ilvl w:val="0"/>
          <w:numId w:val="7"/>
        </w:numPr>
        <w:tabs>
          <w:tab w:val="left" w:pos="846"/>
        </w:tabs>
        <w:spacing w:line="360" w:lineRule="auto"/>
        <w:ind w:left="846" w:hanging="420"/>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政府采购法第二十二条第一款第五项所称重大违法记录，是指供应商因违法经营受到刑事处罚或责令停产停业、吊销许可证或者执照、较大数额罚款等行政处罚。</w:t>
      </w:r>
    </w:p>
    <w:p>
      <w:pPr>
        <w:spacing w:line="360" w:lineRule="auto"/>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7.4 知识产权</w:t>
      </w:r>
    </w:p>
    <w:p>
      <w:pPr>
        <w:spacing w:line="360" w:lineRule="auto"/>
        <w:ind w:left="462" w:leftChars="220" w:firstLine="315" w:firstLineChars="150"/>
        <w:rPr>
          <w:rFonts w:ascii="仿宋" w:hAnsi="仿宋" w:eastAsia="仿宋" w:cs="仿宋"/>
          <w:color w:val="auto"/>
          <w:szCs w:val="21"/>
          <w:highlight w:val="none"/>
          <w:lang w:val="en-GB"/>
        </w:rPr>
      </w:pPr>
      <w:r>
        <w:rPr>
          <w:rFonts w:hint="eastAsia" w:ascii="仿宋" w:hAnsi="仿宋" w:eastAsia="仿宋" w:cs="仿宋"/>
          <w:color w:val="auto"/>
          <w:szCs w:val="21"/>
          <w:highlight w:val="none"/>
          <w:lang w:val="en-GB"/>
        </w:rPr>
        <w:t>投标人必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w:t>
      </w:r>
    </w:p>
    <w:p>
      <w:pPr>
        <w:tabs>
          <w:tab w:val="left" w:pos="567"/>
        </w:tabs>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8</w:t>
      </w: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Pr>
          <w:rFonts w:hint="eastAsia" w:ascii="仿宋" w:hAnsi="仿宋" w:eastAsia="仿宋" w:cs="仿宋"/>
          <w:color w:val="auto"/>
          <w:kern w:val="2"/>
          <w:szCs w:val="21"/>
          <w:highlight w:val="none"/>
          <w:lang w:val="zh-CN"/>
        </w:rPr>
        <w:t>招标文件的澄清</w:t>
      </w:r>
    </w:p>
    <w:p>
      <w:pPr>
        <w:tabs>
          <w:tab w:val="left" w:pos="567"/>
        </w:tabs>
        <w:spacing w:line="360" w:lineRule="auto"/>
        <w:ind w:left="567" w:hanging="567"/>
        <w:jc w:val="both"/>
        <w:rPr>
          <w:rFonts w:ascii="仿宋" w:hAnsi="仿宋" w:eastAsia="仿宋" w:cs="仿宋"/>
          <w:bCs/>
          <w:color w:val="auto"/>
          <w:kern w:val="2"/>
          <w:szCs w:val="21"/>
          <w:highlight w:val="none"/>
          <w:lang w:val="zh-CN"/>
        </w:rPr>
      </w:pPr>
      <w:r>
        <w:rPr>
          <w:rFonts w:hint="eastAsia" w:ascii="仿宋" w:hAnsi="仿宋" w:eastAsia="仿宋" w:cs="仿宋"/>
          <w:color w:val="auto"/>
          <w:kern w:val="2"/>
          <w:szCs w:val="21"/>
          <w:highlight w:val="none"/>
          <w:lang w:val="zh-CN"/>
        </w:rPr>
        <w:t>8.1</w:t>
      </w:r>
      <w:r>
        <w:rPr>
          <w:rFonts w:hint="eastAsia" w:ascii="仿宋" w:hAnsi="仿宋" w:eastAsia="仿宋" w:cs="仿宋"/>
          <w:color w:val="auto"/>
          <w:kern w:val="2"/>
          <w:szCs w:val="21"/>
          <w:highlight w:val="none"/>
          <w:lang w:val="zh-CN"/>
        </w:rPr>
        <w:tab/>
      </w:r>
      <w:r>
        <w:rPr>
          <w:rFonts w:hint="eastAsia" w:ascii="仿宋" w:hAnsi="仿宋" w:eastAsia="仿宋" w:cs="仿宋"/>
          <w:bCs/>
          <w:color w:val="auto"/>
          <w:kern w:val="2"/>
          <w:szCs w:val="21"/>
          <w:highlight w:val="none"/>
          <w:lang w:val="zh-CN"/>
        </w:rPr>
        <w:t>投标人对本招标文件如有技术和商务的疑问，请按投标邀请书中载明的邮政地址以书面形式（包括信函或传真等（应加盖公章），下同）向采购代理机构提出询问, 采购代理机构在三个工作日内对供应商提出的询问作出答复。</w:t>
      </w:r>
    </w:p>
    <w:p>
      <w:pPr>
        <w:tabs>
          <w:tab w:val="left" w:pos="567"/>
        </w:tabs>
        <w:spacing w:line="360" w:lineRule="auto"/>
        <w:ind w:left="567" w:hanging="567"/>
        <w:jc w:val="both"/>
        <w:rPr>
          <w:rFonts w:ascii="仿宋" w:hAnsi="仿宋" w:eastAsia="仿宋" w:cs="仿宋"/>
          <w:bCs/>
          <w:color w:val="auto"/>
          <w:kern w:val="2"/>
          <w:szCs w:val="21"/>
          <w:highlight w:val="none"/>
          <w:lang w:val="zh-CN"/>
        </w:rPr>
      </w:pPr>
      <w:r>
        <w:rPr>
          <w:rFonts w:hint="eastAsia" w:ascii="仿宋" w:hAnsi="仿宋" w:eastAsia="仿宋" w:cs="仿宋"/>
          <w:bCs/>
          <w:color w:val="auto"/>
          <w:kern w:val="2"/>
          <w:szCs w:val="21"/>
          <w:highlight w:val="none"/>
          <w:lang w:val="zh-CN"/>
        </w:rPr>
        <w:t>8.2</w:t>
      </w:r>
      <w:r>
        <w:rPr>
          <w:rFonts w:hint="eastAsia" w:ascii="仿宋" w:hAnsi="仿宋" w:eastAsia="仿宋" w:cs="仿宋"/>
          <w:bCs/>
          <w:color w:val="auto"/>
          <w:kern w:val="2"/>
          <w:szCs w:val="21"/>
          <w:highlight w:val="none"/>
          <w:lang w:val="zh-CN"/>
        </w:rPr>
        <w:tab/>
      </w:r>
      <w:r>
        <w:rPr>
          <w:rFonts w:hint="eastAsia" w:ascii="仿宋" w:hAnsi="仿宋" w:eastAsia="仿宋" w:cs="仿宋"/>
          <w:bCs/>
          <w:color w:val="auto"/>
          <w:kern w:val="2"/>
          <w:szCs w:val="21"/>
          <w:highlight w:val="none"/>
          <w:lang w:val="zh-CN"/>
        </w:rPr>
        <w:t>根据需要，采购代理机构和采购人可组织相关专家在《投标须知前附表》规定的时间和地点召开投标答疑会，解答投标人在此之前以书面或当场提出的对招标文件的澄清要求，随后以书面形式通知本招标文件的所有收受人。答疑或澄清文件作为招标文件的组成部分，如与招标文件的内容不一致的，以答疑或澄清文件的内容为准。</w:t>
      </w:r>
    </w:p>
    <w:p>
      <w:pPr>
        <w:tabs>
          <w:tab w:val="left" w:pos="567"/>
        </w:tabs>
        <w:spacing w:line="360" w:lineRule="auto"/>
        <w:ind w:left="567" w:hanging="567"/>
        <w:jc w:val="both"/>
        <w:rPr>
          <w:rFonts w:ascii="仿宋" w:hAnsi="仿宋" w:eastAsia="仿宋" w:cs="仿宋"/>
          <w:bCs/>
          <w:color w:val="auto"/>
          <w:kern w:val="2"/>
          <w:szCs w:val="21"/>
          <w:highlight w:val="none"/>
          <w:lang w:val="zh-CN"/>
        </w:rPr>
      </w:pPr>
      <w:r>
        <w:rPr>
          <w:rFonts w:hint="eastAsia" w:ascii="仿宋" w:hAnsi="仿宋" w:eastAsia="仿宋" w:cs="仿宋"/>
          <w:bCs/>
          <w:color w:val="auto"/>
          <w:kern w:val="2"/>
          <w:szCs w:val="21"/>
          <w:highlight w:val="none"/>
          <w:lang w:val="zh-CN"/>
        </w:rPr>
        <w:t>8.3  投标人在规定的时间内未对招标文件澄清或提出疑问的，采购代理机构和采购人将视其为无异议。对招标文件中描述有歧义或前后不一致的地方，评标委员会有权进行评判，但对同一条款的评判应适用于每个投标人。</w:t>
      </w:r>
    </w:p>
    <w:p>
      <w:pPr>
        <w:tabs>
          <w:tab w:val="left" w:pos="567"/>
        </w:tabs>
        <w:spacing w:line="360" w:lineRule="auto"/>
        <w:ind w:left="567" w:hanging="567"/>
        <w:jc w:val="both"/>
        <w:rPr>
          <w:rFonts w:ascii="仿宋" w:hAnsi="仿宋" w:eastAsia="仿宋" w:cs="仿宋"/>
          <w:bCs/>
          <w:color w:val="auto"/>
          <w:kern w:val="2"/>
          <w:szCs w:val="21"/>
          <w:highlight w:val="none"/>
          <w:lang w:val="zh-CN"/>
        </w:rPr>
      </w:pPr>
      <w:r>
        <w:rPr>
          <w:rFonts w:hint="eastAsia" w:ascii="仿宋" w:hAnsi="仿宋" w:eastAsia="仿宋" w:cs="仿宋"/>
          <w:bCs/>
          <w:color w:val="auto"/>
          <w:kern w:val="2"/>
          <w:szCs w:val="21"/>
          <w:highlight w:val="none"/>
          <w:lang w:val="zh-CN"/>
        </w:rPr>
        <w:t>8.4  招标过程中的一切修改文件或补充文件一旦确认后与招标文件具有同等法律效力，投标人有责任履行相应的义务。</w:t>
      </w:r>
    </w:p>
    <w:p>
      <w:pPr>
        <w:tabs>
          <w:tab w:val="left" w:pos="567"/>
        </w:tabs>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9</w:t>
      </w: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Pr>
          <w:rFonts w:hint="eastAsia" w:ascii="仿宋" w:hAnsi="仿宋" w:eastAsia="仿宋" w:cs="仿宋"/>
          <w:color w:val="auto"/>
          <w:kern w:val="2"/>
          <w:szCs w:val="21"/>
          <w:highlight w:val="none"/>
          <w:lang w:val="zh-CN"/>
        </w:rPr>
        <w:t>招标文件的修改</w:t>
      </w:r>
    </w:p>
    <w:p>
      <w:pPr>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9.1</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在递交投标文件截止日期前的任何时候，无论何故，采购代理机构可主动地或在答复投标人提出澄清的问题,同时经采购人同意后对招标文件进行澄清或修改，但不得改变采购标的和资格条件。澄清或者修改应当在原公告发布媒体上发布澄清公告。澄清或者修改的内容为招标文件、资格预审文件、投标邀请书的组成部分。采购代理机构在投标截止时间至少15日前，以书面的形式通知所有获取招标文件的潜在投标人；不足15日的，采购代理机构应当顺延提交投标文件的截止时间。</w:t>
      </w:r>
    </w:p>
    <w:p>
      <w:pPr>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9.2</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招标文件的修改将以书面函件形式通知所有购买招标文件的投标人，并对其具有约束力。投标人在收到上述通知后</w:t>
      </w:r>
      <w:r>
        <w:rPr>
          <w:rFonts w:hint="eastAsia" w:ascii="仿宋" w:hAnsi="仿宋" w:eastAsia="仿宋" w:cs="仿宋"/>
          <w:bCs/>
          <w:color w:val="auto"/>
          <w:kern w:val="2"/>
          <w:szCs w:val="21"/>
          <w:highlight w:val="none"/>
          <w:lang w:val="zh-CN"/>
        </w:rPr>
        <w:t>24小时内</w:t>
      </w:r>
      <w:r>
        <w:rPr>
          <w:rFonts w:hint="eastAsia" w:ascii="仿宋" w:hAnsi="仿宋" w:eastAsia="仿宋" w:cs="仿宋"/>
          <w:color w:val="auto"/>
          <w:kern w:val="2"/>
          <w:szCs w:val="21"/>
          <w:highlight w:val="none"/>
          <w:lang w:val="zh-CN"/>
        </w:rPr>
        <w:t>应立即以书面</w:t>
      </w:r>
      <w:r>
        <w:rPr>
          <w:rFonts w:hint="eastAsia" w:ascii="仿宋" w:hAnsi="仿宋" w:eastAsia="仿宋" w:cs="仿宋"/>
          <w:bCs/>
          <w:color w:val="auto"/>
          <w:kern w:val="2"/>
          <w:szCs w:val="21"/>
          <w:highlight w:val="none"/>
          <w:lang w:val="zh-CN"/>
        </w:rPr>
        <w:t>形式（应加盖公章）</w:t>
      </w:r>
      <w:r>
        <w:rPr>
          <w:rFonts w:hint="eastAsia" w:ascii="仿宋" w:hAnsi="仿宋" w:eastAsia="仿宋" w:cs="仿宋"/>
          <w:color w:val="auto"/>
          <w:kern w:val="2"/>
          <w:szCs w:val="21"/>
          <w:highlight w:val="none"/>
          <w:lang w:val="zh-CN"/>
        </w:rPr>
        <w:t>向采购代理机构确认</w:t>
      </w:r>
      <w:r>
        <w:rPr>
          <w:rFonts w:hint="eastAsia" w:ascii="仿宋" w:hAnsi="仿宋" w:eastAsia="仿宋" w:cs="仿宋"/>
          <w:bCs/>
          <w:color w:val="auto"/>
          <w:kern w:val="2"/>
          <w:szCs w:val="21"/>
          <w:highlight w:val="none"/>
          <w:lang w:val="zh-CN"/>
        </w:rPr>
        <w:t>，逾期不提交书面确认的，视为已确认。</w:t>
      </w:r>
    </w:p>
    <w:p>
      <w:pPr>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9.3</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为使投标人在准备投标文件时有合理的时间考虑招标文件的修改，采购代理机构可酌情推迟本项目递交投标文件截止日期，但应发布公告并书面通知所有购买招标文件的潜在投标人。</w:t>
      </w:r>
    </w:p>
    <w:p>
      <w:pPr>
        <w:spacing w:line="360" w:lineRule="auto"/>
        <w:ind w:left="567" w:hanging="567"/>
        <w:jc w:val="both"/>
        <w:rPr>
          <w:rFonts w:hAnsi="宋体" w:cs="宋体"/>
          <w:color w:val="auto"/>
          <w:kern w:val="2"/>
          <w:szCs w:val="21"/>
          <w:highlight w:val="none"/>
          <w:lang w:val="zh-CN"/>
        </w:rPr>
      </w:pPr>
    </w:p>
    <w:p>
      <w:pPr>
        <w:pStyle w:val="5"/>
        <w:spacing w:line="360" w:lineRule="auto"/>
        <w:rPr>
          <w:rFonts w:hAnsi="宋体" w:cs="宋体"/>
          <w:color w:val="auto"/>
          <w:kern w:val="44"/>
          <w:szCs w:val="21"/>
          <w:highlight w:val="none"/>
          <w:lang w:val="zh-CN"/>
        </w:rPr>
      </w:pPr>
      <w:bookmarkStart w:id="2" w:name="_Toc413396491"/>
      <w:r>
        <w:rPr>
          <w:rFonts w:hint="eastAsia" w:hAnsi="宋体" w:cs="宋体"/>
          <w:color w:val="auto"/>
          <w:kern w:val="44"/>
          <w:szCs w:val="21"/>
          <w:highlight w:val="none"/>
          <w:lang w:val="zh-CN"/>
        </w:rPr>
        <w:t>（三）投标文件的编制</w:t>
      </w:r>
      <w:bookmarkEnd w:id="2"/>
    </w:p>
    <w:p>
      <w:pPr>
        <w:tabs>
          <w:tab w:val="left" w:pos="567"/>
        </w:tabs>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10</w:t>
      </w: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Pr>
          <w:rFonts w:hint="eastAsia" w:ascii="仿宋" w:hAnsi="仿宋" w:eastAsia="仿宋" w:cs="仿宋"/>
          <w:color w:val="auto"/>
          <w:kern w:val="2"/>
          <w:szCs w:val="21"/>
          <w:highlight w:val="none"/>
          <w:lang w:val="zh-CN"/>
        </w:rPr>
        <w:t>投标使用的文字及度量衡单位。</w:t>
      </w:r>
    </w:p>
    <w:p>
      <w:pPr>
        <w:spacing w:line="360" w:lineRule="auto"/>
        <w:ind w:left="525" w:hanging="525" w:hangingChars="25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10.1  投标人应仔细阅读招标文件的所有内容，并按招标文件的规定及附件要求的内容和格式，提交完整的投标文件，并保证所提供全部资料的真实性，所有不完整的投标将被拒绝。</w:t>
      </w:r>
    </w:p>
    <w:p>
      <w:pPr>
        <w:spacing w:line="360" w:lineRule="auto"/>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10.2  投标文件使用的度量衡单位采用中华人民共和国法定计量单位。</w:t>
      </w:r>
    </w:p>
    <w:p>
      <w:pPr>
        <w:spacing w:line="360" w:lineRule="auto"/>
        <w:ind w:left="525" w:hanging="525" w:hangingChars="25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10.3  投标人提交的投标文件以及投标人与采购代理机构就有关投标的所有来往函电均应使用中文。投标人提交的支持文件或印刷的资料可以用另一种语言，但相应内容应附有中文翻译本，对不同文字文本投标文件的解释发生异议的，以中文文本为准。对中文翻译有异议的，以权威机构的译本为准。</w:t>
      </w:r>
    </w:p>
    <w:p>
      <w:pPr>
        <w:tabs>
          <w:tab w:val="left" w:pos="720"/>
          <w:tab w:val="left" w:pos="3460"/>
        </w:tabs>
        <w:spacing w:line="360" w:lineRule="auto"/>
        <w:ind w:left="525" w:hanging="525" w:hangingChars="25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10.4  招标文件中，如标有“★”的条款均为必须完全满足指标，投标人须进行实质性响应，投标人若有一项带“★”的条款未响应或不满足，将按无效投标处理。</w:t>
      </w:r>
    </w:p>
    <w:p>
      <w:pPr>
        <w:tabs>
          <w:tab w:val="left" w:pos="720"/>
          <w:tab w:val="left" w:pos="3460"/>
        </w:tabs>
        <w:spacing w:line="360" w:lineRule="auto"/>
        <w:ind w:left="525" w:hanging="525" w:hangingChars="25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10.5  招标文件中，如标有“▲”的条款均为评审的重要评分指标，投标人若有部分“▲”条款未响应或不满足，将导致其响应性评审严重扣分。</w:t>
      </w:r>
    </w:p>
    <w:p>
      <w:pPr>
        <w:tabs>
          <w:tab w:val="left" w:pos="720"/>
          <w:tab w:val="left" w:pos="3460"/>
        </w:tabs>
        <w:spacing w:line="360" w:lineRule="auto"/>
        <w:ind w:left="525" w:hanging="525" w:hangingChars="25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10.6  投标人应对投标内容提供完整的、详细的、清晰的技术说明，如投标人对指定的技术要求建议做任何改动，应在投标文件中清楚地注明；投标人对招标文件的对应要求应当给予唯一的实质性响应，否则将视为不响应。技术参数要求中标注有具体数值要求的，投标人必须在技术规格响应表中标注实际数值，不标注数值者视为不响应。</w:t>
      </w:r>
    </w:p>
    <w:p>
      <w:pPr>
        <w:tabs>
          <w:tab w:val="left" w:pos="720"/>
          <w:tab w:val="left" w:pos="3460"/>
        </w:tabs>
        <w:spacing w:line="360" w:lineRule="auto"/>
        <w:ind w:left="525" w:hanging="525" w:hangingChars="25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10.7  投标人响应招标需求应具体、明确，含糊不清、不确切、直接复制招标文件中技术规格或参数要求的，或伪造、变造证明材料的，按照不完全响应或完全不响应处理。构成提供虚假材料的，移送监管部门查处。</w:t>
      </w:r>
    </w:p>
    <w:p>
      <w:pPr>
        <w:tabs>
          <w:tab w:val="left" w:pos="720"/>
          <w:tab w:val="left" w:pos="3460"/>
        </w:tabs>
        <w:spacing w:line="360" w:lineRule="auto"/>
        <w:ind w:left="525" w:hanging="525" w:hangingChars="25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10.8  投标人对招标文件的商务合同不允许实质性偏离，否则将视为不响应。</w:t>
      </w:r>
    </w:p>
    <w:p>
      <w:pPr>
        <w:tabs>
          <w:tab w:val="left" w:pos="720"/>
          <w:tab w:val="left" w:pos="3460"/>
        </w:tabs>
        <w:spacing w:line="360" w:lineRule="auto"/>
        <w:ind w:left="525" w:hanging="525" w:hangingChars="25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10.9  资格文件视为投标文件不可分割的一部分，投标人应提供相关证件、证明文件的复印件，否则，评标委员会有权不予采信。评审结果确定后，招标代理机构将按照采购人的要求通知评标委员会推荐的第一中标候选人在2个工作日内，按招标文件中所列需要核对原件的资料（标注“○”的文件），包括相关证件、证明文件、合同、中标通知书或验收报告等的原件送采购人核对与投标文件中的复印件是否一致。投标人的相关证件、证明文件、合同和其他文件的原件、复印件没有按招标文件规定提交或提交的原件与复印件不一致的，其投标无效。</w:t>
      </w:r>
    </w:p>
    <w:p>
      <w:pPr>
        <w:tabs>
          <w:tab w:val="left" w:pos="720"/>
          <w:tab w:val="left" w:pos="3460"/>
        </w:tabs>
        <w:spacing w:line="360" w:lineRule="auto"/>
        <w:ind w:left="525" w:hanging="525" w:hangingChars="25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10.10  投标文件按规定加盖的投标人公章必须为企业投标人公章，且与投标人名称一致，不能以其它业务章或附属机构章代替。需签名之处必须由当事人</w:t>
      </w:r>
      <w:r>
        <w:rPr>
          <w:rFonts w:hint="eastAsia" w:ascii="仿宋" w:hAnsi="仿宋" w:eastAsia="仿宋" w:cs="仿宋"/>
          <w:color w:val="auto"/>
          <w:szCs w:val="21"/>
          <w:highlight w:val="none"/>
        </w:rPr>
        <w:t>签字或盖章</w:t>
      </w:r>
      <w:r>
        <w:rPr>
          <w:rFonts w:hint="eastAsia" w:ascii="仿宋" w:hAnsi="仿宋" w:eastAsia="仿宋" w:cs="仿宋"/>
          <w:color w:val="auto"/>
          <w:kern w:val="2"/>
          <w:szCs w:val="21"/>
          <w:highlight w:val="none"/>
          <w:lang w:val="zh-CN"/>
        </w:rPr>
        <w:t>。</w:t>
      </w:r>
    </w:p>
    <w:p>
      <w:pPr>
        <w:tabs>
          <w:tab w:val="left" w:pos="567"/>
        </w:tabs>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11</w:t>
      </w: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Pr>
          <w:rFonts w:hint="eastAsia" w:ascii="仿宋" w:hAnsi="仿宋" w:eastAsia="仿宋" w:cs="仿宋"/>
          <w:color w:val="auto"/>
          <w:kern w:val="2"/>
          <w:szCs w:val="21"/>
          <w:highlight w:val="none"/>
          <w:lang w:val="zh-CN"/>
        </w:rPr>
        <w:t>投标文件的组成</w:t>
      </w:r>
    </w:p>
    <w:p>
      <w:pPr>
        <w:spacing w:line="360" w:lineRule="auto"/>
        <w:ind w:left="630" w:hanging="630" w:hangingChars="30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11.1 投标文件由自查表、商务技术文件、经济文件组成，三部分合编成一本文件</w:t>
      </w:r>
      <w:r>
        <w:rPr>
          <w:rFonts w:hint="eastAsia" w:ascii="仿宋" w:hAnsi="仿宋" w:eastAsia="仿宋" w:cs="仿宋"/>
          <w:color w:val="auto"/>
          <w:szCs w:val="21"/>
          <w:highlight w:val="none"/>
          <w:lang w:val="zh-CN"/>
        </w:rPr>
        <w:t>（格式见第五篇投标文件格式）</w:t>
      </w:r>
      <w:r>
        <w:rPr>
          <w:rFonts w:hint="eastAsia" w:ascii="仿宋" w:hAnsi="仿宋" w:eastAsia="仿宋" w:cs="仿宋"/>
          <w:color w:val="auto"/>
          <w:kern w:val="2"/>
          <w:szCs w:val="21"/>
          <w:highlight w:val="none"/>
          <w:lang w:val="zh-CN"/>
        </w:rPr>
        <w:t>。</w:t>
      </w:r>
    </w:p>
    <w:p>
      <w:pPr>
        <w:spacing w:line="360" w:lineRule="auto"/>
        <w:ind w:firstLine="422"/>
        <w:rPr>
          <w:rFonts w:ascii="仿宋" w:hAnsi="仿宋" w:eastAsia="仿宋" w:cs="仿宋"/>
          <w:bCs/>
          <w:color w:val="auto"/>
          <w:szCs w:val="21"/>
          <w:highlight w:val="none"/>
          <w:lang w:val="zh-CN"/>
        </w:rPr>
      </w:pPr>
      <w:r>
        <w:rPr>
          <w:rFonts w:hint="eastAsia" w:ascii="仿宋" w:hAnsi="仿宋" w:eastAsia="仿宋" w:cs="仿宋"/>
          <w:bCs/>
          <w:color w:val="auto"/>
          <w:szCs w:val="21"/>
          <w:highlight w:val="none"/>
          <w:lang w:val="zh-CN"/>
        </w:rPr>
        <w:t>第一节、自查表</w:t>
      </w:r>
    </w:p>
    <w:p>
      <w:pPr>
        <w:spacing w:line="360" w:lineRule="auto"/>
        <w:ind w:firstLine="422"/>
        <w:rPr>
          <w:rFonts w:ascii="仿宋" w:hAnsi="仿宋" w:eastAsia="仿宋" w:cs="仿宋"/>
          <w:bCs/>
          <w:color w:val="auto"/>
          <w:kern w:val="2"/>
          <w:szCs w:val="21"/>
          <w:highlight w:val="none"/>
          <w:lang w:val="zh-CN"/>
        </w:rPr>
      </w:pPr>
      <w:r>
        <w:rPr>
          <w:rFonts w:hint="eastAsia" w:ascii="仿宋" w:hAnsi="仿宋" w:eastAsia="仿宋" w:cs="仿宋"/>
          <w:bCs/>
          <w:color w:val="auto"/>
          <w:szCs w:val="21"/>
          <w:highlight w:val="none"/>
          <w:lang w:val="zh-CN"/>
        </w:rPr>
        <w:t>第二节、</w:t>
      </w:r>
      <w:r>
        <w:rPr>
          <w:rFonts w:hint="eastAsia" w:ascii="仿宋" w:hAnsi="仿宋" w:eastAsia="仿宋" w:cs="仿宋"/>
          <w:bCs/>
          <w:color w:val="auto"/>
          <w:kern w:val="2"/>
          <w:szCs w:val="21"/>
          <w:highlight w:val="none"/>
          <w:lang w:val="zh-CN"/>
        </w:rPr>
        <w:t>商务技术文件</w:t>
      </w:r>
    </w:p>
    <w:p>
      <w:pPr>
        <w:spacing w:line="360" w:lineRule="auto"/>
        <w:ind w:firstLine="422"/>
        <w:rPr>
          <w:rFonts w:ascii="仿宋" w:hAnsi="仿宋" w:eastAsia="仿宋" w:cs="仿宋"/>
          <w:bCs/>
          <w:color w:val="auto"/>
          <w:szCs w:val="21"/>
          <w:highlight w:val="none"/>
        </w:rPr>
      </w:pPr>
      <w:r>
        <w:rPr>
          <w:rFonts w:hint="eastAsia" w:ascii="仿宋" w:hAnsi="仿宋" w:eastAsia="仿宋" w:cs="仿宋"/>
          <w:bCs/>
          <w:color w:val="auto"/>
          <w:szCs w:val="21"/>
          <w:highlight w:val="none"/>
          <w:lang w:val="zh-CN"/>
        </w:rPr>
        <w:t>第三节、经济文件</w:t>
      </w:r>
    </w:p>
    <w:p>
      <w:pPr>
        <w:spacing w:line="360" w:lineRule="auto"/>
        <w:jc w:val="both"/>
        <w:rPr>
          <w:rFonts w:ascii="仿宋" w:hAnsi="仿宋" w:eastAsia="仿宋" w:cs="仿宋"/>
          <w:bCs/>
          <w:color w:val="auto"/>
          <w:szCs w:val="21"/>
          <w:highlight w:val="none"/>
          <w:lang w:val="zh-CN"/>
        </w:rPr>
      </w:pPr>
      <w:r>
        <w:rPr>
          <w:rFonts w:hint="eastAsia" w:ascii="仿宋" w:hAnsi="仿宋" w:eastAsia="仿宋" w:cs="仿宋"/>
          <w:color w:val="auto"/>
          <w:szCs w:val="21"/>
          <w:highlight w:val="none"/>
        </w:rPr>
        <w:t>11</w:t>
      </w:r>
      <w:r>
        <w:rPr>
          <w:rFonts w:hint="eastAsia" w:ascii="仿宋" w:hAnsi="仿宋" w:eastAsia="仿宋" w:cs="仿宋"/>
          <w:bCs/>
          <w:color w:val="auto"/>
          <w:kern w:val="2"/>
          <w:szCs w:val="21"/>
          <w:highlight w:val="none"/>
          <w:lang w:val="zh-CN"/>
        </w:rPr>
        <w:t>.2 唱标信封</w:t>
      </w:r>
    </w:p>
    <w:p>
      <w:pPr>
        <w:spacing w:line="360" w:lineRule="auto"/>
        <w:ind w:firstLine="210" w:firstLineChars="100"/>
        <w:jc w:val="both"/>
        <w:rPr>
          <w:rFonts w:ascii="仿宋" w:hAnsi="仿宋" w:eastAsia="仿宋" w:cs="仿宋"/>
          <w:bCs/>
          <w:color w:val="auto"/>
          <w:kern w:val="2"/>
          <w:szCs w:val="21"/>
          <w:highlight w:val="none"/>
          <w:lang w:val="zh-CN"/>
        </w:rPr>
      </w:pPr>
      <w:r>
        <w:rPr>
          <w:rFonts w:hint="eastAsia" w:ascii="仿宋" w:hAnsi="仿宋" w:eastAsia="仿宋" w:cs="仿宋"/>
          <w:bCs/>
          <w:color w:val="auto"/>
          <w:kern w:val="2"/>
          <w:szCs w:val="21"/>
          <w:highlight w:val="none"/>
          <w:lang w:val="zh-CN"/>
        </w:rPr>
        <w:t>1)  投标函（从投标文件正本中复印，加盖投标人公章）；</w:t>
      </w:r>
    </w:p>
    <w:p>
      <w:pPr>
        <w:spacing w:line="360" w:lineRule="auto"/>
        <w:ind w:firstLine="210" w:firstLineChars="100"/>
        <w:jc w:val="both"/>
        <w:rPr>
          <w:rFonts w:ascii="仿宋" w:hAnsi="仿宋" w:eastAsia="仿宋" w:cs="仿宋"/>
          <w:bCs/>
          <w:color w:val="auto"/>
          <w:kern w:val="2"/>
          <w:szCs w:val="21"/>
          <w:highlight w:val="none"/>
          <w:lang w:val="zh-CN"/>
        </w:rPr>
      </w:pPr>
      <w:r>
        <w:rPr>
          <w:rFonts w:hint="eastAsia" w:ascii="仿宋" w:hAnsi="仿宋" w:eastAsia="仿宋" w:cs="仿宋"/>
          <w:bCs/>
          <w:color w:val="auto"/>
          <w:kern w:val="2"/>
          <w:szCs w:val="21"/>
          <w:highlight w:val="none"/>
          <w:lang w:val="zh-CN"/>
        </w:rPr>
        <w:t>2)  投标报价总表（从投标文件正本中复印，该表内容如与正本不一致的，以正本内容为准，加盖投标人公章）；</w:t>
      </w:r>
    </w:p>
    <w:p>
      <w:pPr>
        <w:spacing w:line="360" w:lineRule="auto"/>
        <w:ind w:firstLine="210" w:firstLineChars="100"/>
        <w:jc w:val="both"/>
        <w:rPr>
          <w:rFonts w:ascii="仿宋" w:hAnsi="仿宋" w:eastAsia="仿宋" w:cs="仿宋"/>
          <w:bCs/>
          <w:color w:val="auto"/>
          <w:kern w:val="2"/>
          <w:szCs w:val="21"/>
          <w:highlight w:val="none"/>
          <w:lang w:val="zh-CN"/>
        </w:rPr>
      </w:pPr>
      <w:r>
        <w:rPr>
          <w:rFonts w:hint="eastAsia" w:ascii="仿宋" w:hAnsi="仿宋" w:eastAsia="仿宋" w:cs="仿宋"/>
          <w:bCs/>
          <w:color w:val="auto"/>
          <w:kern w:val="2"/>
          <w:szCs w:val="21"/>
          <w:highlight w:val="none"/>
          <w:lang w:val="zh-CN"/>
        </w:rPr>
        <w:t>3） 法定代表人\负责人证明书及法人授权证明书（原件）；</w:t>
      </w:r>
    </w:p>
    <w:p>
      <w:pPr>
        <w:spacing w:line="360" w:lineRule="auto"/>
        <w:ind w:firstLine="210" w:firstLineChars="100"/>
        <w:jc w:val="both"/>
        <w:rPr>
          <w:rFonts w:ascii="仿宋" w:hAnsi="仿宋" w:eastAsia="仿宋" w:cs="仿宋"/>
          <w:bCs/>
          <w:color w:val="auto"/>
          <w:kern w:val="2"/>
          <w:szCs w:val="21"/>
          <w:highlight w:val="none"/>
          <w:lang w:val="zh-CN"/>
        </w:rPr>
      </w:pPr>
      <w:r>
        <w:rPr>
          <w:rFonts w:hint="eastAsia" w:ascii="仿宋" w:hAnsi="仿宋" w:eastAsia="仿宋" w:cs="仿宋"/>
          <w:bCs/>
          <w:color w:val="auto"/>
          <w:kern w:val="2"/>
          <w:szCs w:val="21"/>
          <w:highlight w:val="none"/>
          <w:lang w:val="zh-CN"/>
        </w:rPr>
        <w:t>4） 电子文件（含投标文件经济文件、商务技术文件, 电子投标文件采用U盘装载，其中经济部分需用MS office的excel格式提供。）</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lang w:val="zh-CN"/>
        </w:rPr>
        <w:t>11.3 投标人编制投标文件必须包括但不限于上述内容。</w:t>
      </w:r>
    </w:p>
    <w:p>
      <w:pPr>
        <w:tabs>
          <w:tab w:val="left" w:pos="567"/>
        </w:tabs>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12</w:t>
      </w: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Pr>
          <w:rFonts w:hint="eastAsia" w:ascii="仿宋" w:hAnsi="仿宋" w:eastAsia="仿宋" w:cs="仿宋"/>
          <w:color w:val="auto"/>
          <w:kern w:val="2"/>
          <w:szCs w:val="21"/>
          <w:highlight w:val="none"/>
          <w:lang w:val="zh-CN"/>
        </w:rPr>
        <w:t>投标报价</w:t>
      </w:r>
    </w:p>
    <w:p>
      <w:pPr>
        <w:autoSpaceDE/>
        <w:autoSpaceDN/>
        <w:adjustRightInd/>
        <w:spacing w:line="360" w:lineRule="auto"/>
        <w:ind w:left="630" w:hanging="630" w:hangingChars="300"/>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12.1</w:t>
      </w:r>
      <w:r>
        <w:rPr>
          <w:rFonts w:hint="eastAsia" w:ascii="仿宋" w:hAnsi="仿宋" w:eastAsia="仿宋" w:cs="仿宋"/>
          <w:color w:val="auto"/>
          <w:kern w:val="2"/>
          <w:szCs w:val="21"/>
          <w:highlight w:val="none"/>
          <w:lang w:val="zh-CN"/>
        </w:rPr>
        <w:tab/>
      </w:r>
      <w:r>
        <w:rPr>
          <w:rFonts w:hint="eastAsia" w:ascii="仿宋" w:hAnsi="仿宋" w:eastAsia="仿宋" w:cs="仿宋"/>
          <w:color w:val="auto"/>
          <w:szCs w:val="21"/>
          <w:highlight w:val="none"/>
        </w:rPr>
        <w:t>本次招标必须对该项目的全部内容进行报价，少报漏报将导致其无效。</w:t>
      </w:r>
    </w:p>
    <w:p>
      <w:pPr>
        <w:tabs>
          <w:tab w:val="left" w:pos="720"/>
          <w:tab w:val="left" w:pos="3460"/>
        </w:tabs>
        <w:spacing w:line="360" w:lineRule="auto"/>
        <w:ind w:left="525" w:hanging="525" w:hangingChars="25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12.2  投标人投标总价是以投标人可独立完成本项目，并在通过准确核算后，可满足预期实施效果、验收标准和符合自身合法利益的前提下所作出的综合性合理最终含税报价，对在投标文件和合同书中未有明确列述、投标方案设计遗漏失误、市场剧变、汇率、利率因素和不可预见的费用等均视为已完全考虑到并包括在投标总价之内。投标人应自行增加项目正常、合法、安全运行及使用所必需但招标文件没有列明或包含的内容及费用，并在投标文件中加以详细说明，如果投标人在中标并签署合同后，在提供招标范围内的服务工作中出现的任何遗漏，均由中标人免费提供，采购人将不再支付任何费用。对超出常规、具有特别意义或会引起竞争非议的报价须作出特别说明。</w:t>
      </w:r>
    </w:p>
    <w:p>
      <w:pPr>
        <w:tabs>
          <w:tab w:val="left" w:pos="567"/>
        </w:tabs>
        <w:spacing w:line="360" w:lineRule="auto"/>
        <w:ind w:left="567" w:hanging="567"/>
        <w:jc w:val="both"/>
        <w:rPr>
          <w:rFonts w:ascii="仿宋" w:hAnsi="仿宋" w:eastAsia="仿宋" w:cs="仿宋"/>
          <w:color w:val="auto"/>
          <w:szCs w:val="21"/>
          <w:highlight w:val="none"/>
        </w:rPr>
      </w:pPr>
      <w:r>
        <w:rPr>
          <w:rFonts w:hint="eastAsia" w:ascii="仿宋" w:hAnsi="仿宋" w:eastAsia="仿宋" w:cs="仿宋"/>
          <w:color w:val="auto"/>
          <w:kern w:val="2"/>
          <w:szCs w:val="21"/>
          <w:highlight w:val="none"/>
          <w:lang w:val="zh-CN"/>
        </w:rPr>
        <w:t>12.3</w:t>
      </w:r>
      <w:r>
        <w:rPr>
          <w:rFonts w:hint="eastAsia" w:ascii="仿宋" w:hAnsi="仿宋" w:eastAsia="仿宋" w:cs="仿宋"/>
          <w:color w:val="auto"/>
          <w:kern w:val="2"/>
          <w:szCs w:val="21"/>
          <w:highlight w:val="none"/>
          <w:lang w:val="zh-CN"/>
        </w:rPr>
        <w:tab/>
      </w:r>
      <w:r>
        <w:rPr>
          <w:rFonts w:hint="eastAsia" w:ascii="仿宋" w:hAnsi="仿宋" w:eastAsia="仿宋" w:cs="仿宋"/>
          <w:color w:val="auto"/>
          <w:szCs w:val="21"/>
          <w:highlight w:val="none"/>
        </w:rPr>
        <w:t>投标报价不是唯一的或不是固定不变的投标文件将被作为非响应性投标而予以拒绝。投标人所报的投标价在合同执行期间是固定不变的，投标人不得以任何理由予以变更。</w:t>
      </w:r>
    </w:p>
    <w:p>
      <w:pPr>
        <w:autoSpaceDE/>
        <w:autoSpaceDN/>
        <w:adjustRightInd/>
        <w:spacing w:line="360" w:lineRule="auto"/>
        <w:ind w:left="630" w:hanging="630" w:hangingChars="300"/>
        <w:rPr>
          <w:rFonts w:ascii="仿宋" w:hAnsi="仿宋" w:eastAsia="仿宋" w:cs="仿宋"/>
          <w:color w:val="auto"/>
          <w:szCs w:val="21"/>
          <w:highlight w:val="none"/>
        </w:rPr>
      </w:pPr>
      <w:r>
        <w:rPr>
          <w:rFonts w:hint="eastAsia" w:ascii="仿宋" w:hAnsi="仿宋" w:eastAsia="仿宋" w:cs="仿宋"/>
          <w:color w:val="auto"/>
          <w:kern w:val="2"/>
          <w:szCs w:val="21"/>
          <w:highlight w:val="none"/>
          <w:lang w:val="zh-CN"/>
        </w:rPr>
        <w:t>12.4</w:t>
      </w:r>
      <w:r>
        <w:rPr>
          <w:rFonts w:hint="eastAsia" w:ascii="仿宋" w:hAnsi="仿宋" w:eastAsia="仿宋" w:cs="仿宋"/>
          <w:color w:val="auto"/>
          <w:kern w:val="2"/>
          <w:szCs w:val="21"/>
          <w:highlight w:val="none"/>
          <w:lang w:val="zh-CN"/>
        </w:rPr>
        <w:tab/>
      </w:r>
      <w:r>
        <w:rPr>
          <w:rFonts w:hint="eastAsia" w:ascii="仿宋" w:hAnsi="仿宋" w:eastAsia="仿宋" w:cs="仿宋"/>
          <w:color w:val="auto"/>
          <w:szCs w:val="21"/>
          <w:highlight w:val="none"/>
        </w:rPr>
        <w:t>合同项下，买方需要的服务和附带备品、配件所需的费用，如果投标人是另外单独报价的，评分时计入投标报价总价。确定中标人后，在合同规定的承包范围内中标人不得以任何理由追加设备费用、辅材费用或其他费用。</w:t>
      </w:r>
    </w:p>
    <w:p>
      <w:pPr>
        <w:spacing w:line="360" w:lineRule="auto"/>
        <w:ind w:left="567" w:hanging="567"/>
        <w:jc w:val="both"/>
        <w:rPr>
          <w:rFonts w:ascii="仿宋" w:hAnsi="仿宋" w:eastAsia="仿宋" w:cs="仿宋"/>
          <w:bCs/>
          <w:color w:val="auto"/>
          <w:szCs w:val="21"/>
          <w:highlight w:val="none"/>
        </w:rPr>
      </w:pPr>
      <w:r>
        <w:rPr>
          <w:rFonts w:hint="eastAsia" w:ascii="仿宋" w:hAnsi="仿宋" w:eastAsia="仿宋" w:cs="仿宋"/>
          <w:color w:val="auto"/>
          <w:kern w:val="2"/>
          <w:szCs w:val="21"/>
          <w:highlight w:val="none"/>
          <w:lang w:val="zh-CN"/>
        </w:rPr>
        <w:t>12.5</w:t>
      </w:r>
      <w:r>
        <w:rPr>
          <w:rFonts w:hint="eastAsia" w:ascii="仿宋" w:hAnsi="仿宋" w:eastAsia="仿宋" w:cs="仿宋"/>
          <w:color w:val="auto"/>
          <w:kern w:val="2"/>
          <w:szCs w:val="21"/>
          <w:highlight w:val="none"/>
          <w:lang w:val="zh-CN"/>
        </w:rPr>
        <w:tab/>
      </w:r>
      <w:r>
        <w:rPr>
          <w:rFonts w:hint="eastAsia" w:ascii="仿宋" w:hAnsi="仿宋" w:eastAsia="仿宋" w:cs="仿宋"/>
          <w:bCs/>
          <w:color w:val="auto"/>
          <w:szCs w:val="21"/>
          <w:highlight w:val="none"/>
        </w:rPr>
        <w:t>本次招标实行“最高限价”和“最高服务费提取比例限值”制度。投标人的投标报价高于最高限价的或服务费提取比例高于最高限值的，该投标人的投标文件将被视为非响应性报价予以废标。</w:t>
      </w:r>
    </w:p>
    <w:p>
      <w:pPr>
        <w:tabs>
          <w:tab w:val="left" w:pos="720"/>
          <w:tab w:val="left" w:pos="3460"/>
        </w:tabs>
        <w:spacing w:line="360" w:lineRule="auto"/>
        <w:ind w:left="525" w:hanging="525" w:hangingChars="25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12.6  投标人必须以人民币报价，以其它货币标价的投标将予以拒绝。投标文件的大写金额和小写金额不一致的，以大写金额为准；总价金额与按单价汇总金额不一致的，以单价金额计算结果为准；单价金额小数点有明显错位的，应以总价为准，并修改单价。</w:t>
      </w:r>
    </w:p>
    <w:p>
      <w:pPr>
        <w:tabs>
          <w:tab w:val="left" w:pos="567"/>
        </w:tabs>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13</w:t>
      </w: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Pr>
          <w:rFonts w:hint="eastAsia" w:ascii="仿宋" w:hAnsi="仿宋" w:eastAsia="仿宋" w:cs="仿宋"/>
          <w:color w:val="auto"/>
          <w:kern w:val="2"/>
          <w:szCs w:val="21"/>
          <w:highlight w:val="none"/>
          <w:lang w:val="zh-CN"/>
        </w:rPr>
        <w:t>证明投标人的合格性的证明文件</w:t>
      </w:r>
    </w:p>
    <w:p>
      <w:pPr>
        <w:tabs>
          <w:tab w:val="left" w:pos="567"/>
        </w:tabs>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13.1</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根据</w:t>
      </w:r>
      <w:r>
        <w:rPr>
          <w:color w:val="auto"/>
          <w:highlight w:val="none"/>
        </w:rPr>
        <w:fldChar w:fldCharType="begin"/>
      </w:r>
      <w:r>
        <w:rPr>
          <w:color w:val="auto"/>
          <w:highlight w:val="none"/>
        </w:rPr>
        <w:instrText xml:space="preserve"> HYPERLINK "file:///C:\\Users\\hhy\\Desktop\\l" </w:instrText>
      </w:r>
      <w:r>
        <w:rPr>
          <w:color w:val="auto"/>
          <w:highlight w:val="none"/>
        </w:rPr>
        <w:fldChar w:fldCharType="separate"/>
      </w:r>
      <w:r>
        <w:rPr>
          <w:rFonts w:hint="eastAsia" w:ascii="仿宋" w:hAnsi="仿宋" w:eastAsia="仿宋" w:cs="仿宋"/>
          <w:color w:val="auto"/>
          <w:kern w:val="2"/>
          <w:szCs w:val="21"/>
          <w:highlight w:val="none"/>
          <w:lang w:val="zh-CN"/>
        </w:rPr>
        <w:t>第13.2款</w:t>
      </w:r>
      <w:r>
        <w:rPr>
          <w:rFonts w:hint="eastAsia" w:ascii="仿宋" w:hAnsi="仿宋" w:eastAsia="仿宋" w:cs="仿宋"/>
          <w:color w:val="auto"/>
          <w:kern w:val="2"/>
          <w:szCs w:val="21"/>
          <w:highlight w:val="none"/>
          <w:lang w:val="zh-CN"/>
        </w:rPr>
        <w:fldChar w:fldCharType="end"/>
      </w:r>
      <w:r>
        <w:rPr>
          <w:rFonts w:hint="eastAsia" w:ascii="仿宋" w:hAnsi="仿宋" w:eastAsia="仿宋" w:cs="仿宋"/>
          <w:color w:val="auto"/>
          <w:kern w:val="2"/>
          <w:szCs w:val="21"/>
          <w:highlight w:val="none"/>
          <w:lang w:val="zh-CN"/>
        </w:rPr>
        <w:t>规定，投标人须提交证明其有资格进行投标和有能力履行合同的文件，作为投标文件的一部分。</w:t>
      </w:r>
    </w:p>
    <w:p>
      <w:pPr>
        <w:spacing w:line="360" w:lineRule="auto"/>
        <w:ind w:left="567" w:hanging="567"/>
        <w:jc w:val="both"/>
        <w:rPr>
          <w:rFonts w:ascii="仿宋" w:hAnsi="仿宋" w:eastAsia="仿宋" w:cs="仿宋"/>
          <w:color w:val="auto"/>
          <w:kern w:val="2"/>
          <w:szCs w:val="21"/>
          <w:highlight w:val="none"/>
          <w:vertAlign w:val="superscript"/>
          <w:lang w:val="zh-CN"/>
        </w:rPr>
      </w:pPr>
      <w:r>
        <w:rPr>
          <w:rFonts w:hint="eastAsia" w:ascii="仿宋" w:hAnsi="仿宋" w:eastAsia="仿宋" w:cs="仿宋"/>
          <w:color w:val="auto"/>
          <w:kern w:val="2"/>
          <w:szCs w:val="21"/>
          <w:highlight w:val="none"/>
          <w:lang w:val="zh-CN"/>
        </w:rPr>
        <w:t>13.2</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投标人提供的履行合同的资格证明文件</w:t>
      </w:r>
      <w:r>
        <w:rPr>
          <w:rFonts w:hint="eastAsia" w:ascii="仿宋" w:hAnsi="仿宋" w:eastAsia="仿宋" w:cs="仿宋"/>
          <w:color w:val="auto"/>
          <w:szCs w:val="21"/>
          <w:highlight w:val="none"/>
        </w:rPr>
        <w:t>：详</w:t>
      </w:r>
      <w:r>
        <w:rPr>
          <w:rFonts w:hint="eastAsia" w:ascii="仿宋" w:hAnsi="仿宋" w:eastAsia="仿宋" w:cs="仿宋"/>
          <w:color w:val="auto"/>
          <w:kern w:val="2"/>
          <w:szCs w:val="21"/>
          <w:highlight w:val="none"/>
          <w:lang w:val="zh-CN"/>
        </w:rPr>
        <w:t>见</w:t>
      </w:r>
      <w:r>
        <w:rPr>
          <w:rFonts w:hint="eastAsia" w:ascii="仿宋" w:hAnsi="仿宋" w:eastAsia="仿宋" w:cs="仿宋"/>
          <w:color w:val="auto"/>
          <w:szCs w:val="21"/>
          <w:highlight w:val="none"/>
        </w:rPr>
        <w:t>《投标须知前附表》。</w:t>
      </w:r>
    </w:p>
    <w:p>
      <w:pPr>
        <w:tabs>
          <w:tab w:val="left" w:pos="567"/>
        </w:tabs>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14</w:t>
      </w: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Pr>
          <w:rFonts w:hint="eastAsia" w:ascii="仿宋" w:hAnsi="仿宋" w:eastAsia="仿宋" w:cs="仿宋"/>
          <w:color w:val="auto"/>
          <w:kern w:val="2"/>
          <w:szCs w:val="21"/>
          <w:highlight w:val="none"/>
          <w:lang w:val="zh-CN"/>
        </w:rPr>
        <w:t>证明货物和服务的合格性并符合招标文件规定的声明文件</w:t>
      </w:r>
    </w:p>
    <w:p>
      <w:pPr>
        <w:tabs>
          <w:tab w:val="left" w:pos="675"/>
        </w:tabs>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15.1</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投标人须提交证明其所提供的服务和货物的合格性并符合招标文件规定的声明文件，作为投标文件的一部分。</w:t>
      </w:r>
    </w:p>
    <w:p>
      <w:pPr>
        <w:spacing w:line="360" w:lineRule="auto"/>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15.2  证明货物和服务与招标文件的要求相一致的文件可以是文字资料、图纸和数据资料。</w:t>
      </w:r>
    </w:p>
    <w:p>
      <w:pPr>
        <w:spacing w:line="360" w:lineRule="auto"/>
        <w:ind w:left="630" w:hanging="630" w:hangingChars="30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15.3  为说明第15.1款的规定，投标人应注意本招标文件在《用户需求书》中</w:t>
      </w:r>
      <w:r>
        <w:rPr>
          <w:rFonts w:hint="eastAsia" w:ascii="仿宋" w:hAnsi="仿宋" w:eastAsia="仿宋" w:cs="仿宋"/>
          <w:color w:val="auto"/>
          <w:szCs w:val="21"/>
          <w:highlight w:val="none"/>
        </w:rPr>
        <w:t>对服务、技术要求所描述的特征或说明</w:t>
      </w:r>
      <w:r>
        <w:rPr>
          <w:rFonts w:hint="eastAsia" w:ascii="仿宋" w:hAnsi="仿宋" w:eastAsia="仿宋" w:cs="仿宋"/>
          <w:color w:val="auto"/>
          <w:kern w:val="2"/>
          <w:szCs w:val="21"/>
          <w:highlight w:val="none"/>
          <w:lang w:val="zh-CN"/>
        </w:rPr>
        <w:t xml:space="preserve">等仅系说明并非进行限制，投标人按行业技术和以往的服务经验，投标人可提出替代方案，但该替代方案应相当于或优胜于《用户需求书》中的规定，合格优质地完成招标内容和包含的全部实际工序及服务，以使采购人满意。 </w:t>
      </w:r>
    </w:p>
    <w:p>
      <w:pPr>
        <w:tabs>
          <w:tab w:val="left" w:pos="567"/>
        </w:tabs>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15</w:t>
      </w: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Pr>
          <w:rFonts w:hint="eastAsia" w:ascii="仿宋" w:hAnsi="仿宋" w:eastAsia="仿宋" w:cs="仿宋"/>
          <w:color w:val="auto"/>
          <w:kern w:val="2"/>
          <w:szCs w:val="21"/>
          <w:highlight w:val="none"/>
          <w:lang w:val="zh-CN"/>
        </w:rPr>
        <w:t>投标保证金：（本项目不适用）</w:t>
      </w:r>
    </w:p>
    <w:p>
      <w:pPr>
        <w:tabs>
          <w:tab w:val="left" w:pos="567"/>
        </w:tabs>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16</w:t>
      </w: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Pr>
          <w:rFonts w:hint="eastAsia" w:ascii="仿宋" w:hAnsi="仿宋" w:eastAsia="仿宋" w:cs="仿宋"/>
          <w:color w:val="auto"/>
          <w:kern w:val="2"/>
          <w:szCs w:val="21"/>
          <w:highlight w:val="none"/>
          <w:lang w:val="zh-CN"/>
        </w:rPr>
        <w:t>投标有效期</w:t>
      </w:r>
    </w:p>
    <w:p>
      <w:pPr>
        <w:tabs>
          <w:tab w:val="left" w:pos="567"/>
        </w:tabs>
        <w:spacing w:line="360" w:lineRule="auto"/>
        <w:ind w:left="567" w:hanging="567"/>
        <w:jc w:val="both"/>
        <w:rPr>
          <w:rFonts w:ascii="仿宋" w:hAnsi="仿宋" w:eastAsia="仿宋" w:cs="仿宋"/>
          <w:b/>
          <w:bCs/>
          <w:color w:val="auto"/>
          <w:kern w:val="2"/>
          <w:szCs w:val="21"/>
          <w:highlight w:val="none"/>
          <w:lang w:val="zh-CN"/>
        </w:rPr>
      </w:pPr>
      <w:r>
        <w:rPr>
          <w:rFonts w:hint="eastAsia" w:ascii="仿宋" w:hAnsi="仿宋" w:eastAsia="仿宋" w:cs="仿宋"/>
          <w:color w:val="auto"/>
          <w:kern w:val="2"/>
          <w:szCs w:val="21"/>
          <w:highlight w:val="none"/>
          <w:lang w:val="zh-CN"/>
        </w:rPr>
        <w:t>16.1</w:t>
      </w:r>
      <w:r>
        <w:rPr>
          <w:rFonts w:hint="eastAsia" w:ascii="仿宋" w:hAnsi="仿宋" w:eastAsia="仿宋" w:cs="仿宋"/>
          <w:color w:val="auto"/>
          <w:kern w:val="2"/>
          <w:szCs w:val="21"/>
          <w:highlight w:val="none"/>
          <w:lang w:val="zh-CN"/>
        </w:rPr>
        <w:tab/>
      </w:r>
      <w:r>
        <w:rPr>
          <w:rFonts w:hint="eastAsia" w:ascii="仿宋" w:hAnsi="仿宋" w:eastAsia="仿宋" w:cs="仿宋"/>
          <w:b/>
          <w:color w:val="auto"/>
          <w:kern w:val="2"/>
          <w:szCs w:val="21"/>
          <w:highlight w:val="none"/>
          <w:lang w:val="zh-CN"/>
        </w:rPr>
        <w:t>投标文件应在</w:t>
      </w:r>
      <w:r>
        <w:rPr>
          <w:rFonts w:hint="eastAsia" w:ascii="仿宋" w:hAnsi="仿宋" w:eastAsia="仿宋" w:cs="仿宋"/>
          <w:b/>
          <w:color w:val="auto"/>
          <w:szCs w:val="21"/>
          <w:highlight w:val="none"/>
        </w:rPr>
        <w:t>《投标须知前附表》</w:t>
      </w:r>
      <w:r>
        <w:rPr>
          <w:rFonts w:hint="eastAsia" w:ascii="仿宋" w:hAnsi="仿宋" w:eastAsia="仿宋" w:cs="仿宋"/>
          <w:b/>
          <w:color w:val="auto"/>
          <w:kern w:val="2"/>
          <w:szCs w:val="21"/>
          <w:highlight w:val="none"/>
          <w:lang w:val="zh-CN"/>
        </w:rPr>
        <w:t>规定的时间内保持有效。投标有效期比规定时间短的将被视为非响应性投标而予以拒绝。</w:t>
      </w:r>
    </w:p>
    <w:p>
      <w:pPr>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16.2</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中标人的投标文件作为合同附件，合同失效时同时失效。</w:t>
      </w:r>
    </w:p>
    <w:p>
      <w:pPr>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16.3</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在特殊情况下，采购代理机构可于投标有效期满之前要求投标人同意延长有效期。要求与答复均应为书面形式往来。投标人可以拒绝上述要求。对于同意该要求的投标人，既不要求也不允许其修改投标文件。</w:t>
      </w:r>
    </w:p>
    <w:p>
      <w:pPr>
        <w:tabs>
          <w:tab w:val="left" w:pos="567"/>
        </w:tabs>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17</w:t>
      </w: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Pr>
          <w:rFonts w:hint="eastAsia" w:ascii="仿宋" w:hAnsi="仿宋" w:eastAsia="仿宋" w:cs="仿宋"/>
          <w:color w:val="auto"/>
          <w:kern w:val="2"/>
          <w:szCs w:val="21"/>
          <w:highlight w:val="none"/>
          <w:lang w:val="zh-CN"/>
        </w:rPr>
        <w:t>投标文件的式样和签署</w:t>
      </w:r>
    </w:p>
    <w:p>
      <w:pPr>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17.1</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投标人应准备投标文件一份正本和</w:t>
      </w:r>
      <w:r>
        <w:rPr>
          <w:rFonts w:hint="eastAsia" w:ascii="仿宋" w:hAnsi="仿宋" w:eastAsia="仿宋" w:cs="仿宋"/>
          <w:color w:val="auto"/>
          <w:szCs w:val="21"/>
          <w:highlight w:val="none"/>
        </w:rPr>
        <w:t>《投标须知前附表》</w:t>
      </w:r>
      <w:r>
        <w:rPr>
          <w:rFonts w:hint="eastAsia" w:ascii="仿宋" w:hAnsi="仿宋" w:eastAsia="仿宋" w:cs="仿宋"/>
          <w:color w:val="auto"/>
          <w:kern w:val="2"/>
          <w:szCs w:val="21"/>
          <w:highlight w:val="none"/>
          <w:lang w:val="zh-CN"/>
        </w:rPr>
        <w:t>规定的副本份数，</w:t>
      </w:r>
      <w:r>
        <w:rPr>
          <w:rFonts w:hint="eastAsia" w:ascii="仿宋" w:hAnsi="仿宋" w:eastAsia="仿宋" w:cs="仿宋"/>
          <w:color w:val="auto"/>
          <w:szCs w:val="21"/>
          <w:highlight w:val="none"/>
        </w:rPr>
        <w:t>每一份投标文件均需编上页次，装订成册（不允许使用活页夹），并要明确注明 “正本”或“副本”字样，一旦正本和副本发现差异，以正本为准。</w:t>
      </w:r>
      <w:r>
        <w:rPr>
          <w:rFonts w:hint="eastAsia" w:ascii="仿宋" w:hAnsi="仿宋" w:eastAsia="仿宋" w:cs="仿宋"/>
          <w:color w:val="auto"/>
          <w:kern w:val="2"/>
          <w:szCs w:val="21"/>
          <w:highlight w:val="none"/>
          <w:lang w:val="zh-CN"/>
        </w:rPr>
        <w:t>所有投标文件必须封入密封完好的信封或包装，封口加盖投标人公章。</w:t>
      </w:r>
    </w:p>
    <w:p>
      <w:pPr>
        <w:tabs>
          <w:tab w:val="left" w:pos="567"/>
        </w:tabs>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17.2</w:t>
      </w:r>
      <w:r>
        <w:rPr>
          <w:rFonts w:hint="eastAsia" w:ascii="仿宋" w:hAnsi="仿宋" w:eastAsia="仿宋" w:cs="仿宋"/>
          <w:color w:val="auto"/>
          <w:kern w:val="2"/>
          <w:szCs w:val="21"/>
          <w:highlight w:val="none"/>
          <w:lang w:val="zh-CN"/>
        </w:rPr>
        <w:tab/>
      </w:r>
      <w:r>
        <w:rPr>
          <w:rFonts w:hint="eastAsia" w:ascii="仿宋" w:hAnsi="仿宋" w:eastAsia="仿宋" w:cs="仿宋"/>
          <w:bCs/>
          <w:color w:val="auto"/>
          <w:kern w:val="2"/>
          <w:szCs w:val="21"/>
          <w:highlight w:val="none"/>
          <w:lang w:val="zh-CN"/>
        </w:rPr>
        <w:t>投标文件正本和副本须打印或用不褪色墨水书写，由投标人法定代表人\负责人或其授权代表签字，后者须将“法人授权委托证明书”以书面形式附在投标文件中。</w:t>
      </w:r>
      <w:r>
        <w:rPr>
          <w:rFonts w:hint="eastAsia" w:ascii="仿宋" w:hAnsi="仿宋" w:eastAsia="仿宋" w:cs="仿宋"/>
          <w:color w:val="auto"/>
          <w:kern w:val="2"/>
          <w:szCs w:val="21"/>
          <w:highlight w:val="none"/>
          <w:lang w:val="zh-CN"/>
        </w:rPr>
        <w:t>副本文件可由正本文件复印而成。</w:t>
      </w:r>
    </w:p>
    <w:p>
      <w:pPr>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17.3</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投标文件须由投标人的合法授权代表正式签署，投标人除可对投标文件的错处作必要修改外，投标文件中不许有加行、涂抹或改写。</w:t>
      </w:r>
      <w:r>
        <w:rPr>
          <w:rFonts w:hint="eastAsia" w:ascii="仿宋" w:hAnsi="仿宋" w:eastAsia="仿宋" w:cs="仿宋"/>
          <w:b/>
          <w:color w:val="auto"/>
          <w:kern w:val="2"/>
          <w:szCs w:val="21"/>
          <w:highlight w:val="none"/>
          <w:lang w:val="zh-CN"/>
        </w:rPr>
        <w:t>任何涂改或修正（如有）须由原签署人签字确认</w:t>
      </w:r>
      <w:r>
        <w:rPr>
          <w:rFonts w:hint="eastAsia" w:ascii="仿宋" w:hAnsi="仿宋" w:eastAsia="仿宋" w:cs="仿宋"/>
          <w:b/>
          <w:bCs/>
          <w:color w:val="auto"/>
          <w:kern w:val="2"/>
          <w:szCs w:val="21"/>
          <w:highlight w:val="none"/>
          <w:lang w:val="zh-CN"/>
        </w:rPr>
        <w:t>，并加盖投标人公章。</w:t>
      </w:r>
    </w:p>
    <w:p>
      <w:pPr>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17.4</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投标文件的[正本]及所有[副本]的</w:t>
      </w:r>
      <w:r>
        <w:rPr>
          <w:rFonts w:hint="eastAsia" w:ascii="仿宋" w:hAnsi="仿宋" w:eastAsia="仿宋" w:cs="仿宋"/>
          <w:b/>
          <w:color w:val="auto"/>
          <w:kern w:val="2"/>
          <w:szCs w:val="21"/>
          <w:highlight w:val="none"/>
          <w:lang w:val="zh-CN"/>
        </w:rPr>
        <w:t>封面及骑缝</w:t>
      </w:r>
      <w:r>
        <w:rPr>
          <w:rFonts w:hint="eastAsia" w:ascii="仿宋" w:hAnsi="仿宋" w:eastAsia="仿宋" w:cs="仿宋"/>
          <w:color w:val="auto"/>
          <w:kern w:val="2"/>
          <w:szCs w:val="21"/>
          <w:highlight w:val="none"/>
          <w:lang w:val="zh-CN"/>
        </w:rPr>
        <w:t>均须由投标人加盖投标人公章。</w:t>
      </w:r>
    </w:p>
    <w:p>
      <w:pPr>
        <w:spacing w:line="360" w:lineRule="auto"/>
        <w:ind w:left="567" w:hanging="567"/>
        <w:jc w:val="both"/>
        <w:rPr>
          <w:rFonts w:ascii="仿宋" w:hAnsi="仿宋" w:eastAsia="仿宋" w:cs="仿宋"/>
          <w:b/>
          <w:bCs/>
          <w:color w:val="auto"/>
          <w:kern w:val="2"/>
          <w:szCs w:val="21"/>
          <w:highlight w:val="none"/>
          <w:u w:val="single"/>
          <w:lang w:val="zh-CN"/>
        </w:rPr>
      </w:pPr>
      <w:r>
        <w:rPr>
          <w:rFonts w:hint="eastAsia" w:ascii="仿宋" w:hAnsi="仿宋" w:eastAsia="仿宋" w:cs="仿宋"/>
          <w:color w:val="auto"/>
          <w:kern w:val="2"/>
          <w:szCs w:val="21"/>
          <w:highlight w:val="none"/>
          <w:lang w:val="zh-CN"/>
        </w:rPr>
        <w:t>17.5</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投标文件的封面应注明“采购项目名称、采购编号、投标人名称、投标日期等”。</w:t>
      </w:r>
    </w:p>
    <w:p>
      <w:pPr>
        <w:spacing w:line="360" w:lineRule="auto"/>
        <w:ind w:left="567" w:hanging="567"/>
        <w:jc w:val="both"/>
        <w:rPr>
          <w:rFonts w:ascii="仿宋" w:hAnsi="仿宋" w:eastAsia="仿宋" w:cs="仿宋"/>
          <w:b/>
          <w:bCs/>
          <w:color w:val="auto"/>
          <w:kern w:val="2"/>
          <w:szCs w:val="21"/>
          <w:highlight w:val="none"/>
          <w:lang w:val="zh-CN"/>
        </w:rPr>
      </w:pPr>
      <w:r>
        <w:rPr>
          <w:rFonts w:hint="eastAsia" w:ascii="仿宋" w:hAnsi="仿宋" w:eastAsia="仿宋" w:cs="仿宋"/>
          <w:color w:val="auto"/>
          <w:kern w:val="2"/>
          <w:szCs w:val="21"/>
          <w:highlight w:val="none"/>
          <w:lang w:val="zh-CN"/>
        </w:rPr>
        <w:t>17.6</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电子文件用U盘储存，并密封于“唱标信封”内。</w:t>
      </w:r>
    </w:p>
    <w:p>
      <w:pPr>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17.7</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电报、电传、传真的投标概不接受。</w:t>
      </w:r>
    </w:p>
    <w:p>
      <w:pPr>
        <w:spacing w:line="360" w:lineRule="auto"/>
        <w:ind w:left="567" w:hanging="567"/>
        <w:jc w:val="both"/>
        <w:rPr>
          <w:rFonts w:hAnsi="宋体" w:cs="宋体"/>
          <w:color w:val="auto"/>
          <w:kern w:val="2"/>
          <w:szCs w:val="21"/>
          <w:highlight w:val="none"/>
          <w:u w:val="single"/>
          <w:lang w:val="zh-CN"/>
        </w:rPr>
      </w:pPr>
    </w:p>
    <w:p>
      <w:pPr>
        <w:pStyle w:val="5"/>
        <w:spacing w:line="360" w:lineRule="auto"/>
        <w:rPr>
          <w:rFonts w:hAnsi="宋体" w:cs="宋体"/>
          <w:color w:val="auto"/>
          <w:kern w:val="44"/>
          <w:szCs w:val="21"/>
          <w:highlight w:val="none"/>
          <w:lang w:val="zh-CN"/>
        </w:rPr>
      </w:pPr>
      <w:bookmarkStart w:id="3" w:name="_Toc413396492"/>
      <w:r>
        <w:rPr>
          <w:rFonts w:hint="eastAsia" w:hAnsi="宋体" w:cs="宋体"/>
          <w:color w:val="auto"/>
          <w:kern w:val="44"/>
          <w:szCs w:val="21"/>
          <w:highlight w:val="none"/>
          <w:lang w:val="zh-CN"/>
        </w:rPr>
        <w:t>（四）投标文件的递交</w:t>
      </w:r>
      <w:bookmarkEnd w:id="3"/>
    </w:p>
    <w:p>
      <w:pPr>
        <w:tabs>
          <w:tab w:val="left" w:pos="567"/>
        </w:tabs>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18</w:t>
      </w: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Pr>
          <w:rFonts w:hint="eastAsia" w:ascii="仿宋" w:hAnsi="仿宋" w:eastAsia="仿宋" w:cs="仿宋"/>
          <w:color w:val="auto"/>
          <w:kern w:val="2"/>
          <w:szCs w:val="21"/>
          <w:highlight w:val="none"/>
          <w:lang w:val="zh-CN"/>
        </w:rPr>
        <w:t>投标文件的密封和标记：</w:t>
      </w:r>
    </w:p>
    <w:p>
      <w:pPr>
        <w:tabs>
          <w:tab w:val="left" w:pos="567"/>
        </w:tabs>
        <w:spacing w:line="360" w:lineRule="auto"/>
        <w:ind w:left="567" w:right="18"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18.1</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投标人应将投标文件（不含唱标信封）一起密封在一个不透明的外层封装中。</w:t>
      </w:r>
    </w:p>
    <w:p>
      <w:pPr>
        <w:tabs>
          <w:tab w:val="left" w:pos="567"/>
        </w:tabs>
        <w:spacing w:line="360" w:lineRule="auto"/>
        <w:ind w:left="567" w:right="18"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18.2</w:t>
      </w:r>
      <w:r>
        <w:rPr>
          <w:rFonts w:hint="eastAsia" w:ascii="仿宋" w:hAnsi="仿宋" w:eastAsia="仿宋" w:cs="仿宋"/>
          <w:color w:val="auto"/>
          <w:kern w:val="2"/>
          <w:szCs w:val="21"/>
          <w:highlight w:val="none"/>
          <w:lang w:val="zh-CN"/>
        </w:rPr>
        <w:tab/>
      </w:r>
      <w:r>
        <w:rPr>
          <w:rFonts w:hint="eastAsia" w:ascii="仿宋" w:hAnsi="仿宋" w:eastAsia="仿宋" w:cs="仿宋"/>
          <w:b/>
          <w:bCs/>
          <w:color w:val="auto"/>
          <w:kern w:val="2"/>
          <w:szCs w:val="21"/>
          <w:highlight w:val="none"/>
          <w:lang w:val="zh-CN"/>
        </w:rPr>
        <w:t>唱标信封应单独密封并加盖投标人公章，与投标文件一同提交。</w:t>
      </w:r>
    </w:p>
    <w:p>
      <w:pPr>
        <w:spacing w:line="360" w:lineRule="auto"/>
        <w:ind w:left="567" w:right="18"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18.3</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投标文件密封封装标记：外层密封封装表面应正确标明投标人名称、地址、项目名称、包号（如有）、投标文件名称、并注明投标文件递交截止时间之前不得开封（在封口位置的封条上标注注明），封口位置须加盖投标人公章；</w:t>
      </w:r>
    </w:p>
    <w:p>
      <w:pPr>
        <w:tabs>
          <w:tab w:val="left" w:pos="567"/>
        </w:tabs>
        <w:spacing w:line="360" w:lineRule="auto"/>
        <w:ind w:left="567" w:right="18"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18.4</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如果因密封封装未按本款规定密封和标记，导致采购代理机构对投标文件误投、提前拆封或错放的，由投标承担责任。对由此造成提前开封的投标文件，采购代理机构予以拒绝，并退回投标人。</w:t>
      </w:r>
    </w:p>
    <w:p>
      <w:pPr>
        <w:tabs>
          <w:tab w:val="left" w:pos="567"/>
        </w:tabs>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19</w:t>
      </w: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Pr>
          <w:rFonts w:hint="eastAsia" w:ascii="仿宋" w:hAnsi="仿宋" w:eastAsia="仿宋" w:cs="仿宋"/>
          <w:bCs/>
          <w:color w:val="auto"/>
          <w:szCs w:val="21"/>
          <w:highlight w:val="none"/>
        </w:rPr>
        <w:t>投标文件的递交、接收和密封</w:t>
      </w:r>
    </w:p>
    <w:p>
      <w:pPr>
        <w:tabs>
          <w:tab w:val="left" w:pos="0"/>
        </w:tabs>
        <w:spacing w:line="360" w:lineRule="auto"/>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19.1 投标人代表应按《投标须知前附表》所规定的时间和地点向代理机构递交投标文件。</w:t>
      </w:r>
    </w:p>
    <w:p>
      <w:pPr>
        <w:tabs>
          <w:tab w:val="left" w:pos="567"/>
        </w:tabs>
        <w:spacing w:line="360" w:lineRule="auto"/>
        <w:ind w:left="569" w:hanging="569" w:hangingChars="270"/>
        <w:jc w:val="both"/>
        <w:rPr>
          <w:rFonts w:ascii="仿宋" w:hAnsi="仿宋" w:eastAsia="仿宋" w:cs="仿宋"/>
          <w:b/>
          <w:color w:val="auto"/>
          <w:kern w:val="2"/>
          <w:szCs w:val="21"/>
          <w:highlight w:val="none"/>
          <w:lang w:val="zh-CN"/>
        </w:rPr>
      </w:pPr>
      <w:r>
        <w:rPr>
          <w:rFonts w:hint="eastAsia" w:ascii="仿宋" w:hAnsi="仿宋" w:eastAsia="仿宋" w:cs="仿宋"/>
          <w:b/>
          <w:color w:val="auto"/>
          <w:kern w:val="2"/>
          <w:szCs w:val="21"/>
          <w:highlight w:val="none"/>
          <w:lang w:val="zh-CN"/>
        </w:rPr>
        <w:t>19.2 投标人应凭</w:t>
      </w:r>
      <w:r>
        <w:rPr>
          <w:rFonts w:hint="eastAsia" w:ascii="仿宋" w:hAnsi="仿宋" w:eastAsia="仿宋" w:cs="仿宋"/>
          <w:b/>
          <w:color w:val="auto"/>
          <w:szCs w:val="21"/>
          <w:highlight w:val="none"/>
          <w:lang w:val="zh-CN"/>
        </w:rPr>
        <w:t>以下资料递交投标文件：法定代表人\负责人证明书原件、法定代表人\负责人授权委托书原件（非法投标人应凭定代表人参加时提供）、投标人授权代表本人身份证原件；</w:t>
      </w:r>
    </w:p>
    <w:p>
      <w:pPr>
        <w:tabs>
          <w:tab w:val="left" w:pos="0"/>
        </w:tabs>
        <w:spacing w:line="360" w:lineRule="auto"/>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19.3 若出现以下情况，采购人将拒绝接收投标文件：</w:t>
      </w:r>
    </w:p>
    <w:p>
      <w:pPr>
        <w:tabs>
          <w:tab w:val="left" w:pos="0"/>
        </w:tabs>
        <w:spacing w:line="360" w:lineRule="auto"/>
        <w:ind w:firstLine="525" w:firstLineChars="25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19.3.1 在投标截止时间后逾期或未在指定地点递交投标文件的；</w:t>
      </w:r>
    </w:p>
    <w:p>
      <w:pPr>
        <w:tabs>
          <w:tab w:val="left" w:pos="0"/>
        </w:tabs>
        <w:spacing w:line="360" w:lineRule="auto"/>
        <w:ind w:firstLine="525" w:firstLineChars="25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19.3.2 投标文件未密封的；</w:t>
      </w:r>
    </w:p>
    <w:p>
      <w:pPr>
        <w:tabs>
          <w:tab w:val="left" w:pos="0"/>
        </w:tabs>
        <w:spacing w:line="360" w:lineRule="auto"/>
        <w:ind w:left="1200" w:leftChars="220" w:hanging="738" w:hangingChars="350"/>
        <w:jc w:val="both"/>
        <w:rPr>
          <w:rFonts w:ascii="仿宋" w:hAnsi="仿宋" w:eastAsia="仿宋" w:cs="仿宋"/>
          <w:b/>
          <w:color w:val="auto"/>
          <w:kern w:val="2"/>
          <w:szCs w:val="21"/>
          <w:highlight w:val="none"/>
          <w:lang w:val="zh-CN"/>
        </w:rPr>
      </w:pPr>
      <w:r>
        <w:rPr>
          <w:rFonts w:hint="eastAsia" w:ascii="仿宋" w:hAnsi="仿宋" w:eastAsia="仿宋" w:cs="仿宋"/>
          <w:b/>
          <w:color w:val="auto"/>
          <w:kern w:val="2"/>
          <w:szCs w:val="21"/>
          <w:highlight w:val="none"/>
          <w:lang w:val="zh-CN"/>
        </w:rPr>
        <w:t>19.3.3 在投标截止时，投标人授权代表未凭法定代表人\负责人证明书原件、法定代表人\负责人授权委托书原件（非法定代表人\负责人参加时提供）、本人身份证原件递交投标文件的。</w:t>
      </w:r>
    </w:p>
    <w:p>
      <w:pPr>
        <w:tabs>
          <w:tab w:val="left" w:pos="0"/>
        </w:tabs>
        <w:spacing w:line="360" w:lineRule="auto"/>
        <w:ind w:left="420" w:hanging="420" w:hangingChars="20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19.4 如投标文件不能在接收标书当天开启时，须按机密件集中封存在指定的地点，并由投标人全体见证密封，开标前再从封标室解封、取出。</w:t>
      </w:r>
    </w:p>
    <w:p>
      <w:pPr>
        <w:tabs>
          <w:tab w:val="left" w:pos="0"/>
        </w:tabs>
        <w:spacing w:line="360" w:lineRule="auto"/>
        <w:ind w:left="420" w:hanging="420" w:hangingChars="20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19.5 全体投标人应见证封标及标书的解封、取出过程,如投标人不参加见证封标及标书的解封、取出过程，视同认可投标文件的封存的解封、取出过程与结果。</w:t>
      </w:r>
    </w:p>
    <w:p>
      <w:pPr>
        <w:tabs>
          <w:tab w:val="left" w:pos="0"/>
        </w:tabs>
        <w:spacing w:line="360" w:lineRule="auto"/>
        <w:ind w:left="525" w:hanging="525" w:hangingChars="25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19.6 采购人可按照第7款的规定修改招标文件并酌情延长递交投标文件的截止时间，因此，业已规定的采购代理机构和投标人的一切权利和义务将按延期后的递交投标文件截止时间履行。</w:t>
      </w:r>
    </w:p>
    <w:p>
      <w:pPr>
        <w:tabs>
          <w:tab w:val="left" w:pos="567"/>
        </w:tabs>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20</w:t>
      </w: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Pr>
          <w:rFonts w:hint="eastAsia" w:ascii="仿宋" w:hAnsi="仿宋" w:eastAsia="仿宋" w:cs="仿宋"/>
          <w:color w:val="auto"/>
          <w:kern w:val="2"/>
          <w:szCs w:val="21"/>
          <w:highlight w:val="none"/>
          <w:lang w:val="zh-CN"/>
        </w:rPr>
        <w:t>迟交的投标文件</w:t>
      </w:r>
    </w:p>
    <w:p>
      <w:pPr>
        <w:spacing w:line="360" w:lineRule="auto"/>
        <w:ind w:firstLine="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根据第19款规定，采购代理机构将拒绝任何晚于递交投标文件截止时间交到的投标文件。</w:t>
      </w:r>
    </w:p>
    <w:p>
      <w:pPr>
        <w:tabs>
          <w:tab w:val="left" w:pos="567"/>
        </w:tabs>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21</w:t>
      </w: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Pr>
          <w:rFonts w:hint="eastAsia" w:ascii="仿宋" w:hAnsi="仿宋" w:eastAsia="仿宋" w:cs="仿宋"/>
          <w:color w:val="auto"/>
          <w:kern w:val="2"/>
          <w:szCs w:val="21"/>
          <w:highlight w:val="none"/>
          <w:lang w:val="zh-CN"/>
        </w:rPr>
        <w:t>投标文件的修改和撤回</w:t>
      </w:r>
    </w:p>
    <w:p>
      <w:pPr>
        <w:tabs>
          <w:tab w:val="left" w:pos="567"/>
        </w:tabs>
        <w:spacing w:line="360" w:lineRule="auto"/>
        <w:ind w:left="567" w:right="18"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21.1</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投标人可在递交投标文件截止时间前对其递交的投标文件进行修改或撤回，但须在递交投标文件截止时间前向采购代理机构提出修改或撤回的书面通知。</w:t>
      </w:r>
    </w:p>
    <w:p>
      <w:pPr>
        <w:spacing w:line="360" w:lineRule="auto"/>
        <w:ind w:left="567" w:right="18"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21.2</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投标人对投标文件的修改或撤回的通知应按第17款和第18款规定进行准备、密封、标注和递送。</w:t>
      </w:r>
    </w:p>
    <w:p>
      <w:pPr>
        <w:spacing w:line="360" w:lineRule="auto"/>
        <w:ind w:left="567" w:right="18"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21.3</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递交投标文件截止时间后，投标人不得修改投标文件。</w:t>
      </w:r>
    </w:p>
    <w:p>
      <w:pPr>
        <w:spacing w:line="360" w:lineRule="auto"/>
        <w:ind w:left="567" w:right="18"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21.4</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投标人不得在递交投标文件截止时间起至第16款规定的投标有效期期满前撤回其投标文件。</w:t>
      </w:r>
    </w:p>
    <w:p>
      <w:pPr>
        <w:spacing w:line="360" w:lineRule="auto"/>
        <w:ind w:left="567" w:right="18"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21.5  采购代理机构收到投标文件后，应当如实记载投标文件的送达时间和密封情况，签收保存，并向投标人出具签收回执。任何单位和个人不得在开标前开启投标文件。</w:t>
      </w:r>
    </w:p>
    <w:p>
      <w:pPr>
        <w:pStyle w:val="120"/>
        <w:rPr>
          <w:color w:val="auto"/>
          <w:highlight w:val="none"/>
          <w:lang w:val="zh-CN"/>
        </w:rPr>
      </w:pPr>
    </w:p>
    <w:p>
      <w:pPr>
        <w:pStyle w:val="5"/>
        <w:spacing w:line="360" w:lineRule="auto"/>
        <w:rPr>
          <w:rFonts w:hAnsi="宋体" w:cs="宋体"/>
          <w:color w:val="auto"/>
          <w:kern w:val="44"/>
          <w:szCs w:val="21"/>
          <w:highlight w:val="none"/>
          <w:lang w:val="zh-CN"/>
        </w:rPr>
      </w:pPr>
      <w:bookmarkStart w:id="4" w:name="_Toc413396493"/>
      <w:r>
        <w:rPr>
          <w:rFonts w:hint="eastAsia" w:hAnsi="宋体" w:cs="宋体"/>
          <w:color w:val="auto"/>
          <w:kern w:val="44"/>
          <w:szCs w:val="21"/>
          <w:highlight w:val="none"/>
          <w:lang w:val="zh-CN"/>
        </w:rPr>
        <w:t>（五）开标、评标与定标</w:t>
      </w:r>
      <w:bookmarkEnd w:id="4"/>
    </w:p>
    <w:p>
      <w:pPr>
        <w:tabs>
          <w:tab w:val="left" w:pos="567"/>
        </w:tabs>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22</w:t>
      </w: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Pr>
          <w:rFonts w:hint="eastAsia" w:ascii="仿宋" w:hAnsi="仿宋" w:eastAsia="仿宋" w:cs="仿宋"/>
          <w:color w:val="auto"/>
          <w:kern w:val="2"/>
          <w:szCs w:val="21"/>
          <w:highlight w:val="none"/>
          <w:lang w:val="zh-CN"/>
        </w:rPr>
        <w:t>开标</w:t>
      </w:r>
    </w:p>
    <w:p>
      <w:pPr>
        <w:tabs>
          <w:tab w:val="left" w:pos="567"/>
        </w:tabs>
        <w:spacing w:line="360" w:lineRule="auto"/>
        <w:ind w:left="567" w:right="18"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22.1</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采购代理机构在投标人代表自愿出席的情况下，在</w:t>
      </w:r>
      <w:r>
        <w:rPr>
          <w:rFonts w:hint="eastAsia" w:ascii="仿宋" w:hAnsi="仿宋" w:eastAsia="仿宋" w:cs="仿宋"/>
          <w:color w:val="auto"/>
          <w:szCs w:val="21"/>
          <w:highlight w:val="none"/>
        </w:rPr>
        <w:t>《投标须知前附表》</w:t>
      </w:r>
      <w:r>
        <w:rPr>
          <w:rFonts w:hint="eastAsia" w:ascii="仿宋" w:hAnsi="仿宋" w:eastAsia="仿宋" w:cs="仿宋"/>
          <w:color w:val="auto"/>
          <w:kern w:val="2"/>
          <w:szCs w:val="21"/>
          <w:highlight w:val="none"/>
          <w:lang w:val="zh-CN"/>
        </w:rPr>
        <w:t>规定的地点和时间开标, 出席代表需登记以示出席。如投标人代表（法定代表人\负责人或其授权代表）不到开标现场，视同认可开标结果。</w:t>
      </w:r>
    </w:p>
    <w:p>
      <w:pPr>
        <w:spacing w:line="360" w:lineRule="auto"/>
        <w:ind w:left="567" w:right="18"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22.2</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按照第21款规定，提交了可接受的“撤回”通知的投标文件将不予开封。</w:t>
      </w:r>
    </w:p>
    <w:p>
      <w:pPr>
        <w:spacing w:line="360" w:lineRule="auto"/>
        <w:ind w:left="567" w:right="18"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22.3  递交投标文件截止时间后，</w:t>
      </w:r>
      <w:r>
        <w:rPr>
          <w:rFonts w:hint="eastAsia" w:ascii="仿宋" w:hAnsi="仿宋" w:eastAsia="仿宋" w:cs="仿宋"/>
          <w:color w:val="auto"/>
          <w:szCs w:val="21"/>
          <w:highlight w:val="none"/>
          <w:lang w:val="zh-CN"/>
        </w:rPr>
        <w:t>监督人员和投标人代表将对所有的投标文件的密封性进行检查。</w:t>
      </w:r>
      <w:r>
        <w:rPr>
          <w:rFonts w:hint="eastAsia" w:ascii="仿宋" w:hAnsi="仿宋" w:eastAsia="仿宋" w:cs="仿宋"/>
          <w:color w:val="auto"/>
          <w:kern w:val="2"/>
          <w:szCs w:val="21"/>
          <w:highlight w:val="none"/>
          <w:lang w:val="zh-CN"/>
        </w:rPr>
        <w:t>采购代理机构将当众宣读投标人名称、投标报价、折扣声明，以及招标文件规定要宣布的其他内容。若采购代理机构宣读的结果与投标文件不符时，投标人有权在开标现场提出异议，经有关监督人员或公证人员当场核查确认之后，可重新宣读其投标文件。若投标人现场未提出异议，则视为投标人确认宣读的结果。</w:t>
      </w:r>
    </w:p>
    <w:p>
      <w:pPr>
        <w:spacing w:line="360" w:lineRule="auto"/>
        <w:ind w:left="567" w:right="18"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22.4</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投标文件的投标报价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360" w:lineRule="auto"/>
        <w:ind w:left="567" w:right="18"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 xml:space="preserve">22.5 </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360" w:lineRule="auto"/>
        <w:ind w:left="567" w:right="18"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22.6  开标过程由采购代理机构负责记录，由参加开标的各投标人代表和相关工作人员签字确认后随采购文件一并存档。</w:t>
      </w:r>
    </w:p>
    <w:p>
      <w:pPr>
        <w:tabs>
          <w:tab w:val="left" w:pos="567"/>
        </w:tabs>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23</w:t>
      </w: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Pr>
          <w:rFonts w:hint="eastAsia" w:ascii="仿宋" w:hAnsi="仿宋" w:eastAsia="仿宋" w:cs="仿宋"/>
          <w:color w:val="auto"/>
          <w:szCs w:val="21"/>
          <w:highlight w:val="none"/>
        </w:rPr>
        <w:t>评标过程的保密性</w:t>
      </w:r>
    </w:p>
    <w:p>
      <w:pPr>
        <w:tabs>
          <w:tab w:val="left" w:pos="567"/>
        </w:tabs>
        <w:spacing w:line="360" w:lineRule="auto"/>
        <w:ind w:left="567" w:right="18"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23.1</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递交投标文件后，直至向中标人授予合同时止，凡与审查、澄清、评估和比较投标报价的有关资料以及</w:t>
      </w:r>
      <w:r>
        <w:rPr>
          <w:rFonts w:hint="eastAsia" w:ascii="仿宋" w:hAnsi="仿宋" w:eastAsia="仿宋" w:cs="仿宋"/>
          <w:color w:val="auto"/>
          <w:szCs w:val="21"/>
          <w:highlight w:val="none"/>
        </w:rPr>
        <w:t>授标</w:t>
      </w:r>
      <w:r>
        <w:rPr>
          <w:rFonts w:hint="eastAsia" w:ascii="仿宋" w:hAnsi="仿宋" w:eastAsia="仿宋" w:cs="仿宋"/>
          <w:color w:val="auto"/>
          <w:kern w:val="2"/>
          <w:szCs w:val="21"/>
          <w:highlight w:val="none"/>
          <w:lang w:val="zh-CN"/>
        </w:rPr>
        <w:t>意见等，</w:t>
      </w:r>
      <w:r>
        <w:rPr>
          <w:rFonts w:hint="eastAsia" w:ascii="仿宋" w:hAnsi="仿宋" w:eastAsia="仿宋" w:cs="仿宋"/>
          <w:color w:val="auto"/>
          <w:szCs w:val="21"/>
          <w:highlight w:val="none"/>
        </w:rPr>
        <w:t>参与评标工作的有关人员</w:t>
      </w:r>
      <w:r>
        <w:rPr>
          <w:rFonts w:hint="eastAsia" w:ascii="仿宋" w:hAnsi="仿宋" w:eastAsia="仿宋" w:cs="仿宋"/>
          <w:color w:val="auto"/>
          <w:kern w:val="2"/>
          <w:szCs w:val="21"/>
          <w:highlight w:val="none"/>
          <w:lang w:val="zh-CN"/>
        </w:rPr>
        <w:t>均不得向投标人及与评审无关的其他人透露，否则追究有关当事人的法律责任。</w:t>
      </w:r>
    </w:p>
    <w:p>
      <w:pPr>
        <w:tabs>
          <w:tab w:val="left" w:pos="567"/>
        </w:tabs>
        <w:spacing w:line="360" w:lineRule="auto"/>
        <w:ind w:left="567" w:right="18"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23.2</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在评标过程中，如果投标人试图在投标文件审查、澄清、比较及授予合同方面向采购代理机构和采购人施加任何影响，其投标文件将被拒绝。</w:t>
      </w:r>
    </w:p>
    <w:p>
      <w:pPr>
        <w:autoSpaceDE/>
        <w:autoSpaceDN/>
        <w:adjustRightInd/>
        <w:spacing w:line="360" w:lineRule="auto"/>
        <w:ind w:left="525" w:hanging="525" w:hangingChars="250"/>
        <w:jc w:val="both"/>
        <w:rPr>
          <w:rFonts w:ascii="仿宋" w:hAnsi="仿宋" w:eastAsia="仿宋" w:cs="仿宋"/>
          <w:color w:val="auto"/>
          <w:szCs w:val="21"/>
          <w:highlight w:val="none"/>
        </w:rPr>
      </w:pPr>
      <w:r>
        <w:rPr>
          <w:rFonts w:hint="eastAsia" w:ascii="仿宋" w:hAnsi="仿宋" w:eastAsia="仿宋" w:cs="仿宋"/>
          <w:color w:val="auto"/>
          <w:szCs w:val="21"/>
          <w:highlight w:val="none"/>
          <w:lang w:val="zh-CN"/>
        </w:rPr>
        <w:t xml:space="preserve">23.3  </w:t>
      </w:r>
      <w:r>
        <w:rPr>
          <w:rFonts w:hint="eastAsia" w:ascii="仿宋" w:hAnsi="仿宋" w:eastAsia="仿宋" w:cs="仿宋"/>
          <w:color w:val="auto"/>
          <w:szCs w:val="21"/>
          <w:highlight w:val="none"/>
        </w:rPr>
        <w:t>凡参与评标工作的有关人员均应自觉接受相关政府采购主管部门的监督，不得向他人透露已获得招标文件的潜在投标人的名称、数量以及可能影响公平竞争的有关投标报价的其他情况。</w:t>
      </w:r>
    </w:p>
    <w:p>
      <w:pPr>
        <w:tabs>
          <w:tab w:val="left" w:pos="567"/>
        </w:tabs>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24</w:t>
      </w: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Pr>
          <w:rFonts w:hint="eastAsia" w:ascii="仿宋" w:hAnsi="仿宋" w:eastAsia="仿宋" w:cs="仿宋"/>
          <w:color w:val="auto"/>
          <w:kern w:val="2"/>
          <w:szCs w:val="21"/>
          <w:highlight w:val="none"/>
          <w:lang w:val="zh-CN"/>
        </w:rPr>
        <w:t>评标委员会</w:t>
      </w:r>
    </w:p>
    <w:p>
      <w:pPr>
        <w:tabs>
          <w:tab w:val="left" w:pos="567"/>
        </w:tabs>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24.1</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采购代理机构依法组建评标委员会。评标委员会成员由采购人的代表和技术、经济等方面的专家组成，成员为</w:t>
      </w:r>
      <w:r>
        <w:rPr>
          <w:rFonts w:hint="eastAsia" w:ascii="仿宋" w:hAnsi="仿宋" w:eastAsia="仿宋" w:cs="仿宋"/>
          <w:color w:val="auto"/>
          <w:kern w:val="2"/>
          <w:szCs w:val="21"/>
          <w:highlight w:val="none"/>
          <w:u w:val="single"/>
          <w:lang w:val="zh-CN"/>
        </w:rPr>
        <w:t xml:space="preserve"> </w:t>
      </w:r>
      <w:r>
        <w:rPr>
          <w:rFonts w:hint="eastAsia" w:ascii="仿宋" w:hAnsi="仿宋" w:eastAsia="仿宋" w:cs="仿宋"/>
          <w:color w:val="auto"/>
          <w:kern w:val="2"/>
          <w:szCs w:val="21"/>
          <w:highlight w:val="none"/>
          <w:u w:val="single"/>
        </w:rPr>
        <w:t xml:space="preserve">5 </w:t>
      </w:r>
      <w:r>
        <w:rPr>
          <w:rFonts w:hint="eastAsia" w:ascii="仿宋" w:hAnsi="仿宋" w:eastAsia="仿宋" w:cs="仿宋"/>
          <w:color w:val="auto"/>
          <w:kern w:val="2"/>
          <w:szCs w:val="21"/>
          <w:highlight w:val="none"/>
          <w:lang w:val="zh-CN"/>
        </w:rPr>
        <w:t>名或以上单数，其中，采购人代表1名，技术、经济等方面的专家在开标前两个工作日内由</w:t>
      </w:r>
      <w:r>
        <w:rPr>
          <w:rFonts w:hint="eastAsia" w:ascii="仿宋" w:hAnsi="仿宋" w:eastAsia="仿宋" w:cs="仿宋"/>
          <w:color w:val="auto"/>
          <w:kern w:val="2"/>
          <w:szCs w:val="21"/>
          <w:highlight w:val="none"/>
        </w:rPr>
        <w:t>财政部</w:t>
      </w:r>
      <w:r>
        <w:rPr>
          <w:rFonts w:hint="eastAsia" w:ascii="仿宋" w:hAnsi="仿宋" w:eastAsia="仿宋" w:cs="仿宋"/>
          <w:color w:val="auto"/>
          <w:kern w:val="2"/>
          <w:szCs w:val="21"/>
          <w:highlight w:val="none"/>
          <w:lang w:val="zh-CN"/>
        </w:rPr>
        <w:t>政府采购专家库中随机抽取产生。评标委员会的成员在评标过程中必须严格遵守相关招标投标规定。</w:t>
      </w:r>
    </w:p>
    <w:p>
      <w:pPr>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24.2</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评标委员会将只对确定为实质上响应招标文件要求的投标，即通过初审的投标进行评价和比较，响应的依据是招标文件本身的内容，而不寻求其它证据。实质上响应的投标应该是与招标文件要求的全部主要条款、条件和规格相符，没有重大偏离的投标。</w:t>
      </w:r>
    </w:p>
    <w:p>
      <w:pPr>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24.3</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评标委员会依法根据招标文件的规定，进行投标文件的评审、得出评审结果，评标委员会递交评标报告并依法向采购人推荐中标候选人。</w:t>
      </w:r>
    </w:p>
    <w:p>
      <w:pPr>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24.4 所有参加评标人员必须遵守国家、地方政府制定的有关招标投标的法则、规定，遵守有关招标投标的保密制度；如有违反者，给予行政处分；情节严重，构成犯罪的，由司法机关依法追究其刑事责任。</w:t>
      </w:r>
    </w:p>
    <w:p>
      <w:pPr>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24.5 全体参与评标人员：</w:t>
      </w:r>
    </w:p>
    <w:p>
      <w:pPr>
        <w:spacing w:line="360" w:lineRule="auto"/>
        <w:ind w:left="504" w:leftChars="220" w:hanging="42" w:hangingChars="2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24.5.1 必须遵守评标纪律、不得泄密；</w:t>
      </w:r>
    </w:p>
    <w:p>
      <w:pPr>
        <w:spacing w:line="360" w:lineRule="auto"/>
        <w:ind w:left="504" w:leftChars="220" w:hanging="42" w:hangingChars="2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24.5.2 必须公正、不得徇私；</w:t>
      </w:r>
    </w:p>
    <w:p>
      <w:pPr>
        <w:spacing w:line="360" w:lineRule="auto"/>
        <w:ind w:left="504" w:leftChars="220" w:hanging="42" w:hangingChars="2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24.5.3 必须科学、不得草率；</w:t>
      </w:r>
    </w:p>
    <w:p>
      <w:pPr>
        <w:spacing w:line="360" w:lineRule="auto"/>
        <w:ind w:left="504" w:leftChars="220" w:hanging="42" w:hangingChars="2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24.5.4 必须客观、不得带有成见；</w:t>
      </w:r>
    </w:p>
    <w:p>
      <w:pPr>
        <w:spacing w:line="360" w:lineRule="auto"/>
        <w:ind w:left="504" w:leftChars="220" w:hanging="42" w:hangingChars="2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24.5.5 必须平等、不得强加于人；</w:t>
      </w:r>
    </w:p>
    <w:p>
      <w:pPr>
        <w:spacing w:line="360" w:lineRule="auto"/>
        <w:ind w:left="504" w:leftChars="220" w:hanging="42" w:hangingChars="2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24.5.6 必须严谨、不得随意马虎。</w:t>
      </w:r>
    </w:p>
    <w:p>
      <w:pPr>
        <w:tabs>
          <w:tab w:val="left" w:pos="567"/>
        </w:tabs>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25</w:t>
      </w: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Pr>
          <w:rFonts w:hint="eastAsia" w:ascii="仿宋" w:hAnsi="仿宋" w:eastAsia="仿宋" w:cs="仿宋"/>
          <w:color w:val="auto"/>
          <w:kern w:val="2"/>
          <w:szCs w:val="21"/>
          <w:highlight w:val="none"/>
          <w:lang w:val="zh-CN"/>
        </w:rPr>
        <w:t>投标文件的初审</w:t>
      </w:r>
    </w:p>
    <w:p>
      <w:pPr>
        <w:spacing w:line="360" w:lineRule="auto"/>
        <w:ind w:left="540" w:hanging="540"/>
        <w:jc w:val="both"/>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lang w:val="zh-CN"/>
        </w:rPr>
        <w:t>25.1 资格性检查：依据法律法规和招标文件的规定，由采购人或采购代理机构负责对投标文件中的资格证明等进行审查，以确定投标人是否具备投标资格。</w:t>
      </w:r>
      <w:r>
        <w:rPr>
          <w:rFonts w:hint="eastAsia" w:ascii="仿宋" w:hAnsi="仿宋" w:eastAsia="仿宋" w:cs="仿宋"/>
          <w:color w:val="auto"/>
          <w:szCs w:val="21"/>
          <w:highlight w:val="none"/>
        </w:rPr>
        <w:t>详见评标工作大纲。</w:t>
      </w:r>
    </w:p>
    <w:p>
      <w:pPr>
        <w:spacing w:line="360" w:lineRule="auto"/>
        <w:ind w:left="540" w:hanging="540"/>
        <w:jc w:val="both"/>
        <w:rPr>
          <w:rFonts w:ascii="仿宋" w:hAnsi="仿宋" w:eastAsia="仿宋" w:cs="仿宋"/>
          <w:color w:val="auto"/>
          <w:szCs w:val="21"/>
          <w:highlight w:val="none"/>
        </w:rPr>
      </w:pPr>
      <w:r>
        <w:rPr>
          <w:rFonts w:hint="eastAsia" w:ascii="仿宋" w:hAnsi="仿宋" w:eastAsia="仿宋" w:cs="仿宋"/>
          <w:color w:val="auto"/>
          <w:kern w:val="2"/>
          <w:szCs w:val="21"/>
          <w:highlight w:val="none"/>
          <w:lang w:val="zh-CN"/>
        </w:rPr>
        <w:t>25.2 符合性检查：依据招标文件的规定，评审专家负责从投标文件的有效性、完整性和对招标文件的响应程度进行审查，以确定是否对招标文件的实质性要求作出响应。（具体内容</w:t>
      </w:r>
      <w:r>
        <w:rPr>
          <w:rFonts w:hint="eastAsia" w:ascii="仿宋" w:hAnsi="仿宋" w:eastAsia="仿宋" w:cs="仿宋"/>
          <w:color w:val="auto"/>
          <w:szCs w:val="21"/>
          <w:highlight w:val="none"/>
        </w:rPr>
        <w:t>详见评标工作大纲）</w:t>
      </w:r>
    </w:p>
    <w:p>
      <w:pPr>
        <w:tabs>
          <w:tab w:val="left" w:pos="567"/>
        </w:tabs>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26</w:t>
      </w: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Pr>
          <w:rFonts w:hint="eastAsia" w:ascii="仿宋" w:hAnsi="仿宋" w:eastAsia="仿宋" w:cs="仿宋"/>
          <w:color w:val="auto"/>
          <w:kern w:val="2"/>
          <w:szCs w:val="21"/>
          <w:highlight w:val="none"/>
          <w:lang w:val="zh-CN"/>
        </w:rPr>
        <w:t>投标文件的澄清</w:t>
      </w:r>
    </w:p>
    <w:p>
      <w:pPr>
        <w:tabs>
          <w:tab w:val="left" w:pos="540"/>
        </w:tabs>
        <w:spacing w:line="360" w:lineRule="auto"/>
        <w:ind w:left="540" w:right="18" w:hanging="54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26.1 为有助于投标文件的审查、评价和比较，评标期间，经评标委员会以书面形式提出动议，评标委员会书面发出澄清通知，要求投标人对投标文件含义不明确、同类问题表述不一致或者有明显文字和计算错误的内容作出澄清。</w:t>
      </w:r>
    </w:p>
    <w:p>
      <w:pPr>
        <w:tabs>
          <w:tab w:val="left" w:pos="540"/>
        </w:tabs>
        <w:spacing w:line="360" w:lineRule="auto"/>
        <w:ind w:left="540" w:right="18" w:hanging="54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26.2 投标人应以书面形式进行澄清、说明或补正，澄清、说明或补正的内容属于投标文件的组成部分，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除上述规定的情形之外，评标委员会在评审过程中，不得接收来自评审现场以外的任何形式的文件资料。除评标委员会主动要求澄清、说明或者纠正外，评标定标期间，任何投标人均不得就与其投标相关的任何问题与评标委员会联系。</w:t>
      </w:r>
    </w:p>
    <w:p>
      <w:pPr>
        <w:tabs>
          <w:tab w:val="left" w:pos="540"/>
        </w:tabs>
        <w:spacing w:line="360" w:lineRule="auto"/>
        <w:ind w:left="540" w:right="18" w:hanging="54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26.3 评标委员会成员均应当阅读投标人的澄清，但应独立参考澄清对投标文件进行评审。整个澄清的过程不得存在排斥潜在投标人的现象。</w:t>
      </w:r>
    </w:p>
    <w:p>
      <w:pPr>
        <w:tabs>
          <w:tab w:val="left" w:pos="540"/>
        </w:tabs>
        <w:spacing w:line="360" w:lineRule="auto"/>
        <w:ind w:left="540" w:right="18" w:hanging="54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26.4 如果投标文件实质上不响应招标文件的各项要求，评标委员会将按照符合性审查标准予以拒绝，不接受投标人通过修改或撤销其不符合要求的差异或保留，使之成为具有响应性的投标。</w:t>
      </w:r>
    </w:p>
    <w:p>
      <w:pPr>
        <w:tabs>
          <w:tab w:val="left" w:pos="567"/>
        </w:tabs>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27</w:t>
      </w: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Pr>
          <w:rFonts w:hint="eastAsia" w:ascii="仿宋" w:hAnsi="仿宋" w:eastAsia="仿宋" w:cs="仿宋"/>
          <w:color w:val="auto"/>
          <w:kern w:val="2"/>
          <w:szCs w:val="21"/>
          <w:highlight w:val="none"/>
          <w:lang w:val="zh-CN"/>
        </w:rPr>
        <w:t>对投标文件的比较和评价</w:t>
      </w:r>
    </w:p>
    <w:p>
      <w:pPr>
        <w:tabs>
          <w:tab w:val="left" w:pos="540"/>
        </w:tabs>
        <w:spacing w:line="360" w:lineRule="auto"/>
        <w:ind w:left="540" w:right="18" w:hanging="54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27.1</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评标委员会将对资格性检查和符合性检查合格的投标文件进行比较和评价，包括技术、商务的详细评审。（</w:t>
      </w:r>
      <w:r>
        <w:rPr>
          <w:rFonts w:hint="eastAsia" w:ascii="仿宋" w:hAnsi="仿宋" w:eastAsia="仿宋" w:cs="仿宋"/>
          <w:color w:val="auto"/>
          <w:szCs w:val="21"/>
          <w:highlight w:val="none"/>
        </w:rPr>
        <w:t>详见评标工作大纲）</w:t>
      </w:r>
    </w:p>
    <w:p>
      <w:pPr>
        <w:tabs>
          <w:tab w:val="left" w:pos="567"/>
        </w:tabs>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28</w:t>
      </w: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Pr>
          <w:rFonts w:hint="eastAsia" w:ascii="仿宋" w:hAnsi="仿宋" w:eastAsia="仿宋" w:cs="仿宋"/>
          <w:color w:val="auto"/>
          <w:kern w:val="2"/>
          <w:szCs w:val="21"/>
          <w:highlight w:val="none"/>
          <w:lang w:val="zh-CN"/>
        </w:rPr>
        <w:t>评标原则及方法</w:t>
      </w:r>
    </w:p>
    <w:p>
      <w:pPr>
        <w:tabs>
          <w:tab w:val="left" w:pos="360"/>
        </w:tabs>
        <w:spacing w:line="360" w:lineRule="auto"/>
        <w:ind w:left="540" w:right="51" w:hanging="540"/>
        <w:jc w:val="both"/>
        <w:rPr>
          <w:rFonts w:ascii="仿宋" w:hAnsi="仿宋" w:eastAsia="仿宋" w:cs="仿宋"/>
          <w:color w:val="auto"/>
          <w:szCs w:val="21"/>
          <w:highlight w:val="none"/>
        </w:rPr>
      </w:pPr>
      <w:r>
        <w:rPr>
          <w:rFonts w:hint="eastAsia" w:ascii="仿宋" w:hAnsi="仿宋" w:eastAsia="仿宋" w:cs="仿宋"/>
          <w:color w:val="auto"/>
          <w:kern w:val="2"/>
          <w:szCs w:val="21"/>
          <w:highlight w:val="none"/>
          <w:lang w:val="zh-CN"/>
        </w:rPr>
        <w:t>28.1</w:t>
      </w:r>
      <w:r>
        <w:rPr>
          <w:rFonts w:hint="eastAsia" w:ascii="仿宋" w:hAnsi="仿宋" w:eastAsia="仿宋" w:cs="仿宋"/>
          <w:color w:val="auto"/>
          <w:kern w:val="2"/>
          <w:szCs w:val="21"/>
          <w:highlight w:val="none"/>
          <w:lang w:val="zh-CN"/>
        </w:rPr>
        <w:tab/>
      </w:r>
      <w:r>
        <w:rPr>
          <w:rFonts w:hint="eastAsia" w:ascii="仿宋" w:hAnsi="仿宋" w:eastAsia="仿宋" w:cs="仿宋"/>
          <w:color w:val="auto"/>
          <w:szCs w:val="21"/>
          <w:highlight w:val="none"/>
        </w:rPr>
        <w:t>坚持“公开、公平、公正、科学、择优”的评标原则，严格评审。</w:t>
      </w:r>
    </w:p>
    <w:p>
      <w:pPr>
        <w:tabs>
          <w:tab w:val="left" w:pos="360"/>
        </w:tabs>
        <w:spacing w:line="360" w:lineRule="auto"/>
        <w:ind w:left="540" w:right="51" w:hanging="54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28.2 确定中标人的评标准则是：能够最大限度满足招标文件中规定的各项综合评价标准。评标委员会没有义务必须接受最低报价的投标。</w:t>
      </w:r>
    </w:p>
    <w:p>
      <w:pPr>
        <w:tabs>
          <w:tab w:val="left" w:pos="360"/>
        </w:tabs>
        <w:spacing w:line="360" w:lineRule="auto"/>
        <w:ind w:left="540" w:right="51" w:hanging="54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28.3 具体评标方法</w:t>
      </w:r>
      <w:r>
        <w:rPr>
          <w:rFonts w:hint="eastAsia" w:ascii="仿宋" w:hAnsi="仿宋" w:eastAsia="仿宋" w:cs="仿宋"/>
          <w:color w:val="auto"/>
          <w:szCs w:val="21"/>
          <w:highlight w:val="none"/>
        </w:rPr>
        <w:t>详见评标工作大纲。</w:t>
      </w:r>
    </w:p>
    <w:p>
      <w:pPr>
        <w:tabs>
          <w:tab w:val="left" w:pos="567"/>
          <w:tab w:val="left" w:pos="720"/>
          <w:tab w:val="left" w:pos="3460"/>
        </w:tabs>
        <w:spacing w:line="360" w:lineRule="auto"/>
        <w:ind w:left="567" w:hanging="567"/>
        <w:jc w:val="both"/>
        <w:rPr>
          <w:rFonts w:ascii="仿宋" w:hAnsi="仿宋" w:eastAsia="仿宋" w:cs="仿宋"/>
          <w:color w:val="auto"/>
          <w:szCs w:val="21"/>
          <w:highlight w:val="none"/>
        </w:rPr>
      </w:pPr>
      <w:r>
        <w:rPr>
          <w:rFonts w:hint="eastAsia" w:ascii="仿宋" w:hAnsi="仿宋" w:eastAsia="仿宋" w:cs="仿宋"/>
          <w:color w:val="auto"/>
          <w:szCs w:val="21"/>
          <w:highlight w:val="none"/>
        </w:rPr>
        <w:t>29  定标</w:t>
      </w:r>
    </w:p>
    <w:p>
      <w:pPr>
        <w:tabs>
          <w:tab w:val="left" w:pos="540"/>
          <w:tab w:val="left" w:pos="720"/>
          <w:tab w:val="left" w:pos="3460"/>
        </w:tabs>
        <w:spacing w:line="360" w:lineRule="auto"/>
        <w:ind w:left="540" w:right="18" w:hanging="54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29.1 采购人确认评标委员会推荐的评标结果后，由采购人对中标候选供应商的资格和履约能力进行再次审查，凡发现中标候选供应商有下列情形之一的，将移交政府采购监督管理部门依法处理：</w:t>
      </w:r>
    </w:p>
    <w:p>
      <w:pPr>
        <w:numPr>
          <w:ilvl w:val="0"/>
          <w:numId w:val="8"/>
        </w:numPr>
        <w:tabs>
          <w:tab w:val="left" w:pos="540"/>
          <w:tab w:val="left" w:pos="1134"/>
          <w:tab w:val="clear" w:pos="960"/>
        </w:tabs>
        <w:spacing w:line="360" w:lineRule="auto"/>
        <w:ind w:left="1134" w:right="15" w:rightChars="7" w:hanging="594"/>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提供虚假材料谋取中标的；</w:t>
      </w:r>
    </w:p>
    <w:p>
      <w:pPr>
        <w:numPr>
          <w:ilvl w:val="0"/>
          <w:numId w:val="8"/>
        </w:numPr>
        <w:tabs>
          <w:tab w:val="left" w:pos="540"/>
          <w:tab w:val="left" w:pos="1134"/>
          <w:tab w:val="clear" w:pos="960"/>
        </w:tabs>
        <w:spacing w:line="360" w:lineRule="auto"/>
        <w:ind w:left="1134" w:right="15" w:rightChars="7" w:hanging="594"/>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采取不正当手段诋毁、排挤其他投标人的；</w:t>
      </w:r>
    </w:p>
    <w:p>
      <w:pPr>
        <w:numPr>
          <w:ilvl w:val="0"/>
          <w:numId w:val="8"/>
        </w:numPr>
        <w:tabs>
          <w:tab w:val="left" w:pos="540"/>
          <w:tab w:val="left" w:pos="1134"/>
          <w:tab w:val="clear" w:pos="960"/>
        </w:tabs>
        <w:spacing w:line="360" w:lineRule="auto"/>
        <w:ind w:left="1134" w:right="15" w:rightChars="7" w:hanging="594"/>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与招标采购单位、其他投标人恶意串通的；</w:t>
      </w:r>
    </w:p>
    <w:p>
      <w:pPr>
        <w:tabs>
          <w:tab w:val="left" w:pos="540"/>
          <w:tab w:val="left" w:pos="1134"/>
        </w:tabs>
        <w:spacing w:line="360" w:lineRule="auto"/>
        <w:ind w:left="1134" w:right="15" w:rightChars="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3.1）不同投标人的投标文件由同一单位或者个人编制；</w:t>
      </w:r>
    </w:p>
    <w:p>
      <w:pPr>
        <w:tabs>
          <w:tab w:val="left" w:pos="540"/>
          <w:tab w:val="left" w:pos="1134"/>
        </w:tabs>
        <w:spacing w:line="360" w:lineRule="auto"/>
        <w:ind w:left="1134" w:right="15" w:rightChars="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3.2）不同投标人委托同一单位或者个人办理投标事宜；</w:t>
      </w:r>
    </w:p>
    <w:p>
      <w:pPr>
        <w:tabs>
          <w:tab w:val="left" w:pos="540"/>
          <w:tab w:val="left" w:pos="1134"/>
        </w:tabs>
        <w:spacing w:line="360" w:lineRule="auto"/>
        <w:ind w:left="1134" w:right="15" w:rightChars="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3.3）不同投标人的投标文件载明的项目管理成员或者联系人员为同一人；</w:t>
      </w:r>
    </w:p>
    <w:p>
      <w:pPr>
        <w:tabs>
          <w:tab w:val="left" w:pos="540"/>
          <w:tab w:val="left" w:pos="1134"/>
        </w:tabs>
        <w:spacing w:line="360" w:lineRule="auto"/>
        <w:ind w:left="1134" w:right="15" w:rightChars="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3.4）不同投标人的投标文件异常一致或者投标报价呈规律性差异；</w:t>
      </w:r>
    </w:p>
    <w:p>
      <w:pPr>
        <w:tabs>
          <w:tab w:val="left" w:pos="540"/>
          <w:tab w:val="left" w:pos="1134"/>
        </w:tabs>
        <w:spacing w:line="360" w:lineRule="auto"/>
        <w:ind w:left="1134" w:right="15" w:rightChars="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3.5）不同投标人的投标文件相互混装；</w:t>
      </w:r>
    </w:p>
    <w:p>
      <w:pPr>
        <w:numPr>
          <w:ilvl w:val="0"/>
          <w:numId w:val="8"/>
        </w:numPr>
        <w:tabs>
          <w:tab w:val="left" w:pos="540"/>
          <w:tab w:val="left" w:pos="1134"/>
          <w:tab w:val="clear" w:pos="960"/>
        </w:tabs>
        <w:spacing w:line="360" w:lineRule="auto"/>
        <w:ind w:left="1134" w:right="15" w:rightChars="7" w:hanging="594"/>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向招标采购单位行贿或者提供其他不正当利益的；</w:t>
      </w:r>
    </w:p>
    <w:p>
      <w:pPr>
        <w:numPr>
          <w:ilvl w:val="0"/>
          <w:numId w:val="8"/>
        </w:numPr>
        <w:tabs>
          <w:tab w:val="left" w:pos="540"/>
          <w:tab w:val="left" w:pos="1134"/>
          <w:tab w:val="clear" w:pos="960"/>
        </w:tabs>
        <w:spacing w:line="360" w:lineRule="auto"/>
        <w:ind w:left="1134" w:right="15" w:rightChars="7" w:hanging="594"/>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在招标过程中与招标采购单位进行协商谈判、不按照招标文件和中标供应商的投标文件订立合同，或者与采购单位另行订立背离合同实质性内容的协议的；</w:t>
      </w:r>
    </w:p>
    <w:p>
      <w:pPr>
        <w:numPr>
          <w:ilvl w:val="0"/>
          <w:numId w:val="8"/>
        </w:numPr>
        <w:tabs>
          <w:tab w:val="left" w:pos="540"/>
          <w:tab w:val="left" w:pos="1134"/>
          <w:tab w:val="clear" w:pos="960"/>
        </w:tabs>
        <w:spacing w:line="360" w:lineRule="auto"/>
        <w:ind w:left="1134" w:right="15" w:rightChars="7" w:hanging="594"/>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拒绝有关部门监督检查或者提供虚假情况的。</w:t>
      </w:r>
    </w:p>
    <w:p>
      <w:pPr>
        <w:tabs>
          <w:tab w:val="left" w:pos="540"/>
          <w:tab w:val="left" w:pos="720"/>
          <w:tab w:val="left" w:pos="3460"/>
        </w:tabs>
        <w:spacing w:line="360" w:lineRule="auto"/>
        <w:ind w:left="540" w:right="18" w:hanging="54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29.2 投标人有前款（1）至（6）项情形之一的，中标无效。</w:t>
      </w:r>
    </w:p>
    <w:p>
      <w:pPr>
        <w:tabs>
          <w:tab w:val="left" w:pos="540"/>
          <w:tab w:val="left" w:pos="720"/>
          <w:tab w:val="left" w:pos="3460"/>
        </w:tabs>
        <w:spacing w:line="360" w:lineRule="auto"/>
        <w:ind w:left="540" w:right="18" w:hanging="54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29.3 采购代理机构在评标结束后将评标推荐意见及招标结果确认书送采购人。采购人依法确定中标供应商。采购代理机构将中标结果在中国政府采购网（http://www.ccgp.gov.cn）、</w:t>
      </w:r>
      <w:r>
        <w:rPr>
          <w:rFonts w:hint="eastAsia" w:ascii="仿宋" w:hAnsi="仿宋" w:eastAsia="仿宋" w:cs="仿宋"/>
          <w:color w:val="auto"/>
          <w:szCs w:val="21"/>
          <w:highlight w:val="none"/>
        </w:rPr>
        <w:t>广东远东招标代理有限公司网（http://www.gdydzb.com）</w:t>
      </w:r>
      <w:r>
        <w:rPr>
          <w:rFonts w:hint="eastAsia" w:ascii="仿宋" w:hAnsi="仿宋" w:eastAsia="仿宋" w:cs="仿宋"/>
          <w:color w:val="auto"/>
          <w:kern w:val="2"/>
          <w:szCs w:val="21"/>
          <w:highlight w:val="none"/>
          <w:lang w:val="zh-CN"/>
        </w:rPr>
        <w:t>发布。</w:t>
      </w:r>
    </w:p>
    <w:p>
      <w:pPr>
        <w:tabs>
          <w:tab w:val="left" w:pos="567"/>
        </w:tabs>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30</w:t>
      </w: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Pr>
          <w:rFonts w:hint="eastAsia" w:ascii="仿宋" w:hAnsi="仿宋" w:eastAsia="仿宋" w:cs="仿宋"/>
          <w:color w:val="auto"/>
          <w:kern w:val="2"/>
          <w:szCs w:val="21"/>
          <w:highlight w:val="none"/>
          <w:lang w:val="zh-CN"/>
        </w:rPr>
        <w:t>资格后审</w:t>
      </w:r>
    </w:p>
    <w:p>
      <w:pPr>
        <w:spacing w:line="360" w:lineRule="auto"/>
        <w:ind w:left="567" w:hanging="567" w:hangingChars="270"/>
        <w:rPr>
          <w:rFonts w:ascii="仿宋" w:hAnsi="仿宋" w:eastAsia="仿宋" w:cs="仿宋"/>
          <w:color w:val="auto"/>
          <w:szCs w:val="21"/>
          <w:highlight w:val="none"/>
        </w:rPr>
      </w:pPr>
      <w:r>
        <w:rPr>
          <w:rFonts w:hint="eastAsia" w:ascii="仿宋" w:hAnsi="仿宋" w:eastAsia="仿宋" w:cs="仿宋"/>
          <w:color w:val="auto"/>
          <w:kern w:val="2"/>
          <w:szCs w:val="21"/>
          <w:highlight w:val="none"/>
          <w:lang w:val="zh-CN"/>
        </w:rPr>
        <w:t>30.1</w:t>
      </w:r>
      <w:r>
        <w:rPr>
          <w:rFonts w:hint="eastAsia" w:ascii="仿宋" w:hAnsi="仿宋" w:eastAsia="仿宋" w:cs="仿宋"/>
          <w:color w:val="auto"/>
          <w:kern w:val="2"/>
          <w:szCs w:val="21"/>
          <w:highlight w:val="none"/>
          <w:lang w:val="zh-CN"/>
        </w:rPr>
        <w:tab/>
      </w:r>
      <w:r>
        <w:rPr>
          <w:rFonts w:hint="eastAsia" w:ascii="仿宋" w:hAnsi="仿宋" w:eastAsia="仿宋" w:cs="仿宋"/>
          <w:color w:val="auto"/>
          <w:szCs w:val="21"/>
          <w:highlight w:val="none"/>
        </w:rPr>
        <w:t>采购代理机构可应采购人的要求，组织资格后审，对所选择的提交了响应性的综合评分最高的投标人是否有资格能圆满地履行合同作出资格后审确认。</w:t>
      </w:r>
    </w:p>
    <w:p>
      <w:pPr>
        <w:spacing w:line="360" w:lineRule="auto"/>
        <w:ind w:left="540" w:right="18" w:hanging="54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30.2</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审查将根据投标人提交的投标文件和资格后审认为其他必要的、合适的资料，包括有关验收报告、业绩合同的真实性，对投标人的财务等进行审查。如发现投标人存在弄虚作假行为，将追究其责任。</w:t>
      </w:r>
    </w:p>
    <w:p>
      <w:pPr>
        <w:spacing w:line="360" w:lineRule="auto"/>
        <w:ind w:left="540" w:right="18" w:hanging="540"/>
        <w:jc w:val="both"/>
        <w:rPr>
          <w:rFonts w:ascii="仿宋" w:hAnsi="仿宋" w:eastAsia="仿宋" w:cs="仿宋"/>
          <w:color w:val="auto"/>
          <w:kern w:val="2"/>
          <w:szCs w:val="21"/>
          <w:highlight w:val="none"/>
          <w:lang w:val="zh-CN"/>
        </w:rPr>
      </w:pPr>
      <w:r>
        <w:rPr>
          <w:rFonts w:hint="eastAsia" w:ascii="仿宋" w:hAnsi="仿宋" w:eastAsia="仿宋" w:cs="仿宋"/>
          <w:color w:val="auto"/>
          <w:szCs w:val="21"/>
          <w:highlight w:val="none"/>
        </w:rPr>
        <w:t>30.3</w:t>
      </w:r>
      <w:r>
        <w:rPr>
          <w:rFonts w:hint="eastAsia" w:ascii="仿宋" w:hAnsi="仿宋" w:eastAsia="仿宋" w:cs="仿宋"/>
          <w:color w:val="auto"/>
          <w:szCs w:val="21"/>
          <w:highlight w:val="none"/>
        </w:rPr>
        <w:tab/>
      </w:r>
      <w:r>
        <w:rPr>
          <w:rFonts w:hint="eastAsia" w:ascii="仿宋" w:hAnsi="仿宋" w:eastAsia="仿宋" w:cs="仿宋"/>
          <w:color w:val="auto"/>
          <w:kern w:val="2"/>
          <w:szCs w:val="21"/>
          <w:highlight w:val="none"/>
          <w:lang w:val="zh-CN"/>
        </w:rPr>
        <w:t>如果审查通过，则将合同授予该投标人；如果审查没有通过，则其投标文件被拒绝。在此情况下，将对下一个综合评分最高的投标人的能力做类似的审查</w:t>
      </w:r>
      <w:r>
        <w:rPr>
          <w:rFonts w:hint="eastAsia" w:ascii="仿宋" w:hAnsi="仿宋" w:eastAsia="仿宋" w:cs="仿宋"/>
          <w:color w:val="auto"/>
          <w:szCs w:val="21"/>
          <w:highlight w:val="none"/>
        </w:rPr>
        <w:t>或重新招标。</w:t>
      </w:r>
    </w:p>
    <w:p>
      <w:pPr>
        <w:tabs>
          <w:tab w:val="left" w:pos="567"/>
        </w:tabs>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31</w:t>
      </w: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Pr>
          <w:rFonts w:hint="eastAsia" w:ascii="仿宋" w:hAnsi="仿宋" w:eastAsia="仿宋" w:cs="仿宋"/>
          <w:color w:val="auto"/>
          <w:kern w:val="2"/>
          <w:szCs w:val="21"/>
          <w:highlight w:val="none"/>
          <w:lang w:val="zh-CN"/>
        </w:rPr>
        <w:t>评标委员会和采购人接受或拒绝任何投标或所有投标的权利</w:t>
      </w:r>
    </w:p>
    <w:p>
      <w:pPr>
        <w:spacing w:line="360" w:lineRule="auto"/>
        <w:ind w:left="540" w:right="18" w:hanging="540"/>
        <w:jc w:val="both"/>
        <w:rPr>
          <w:rFonts w:ascii="仿宋" w:hAnsi="仿宋" w:eastAsia="仿宋" w:cs="仿宋"/>
          <w:color w:val="auto"/>
          <w:kern w:val="2"/>
          <w:szCs w:val="21"/>
          <w:highlight w:val="none"/>
          <w:lang w:val="zh-CN"/>
        </w:rPr>
      </w:pPr>
      <w:r>
        <w:rPr>
          <w:rFonts w:hint="eastAsia" w:ascii="仿宋" w:hAnsi="仿宋" w:eastAsia="仿宋" w:cs="仿宋"/>
          <w:color w:val="auto"/>
          <w:szCs w:val="21"/>
          <w:highlight w:val="none"/>
        </w:rPr>
        <w:t>31.1</w:t>
      </w:r>
      <w:r>
        <w:rPr>
          <w:rFonts w:hint="eastAsia" w:ascii="仿宋" w:hAnsi="仿宋" w:eastAsia="仿宋" w:cs="仿宋"/>
          <w:color w:val="auto"/>
          <w:szCs w:val="21"/>
          <w:highlight w:val="none"/>
        </w:rPr>
        <w:tab/>
      </w:r>
      <w:r>
        <w:rPr>
          <w:rFonts w:hint="eastAsia" w:ascii="仿宋" w:hAnsi="仿宋" w:eastAsia="仿宋" w:cs="仿宋"/>
          <w:color w:val="auto"/>
          <w:kern w:val="2"/>
          <w:szCs w:val="21"/>
          <w:highlight w:val="none"/>
          <w:lang w:val="zh-CN"/>
        </w:rPr>
        <w:t>在授予合同前的任何时候，</w:t>
      </w:r>
      <w:r>
        <w:rPr>
          <w:rFonts w:hint="eastAsia" w:ascii="仿宋" w:hAnsi="仿宋" w:eastAsia="仿宋" w:cs="仿宋"/>
          <w:color w:val="auto"/>
          <w:szCs w:val="21"/>
          <w:highlight w:val="none"/>
        </w:rPr>
        <w:t>评标委员会和采购人仍保留接受或拒绝任何投标</w:t>
      </w:r>
      <w:r>
        <w:rPr>
          <w:rFonts w:hint="eastAsia" w:ascii="仿宋" w:hAnsi="仿宋" w:eastAsia="仿宋" w:cs="仿宋"/>
          <w:color w:val="auto"/>
          <w:kern w:val="2"/>
          <w:szCs w:val="21"/>
          <w:highlight w:val="none"/>
          <w:lang w:val="zh-CN"/>
        </w:rPr>
        <w:t>，宣布招标程序无效或拒绝所有投标的权利，无需向受影响的投标人承担任何责任。</w:t>
      </w:r>
    </w:p>
    <w:p>
      <w:pPr>
        <w:tabs>
          <w:tab w:val="left" w:pos="567"/>
        </w:tabs>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32</w:t>
      </w: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Pr>
          <w:rFonts w:hint="eastAsia" w:ascii="仿宋" w:hAnsi="仿宋" w:eastAsia="仿宋" w:cs="仿宋"/>
          <w:color w:val="auto"/>
          <w:kern w:val="2"/>
          <w:szCs w:val="21"/>
          <w:highlight w:val="none"/>
          <w:lang w:val="zh-CN"/>
        </w:rPr>
        <w:t>中标通知</w:t>
      </w:r>
    </w:p>
    <w:p>
      <w:pPr>
        <w:tabs>
          <w:tab w:val="left" w:pos="540"/>
        </w:tabs>
        <w:spacing w:line="360" w:lineRule="auto"/>
        <w:ind w:left="540" w:right="18" w:hanging="54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32.1</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投标文件有效期期满前，采购代理机构将以书面形式通知中标人其投标文件被接受。</w:t>
      </w:r>
    </w:p>
    <w:p>
      <w:pPr>
        <w:spacing w:line="360" w:lineRule="auto"/>
        <w:ind w:left="540" w:right="18" w:hanging="54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32.2</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采购代理机构向中标人发出书面通知的同时，采购代理机构通知落选的投标人其投标文件未被接受而不提原因。</w:t>
      </w:r>
    </w:p>
    <w:p>
      <w:pPr>
        <w:tabs>
          <w:tab w:val="left" w:pos="540"/>
        </w:tabs>
        <w:spacing w:line="360" w:lineRule="auto"/>
        <w:ind w:left="540" w:right="18" w:hanging="540"/>
        <w:jc w:val="both"/>
        <w:rPr>
          <w:rFonts w:ascii="仿宋" w:hAnsi="仿宋" w:eastAsia="仿宋" w:cs="仿宋"/>
          <w:color w:val="auto"/>
          <w:kern w:val="2"/>
          <w:szCs w:val="21"/>
          <w:highlight w:val="none"/>
          <w:u w:val="single"/>
          <w:lang w:val="zh-CN"/>
        </w:rPr>
      </w:pPr>
      <w:r>
        <w:rPr>
          <w:rFonts w:hint="eastAsia" w:ascii="仿宋" w:hAnsi="仿宋" w:eastAsia="仿宋" w:cs="仿宋"/>
          <w:color w:val="auto"/>
          <w:kern w:val="2"/>
          <w:szCs w:val="21"/>
          <w:highlight w:val="none"/>
          <w:lang w:val="zh-CN"/>
        </w:rPr>
        <w:t>32.3 中标通知书是合同的一个组成部分。</w:t>
      </w:r>
    </w:p>
    <w:p>
      <w:pPr>
        <w:tabs>
          <w:tab w:val="left" w:pos="540"/>
        </w:tabs>
        <w:spacing w:line="360" w:lineRule="auto"/>
        <w:ind w:left="540" w:right="18" w:hanging="540"/>
        <w:jc w:val="both"/>
        <w:rPr>
          <w:rFonts w:ascii="仿宋" w:hAnsi="仿宋" w:eastAsia="仿宋" w:cs="仿宋"/>
          <w:color w:val="auto"/>
          <w:szCs w:val="21"/>
          <w:highlight w:val="none"/>
        </w:rPr>
      </w:pPr>
      <w:r>
        <w:rPr>
          <w:rFonts w:hint="eastAsia" w:ascii="仿宋" w:hAnsi="仿宋" w:eastAsia="仿宋" w:cs="仿宋"/>
          <w:color w:val="auto"/>
          <w:kern w:val="2"/>
          <w:szCs w:val="21"/>
          <w:highlight w:val="none"/>
          <w:lang w:val="zh-CN"/>
        </w:rPr>
        <w:t xml:space="preserve">32.4 </w:t>
      </w:r>
      <w:r>
        <w:rPr>
          <w:rFonts w:hint="eastAsia" w:ascii="仿宋" w:hAnsi="仿宋" w:eastAsia="仿宋" w:cs="仿宋"/>
          <w:bCs/>
          <w:color w:val="auto"/>
          <w:szCs w:val="21"/>
          <w:highlight w:val="none"/>
        </w:rPr>
        <w:t>中标人如在收到招标结果通知后15日内不按规定领取中标通知书，则视为自动放弃中标资格，并按招标投标相关法律法规追究其相关责任。</w:t>
      </w:r>
    </w:p>
    <w:p>
      <w:pPr>
        <w:tabs>
          <w:tab w:val="left" w:pos="567"/>
          <w:tab w:val="left" w:pos="720"/>
          <w:tab w:val="left" w:pos="3460"/>
        </w:tabs>
        <w:spacing w:line="360" w:lineRule="auto"/>
        <w:ind w:left="567" w:hanging="567"/>
        <w:jc w:val="both"/>
        <w:rPr>
          <w:rFonts w:ascii="仿宋" w:hAnsi="仿宋" w:eastAsia="仿宋" w:cs="仿宋"/>
          <w:color w:val="auto"/>
          <w:szCs w:val="21"/>
          <w:highlight w:val="none"/>
        </w:rPr>
      </w:pPr>
      <w:r>
        <w:rPr>
          <w:rFonts w:hint="eastAsia" w:ascii="仿宋" w:hAnsi="仿宋" w:eastAsia="仿宋" w:cs="仿宋"/>
          <w:color w:val="auto"/>
          <w:szCs w:val="21"/>
          <w:highlight w:val="none"/>
        </w:rPr>
        <w:t>33  废标的认定</w:t>
      </w:r>
    </w:p>
    <w:p>
      <w:pPr>
        <w:tabs>
          <w:tab w:val="left" w:pos="540"/>
        </w:tabs>
        <w:spacing w:line="360" w:lineRule="auto"/>
        <w:ind w:left="540" w:right="18" w:hanging="54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33.1 符合专业条件的供应商或者对招标文件作实质响应的供应商不足三家的；</w:t>
      </w:r>
    </w:p>
    <w:p>
      <w:pPr>
        <w:tabs>
          <w:tab w:val="left" w:pos="540"/>
        </w:tabs>
        <w:spacing w:line="360" w:lineRule="auto"/>
        <w:ind w:left="540" w:right="18" w:hanging="54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33.2 出现影响采购公正的违法、违规行为的；</w:t>
      </w:r>
    </w:p>
    <w:p>
      <w:pPr>
        <w:tabs>
          <w:tab w:val="left" w:pos="540"/>
        </w:tabs>
        <w:spacing w:line="360" w:lineRule="auto"/>
        <w:ind w:left="540" w:right="18" w:hanging="54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33.3 投标人的报价均超过了最高限额，采购人不能支付的；</w:t>
      </w:r>
    </w:p>
    <w:p>
      <w:pPr>
        <w:tabs>
          <w:tab w:val="left" w:pos="540"/>
        </w:tabs>
        <w:spacing w:line="360" w:lineRule="auto"/>
        <w:ind w:left="540" w:right="18" w:hanging="54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33.4 因重大变故，采购任务取消的。</w:t>
      </w:r>
    </w:p>
    <w:p>
      <w:pPr>
        <w:tabs>
          <w:tab w:val="left" w:pos="540"/>
          <w:tab w:val="left" w:pos="720"/>
          <w:tab w:val="left" w:pos="3460"/>
        </w:tabs>
        <w:spacing w:line="360" w:lineRule="auto"/>
        <w:ind w:left="540" w:right="18" w:hanging="540"/>
        <w:jc w:val="both"/>
        <w:rPr>
          <w:rFonts w:hAnsi="宋体" w:cs="宋体"/>
          <w:color w:val="auto"/>
          <w:kern w:val="2"/>
          <w:szCs w:val="21"/>
          <w:highlight w:val="none"/>
        </w:rPr>
      </w:pPr>
    </w:p>
    <w:p>
      <w:pPr>
        <w:pStyle w:val="5"/>
        <w:spacing w:line="360" w:lineRule="auto"/>
        <w:rPr>
          <w:rFonts w:hAnsi="宋体" w:cs="宋体"/>
          <w:color w:val="auto"/>
          <w:kern w:val="44"/>
          <w:szCs w:val="21"/>
          <w:highlight w:val="none"/>
          <w:lang w:val="zh-CN"/>
        </w:rPr>
      </w:pPr>
      <w:bookmarkStart w:id="5" w:name="_Toc413396494"/>
      <w:r>
        <w:rPr>
          <w:rFonts w:hint="eastAsia" w:hAnsi="宋体" w:cs="宋体"/>
          <w:color w:val="auto"/>
          <w:kern w:val="44"/>
          <w:szCs w:val="21"/>
          <w:highlight w:val="none"/>
          <w:lang w:val="zh-CN"/>
        </w:rPr>
        <w:t>（六）授予合同</w:t>
      </w:r>
      <w:bookmarkEnd w:id="5"/>
    </w:p>
    <w:p>
      <w:pPr>
        <w:tabs>
          <w:tab w:val="left" w:pos="567"/>
        </w:tabs>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34</w:t>
      </w: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Pr>
          <w:rFonts w:hint="eastAsia" w:ascii="仿宋" w:hAnsi="仿宋" w:eastAsia="仿宋" w:cs="仿宋"/>
          <w:color w:val="auto"/>
          <w:kern w:val="2"/>
          <w:szCs w:val="21"/>
          <w:highlight w:val="none"/>
          <w:lang w:val="zh-CN"/>
        </w:rPr>
        <w:t>授予合同的准则</w:t>
      </w:r>
    </w:p>
    <w:p>
      <w:pPr>
        <w:tabs>
          <w:tab w:val="left" w:pos="540"/>
        </w:tabs>
        <w:spacing w:line="360" w:lineRule="auto"/>
        <w:ind w:left="540" w:right="51" w:hanging="54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34.1 除</w:t>
      </w:r>
      <w:r>
        <w:rPr>
          <w:color w:val="auto"/>
          <w:highlight w:val="none"/>
        </w:rPr>
        <w:fldChar w:fldCharType="begin"/>
      </w:r>
      <w:r>
        <w:rPr>
          <w:color w:val="auto"/>
          <w:highlight w:val="none"/>
        </w:rPr>
        <w:instrText xml:space="preserve"> HYPERLINK "file:///C:\\Users\\hhy\\Desktop\\l" </w:instrText>
      </w:r>
      <w:r>
        <w:rPr>
          <w:color w:val="auto"/>
          <w:highlight w:val="none"/>
        </w:rPr>
        <w:fldChar w:fldCharType="separate"/>
      </w:r>
      <w:r>
        <w:rPr>
          <w:rFonts w:hint="eastAsia" w:ascii="仿宋" w:hAnsi="仿宋" w:eastAsia="仿宋" w:cs="仿宋"/>
          <w:color w:val="auto"/>
          <w:kern w:val="2"/>
          <w:szCs w:val="21"/>
          <w:highlight w:val="none"/>
          <w:lang w:val="zh-CN"/>
        </w:rPr>
        <w:t>第30款</w:t>
      </w:r>
      <w:r>
        <w:rPr>
          <w:rFonts w:hint="eastAsia" w:ascii="仿宋" w:hAnsi="仿宋" w:eastAsia="仿宋" w:cs="仿宋"/>
          <w:color w:val="auto"/>
          <w:kern w:val="2"/>
          <w:szCs w:val="21"/>
          <w:highlight w:val="none"/>
          <w:lang w:val="zh-CN"/>
        </w:rPr>
        <w:fldChar w:fldCharType="end"/>
      </w:r>
      <w:r>
        <w:rPr>
          <w:rFonts w:hint="eastAsia" w:ascii="仿宋" w:hAnsi="仿宋" w:eastAsia="仿宋" w:cs="仿宋"/>
          <w:color w:val="auto"/>
          <w:kern w:val="2"/>
          <w:szCs w:val="21"/>
          <w:highlight w:val="none"/>
          <w:lang w:val="zh-CN"/>
        </w:rPr>
        <w:t>规定外，采购人将合同授予其投标文件符合招标文件要求，并且能承诺履行合同，对采购人最为有利的投标人。</w:t>
      </w:r>
    </w:p>
    <w:p>
      <w:pPr>
        <w:tabs>
          <w:tab w:val="left" w:pos="540"/>
        </w:tabs>
        <w:spacing w:line="360" w:lineRule="auto"/>
        <w:ind w:left="540" w:right="51" w:hanging="54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34.2 采购人依法</w:t>
      </w:r>
      <w:r>
        <w:rPr>
          <w:rFonts w:hint="eastAsia" w:ascii="仿宋" w:hAnsi="仿宋" w:eastAsia="仿宋" w:cs="仿宋"/>
          <w:color w:val="auto"/>
          <w:szCs w:val="21"/>
          <w:highlight w:val="none"/>
        </w:rPr>
        <w:t>按照评标报告中推荐的中标候选人顺序</w:t>
      </w:r>
      <w:r>
        <w:rPr>
          <w:rFonts w:hint="eastAsia" w:ascii="仿宋" w:hAnsi="仿宋" w:eastAsia="仿宋" w:cs="仿宋"/>
          <w:color w:val="auto"/>
          <w:kern w:val="2"/>
          <w:szCs w:val="21"/>
          <w:highlight w:val="none"/>
          <w:lang w:val="zh-CN"/>
        </w:rPr>
        <w:t>确定中标人。</w:t>
      </w:r>
    </w:p>
    <w:p>
      <w:pPr>
        <w:tabs>
          <w:tab w:val="left" w:pos="567"/>
        </w:tabs>
        <w:spacing w:line="360" w:lineRule="auto"/>
        <w:ind w:left="567" w:hanging="567"/>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35</w:t>
      </w: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Pr>
          <w:rFonts w:hint="eastAsia" w:ascii="仿宋" w:hAnsi="仿宋" w:eastAsia="仿宋" w:cs="仿宋"/>
          <w:color w:val="auto"/>
          <w:kern w:val="2"/>
          <w:szCs w:val="21"/>
          <w:highlight w:val="none"/>
          <w:lang w:val="zh-CN"/>
        </w:rPr>
        <w:t>合同的订立和履行</w:t>
      </w:r>
    </w:p>
    <w:p>
      <w:pPr>
        <w:tabs>
          <w:tab w:val="left" w:pos="540"/>
        </w:tabs>
        <w:spacing w:line="360" w:lineRule="auto"/>
        <w:ind w:left="540" w:right="18" w:hanging="54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35.1 采购代理机构通知中标人中标时，将提供招标文件中的合同格式（包括双方之间的有关协议）给中标人。</w:t>
      </w:r>
    </w:p>
    <w:p>
      <w:pPr>
        <w:tabs>
          <w:tab w:val="left" w:pos="540"/>
        </w:tabs>
        <w:spacing w:line="360" w:lineRule="auto"/>
        <w:ind w:left="567" w:hanging="567" w:hangingChars="27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35.2中标人在自中标通知书发出之日起20日内，应派授权代表前往《投标须知前附表》注明的地点与采购人按招标文件要求和中标人投标文件承诺签订政府采购合同，合同签订内容不得超出招标文件和中标人投标文件的范围、也不得再行订立背离合同实质性内容的其他协议。</w:t>
      </w:r>
    </w:p>
    <w:p>
      <w:pPr>
        <w:tabs>
          <w:tab w:val="left" w:pos="540"/>
        </w:tabs>
        <w:spacing w:line="360" w:lineRule="auto"/>
        <w:ind w:left="540" w:right="18" w:hanging="54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35.3</w:t>
      </w:r>
      <w:r>
        <w:rPr>
          <w:rFonts w:hint="eastAsia" w:ascii="仿宋" w:hAnsi="仿宋" w:eastAsia="仿宋" w:cs="仿宋"/>
          <w:color w:val="auto"/>
          <w:kern w:val="2"/>
          <w:szCs w:val="21"/>
          <w:highlight w:val="none"/>
        </w:rPr>
        <w:t xml:space="preserve"> </w:t>
      </w:r>
      <w:r>
        <w:rPr>
          <w:rFonts w:hint="eastAsia" w:ascii="仿宋" w:hAnsi="仿宋" w:eastAsia="仿宋" w:cs="仿宋"/>
          <w:color w:val="auto"/>
          <w:kern w:val="2"/>
          <w:szCs w:val="21"/>
          <w:highlight w:val="none"/>
          <w:lang w:val="zh-CN"/>
        </w:rPr>
        <w:t>签订政府采购合同后2个工作日内，采购人应按规定将政府采购合同</w:t>
      </w:r>
      <w:r>
        <w:rPr>
          <w:rFonts w:hint="eastAsia" w:ascii="仿宋" w:hAnsi="仿宋" w:eastAsia="仿宋" w:cs="仿宋"/>
          <w:color w:val="auto"/>
          <w:kern w:val="2"/>
          <w:szCs w:val="21"/>
          <w:highlight w:val="none"/>
        </w:rPr>
        <w:t>按照规定向</w:t>
      </w:r>
      <w:r>
        <w:rPr>
          <w:rFonts w:hint="eastAsia" w:ascii="仿宋" w:hAnsi="仿宋" w:eastAsia="仿宋" w:cs="仿宋"/>
          <w:color w:val="auto"/>
          <w:kern w:val="2"/>
          <w:szCs w:val="21"/>
          <w:highlight w:val="none"/>
          <w:lang w:val="zh-CN"/>
        </w:rPr>
        <w:t>财政部门备案。</w:t>
      </w:r>
    </w:p>
    <w:p>
      <w:pPr>
        <w:tabs>
          <w:tab w:val="left" w:pos="540"/>
        </w:tabs>
        <w:spacing w:line="360" w:lineRule="auto"/>
        <w:ind w:left="540" w:right="18" w:hanging="54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35.4 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tabs>
          <w:tab w:val="left" w:pos="540"/>
        </w:tabs>
        <w:spacing w:line="360" w:lineRule="auto"/>
        <w:ind w:left="540" w:right="18" w:hanging="54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35.5 政府采购合同履行中，采购人需追加与合同标的相同的货物、工程或者服务的，在不改变合同其他条款的前提下，可以与供应商签订补充合同，但所补充合同的采购金额不得超过原采购金额的百分之十。签订补充合同的必须按照35.3条的规定备案。</w:t>
      </w:r>
    </w:p>
    <w:p>
      <w:pPr>
        <w:tabs>
          <w:tab w:val="left" w:pos="567"/>
        </w:tabs>
        <w:spacing w:line="360" w:lineRule="auto"/>
        <w:ind w:left="567" w:hanging="567"/>
        <w:jc w:val="both"/>
        <w:rPr>
          <w:rFonts w:ascii="仿宋" w:hAnsi="仿宋" w:eastAsia="仿宋" w:cs="仿宋"/>
          <w:bCs/>
          <w:color w:val="auto"/>
          <w:szCs w:val="21"/>
          <w:highlight w:val="none"/>
        </w:rPr>
      </w:pP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36</w:t>
      </w:r>
      <w:r>
        <w:rPr>
          <w:rFonts w:hint="eastAsia" w:ascii="仿宋" w:hAnsi="仿宋" w:eastAsia="仿宋" w:cs="仿宋"/>
          <w:color w:val="auto"/>
          <w:kern w:val="2"/>
          <w:szCs w:val="21"/>
          <w:highlight w:val="none"/>
          <w:lang w:val="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Pr>
          <w:rFonts w:hint="eastAsia" w:ascii="仿宋" w:hAnsi="仿宋" w:eastAsia="仿宋" w:cs="仿宋"/>
          <w:color w:val="auto"/>
          <w:kern w:val="2"/>
          <w:szCs w:val="21"/>
          <w:highlight w:val="none"/>
          <w:lang w:val="zh-CN"/>
        </w:rPr>
        <w:t>履约</w:t>
      </w:r>
      <w:r>
        <w:rPr>
          <w:rFonts w:hint="eastAsia" w:ascii="仿宋" w:hAnsi="仿宋" w:eastAsia="仿宋" w:cs="仿宋"/>
          <w:bCs/>
          <w:color w:val="auto"/>
          <w:szCs w:val="21"/>
          <w:highlight w:val="none"/>
        </w:rPr>
        <w:t>保证金：详见前附表</w:t>
      </w:r>
    </w:p>
    <w:p>
      <w:pPr>
        <w:tabs>
          <w:tab w:val="left" w:pos="540"/>
        </w:tabs>
        <w:spacing w:line="360" w:lineRule="auto"/>
        <w:ind w:left="540" w:right="18" w:hanging="540"/>
        <w:jc w:val="both"/>
        <w:rPr>
          <w:rFonts w:ascii="仿宋" w:hAnsi="仿宋" w:eastAsia="仿宋" w:cs="仿宋"/>
          <w:bCs/>
          <w:color w:val="auto"/>
          <w:szCs w:val="21"/>
          <w:highlight w:val="none"/>
          <w:lang w:val="zh-CN"/>
        </w:rPr>
      </w:pPr>
      <w:r>
        <w:rPr>
          <w:rFonts w:hint="eastAsia" w:ascii="仿宋" w:hAnsi="仿宋" w:eastAsia="仿宋" w:cs="仿宋"/>
          <w:bCs/>
          <w:color w:val="auto"/>
          <w:szCs w:val="21"/>
          <w:highlight w:val="none"/>
          <w:lang w:val="zh-CN"/>
        </w:rPr>
        <w:t>37</w:t>
      </w:r>
      <w:r>
        <w:rPr>
          <w:rFonts w:hint="eastAsia" w:ascii="仿宋" w:hAnsi="仿宋" w:eastAsia="仿宋" w:cs="仿宋"/>
          <w:bCs/>
          <w:color w:val="auto"/>
          <w:szCs w:val="21"/>
          <w:highlight w:val="none"/>
          <w:lang w:val="zh-CN"/>
        </w:rPr>
        <w:tab/>
      </w:r>
      <w:r>
        <w:rPr>
          <w:rFonts w:hint="eastAsia" w:ascii="仿宋" w:hAnsi="仿宋" w:eastAsia="仿宋" w:cs="仿宋"/>
          <w:bCs/>
          <w:color w:val="auto"/>
          <w:szCs w:val="21"/>
          <w:highlight w:val="none"/>
        </w:rPr>
        <w:t>中标</w:t>
      </w:r>
      <w:r>
        <w:rPr>
          <w:rFonts w:hint="eastAsia" w:ascii="仿宋" w:hAnsi="仿宋" w:eastAsia="仿宋" w:cs="仿宋"/>
          <w:bCs/>
          <w:color w:val="auto"/>
          <w:szCs w:val="21"/>
          <w:highlight w:val="none"/>
          <w:lang w:val="zh-CN"/>
        </w:rPr>
        <w:t>服务费</w:t>
      </w:r>
    </w:p>
    <w:p>
      <w:pPr>
        <w:tabs>
          <w:tab w:val="left" w:pos="540"/>
        </w:tabs>
        <w:spacing w:line="360" w:lineRule="auto"/>
        <w:ind w:left="540" w:right="18" w:hanging="54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37.1</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中标人应在领取《中标通知书》原件时向采购代理机构一次性支付中标服务费，</w:t>
      </w:r>
      <w:r>
        <w:rPr>
          <w:rFonts w:hint="eastAsia" w:ascii="仿宋" w:hAnsi="仿宋" w:eastAsia="仿宋" w:cs="仿宋"/>
          <w:bCs/>
          <w:color w:val="auto"/>
          <w:szCs w:val="21"/>
          <w:highlight w:val="none"/>
        </w:rPr>
        <w:t>收费标准参照中华人民共和国国家发展计划委员会颁发的计价格[2002]1980号文《招标代理服务收费管理暂行办法》及国家发改委[2003]857号及发改价格[2011]534号文件中规定的计费标准下浮2</w:t>
      </w:r>
      <w:r>
        <w:rPr>
          <w:rFonts w:ascii="仿宋" w:hAnsi="仿宋" w:eastAsia="仿宋" w:cs="仿宋"/>
          <w:bCs/>
          <w:color w:val="auto"/>
          <w:szCs w:val="21"/>
          <w:highlight w:val="none"/>
        </w:rPr>
        <w:t>0%</w:t>
      </w:r>
      <w:r>
        <w:rPr>
          <w:rFonts w:hint="eastAsia" w:ascii="仿宋" w:hAnsi="仿宋" w:eastAsia="仿宋" w:cs="仿宋"/>
          <w:bCs/>
          <w:color w:val="auto"/>
          <w:szCs w:val="21"/>
          <w:highlight w:val="none"/>
        </w:rPr>
        <w:t>收取</w:t>
      </w:r>
      <w:r>
        <w:rPr>
          <w:rFonts w:hint="eastAsia" w:ascii="仿宋" w:hAnsi="仿宋" w:eastAsia="仿宋" w:cs="仿宋"/>
          <w:color w:val="auto"/>
          <w:kern w:val="2"/>
          <w:szCs w:val="21"/>
          <w:highlight w:val="none"/>
          <w:lang w:val="zh-CN"/>
        </w:rPr>
        <w:t>，收费标准详见附件。</w:t>
      </w:r>
    </w:p>
    <w:p>
      <w:pPr>
        <w:spacing w:line="360" w:lineRule="auto"/>
        <w:ind w:left="540" w:right="18" w:hanging="54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37.2</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中标人收到中标通知后，须在15日内向采购代理机构缴纳中标服务费用及领取《中标通知书》原件，否则视为放弃中标权利和义务。</w:t>
      </w:r>
    </w:p>
    <w:p>
      <w:pPr>
        <w:spacing w:line="360" w:lineRule="auto"/>
        <w:ind w:left="540" w:right="18" w:hanging="54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37.3</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中标服务费只收现金、银行转账或电汇。</w:t>
      </w:r>
    </w:p>
    <w:p>
      <w:pPr>
        <w:spacing w:line="360" w:lineRule="auto"/>
        <w:ind w:left="540" w:right="18" w:hanging="540"/>
        <w:jc w:val="both"/>
        <w:rPr>
          <w:rFonts w:ascii="仿宋" w:hAnsi="仿宋" w:eastAsia="仿宋" w:cs="仿宋"/>
          <w:color w:val="auto"/>
          <w:kern w:val="2"/>
          <w:szCs w:val="21"/>
          <w:highlight w:val="none"/>
          <w:lang w:val="zh-CN"/>
        </w:rPr>
      </w:pPr>
      <w:r>
        <w:rPr>
          <w:rFonts w:hint="eastAsia" w:ascii="仿宋" w:hAnsi="仿宋" w:eastAsia="仿宋" w:cs="仿宋"/>
          <w:bCs/>
          <w:color w:val="auto"/>
          <w:kern w:val="2"/>
          <w:szCs w:val="21"/>
          <w:highlight w:val="none"/>
          <w:lang w:val="zh-CN"/>
        </w:rPr>
        <w:t xml:space="preserve">37.4 </w:t>
      </w:r>
      <w:r>
        <w:rPr>
          <w:rFonts w:hint="eastAsia" w:ascii="仿宋" w:hAnsi="仿宋" w:eastAsia="仿宋" w:cs="仿宋"/>
          <w:b/>
          <w:bCs/>
          <w:color w:val="auto"/>
          <w:kern w:val="2"/>
          <w:szCs w:val="21"/>
          <w:highlight w:val="none"/>
          <w:lang w:val="zh-CN"/>
        </w:rPr>
        <w:t>中标服务费不在投标报价中单列</w:t>
      </w:r>
      <w:r>
        <w:rPr>
          <w:rFonts w:hint="eastAsia" w:ascii="仿宋" w:hAnsi="仿宋" w:eastAsia="仿宋" w:cs="仿宋"/>
          <w:color w:val="auto"/>
          <w:kern w:val="2"/>
          <w:szCs w:val="21"/>
          <w:highlight w:val="none"/>
          <w:lang w:val="zh-CN"/>
        </w:rPr>
        <w:t>。</w:t>
      </w:r>
    </w:p>
    <w:p>
      <w:pPr>
        <w:spacing w:line="360" w:lineRule="auto"/>
        <w:ind w:left="539" w:right="17" w:hanging="539"/>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38.</w:t>
      </w:r>
      <w:r>
        <w:rPr>
          <w:rFonts w:hint="eastAsia" w:ascii="仿宋" w:hAnsi="仿宋" w:eastAsia="仿宋" w:cs="仿宋"/>
          <w:color w:val="auto"/>
          <w:szCs w:val="21"/>
          <w:highlight w:val="none"/>
        </w:rPr>
        <w:t xml:space="preserve"> </w:t>
      </w:r>
      <w:r>
        <w:rPr>
          <w:rFonts w:hint="eastAsia" w:ascii="仿宋" w:hAnsi="仿宋" w:eastAsia="仿宋" w:cs="仿宋"/>
          <w:color w:val="auto"/>
          <w:kern w:val="2"/>
          <w:szCs w:val="21"/>
          <w:highlight w:val="none"/>
          <w:lang w:val="zh-CN"/>
        </w:rPr>
        <w:t>采购人在授予合同时变更采购货物和服务数量的权利</w:t>
      </w:r>
    </w:p>
    <w:p>
      <w:pPr>
        <w:spacing w:line="360" w:lineRule="auto"/>
        <w:ind w:left="539" w:right="17" w:hanging="539"/>
        <w:jc w:val="both"/>
        <w:rPr>
          <w:rFonts w:ascii="仿宋" w:hAnsi="仿宋" w:eastAsia="仿宋" w:cs="仿宋"/>
          <w:color w:val="auto"/>
          <w:kern w:val="2"/>
          <w:szCs w:val="21"/>
          <w:highlight w:val="none"/>
          <w:lang w:val="zh-CN"/>
        </w:rPr>
      </w:pPr>
      <w:bookmarkStart w:id="6" w:name="_Hlk35578184"/>
      <w:bookmarkStart w:id="7" w:name="_Hlk35578186"/>
      <w:bookmarkStart w:id="8" w:name="_Hlk35578185"/>
      <w:r>
        <w:rPr>
          <w:rFonts w:hint="eastAsia" w:ascii="仿宋" w:hAnsi="仿宋" w:eastAsia="仿宋" w:cs="仿宋"/>
          <w:color w:val="auto"/>
          <w:kern w:val="2"/>
          <w:szCs w:val="21"/>
          <w:highlight w:val="none"/>
          <w:lang w:val="zh-CN"/>
        </w:rPr>
        <w:t>38.1</w:t>
      </w:r>
      <w:bookmarkEnd w:id="6"/>
      <w:bookmarkEnd w:id="7"/>
      <w:bookmarkEnd w:id="8"/>
      <w:r>
        <w:rPr>
          <w:rFonts w:hint="eastAsia" w:ascii="仿宋" w:hAnsi="仿宋" w:eastAsia="仿宋" w:cs="仿宋"/>
          <w:color w:val="auto"/>
          <w:kern w:val="2"/>
          <w:szCs w:val="21"/>
          <w:highlight w:val="none"/>
          <w:lang w:val="zh-CN"/>
        </w:rPr>
        <w:t xml:space="preserve"> 政府采购合同履行中，采购人需追加与合同标的相同的货物、工程或者服务的，在不改变合同其他条款的前提下，可以与供应商签订补充合同，但所补充合同的采购金额不得超过</w:t>
      </w:r>
      <w:r>
        <w:rPr>
          <w:rFonts w:hint="eastAsia" w:ascii="仿宋" w:hAnsi="仿宋" w:eastAsia="仿宋" w:cs="仿宋"/>
          <w:bCs/>
          <w:color w:val="auto"/>
          <w:szCs w:val="21"/>
          <w:highlight w:val="none"/>
        </w:rPr>
        <w:t>相关法律法规</w:t>
      </w:r>
      <w:r>
        <w:rPr>
          <w:rFonts w:hint="eastAsia" w:ascii="仿宋" w:hAnsi="仿宋" w:eastAsia="仿宋" w:cs="仿宋"/>
          <w:color w:val="auto"/>
          <w:kern w:val="2"/>
          <w:szCs w:val="21"/>
          <w:highlight w:val="none"/>
          <w:lang w:val="zh-CN"/>
        </w:rPr>
        <w:t>规定的幅度，以中标人投标报价的单价进行计算。签订补充合同的必须按照35.3条的规定备案。</w:t>
      </w:r>
    </w:p>
    <w:p>
      <w:pPr>
        <w:spacing w:line="360" w:lineRule="auto"/>
        <w:ind w:left="539" w:right="17" w:hanging="539"/>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39.  发票</w:t>
      </w:r>
    </w:p>
    <w:p>
      <w:pPr>
        <w:spacing w:line="360" w:lineRule="auto"/>
        <w:ind w:left="539" w:right="17" w:hanging="539"/>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39.1 该项目获得中标的中标人在执行合同过程中，向采购人出具的发票必须是由中标人开具，不得以其他单位或个人名义出具。</w:t>
      </w:r>
    </w:p>
    <w:p>
      <w:pPr>
        <w:spacing w:line="360" w:lineRule="auto"/>
        <w:rPr>
          <w:rFonts w:hAnsi="宋体" w:cs="宋体"/>
          <w:color w:val="auto"/>
          <w:kern w:val="2"/>
          <w:szCs w:val="21"/>
          <w:highlight w:val="none"/>
          <w:lang w:val="zh-CN"/>
        </w:rPr>
      </w:pPr>
    </w:p>
    <w:p>
      <w:pPr>
        <w:pStyle w:val="5"/>
        <w:spacing w:line="360" w:lineRule="auto"/>
        <w:rPr>
          <w:rFonts w:hAnsi="宋体" w:cs="宋体"/>
          <w:color w:val="auto"/>
          <w:kern w:val="44"/>
          <w:szCs w:val="21"/>
          <w:highlight w:val="none"/>
          <w:lang w:val="zh-CN"/>
        </w:rPr>
      </w:pPr>
      <w:bookmarkStart w:id="9" w:name="_Toc413396495"/>
      <w:r>
        <w:rPr>
          <w:rFonts w:hint="eastAsia" w:hAnsi="宋体" w:cs="宋体"/>
          <w:color w:val="auto"/>
          <w:kern w:val="44"/>
          <w:szCs w:val="21"/>
          <w:highlight w:val="none"/>
          <w:lang w:val="zh-CN"/>
        </w:rPr>
        <w:t>（七）质疑与回复</w:t>
      </w:r>
      <w:bookmarkEnd w:id="9"/>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40   质疑与回复</w:t>
      </w:r>
    </w:p>
    <w:p>
      <w:pPr>
        <w:spacing w:line="360" w:lineRule="auto"/>
        <w:ind w:left="539" w:right="17" w:hanging="539"/>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40.1 如果投标人对此次采购活动有疑问，可依法向采购代理机构提出质疑。采购人或者采购代理机构应当在收到投标人书面有效质疑的七个工作日内对供应商依法提出的询问作出答复。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left="539" w:right="17" w:hanging="539"/>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40.2 政府采购法第五十二条规定的供应商应知其权益受到损害之日，是指：</w:t>
      </w:r>
    </w:p>
    <w:p>
      <w:pPr>
        <w:spacing w:line="360" w:lineRule="auto"/>
        <w:ind w:left="539" w:right="17" w:hanging="539"/>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　40.2.1 对可以质疑的采购文件提出质疑的，为采购文件公示期限届满之日起七个工作日内；</w:t>
      </w:r>
    </w:p>
    <w:p>
      <w:pPr>
        <w:spacing w:line="360" w:lineRule="auto"/>
        <w:ind w:left="539" w:right="17" w:hanging="539"/>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　40.2.2 对采购过程提出质疑的，为各采购程序环节结束之日；</w:t>
      </w:r>
    </w:p>
    <w:p>
      <w:pPr>
        <w:spacing w:line="360" w:lineRule="auto"/>
        <w:ind w:left="539" w:right="17" w:hanging="539"/>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　40.2.3 对中标或者成交结果提出质疑的，为中标或者成交结果公告期限届满之日。</w:t>
      </w:r>
    </w:p>
    <w:p>
      <w:pPr>
        <w:pStyle w:val="79"/>
        <w:spacing w:line="360" w:lineRule="auto"/>
        <w:ind w:firstLine="210" w:firstLineChars="100"/>
        <w:rPr>
          <w:rFonts w:ascii="仿宋" w:hAnsi="仿宋" w:eastAsia="仿宋" w:cs="仿宋"/>
          <w:color w:val="auto"/>
          <w:highlight w:val="none"/>
          <w:lang w:val="zh-CN"/>
        </w:rPr>
      </w:pPr>
      <w:r>
        <w:rPr>
          <w:rFonts w:hint="eastAsia" w:ascii="仿宋" w:hAnsi="仿宋" w:eastAsia="仿宋" w:cs="仿宋"/>
          <w:bCs w:val="0"/>
          <w:color w:val="auto"/>
          <w:spacing w:val="0"/>
          <w:kern w:val="2"/>
          <w:szCs w:val="21"/>
          <w:highlight w:val="none"/>
          <w:lang w:val="zh-CN"/>
        </w:rPr>
        <w:t>40.2.4 供应商在法定质疑期内只能一次性提出针对同一采购程序环节的质疑</w:t>
      </w:r>
      <w:r>
        <w:rPr>
          <w:rFonts w:hint="eastAsia" w:ascii="仿宋" w:hAnsi="仿宋" w:eastAsia="仿宋" w:cs="仿宋"/>
          <w:color w:val="auto"/>
          <w:highlight w:val="none"/>
          <w:lang w:val="zh-CN"/>
        </w:rPr>
        <w:t>。</w:t>
      </w:r>
    </w:p>
    <w:p>
      <w:pPr>
        <w:spacing w:line="360" w:lineRule="auto"/>
        <w:ind w:left="539" w:right="17" w:hanging="539"/>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40.3 询问或者质疑事项可能影响中标、成交结果的，采购人应当暂停签订合同，已经签订合同的，应当中止履行合同。</w:t>
      </w:r>
    </w:p>
    <w:p>
      <w:pPr>
        <w:spacing w:line="360" w:lineRule="auto"/>
        <w:ind w:left="539" w:right="17" w:hanging="539"/>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40.4 投标人有质疑时，应当以书面形式（加盖投标人公章）在质疑有效期限内向采购代理机构交质疑书原件，逾期质疑无效。投标人以电话、传真或电邮形式提交的质疑属于无效质疑。质疑内容不得含有虚假、恶意成分。依据“谁主张谁举证”的原则，质疑者提供的质疑书应当包括下列主要内容：具体的质疑事项、事实依据及相关确凿的证明材料和注明事实的确切来源、投标人名称、联系人与联系电话、质疑时间，质疑书应当署名并由法定代表人\负责人签字盖章并加盖公章。采购代理机构受理书面质疑书原件之日起，在规定的期限内作出答复。对于捏造事实、滥用维权扰乱采购秩序的恶意质疑者或举证不全查无实据被驳回次数在一年内达三次以上，将纳入不良行为记录名单并承担相应的法律责任。供应商投诉的事项不得超出已质疑事项的范围。</w:t>
      </w:r>
    </w:p>
    <w:p>
      <w:pPr>
        <w:spacing w:line="360" w:lineRule="auto"/>
        <w:ind w:left="539" w:right="17" w:hanging="539"/>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40.5　财政部门处理投诉事项采用书面审查的方式，必要时可以进行调查取证或者组织质证。</w:t>
      </w:r>
    </w:p>
    <w:p>
      <w:pPr>
        <w:spacing w:line="360" w:lineRule="auto"/>
        <w:ind w:left="539" w:right="17" w:hanging="539"/>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　　对财政部门依法进行的调查取证，投诉人和与投诉事项有关的当事人应当如实反映情况，并提供相关材料。</w:t>
      </w:r>
    </w:p>
    <w:p>
      <w:pPr>
        <w:spacing w:line="360" w:lineRule="auto"/>
        <w:ind w:left="539" w:right="17" w:hanging="539"/>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40.6 投诉人捏造事实、提供虚假材料或者以非法手段取得证明材料进行投诉的，财政部门应当予以驳回。</w:t>
      </w:r>
    </w:p>
    <w:p>
      <w:pPr>
        <w:spacing w:line="360" w:lineRule="auto"/>
        <w:ind w:left="539" w:right="17" w:hanging="539"/>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　　财政部门受理投诉后，投诉人书面申请撤回投诉的，财政部门应当终止投诉处理程序。</w:t>
      </w:r>
    </w:p>
    <w:p>
      <w:pPr>
        <w:spacing w:line="360" w:lineRule="auto"/>
        <w:ind w:left="539" w:right="17" w:hanging="539"/>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40.7 财政部门处理投诉事项，需要检验、检测、鉴定、专家评审以及需要投诉人补正材料的，所需时间不计算在投诉处理期限内。</w:t>
      </w:r>
    </w:p>
    <w:p>
      <w:pPr>
        <w:spacing w:line="360" w:lineRule="auto"/>
        <w:ind w:left="539" w:right="17" w:hanging="539"/>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　　财政部门对投诉事项作出的处理决定，应当在省级以上人民政府财政部门指定的媒体上公告。</w:t>
      </w:r>
    </w:p>
    <w:p>
      <w:pPr>
        <w:pStyle w:val="120"/>
        <w:rPr>
          <w:color w:val="auto"/>
          <w:highlight w:val="none"/>
          <w:lang w:val="zh-CN"/>
        </w:rPr>
      </w:pPr>
    </w:p>
    <w:p>
      <w:pPr>
        <w:pStyle w:val="5"/>
        <w:spacing w:line="360" w:lineRule="auto"/>
        <w:rPr>
          <w:rFonts w:hAnsi="宋体" w:cs="宋体"/>
          <w:color w:val="auto"/>
          <w:kern w:val="44"/>
          <w:szCs w:val="21"/>
          <w:highlight w:val="none"/>
          <w:lang w:val="zh-CN"/>
        </w:rPr>
      </w:pPr>
      <w:r>
        <w:rPr>
          <w:rFonts w:hint="eastAsia" w:hAnsi="宋体" w:cs="宋体"/>
          <w:color w:val="auto"/>
          <w:kern w:val="44"/>
          <w:szCs w:val="21"/>
          <w:highlight w:val="none"/>
          <w:lang w:val="zh-CN"/>
        </w:rPr>
        <w:t>（八）本项目适用的扶持性政策</w:t>
      </w:r>
    </w:p>
    <w:p>
      <w:pPr>
        <w:spacing w:line="360" w:lineRule="auto"/>
        <w:ind w:left="539" w:right="17" w:hanging="539"/>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41.《政府采购促进中小企业发展管理办法》(财库(2020)46号)</w:t>
      </w:r>
    </w:p>
    <w:p>
      <w:pPr>
        <w:spacing w:line="360" w:lineRule="auto"/>
        <w:ind w:left="539" w:right="17" w:hanging="539"/>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42.《关于政府采购支持监狱企业发展有关问题的通知》(财库〔2014〕68号)</w:t>
      </w:r>
    </w:p>
    <w:p>
      <w:pPr>
        <w:spacing w:line="360" w:lineRule="auto"/>
        <w:ind w:left="539" w:right="17" w:hanging="539"/>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43.《关于促进残疾人就业政府采购政策的通知》（财库〔2017〕141号)</w:t>
      </w:r>
    </w:p>
    <w:p>
      <w:pPr>
        <w:widowControl/>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44.《关于环境标志产品政府采购实施的意见》（财库〔2006〕90号）</w:t>
      </w:r>
    </w:p>
    <w:p>
      <w:pPr>
        <w:widowControl/>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45.《节能产品政府采购实施意见》的通知（财库〔2004〕185号）</w:t>
      </w:r>
    </w:p>
    <w:p>
      <w:pPr>
        <w:widowControl/>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46.《关于开展政府采购信用担保试点工作方案》（财库〔2011〕124号）</w:t>
      </w:r>
    </w:p>
    <w:p>
      <w:pPr>
        <w:pStyle w:val="5"/>
        <w:spacing w:line="360" w:lineRule="auto"/>
        <w:rPr>
          <w:rFonts w:hAnsi="宋体" w:cs="宋体"/>
          <w:color w:val="auto"/>
          <w:kern w:val="44"/>
          <w:szCs w:val="21"/>
          <w:highlight w:val="none"/>
          <w:lang w:val="zh-CN"/>
        </w:rPr>
      </w:pPr>
      <w:r>
        <w:rPr>
          <w:rFonts w:hint="eastAsia" w:hAnsi="宋体" w:cs="宋体"/>
          <w:color w:val="auto"/>
          <w:kern w:val="44"/>
          <w:szCs w:val="21"/>
          <w:highlight w:val="none"/>
          <w:lang w:val="zh-CN"/>
        </w:rPr>
        <w:t>（九）实施政府采购信用担保：适用。</w:t>
      </w:r>
    </w:p>
    <w:p>
      <w:pPr>
        <w:pStyle w:val="3"/>
        <w:keepNext/>
        <w:keepLines/>
        <w:pageBreakBefore/>
        <w:tabs>
          <w:tab w:val="left" w:pos="1080"/>
        </w:tabs>
        <w:spacing w:line="360" w:lineRule="auto"/>
        <w:ind w:left="567" w:hanging="567"/>
        <w:jc w:val="center"/>
        <w:rPr>
          <w:rFonts w:hAnsi="宋体" w:cs="宋体"/>
          <w:color w:val="auto"/>
          <w:kern w:val="44"/>
          <w:highlight w:val="none"/>
          <w:lang w:val="zh-CN"/>
        </w:rPr>
      </w:pPr>
      <w:r>
        <w:rPr>
          <w:rFonts w:hint="eastAsia" w:hAnsi="宋体" w:cs="宋体"/>
          <w:b/>
          <w:bCs/>
          <w:color w:val="auto"/>
          <w:kern w:val="44"/>
          <w:sz w:val="32"/>
          <w:szCs w:val="32"/>
          <w:highlight w:val="none"/>
          <w:lang w:val="zh-CN"/>
        </w:rPr>
        <w:t>第三篇</w:t>
      </w:r>
      <w:r>
        <w:rPr>
          <w:rFonts w:hint="eastAsia" w:hAnsi="宋体" w:cs="宋体"/>
          <w:b/>
          <w:bCs/>
          <w:color w:val="auto"/>
          <w:kern w:val="44"/>
          <w:sz w:val="32"/>
          <w:szCs w:val="32"/>
          <w:highlight w:val="none"/>
          <w:lang w:val="zh-CN"/>
        </w:rPr>
        <w:tab/>
      </w:r>
      <w:r>
        <w:rPr>
          <w:rFonts w:hint="eastAsia" w:hAnsi="宋体" w:cs="宋体"/>
          <w:b/>
          <w:bCs/>
          <w:color w:val="auto"/>
          <w:kern w:val="44"/>
          <w:sz w:val="32"/>
          <w:szCs w:val="32"/>
          <w:highlight w:val="none"/>
          <w:lang w:val="zh-CN"/>
        </w:rPr>
        <w:t>合同条款格式</w:t>
      </w:r>
    </w:p>
    <w:p>
      <w:pPr>
        <w:jc w:val="center"/>
        <w:rPr>
          <w:rFonts w:hAnsi="宋体" w:cs="宋体"/>
          <w:color w:val="auto"/>
          <w:highlight w:val="none"/>
        </w:rPr>
      </w:pPr>
      <w:r>
        <w:rPr>
          <w:rFonts w:hint="eastAsia" w:hAnsi="宋体" w:cs="宋体"/>
          <w:bCs/>
          <w:color w:val="auto"/>
          <w:kern w:val="44"/>
          <w:highlight w:val="none"/>
          <w:lang w:val="zh-CN"/>
        </w:rPr>
        <w:t>（仅供参考，最终以甲、乙双方签订的合同为准）</w:t>
      </w:r>
    </w:p>
    <w:p>
      <w:pPr>
        <w:rPr>
          <w:rFonts w:hAnsi="宋体" w:cs="宋体"/>
          <w:color w:val="auto"/>
          <w:szCs w:val="21"/>
          <w:highlight w:val="none"/>
        </w:rPr>
      </w:pPr>
    </w:p>
    <w:p>
      <w:pPr>
        <w:rPr>
          <w:rFonts w:hAnsi="宋体" w:cs="宋体"/>
          <w:color w:val="auto"/>
          <w:szCs w:val="21"/>
          <w:highlight w:val="none"/>
        </w:rPr>
      </w:pPr>
    </w:p>
    <w:p>
      <w:pPr>
        <w:rPr>
          <w:rFonts w:hAnsi="宋体" w:cs="宋体"/>
          <w:color w:val="auto"/>
          <w:szCs w:val="21"/>
          <w:highlight w:val="none"/>
        </w:rPr>
      </w:pPr>
    </w:p>
    <w:p>
      <w:pPr>
        <w:rPr>
          <w:rFonts w:hAnsi="宋体" w:cs="宋体"/>
          <w:color w:val="auto"/>
          <w:szCs w:val="21"/>
          <w:highlight w:val="none"/>
        </w:rPr>
      </w:pPr>
    </w:p>
    <w:p>
      <w:pPr>
        <w:rPr>
          <w:rFonts w:hAnsi="宋体" w:cs="宋体"/>
          <w:color w:val="auto"/>
          <w:szCs w:val="21"/>
          <w:highlight w:val="none"/>
        </w:rPr>
      </w:pPr>
    </w:p>
    <w:p>
      <w:pPr>
        <w:rPr>
          <w:rFonts w:hAnsi="宋体" w:cs="宋体"/>
          <w:color w:val="auto"/>
          <w:szCs w:val="21"/>
          <w:highlight w:val="none"/>
        </w:rPr>
      </w:pPr>
    </w:p>
    <w:p>
      <w:pPr>
        <w:rPr>
          <w:rFonts w:hAnsi="宋体" w:cs="宋体"/>
          <w:color w:val="auto"/>
          <w:szCs w:val="21"/>
          <w:highlight w:val="none"/>
        </w:rPr>
      </w:pPr>
    </w:p>
    <w:p>
      <w:pPr>
        <w:rPr>
          <w:rFonts w:hAnsi="宋体" w:cs="宋体"/>
          <w:color w:val="auto"/>
          <w:szCs w:val="21"/>
          <w:highlight w:val="none"/>
        </w:rPr>
      </w:pPr>
    </w:p>
    <w:p>
      <w:pPr>
        <w:ind w:right="-26"/>
        <w:jc w:val="center"/>
        <w:rPr>
          <w:rFonts w:hAnsi="宋体" w:cs="宋体"/>
          <w:b/>
          <w:color w:val="auto"/>
          <w:sz w:val="44"/>
          <w:szCs w:val="36"/>
          <w:highlight w:val="none"/>
        </w:rPr>
      </w:pPr>
      <w:r>
        <w:rPr>
          <w:rFonts w:hint="eastAsia" w:hAnsi="宋体" w:cs="宋体"/>
          <w:b/>
          <w:color w:val="auto"/>
          <w:sz w:val="44"/>
          <w:szCs w:val="36"/>
          <w:highlight w:val="none"/>
        </w:rPr>
        <w:t>南海海洋预警信息发布和沿海</w:t>
      </w:r>
    </w:p>
    <w:p>
      <w:pPr>
        <w:ind w:right="-26"/>
        <w:jc w:val="center"/>
        <w:rPr>
          <w:rFonts w:hAnsi="宋体" w:cs="宋体"/>
          <w:b/>
          <w:color w:val="auto"/>
          <w:sz w:val="44"/>
          <w:szCs w:val="36"/>
          <w:highlight w:val="none"/>
        </w:rPr>
      </w:pPr>
      <w:r>
        <w:rPr>
          <w:rFonts w:hint="eastAsia" w:hAnsi="宋体" w:cs="宋体"/>
          <w:b/>
          <w:color w:val="auto"/>
          <w:sz w:val="44"/>
          <w:szCs w:val="36"/>
          <w:highlight w:val="none"/>
        </w:rPr>
        <w:t>恶劣天气防灾叫应系统(二期)</w:t>
      </w:r>
    </w:p>
    <w:p>
      <w:pPr>
        <w:ind w:right="-26"/>
        <w:jc w:val="center"/>
        <w:rPr>
          <w:rFonts w:hAnsi="宋体" w:cs="宋体"/>
          <w:b/>
          <w:color w:val="auto"/>
          <w:sz w:val="36"/>
          <w:szCs w:val="36"/>
          <w:highlight w:val="none"/>
        </w:rPr>
      </w:pPr>
      <w:r>
        <w:rPr>
          <w:rFonts w:hint="eastAsia" w:hAnsi="宋体" w:cs="宋体"/>
          <w:b/>
          <w:color w:val="auto"/>
          <w:sz w:val="36"/>
          <w:szCs w:val="36"/>
          <w:highlight w:val="none"/>
        </w:rPr>
        <w:t>（合同编号：）</w:t>
      </w:r>
    </w:p>
    <w:p>
      <w:pPr>
        <w:spacing w:line="700" w:lineRule="exact"/>
        <w:jc w:val="center"/>
        <w:rPr>
          <w:rFonts w:hAnsi="宋体" w:cs="宋体"/>
          <w:b/>
          <w:color w:val="auto"/>
          <w:sz w:val="44"/>
          <w:highlight w:val="none"/>
        </w:rPr>
      </w:pPr>
    </w:p>
    <w:p>
      <w:pPr>
        <w:spacing w:line="700" w:lineRule="exact"/>
        <w:jc w:val="center"/>
        <w:rPr>
          <w:rFonts w:hAnsi="宋体" w:cs="宋体"/>
          <w:b/>
          <w:color w:val="auto"/>
          <w:sz w:val="44"/>
          <w:highlight w:val="none"/>
        </w:rPr>
      </w:pPr>
    </w:p>
    <w:p>
      <w:pPr>
        <w:spacing w:line="700" w:lineRule="exact"/>
        <w:jc w:val="center"/>
        <w:rPr>
          <w:rFonts w:hAnsi="宋体" w:cs="宋体"/>
          <w:b/>
          <w:color w:val="auto"/>
          <w:sz w:val="44"/>
          <w:highlight w:val="none"/>
        </w:rPr>
      </w:pPr>
      <w:r>
        <w:rPr>
          <w:rFonts w:hint="eastAsia" w:hAnsi="宋体" w:cs="宋体"/>
          <w:b/>
          <w:color w:val="auto"/>
          <w:sz w:val="44"/>
          <w:highlight w:val="none"/>
        </w:rPr>
        <w:t>采购合同</w:t>
      </w:r>
    </w:p>
    <w:p>
      <w:pPr>
        <w:jc w:val="center"/>
        <w:rPr>
          <w:rFonts w:hAnsi="宋体" w:cs="宋体"/>
          <w:color w:val="auto"/>
          <w:highlight w:val="none"/>
        </w:rPr>
      </w:pPr>
    </w:p>
    <w:p>
      <w:pPr>
        <w:jc w:val="center"/>
        <w:rPr>
          <w:rFonts w:hAnsi="宋体" w:cs="宋体"/>
          <w:color w:val="auto"/>
          <w:highlight w:val="none"/>
        </w:rPr>
      </w:pPr>
    </w:p>
    <w:p>
      <w:pPr>
        <w:jc w:val="center"/>
        <w:rPr>
          <w:rFonts w:hAnsi="宋体" w:cs="宋体"/>
          <w:color w:val="auto"/>
          <w:highlight w:val="none"/>
        </w:rPr>
      </w:pPr>
    </w:p>
    <w:p>
      <w:pPr>
        <w:jc w:val="center"/>
        <w:rPr>
          <w:rFonts w:hAnsi="宋体" w:cs="宋体"/>
          <w:color w:val="auto"/>
          <w:sz w:val="32"/>
          <w:highlight w:val="none"/>
        </w:rPr>
      </w:pPr>
    </w:p>
    <w:p>
      <w:pPr>
        <w:jc w:val="center"/>
        <w:rPr>
          <w:rFonts w:hAnsi="宋体" w:cs="宋体"/>
          <w:color w:val="auto"/>
          <w:sz w:val="32"/>
          <w:highlight w:val="none"/>
        </w:rPr>
      </w:pPr>
    </w:p>
    <w:p>
      <w:pPr>
        <w:jc w:val="center"/>
        <w:rPr>
          <w:rFonts w:hAnsi="宋体" w:cs="宋体"/>
          <w:color w:val="auto"/>
          <w:sz w:val="32"/>
          <w:highlight w:val="none"/>
        </w:rPr>
      </w:pPr>
    </w:p>
    <w:p>
      <w:pPr>
        <w:jc w:val="center"/>
        <w:rPr>
          <w:rFonts w:hAnsi="宋体" w:cs="宋体"/>
          <w:color w:val="auto"/>
          <w:sz w:val="32"/>
          <w:highlight w:val="none"/>
        </w:rPr>
      </w:pPr>
    </w:p>
    <w:p>
      <w:pPr>
        <w:jc w:val="center"/>
        <w:rPr>
          <w:rFonts w:hAnsi="宋体" w:cs="宋体"/>
          <w:color w:val="auto"/>
          <w:sz w:val="32"/>
          <w:highlight w:val="none"/>
        </w:rPr>
      </w:pPr>
    </w:p>
    <w:p>
      <w:pPr>
        <w:jc w:val="center"/>
        <w:rPr>
          <w:rFonts w:hAnsi="宋体" w:cs="宋体"/>
          <w:color w:val="auto"/>
          <w:sz w:val="32"/>
          <w:highlight w:val="none"/>
        </w:rPr>
      </w:pPr>
    </w:p>
    <w:p>
      <w:pPr>
        <w:ind w:firstLine="2520" w:firstLineChars="900"/>
        <w:rPr>
          <w:rFonts w:hAnsi="宋体" w:cs="宋体"/>
          <w:color w:val="auto"/>
          <w:sz w:val="28"/>
          <w:szCs w:val="28"/>
          <w:highlight w:val="none"/>
        </w:rPr>
      </w:pPr>
      <w:r>
        <w:rPr>
          <w:rFonts w:hint="eastAsia" w:hAnsi="宋体" w:cs="宋体"/>
          <w:color w:val="auto"/>
          <w:sz w:val="28"/>
          <w:szCs w:val="28"/>
          <w:highlight w:val="none"/>
        </w:rPr>
        <w:t>甲方：广东省气象局</w:t>
      </w:r>
    </w:p>
    <w:p>
      <w:pPr>
        <w:ind w:firstLine="2520" w:firstLineChars="900"/>
        <w:jc w:val="both"/>
        <w:rPr>
          <w:rFonts w:hAnsi="宋体" w:cs="宋体"/>
          <w:color w:val="auto"/>
          <w:sz w:val="28"/>
          <w:szCs w:val="28"/>
          <w:highlight w:val="none"/>
        </w:rPr>
      </w:pPr>
      <w:r>
        <w:rPr>
          <w:rFonts w:hint="eastAsia" w:hAnsi="宋体" w:cs="宋体"/>
          <w:color w:val="auto"/>
          <w:sz w:val="28"/>
          <w:szCs w:val="28"/>
          <w:highlight w:val="none"/>
        </w:rPr>
        <w:t>乙方：</w:t>
      </w:r>
    </w:p>
    <w:p>
      <w:pPr>
        <w:spacing w:line="460" w:lineRule="exact"/>
        <w:rPr>
          <w:rFonts w:hAnsi="time of new roman"/>
          <w:b/>
          <w:color w:val="auto"/>
          <w:szCs w:val="21"/>
          <w:highlight w:val="none"/>
        </w:rPr>
      </w:pPr>
    </w:p>
    <w:p>
      <w:pPr>
        <w:spacing w:line="460" w:lineRule="exact"/>
        <w:rPr>
          <w:rFonts w:hAnsi="time of new roman"/>
          <w:b/>
          <w:color w:val="auto"/>
          <w:szCs w:val="21"/>
          <w:highlight w:val="none"/>
        </w:rPr>
      </w:pPr>
    </w:p>
    <w:p>
      <w:pPr>
        <w:spacing w:line="460" w:lineRule="exact"/>
        <w:rPr>
          <w:b/>
          <w:color w:val="auto"/>
          <w:szCs w:val="21"/>
          <w:highlight w:val="none"/>
        </w:rPr>
      </w:pPr>
      <w:r>
        <w:rPr>
          <w:rFonts w:hAnsi="time of new roman"/>
          <w:b/>
          <w:color w:val="auto"/>
          <w:szCs w:val="21"/>
          <w:highlight w:val="none"/>
        </w:rPr>
        <w:t>注：本合同样本仅供参考，甲乙双方可根据实际情况进行补充。</w:t>
      </w:r>
    </w:p>
    <w:p>
      <w:pPr>
        <w:spacing w:line="360" w:lineRule="auto"/>
        <w:ind w:firstLine="420" w:firstLineChars="200"/>
        <w:rPr>
          <w:color w:val="auto"/>
          <w:szCs w:val="21"/>
          <w:highlight w:val="none"/>
        </w:rPr>
      </w:pPr>
    </w:p>
    <w:p>
      <w:pPr>
        <w:spacing w:line="360" w:lineRule="auto"/>
        <w:jc w:val="center"/>
        <w:rPr>
          <w:color w:val="auto"/>
          <w:sz w:val="24"/>
          <w:highlight w:val="none"/>
        </w:rPr>
      </w:pPr>
    </w:p>
    <w:p>
      <w:pPr>
        <w:tabs>
          <w:tab w:val="left" w:pos="720"/>
        </w:tabs>
        <w:spacing w:line="360" w:lineRule="auto"/>
        <w:rPr>
          <w:rFonts w:ascii="仿宋" w:hAnsi="仿宋" w:eastAsia="仿宋" w:cs="仿宋"/>
          <w:b/>
          <w:color w:val="auto"/>
          <w:szCs w:val="21"/>
          <w:highlight w:val="none"/>
        </w:rPr>
      </w:pPr>
      <w:r>
        <w:rPr>
          <w:rFonts w:hint="eastAsia" w:ascii="仿宋" w:hAnsi="仿宋" w:eastAsia="仿宋" w:cs="仿宋"/>
          <w:b/>
          <w:color w:val="auto"/>
          <w:szCs w:val="21"/>
          <w:highlight w:val="none"/>
        </w:rPr>
        <w:t>甲    方（采购方）：</w:t>
      </w:r>
      <w:r>
        <w:rPr>
          <w:rFonts w:hint="eastAsia" w:ascii="仿宋" w:hAnsi="仿宋" w:eastAsia="仿宋" w:cs="仿宋"/>
          <w:b/>
          <w:color w:val="auto"/>
          <w:szCs w:val="21"/>
          <w:highlight w:val="none"/>
          <w:u w:val="single"/>
        </w:rPr>
        <w:t>广东省气象局</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电   话:              传 真：               地  址:</w:t>
      </w:r>
      <w:r>
        <w:rPr>
          <w:rFonts w:hint="eastAsia" w:ascii="仿宋" w:hAnsi="仿宋" w:eastAsia="仿宋" w:cs="仿宋"/>
          <w:color w:val="auto"/>
          <w:highlight w:val="none"/>
        </w:rPr>
        <w:t xml:space="preserve"> </w:t>
      </w:r>
    </w:p>
    <w:p>
      <w:pPr>
        <w:spacing w:line="360" w:lineRule="auto"/>
        <w:rPr>
          <w:rFonts w:ascii="仿宋" w:hAnsi="仿宋" w:eastAsia="仿宋" w:cs="仿宋"/>
          <w:b/>
          <w:color w:val="auto"/>
          <w:szCs w:val="21"/>
          <w:highlight w:val="none"/>
        </w:rPr>
      </w:pPr>
      <w:r>
        <w:rPr>
          <w:rFonts w:hint="eastAsia" w:ascii="仿宋" w:hAnsi="仿宋" w:eastAsia="仿宋" w:cs="仿宋"/>
          <w:b/>
          <w:color w:val="auto"/>
          <w:szCs w:val="21"/>
          <w:highlight w:val="none"/>
        </w:rPr>
        <w:t>乙    方（中标方）：</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电    话：            传  真：               地  址： </w:t>
      </w:r>
    </w:p>
    <w:p>
      <w:pPr>
        <w:tabs>
          <w:tab w:val="left" w:pos="720"/>
        </w:tabs>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项目名称： </w:t>
      </w:r>
    </w:p>
    <w:p>
      <w:pPr>
        <w:tabs>
          <w:tab w:val="left" w:pos="425"/>
        </w:tabs>
        <w:snapToGrid w:val="0"/>
        <w:spacing w:line="360" w:lineRule="auto"/>
        <w:jc w:val="both"/>
        <w:rPr>
          <w:rFonts w:ascii="仿宋" w:hAnsi="仿宋" w:eastAsia="仿宋" w:cs="仿宋"/>
          <w:color w:val="auto"/>
          <w:szCs w:val="21"/>
          <w:highlight w:val="none"/>
        </w:rPr>
      </w:pPr>
      <w:r>
        <w:rPr>
          <w:rFonts w:hint="eastAsia" w:ascii="仿宋" w:hAnsi="仿宋" w:eastAsia="仿宋" w:cs="仿宋"/>
          <w:color w:val="auto"/>
          <w:szCs w:val="21"/>
          <w:highlight w:val="none"/>
        </w:rPr>
        <w:t>项目编号：</w:t>
      </w:r>
    </w:p>
    <w:p>
      <w:pPr>
        <w:tabs>
          <w:tab w:val="left" w:pos="425"/>
        </w:tabs>
        <w:snapToGrid w:val="0"/>
        <w:spacing w:line="360" w:lineRule="auto"/>
        <w:ind w:firstLine="420" w:firstLineChars="200"/>
        <w:jc w:val="both"/>
        <w:rPr>
          <w:rFonts w:ascii="仿宋" w:hAnsi="仿宋" w:eastAsia="仿宋" w:cs="仿宋"/>
          <w:color w:val="auto"/>
          <w:szCs w:val="21"/>
          <w:highlight w:val="none"/>
        </w:rPr>
      </w:pPr>
      <w:r>
        <w:rPr>
          <w:rFonts w:hint="eastAsia" w:ascii="仿宋" w:hAnsi="仿宋" w:eastAsia="仿宋" w:cs="仿宋"/>
          <w:color w:val="auto"/>
          <w:szCs w:val="21"/>
          <w:highlight w:val="none"/>
        </w:rPr>
        <w:t>根据南海海洋预警信息发布和沿海恶劣天气防灾叫应系统(二期)（项目编号：   ）的招标结果，按照《中华人民共和国政府采购法》《中华人民共和国民法典》等相关法律、法规的规定，经双方协商，本着平等互利和诚实信用的原则，一致同意签订本合同如下。</w:t>
      </w:r>
    </w:p>
    <w:p>
      <w:pPr>
        <w:pStyle w:val="5"/>
        <w:tabs>
          <w:tab w:val="left" w:pos="900"/>
        </w:tabs>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一、内容</w:t>
      </w:r>
    </w:p>
    <w:tbl>
      <w:tblPr>
        <w:tblStyle w:val="4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1"/>
        <w:gridCol w:w="1541"/>
        <w:gridCol w:w="1541"/>
        <w:gridCol w:w="2558"/>
        <w:gridCol w:w="2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91" w:type="pct"/>
            <w:vAlign w:val="center"/>
          </w:tcPr>
          <w:p>
            <w:pPr>
              <w:snapToGrid w:val="0"/>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791" w:type="pct"/>
            <w:vAlign w:val="center"/>
          </w:tcPr>
          <w:p>
            <w:pPr>
              <w:snapToGrid w:val="0"/>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791" w:type="pct"/>
            <w:vAlign w:val="center"/>
          </w:tcPr>
          <w:p>
            <w:pPr>
              <w:snapToGrid w:val="0"/>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数量</w:t>
            </w:r>
          </w:p>
        </w:tc>
        <w:tc>
          <w:tcPr>
            <w:tcW w:w="1313" w:type="pct"/>
            <w:vAlign w:val="center"/>
          </w:tcPr>
          <w:p>
            <w:pPr>
              <w:snapToGrid w:val="0"/>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单价(元)</w:t>
            </w:r>
          </w:p>
        </w:tc>
        <w:tc>
          <w:tcPr>
            <w:tcW w:w="1313" w:type="pct"/>
            <w:vAlign w:val="center"/>
          </w:tcPr>
          <w:p>
            <w:pPr>
              <w:snapToGrid w:val="0"/>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91" w:type="pct"/>
            <w:vAlign w:val="center"/>
          </w:tcPr>
          <w:p>
            <w:pPr>
              <w:snapToGrid w:val="0"/>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791" w:type="pct"/>
            <w:vAlign w:val="center"/>
          </w:tcPr>
          <w:p>
            <w:pPr>
              <w:snapToGrid w:val="0"/>
              <w:spacing w:line="360" w:lineRule="auto"/>
              <w:rPr>
                <w:rFonts w:ascii="仿宋" w:hAnsi="仿宋" w:eastAsia="仿宋" w:cs="仿宋"/>
                <w:color w:val="auto"/>
                <w:szCs w:val="21"/>
                <w:highlight w:val="none"/>
              </w:rPr>
            </w:pPr>
          </w:p>
        </w:tc>
        <w:tc>
          <w:tcPr>
            <w:tcW w:w="791" w:type="pct"/>
            <w:vAlign w:val="center"/>
          </w:tcPr>
          <w:p>
            <w:pPr>
              <w:snapToGrid w:val="0"/>
              <w:spacing w:line="360" w:lineRule="auto"/>
              <w:rPr>
                <w:rFonts w:ascii="仿宋" w:hAnsi="仿宋" w:eastAsia="仿宋" w:cs="仿宋"/>
                <w:color w:val="auto"/>
                <w:szCs w:val="21"/>
                <w:highlight w:val="none"/>
              </w:rPr>
            </w:pPr>
          </w:p>
        </w:tc>
        <w:tc>
          <w:tcPr>
            <w:tcW w:w="1313" w:type="pct"/>
            <w:vAlign w:val="center"/>
          </w:tcPr>
          <w:p>
            <w:pPr>
              <w:snapToGrid w:val="0"/>
              <w:spacing w:line="360" w:lineRule="auto"/>
              <w:rPr>
                <w:rFonts w:ascii="仿宋" w:hAnsi="仿宋" w:eastAsia="仿宋" w:cs="仿宋"/>
                <w:color w:val="auto"/>
                <w:szCs w:val="21"/>
                <w:highlight w:val="none"/>
              </w:rPr>
            </w:pPr>
          </w:p>
        </w:tc>
        <w:tc>
          <w:tcPr>
            <w:tcW w:w="1313" w:type="pct"/>
            <w:vAlign w:val="center"/>
          </w:tcPr>
          <w:p>
            <w:pPr>
              <w:snapToGrid w:val="0"/>
              <w:spacing w:line="360" w:lineRule="auto"/>
              <w:rPr>
                <w:rFonts w:ascii="仿宋" w:hAnsi="仿宋" w:eastAsia="仿宋" w:cs="仿宋"/>
                <w:color w:val="auto"/>
                <w:szCs w:val="21"/>
                <w:highlight w:val="none"/>
              </w:rPr>
            </w:pPr>
          </w:p>
        </w:tc>
      </w:tr>
    </w:tbl>
    <w:p>
      <w:pPr>
        <w:snapToGrid w:val="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合同总额为固定包干价，包括但不限于乙方设备、软件、基础建设、安装、调试、培训、质保期服务、各项税费等。</w:t>
      </w:r>
    </w:p>
    <w:p>
      <w:pPr>
        <w:snapToGrid w:val="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注：货物名称内容应与投标文件中货物名称内容一致。</w:t>
      </w:r>
    </w:p>
    <w:p>
      <w:pPr>
        <w:pStyle w:val="5"/>
        <w:tabs>
          <w:tab w:val="left" w:pos="900"/>
        </w:tabs>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二、合同金额</w:t>
      </w:r>
    </w:p>
    <w:p>
      <w:pPr>
        <w:pStyle w:val="28"/>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合同金额为（大写）：               （￥</w:t>
      </w:r>
      <w:r>
        <w:rPr>
          <w:rFonts w:hint="eastAsia" w:ascii="仿宋" w:hAnsi="仿宋" w:eastAsia="仿宋" w:cs="仿宋"/>
          <w:color w:val="auto"/>
          <w:szCs w:val="21"/>
          <w:highlight w:val="none"/>
          <w:u w:val="single"/>
        </w:rPr>
        <w:t xml:space="preserve">_   </w:t>
      </w:r>
      <w:r>
        <w:rPr>
          <w:rFonts w:hint="eastAsia" w:ascii="仿宋" w:hAnsi="仿宋" w:eastAsia="仿宋" w:cs="仿宋"/>
          <w:color w:val="auto"/>
          <w:szCs w:val="21"/>
          <w:highlight w:val="none"/>
        </w:rPr>
        <w:t>元）人民币。</w:t>
      </w:r>
    </w:p>
    <w:p>
      <w:pPr>
        <w:pStyle w:val="5"/>
        <w:tabs>
          <w:tab w:val="left" w:pos="900"/>
        </w:tabs>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三、进度要求</w:t>
      </w:r>
    </w:p>
    <w:p>
      <w:pPr>
        <w:snapToGrid w:val="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本项目</w:t>
      </w:r>
      <w:r>
        <w:rPr>
          <w:rFonts w:ascii="仿宋" w:hAnsi="仿宋" w:eastAsia="仿宋" w:cs="仿宋"/>
          <w:color w:val="auto"/>
          <w:szCs w:val="21"/>
          <w:highlight w:val="none"/>
        </w:rPr>
        <w:t>各阶段任务</w:t>
      </w:r>
      <w:r>
        <w:rPr>
          <w:rFonts w:hint="eastAsia" w:ascii="仿宋" w:hAnsi="仿宋" w:eastAsia="仿宋" w:cs="仿宋"/>
          <w:color w:val="auto"/>
          <w:szCs w:val="21"/>
          <w:highlight w:val="none"/>
        </w:rPr>
        <w:t>整体</w:t>
      </w:r>
      <w:r>
        <w:rPr>
          <w:rFonts w:ascii="仿宋" w:hAnsi="仿宋" w:eastAsia="仿宋" w:cs="仿宋"/>
          <w:color w:val="auto"/>
          <w:szCs w:val="21"/>
          <w:highlight w:val="none"/>
        </w:rPr>
        <w:t>进度初步分解如下（具体进度计划将与最终中标人进行协商调整）：</w:t>
      </w:r>
    </w:p>
    <w:p>
      <w:pPr>
        <w:snapToGrid w:val="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（1）在采购代理机构发出中标通知书之日起的30个工作日内，采购人和中标人签订合同，项目启动。</w:t>
      </w:r>
    </w:p>
    <w:p>
      <w:pPr>
        <w:snapToGrid w:val="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（2）开展为期一年期的报灾系统运营服务和三年期的预警信息采集、发布与质控和预警信息发布系统运营服务，在每一个运营服务年度结束时，组织对指定运营服务的质量评估；运营服务到期后开展验收。</w:t>
      </w:r>
    </w:p>
    <w:p>
      <w:pPr>
        <w:snapToGrid w:val="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（3）项目完成结算后申请最终支付。</w:t>
      </w:r>
    </w:p>
    <w:p>
      <w:pPr>
        <w:pStyle w:val="5"/>
        <w:tabs>
          <w:tab w:val="left" w:pos="900"/>
        </w:tabs>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四、服务期、服务地点  </w:t>
      </w:r>
    </w:p>
    <w:p>
      <w:pPr>
        <w:numPr>
          <w:ilvl w:val="0"/>
          <w:numId w:val="9"/>
        </w:numPr>
        <w:tabs>
          <w:tab w:val="left" w:pos="360"/>
        </w:tabs>
        <w:snapToGrid w:val="0"/>
        <w:spacing w:line="360" w:lineRule="auto"/>
        <w:jc w:val="both"/>
        <w:rPr>
          <w:rFonts w:ascii="仿宋" w:hAnsi="仿宋" w:eastAsia="仿宋" w:cs="仿宋"/>
          <w:color w:val="auto"/>
          <w:szCs w:val="21"/>
          <w:highlight w:val="none"/>
        </w:rPr>
      </w:pPr>
      <w:r>
        <w:rPr>
          <w:rFonts w:hint="eastAsia" w:ascii="仿宋" w:hAnsi="仿宋" w:eastAsia="仿宋" w:cs="仿宋"/>
          <w:color w:val="auto"/>
          <w:szCs w:val="21"/>
          <w:highlight w:val="none"/>
        </w:rPr>
        <w:t>服务期：签订合同后分别执行三年运营期的预警信息采集、发布与质控和预警信息发布系统运营服务，一年运营期的报灾系统运营服务。</w:t>
      </w:r>
    </w:p>
    <w:p>
      <w:pPr>
        <w:numPr>
          <w:ilvl w:val="0"/>
          <w:numId w:val="9"/>
        </w:numPr>
        <w:tabs>
          <w:tab w:val="left" w:pos="360"/>
        </w:tabs>
        <w:snapToGrid w:val="0"/>
        <w:spacing w:line="360" w:lineRule="auto"/>
        <w:jc w:val="both"/>
        <w:rPr>
          <w:rFonts w:ascii="仿宋" w:hAnsi="仿宋" w:eastAsia="仿宋" w:cs="仿宋"/>
          <w:color w:val="auto"/>
          <w:szCs w:val="21"/>
          <w:highlight w:val="none"/>
        </w:rPr>
      </w:pPr>
      <w:r>
        <w:rPr>
          <w:rFonts w:hint="eastAsia" w:ascii="仿宋" w:hAnsi="仿宋" w:eastAsia="仿宋" w:cs="仿宋"/>
          <w:color w:val="auto"/>
          <w:szCs w:val="21"/>
          <w:highlight w:val="none"/>
        </w:rPr>
        <w:t>服务地点：甲方指定地点。</w:t>
      </w:r>
    </w:p>
    <w:p>
      <w:pPr>
        <w:pStyle w:val="5"/>
        <w:numPr>
          <w:ilvl w:val="0"/>
          <w:numId w:val="10"/>
        </w:numPr>
        <w:tabs>
          <w:tab w:val="left" w:pos="900"/>
        </w:tabs>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付款方式：</w:t>
      </w:r>
    </w:p>
    <w:p>
      <w:pPr>
        <w:snapToGrid w:val="0"/>
        <w:spacing w:line="360" w:lineRule="auto"/>
        <w:ind w:firstLine="420" w:firstLineChars="200"/>
        <w:rPr>
          <w:rFonts w:ascii="仿宋" w:hAnsi="仿宋" w:eastAsia="仿宋" w:cs="仿宋"/>
          <w:bCs/>
          <w:color w:val="auto"/>
          <w:kern w:val="2"/>
          <w:szCs w:val="21"/>
          <w:highlight w:val="none"/>
        </w:rPr>
      </w:pPr>
      <w:r>
        <w:rPr>
          <w:rFonts w:hint="eastAsia" w:ascii="仿宋" w:hAnsi="仿宋" w:eastAsia="仿宋" w:cs="仿宋"/>
          <w:bCs/>
          <w:color w:val="auto"/>
          <w:kern w:val="2"/>
          <w:szCs w:val="21"/>
          <w:highlight w:val="none"/>
        </w:rPr>
        <w:t>1.支付进度：</w:t>
      </w:r>
    </w:p>
    <w:p>
      <w:pPr>
        <w:snapToGrid w:val="0"/>
        <w:spacing w:line="360" w:lineRule="auto"/>
        <w:ind w:firstLine="420" w:firstLineChars="200"/>
        <w:rPr>
          <w:rFonts w:ascii="仿宋" w:hAnsi="仿宋" w:eastAsia="仿宋" w:cs="仿宋"/>
          <w:bCs/>
          <w:color w:val="auto"/>
          <w:kern w:val="2"/>
          <w:szCs w:val="21"/>
          <w:highlight w:val="none"/>
        </w:rPr>
      </w:pPr>
      <w:r>
        <w:rPr>
          <w:rFonts w:hint="eastAsia" w:ascii="仿宋" w:hAnsi="仿宋" w:eastAsia="仿宋" w:cs="仿宋"/>
          <w:bCs/>
          <w:color w:val="auto"/>
          <w:kern w:val="2"/>
          <w:szCs w:val="21"/>
          <w:highlight w:val="none"/>
        </w:rPr>
        <w:t>（1）合同签订后，中标人向采购人提供合同金额5%的银行保函（项目完成后且中标人无违约行为，甲方退还该银行保函）及开具项目合同金额的30%等额正式发票，采购人在10个工作日内，支付相应的发票费用。</w:t>
      </w:r>
    </w:p>
    <w:p>
      <w:pPr>
        <w:snapToGrid w:val="0"/>
        <w:spacing w:line="360" w:lineRule="auto"/>
        <w:ind w:firstLine="420" w:firstLineChars="200"/>
        <w:rPr>
          <w:rFonts w:ascii="仿宋" w:hAnsi="仿宋" w:eastAsia="仿宋" w:cs="仿宋"/>
          <w:bCs/>
          <w:color w:val="auto"/>
          <w:kern w:val="2"/>
          <w:szCs w:val="21"/>
          <w:highlight w:val="none"/>
        </w:rPr>
      </w:pPr>
      <w:r>
        <w:rPr>
          <w:rFonts w:hint="eastAsia" w:ascii="仿宋" w:hAnsi="仿宋" w:eastAsia="仿宋" w:cs="仿宋"/>
          <w:bCs/>
          <w:color w:val="auto"/>
          <w:kern w:val="2"/>
          <w:szCs w:val="21"/>
          <w:highlight w:val="none"/>
        </w:rPr>
        <w:t>（2）预警信息采集、发布与质控和预警信息发布系统运营服务满一年服务期，通过质量评估后，中标人向采购人开具该部分运营服务金额的30%等额正式发票，采购人在10个工作日内，支付相应的发票费用。</w:t>
      </w:r>
    </w:p>
    <w:p>
      <w:pPr>
        <w:snapToGrid w:val="0"/>
        <w:spacing w:line="360" w:lineRule="auto"/>
        <w:ind w:firstLine="420" w:firstLineChars="200"/>
        <w:rPr>
          <w:rFonts w:ascii="仿宋" w:hAnsi="仿宋" w:eastAsia="仿宋" w:cs="仿宋"/>
          <w:bCs/>
          <w:color w:val="auto"/>
          <w:kern w:val="2"/>
          <w:szCs w:val="21"/>
          <w:highlight w:val="none"/>
        </w:rPr>
      </w:pPr>
      <w:r>
        <w:rPr>
          <w:rFonts w:hint="eastAsia" w:ascii="仿宋" w:hAnsi="仿宋" w:eastAsia="仿宋" w:cs="仿宋"/>
          <w:bCs/>
          <w:color w:val="auto"/>
          <w:kern w:val="2"/>
          <w:szCs w:val="21"/>
          <w:highlight w:val="none"/>
        </w:rPr>
        <w:t>（3）预警信息采集、发布与质控和预警信息发布系统运营服务满两年服务期，通过质量评估后，中标人向采购人开具该部分运营服务金额的30%等额正式发票，采购人在10个工作日内，支付相应的发票费用。</w:t>
      </w:r>
    </w:p>
    <w:p>
      <w:pPr>
        <w:snapToGrid w:val="0"/>
        <w:spacing w:line="360" w:lineRule="auto"/>
        <w:ind w:firstLine="420" w:firstLineChars="200"/>
        <w:rPr>
          <w:rFonts w:ascii="仿宋" w:hAnsi="仿宋" w:eastAsia="仿宋" w:cs="仿宋"/>
          <w:bCs/>
          <w:color w:val="auto"/>
          <w:kern w:val="2"/>
          <w:szCs w:val="21"/>
          <w:highlight w:val="none"/>
        </w:rPr>
      </w:pPr>
      <w:r>
        <w:rPr>
          <w:rFonts w:hint="eastAsia" w:ascii="仿宋" w:hAnsi="仿宋" w:eastAsia="仿宋" w:cs="仿宋"/>
          <w:bCs/>
          <w:color w:val="auto"/>
          <w:kern w:val="2"/>
          <w:szCs w:val="21"/>
          <w:highlight w:val="none"/>
        </w:rPr>
        <w:t>（4）报灾系统运营服务满一年服务期，通过验收后，中标人向采购人开具该部分运营服务总金额的</w:t>
      </w:r>
      <w:r>
        <w:rPr>
          <w:rFonts w:ascii="仿宋" w:hAnsi="仿宋" w:eastAsia="仿宋" w:cs="仿宋"/>
          <w:bCs/>
          <w:color w:val="auto"/>
          <w:kern w:val="2"/>
          <w:szCs w:val="21"/>
          <w:highlight w:val="none"/>
        </w:rPr>
        <w:t>7</w:t>
      </w:r>
      <w:r>
        <w:rPr>
          <w:rFonts w:hint="eastAsia" w:ascii="仿宋" w:hAnsi="仿宋" w:eastAsia="仿宋" w:cs="仿宋"/>
          <w:bCs/>
          <w:color w:val="auto"/>
          <w:kern w:val="2"/>
          <w:szCs w:val="21"/>
          <w:highlight w:val="none"/>
        </w:rPr>
        <w:t>0%等额正式发票，采购人在10个工作日内，支付相应的发票费用。</w:t>
      </w:r>
    </w:p>
    <w:p>
      <w:pPr>
        <w:snapToGrid w:val="0"/>
        <w:spacing w:line="360" w:lineRule="auto"/>
        <w:ind w:firstLine="420" w:firstLineChars="200"/>
        <w:rPr>
          <w:rFonts w:ascii="仿宋" w:hAnsi="仿宋" w:eastAsia="仿宋" w:cs="仿宋"/>
          <w:bCs/>
          <w:color w:val="auto"/>
          <w:kern w:val="2"/>
          <w:szCs w:val="21"/>
          <w:highlight w:val="none"/>
        </w:rPr>
      </w:pPr>
      <w:r>
        <w:rPr>
          <w:rFonts w:hint="eastAsia" w:ascii="仿宋" w:hAnsi="仿宋" w:eastAsia="仿宋" w:cs="仿宋"/>
          <w:bCs/>
          <w:color w:val="auto"/>
          <w:kern w:val="2"/>
          <w:szCs w:val="21"/>
          <w:highlight w:val="none"/>
        </w:rPr>
        <w:t>（5）预警信息采集、发布与质控和预警信息发布系统运营服务满三年服务期，通过审计和验收后，中标人向采购人开具该部分运营服务金额的</w:t>
      </w:r>
      <w:r>
        <w:rPr>
          <w:rFonts w:ascii="仿宋" w:hAnsi="仿宋" w:eastAsia="仿宋" w:cs="仿宋"/>
          <w:bCs/>
          <w:color w:val="auto"/>
          <w:kern w:val="2"/>
          <w:szCs w:val="21"/>
          <w:highlight w:val="none"/>
        </w:rPr>
        <w:t>1</w:t>
      </w:r>
      <w:r>
        <w:rPr>
          <w:rFonts w:hint="eastAsia" w:ascii="仿宋" w:hAnsi="仿宋" w:eastAsia="仿宋" w:cs="仿宋"/>
          <w:bCs/>
          <w:color w:val="auto"/>
          <w:kern w:val="2"/>
          <w:szCs w:val="21"/>
          <w:highlight w:val="none"/>
        </w:rPr>
        <w:t>0%等额正式发票，</w:t>
      </w:r>
      <w:r>
        <w:rPr>
          <w:rFonts w:hint="eastAsia" w:ascii="仿宋" w:hAnsi="仿宋" w:eastAsia="仿宋" w:cs="宋体"/>
          <w:color w:val="auto"/>
          <w:kern w:val="2"/>
          <w:highlight w:val="none"/>
        </w:rPr>
        <w:t>采购人在10个工作日内，支付相应的发票费用并完成结算程序</w:t>
      </w:r>
      <w:r>
        <w:rPr>
          <w:rFonts w:hint="eastAsia" w:ascii="仿宋" w:hAnsi="仿宋" w:eastAsia="仿宋" w:cs="仿宋"/>
          <w:bCs/>
          <w:color w:val="auto"/>
          <w:kern w:val="2"/>
          <w:szCs w:val="21"/>
          <w:highlight w:val="none"/>
        </w:rPr>
        <w:t>并退回银行保函。</w:t>
      </w:r>
    </w:p>
    <w:p>
      <w:pPr>
        <w:snapToGrid w:val="0"/>
        <w:spacing w:line="360" w:lineRule="auto"/>
        <w:ind w:firstLine="420" w:firstLineChars="200"/>
        <w:rPr>
          <w:rFonts w:ascii="仿宋" w:hAnsi="仿宋" w:eastAsia="仿宋" w:cs="仿宋"/>
          <w:bCs/>
          <w:color w:val="auto"/>
          <w:kern w:val="2"/>
          <w:szCs w:val="21"/>
          <w:highlight w:val="none"/>
        </w:rPr>
      </w:pPr>
      <w:r>
        <w:rPr>
          <w:rFonts w:hint="eastAsia" w:ascii="仿宋" w:hAnsi="仿宋" w:eastAsia="仿宋" w:cs="仿宋"/>
          <w:bCs/>
          <w:color w:val="auto"/>
          <w:kern w:val="2"/>
          <w:szCs w:val="21"/>
          <w:highlight w:val="none"/>
        </w:rPr>
        <w:t>2.中标人凭以下有效文件与采购人结算：</w:t>
      </w:r>
    </w:p>
    <w:p>
      <w:pPr>
        <w:snapToGrid w:val="0"/>
        <w:spacing w:line="360" w:lineRule="auto"/>
        <w:ind w:firstLine="420" w:firstLineChars="200"/>
        <w:rPr>
          <w:rFonts w:ascii="仿宋" w:hAnsi="仿宋" w:eastAsia="仿宋" w:cs="仿宋"/>
          <w:bCs/>
          <w:color w:val="auto"/>
          <w:kern w:val="2"/>
          <w:szCs w:val="21"/>
          <w:highlight w:val="none"/>
        </w:rPr>
      </w:pPr>
      <w:r>
        <w:rPr>
          <w:rFonts w:hint="eastAsia" w:ascii="仿宋" w:hAnsi="仿宋" w:eastAsia="仿宋" w:cs="仿宋"/>
          <w:bCs/>
          <w:color w:val="auto"/>
          <w:kern w:val="2"/>
          <w:szCs w:val="21"/>
          <w:highlight w:val="none"/>
        </w:rPr>
        <w:t>1)合同；</w:t>
      </w:r>
    </w:p>
    <w:p>
      <w:pPr>
        <w:snapToGrid w:val="0"/>
        <w:spacing w:line="360" w:lineRule="auto"/>
        <w:ind w:firstLine="420" w:firstLineChars="200"/>
        <w:rPr>
          <w:rFonts w:ascii="仿宋" w:hAnsi="仿宋" w:eastAsia="仿宋" w:cs="仿宋"/>
          <w:bCs/>
          <w:color w:val="auto"/>
          <w:kern w:val="2"/>
          <w:szCs w:val="21"/>
          <w:highlight w:val="none"/>
        </w:rPr>
      </w:pPr>
      <w:r>
        <w:rPr>
          <w:rFonts w:hint="eastAsia" w:ascii="仿宋" w:hAnsi="仿宋" w:eastAsia="仿宋" w:cs="仿宋"/>
          <w:bCs/>
          <w:color w:val="auto"/>
          <w:kern w:val="2"/>
          <w:szCs w:val="21"/>
          <w:highlight w:val="none"/>
        </w:rPr>
        <w:t>2)中标人开具的正式发票；</w:t>
      </w:r>
    </w:p>
    <w:p>
      <w:pPr>
        <w:snapToGrid w:val="0"/>
        <w:spacing w:line="360" w:lineRule="auto"/>
        <w:ind w:firstLine="420" w:firstLineChars="200"/>
        <w:rPr>
          <w:rFonts w:ascii="仿宋" w:hAnsi="仿宋" w:eastAsia="仿宋" w:cs="仿宋"/>
          <w:bCs/>
          <w:color w:val="auto"/>
          <w:kern w:val="2"/>
          <w:szCs w:val="21"/>
          <w:highlight w:val="none"/>
        </w:rPr>
      </w:pPr>
      <w:r>
        <w:rPr>
          <w:rFonts w:hint="eastAsia" w:ascii="仿宋" w:hAnsi="仿宋" w:eastAsia="仿宋" w:cs="仿宋"/>
          <w:bCs/>
          <w:color w:val="auto"/>
          <w:kern w:val="2"/>
          <w:szCs w:val="21"/>
          <w:highlight w:val="none"/>
        </w:rPr>
        <w:t>3)验收报告（加盖采购人公章）；</w:t>
      </w:r>
    </w:p>
    <w:p>
      <w:pPr>
        <w:snapToGrid w:val="0"/>
        <w:spacing w:line="360" w:lineRule="auto"/>
        <w:ind w:firstLine="420" w:firstLineChars="200"/>
        <w:rPr>
          <w:rFonts w:ascii="仿宋" w:hAnsi="仿宋" w:eastAsia="仿宋" w:cs="仿宋"/>
          <w:bCs/>
          <w:color w:val="auto"/>
          <w:kern w:val="2"/>
          <w:szCs w:val="21"/>
          <w:highlight w:val="none"/>
        </w:rPr>
      </w:pPr>
      <w:r>
        <w:rPr>
          <w:rFonts w:hint="eastAsia" w:ascii="仿宋" w:hAnsi="仿宋" w:eastAsia="仿宋" w:cs="仿宋"/>
          <w:bCs/>
          <w:color w:val="auto"/>
          <w:kern w:val="2"/>
          <w:szCs w:val="21"/>
          <w:highlight w:val="none"/>
        </w:rPr>
        <w:t>4)中标通知书。</w:t>
      </w:r>
    </w:p>
    <w:p>
      <w:pPr>
        <w:snapToGrid w:val="0"/>
        <w:spacing w:line="360" w:lineRule="auto"/>
        <w:ind w:firstLine="420" w:firstLineChars="200"/>
        <w:rPr>
          <w:rFonts w:ascii="仿宋" w:hAnsi="仿宋" w:eastAsia="仿宋" w:cs="仿宋"/>
          <w:bCs/>
          <w:color w:val="auto"/>
          <w:kern w:val="2"/>
          <w:szCs w:val="21"/>
          <w:highlight w:val="none"/>
        </w:rPr>
      </w:pPr>
      <w:r>
        <w:rPr>
          <w:rFonts w:hint="eastAsia" w:ascii="仿宋" w:hAnsi="仿宋" w:eastAsia="仿宋" w:cs="仿宋"/>
          <w:bCs/>
          <w:color w:val="auto"/>
          <w:kern w:val="2"/>
          <w:szCs w:val="21"/>
          <w:highlight w:val="none"/>
        </w:rPr>
        <w:t>3.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pPr>
        <w:pStyle w:val="5"/>
        <w:tabs>
          <w:tab w:val="left" w:pos="900"/>
        </w:tabs>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六、服务要求</w:t>
      </w:r>
    </w:p>
    <w:p>
      <w:pPr>
        <w:snapToGrid w:val="0"/>
        <w:spacing w:line="360" w:lineRule="auto"/>
        <w:ind w:firstLine="420" w:firstLineChars="200"/>
        <w:rPr>
          <w:rFonts w:ascii="仿宋" w:hAnsi="仿宋" w:eastAsia="仿宋" w:cs="仿宋"/>
          <w:bCs/>
          <w:color w:val="auto"/>
          <w:kern w:val="2"/>
          <w:szCs w:val="21"/>
          <w:highlight w:val="none"/>
        </w:rPr>
      </w:pPr>
      <w:r>
        <w:rPr>
          <w:rFonts w:hint="eastAsia" w:ascii="仿宋" w:hAnsi="仿宋" w:eastAsia="仿宋" w:cs="仿宋"/>
          <w:bCs/>
          <w:color w:val="auto"/>
          <w:kern w:val="2"/>
          <w:szCs w:val="21"/>
          <w:highlight w:val="none"/>
        </w:rPr>
        <w:t>在运营期内，中标人须提供以下服务：</w:t>
      </w:r>
    </w:p>
    <w:p>
      <w:pPr>
        <w:snapToGrid w:val="0"/>
        <w:spacing w:line="360" w:lineRule="auto"/>
        <w:ind w:firstLine="420" w:firstLineChars="200"/>
        <w:rPr>
          <w:rFonts w:ascii="仿宋" w:hAnsi="仿宋" w:eastAsia="仿宋" w:cs="仿宋"/>
          <w:bCs/>
          <w:color w:val="auto"/>
          <w:kern w:val="2"/>
          <w:szCs w:val="21"/>
          <w:highlight w:val="none"/>
        </w:rPr>
      </w:pPr>
      <w:r>
        <w:rPr>
          <w:rFonts w:hint="eastAsia" w:ascii="仿宋" w:hAnsi="仿宋" w:eastAsia="仿宋" w:cs="仿宋"/>
          <w:bCs/>
          <w:color w:val="auto"/>
          <w:kern w:val="2"/>
          <w:szCs w:val="21"/>
          <w:highlight w:val="none"/>
        </w:rPr>
        <w:t>1</w:t>
      </w:r>
      <w:r>
        <w:rPr>
          <w:rFonts w:ascii="仿宋" w:hAnsi="仿宋" w:eastAsia="仿宋" w:cs="仿宋"/>
          <w:bCs/>
          <w:color w:val="auto"/>
          <w:kern w:val="2"/>
          <w:szCs w:val="21"/>
          <w:highlight w:val="none"/>
        </w:rPr>
        <w:t>.</w:t>
      </w:r>
      <w:r>
        <w:rPr>
          <w:rFonts w:hint="eastAsia" w:ascii="仿宋" w:hAnsi="仿宋" w:eastAsia="仿宋" w:cs="仿宋"/>
          <w:bCs/>
          <w:color w:val="auto"/>
          <w:kern w:val="2"/>
          <w:szCs w:val="21"/>
          <w:highlight w:val="none"/>
        </w:rPr>
        <w:t>指定至少</w:t>
      </w:r>
      <w:r>
        <w:rPr>
          <w:rFonts w:ascii="仿宋" w:hAnsi="仿宋" w:eastAsia="仿宋" w:cs="仿宋"/>
          <w:bCs/>
          <w:color w:val="auto"/>
          <w:kern w:val="2"/>
          <w:szCs w:val="21"/>
          <w:highlight w:val="none"/>
        </w:rPr>
        <w:t>6</w:t>
      </w:r>
      <w:r>
        <w:rPr>
          <w:rFonts w:hint="eastAsia" w:ascii="仿宋" w:hAnsi="仿宋" w:eastAsia="仿宋" w:cs="仿宋"/>
          <w:bCs/>
          <w:color w:val="auto"/>
          <w:kern w:val="2"/>
          <w:szCs w:val="21"/>
          <w:highlight w:val="none"/>
        </w:rPr>
        <w:t>名驻场工程师，驻场工程师要求具备计算机、软件、电子、通信类专业大专以上学历，熟悉突发系统及渠道运行原理、机制和相关操作。</w:t>
      </w:r>
    </w:p>
    <w:p>
      <w:pPr>
        <w:snapToGrid w:val="0"/>
        <w:spacing w:line="360" w:lineRule="auto"/>
        <w:ind w:firstLine="420" w:firstLineChars="200"/>
        <w:rPr>
          <w:rFonts w:ascii="仿宋" w:hAnsi="仿宋" w:eastAsia="仿宋" w:cs="仿宋"/>
          <w:color w:val="auto"/>
          <w:szCs w:val="21"/>
          <w:highlight w:val="none"/>
        </w:rPr>
      </w:pPr>
      <w:r>
        <w:rPr>
          <w:rFonts w:hint="eastAsia" w:ascii="仿宋" w:hAnsi="仿宋" w:eastAsia="仿宋" w:cs="仿宋"/>
          <w:bCs/>
          <w:color w:val="auto"/>
          <w:kern w:val="2"/>
          <w:szCs w:val="21"/>
          <w:highlight w:val="none"/>
        </w:rPr>
        <w:t>2</w:t>
      </w:r>
      <w:r>
        <w:rPr>
          <w:rFonts w:ascii="仿宋" w:hAnsi="仿宋" w:eastAsia="仿宋" w:cs="仿宋"/>
          <w:bCs/>
          <w:color w:val="auto"/>
          <w:kern w:val="2"/>
          <w:szCs w:val="21"/>
          <w:highlight w:val="none"/>
        </w:rPr>
        <w:t>.</w:t>
      </w:r>
      <w:r>
        <w:rPr>
          <w:rFonts w:hint="eastAsia" w:ascii="仿宋" w:hAnsi="仿宋" w:eastAsia="仿宋" w:cs="仿宋"/>
          <w:bCs/>
          <w:color w:val="auto"/>
          <w:kern w:val="2"/>
          <w:szCs w:val="21"/>
          <w:highlight w:val="none"/>
        </w:rPr>
        <w:t>专岗提供7</w:t>
      </w:r>
      <w:r>
        <w:rPr>
          <w:rFonts w:hint="eastAsia" w:cs="MS Gothic" w:asciiTheme="minorEastAsia" w:hAnsiTheme="minorEastAsia" w:eastAsiaTheme="minorEastAsia"/>
          <w:color w:val="auto"/>
          <w:szCs w:val="21"/>
          <w:highlight w:val="none"/>
        </w:rPr>
        <w:t>×</w:t>
      </w:r>
      <w:r>
        <w:rPr>
          <w:rFonts w:hint="eastAsia" w:ascii="仿宋" w:hAnsi="仿宋" w:eastAsia="仿宋" w:cs="仿宋"/>
          <w:bCs/>
          <w:color w:val="auto"/>
          <w:kern w:val="2"/>
          <w:szCs w:val="21"/>
          <w:highlight w:val="none"/>
        </w:rPr>
        <w:t>24小时</w:t>
      </w:r>
      <w:r>
        <w:rPr>
          <w:rFonts w:hint="eastAsia" w:ascii="仿宋" w:hAnsi="仿宋" w:eastAsia="仿宋" w:cs="仿宋"/>
          <w:color w:val="auto"/>
          <w:szCs w:val="21"/>
          <w:highlight w:val="none"/>
        </w:rPr>
        <w:t>驻场运维服务</w:t>
      </w:r>
      <w:r>
        <w:rPr>
          <w:rFonts w:hint="eastAsia" w:ascii="仿宋" w:hAnsi="仿宋" w:eastAsia="仿宋" w:cs="仿宋"/>
          <w:bCs/>
          <w:color w:val="auto"/>
          <w:kern w:val="2"/>
          <w:szCs w:val="21"/>
          <w:highlight w:val="none"/>
        </w:rPr>
        <w:t>，3班倒5班配</w:t>
      </w:r>
      <w:r>
        <w:rPr>
          <w:rFonts w:hint="eastAsia" w:ascii="仿宋" w:hAnsi="仿宋" w:eastAsia="仿宋" w:cs="仿宋"/>
          <w:color w:val="auto"/>
          <w:szCs w:val="21"/>
          <w:highlight w:val="none"/>
        </w:rPr>
        <w:t>驻场工程师，驻场开展包括预警信息采集、发布与质控、预警信息发布系统运营服务及报灾系统的运营服务，保障这些系统的正常运行，确保预警信息发布的安全、及时与精准。</w:t>
      </w:r>
    </w:p>
    <w:p>
      <w:pPr>
        <w:snapToGrid w:val="0"/>
        <w:spacing w:line="360" w:lineRule="auto"/>
        <w:ind w:firstLine="420" w:firstLineChars="200"/>
        <w:rPr>
          <w:rFonts w:ascii="仿宋" w:hAnsi="仿宋" w:eastAsia="仿宋" w:cs="仿宋"/>
          <w:bCs/>
          <w:color w:val="auto"/>
          <w:kern w:val="2"/>
          <w:szCs w:val="21"/>
          <w:highlight w:val="none"/>
        </w:rPr>
      </w:pPr>
      <w:r>
        <w:rPr>
          <w:rFonts w:ascii="仿宋" w:hAnsi="仿宋" w:eastAsia="仿宋" w:cs="仿宋"/>
          <w:color w:val="auto"/>
          <w:szCs w:val="21"/>
          <w:highlight w:val="none"/>
        </w:rPr>
        <w:t>3.</w:t>
      </w:r>
      <w:r>
        <w:rPr>
          <w:rFonts w:hint="eastAsia" w:ascii="仿宋" w:hAnsi="仿宋" w:eastAsia="仿宋" w:cs="仿宋"/>
          <w:bCs/>
          <w:color w:val="auto"/>
          <w:kern w:val="2"/>
          <w:szCs w:val="21"/>
          <w:highlight w:val="none"/>
        </w:rPr>
        <w:t>保证稳定的服务人员，项目团队人员不少于8人，须配备高水平技术人员，提供7×24小时响应的电话等远程技术支持，对于驻场工程通过电话支持无法解决的问题，高水平技术人员抵达现场解决故障的响应时间不超过2小时。</w:t>
      </w:r>
    </w:p>
    <w:p>
      <w:pPr>
        <w:snapToGrid w:val="0"/>
        <w:spacing w:line="360" w:lineRule="auto"/>
        <w:ind w:firstLine="420" w:firstLineChars="200"/>
        <w:rPr>
          <w:rFonts w:ascii="仿宋" w:hAnsi="仿宋" w:eastAsia="仿宋" w:cs="仿宋"/>
          <w:bCs/>
          <w:color w:val="auto"/>
          <w:kern w:val="2"/>
          <w:szCs w:val="21"/>
          <w:highlight w:val="none"/>
        </w:rPr>
      </w:pPr>
      <w:r>
        <w:rPr>
          <w:rFonts w:ascii="仿宋" w:hAnsi="仿宋" w:eastAsia="仿宋" w:cs="仿宋"/>
          <w:bCs/>
          <w:color w:val="auto"/>
          <w:kern w:val="2"/>
          <w:szCs w:val="21"/>
          <w:highlight w:val="none"/>
        </w:rPr>
        <w:t>4.</w:t>
      </w:r>
      <w:r>
        <w:rPr>
          <w:rFonts w:hint="eastAsia" w:ascii="仿宋" w:hAnsi="仿宋" w:eastAsia="仿宋" w:cs="仿宋"/>
          <w:bCs/>
          <w:color w:val="auto"/>
          <w:kern w:val="2"/>
          <w:szCs w:val="21"/>
          <w:highlight w:val="none"/>
        </w:rPr>
        <w:t>协助采购人完成系统在广东省内的推广应用。</w:t>
      </w:r>
    </w:p>
    <w:p>
      <w:pPr>
        <w:snapToGrid w:val="0"/>
        <w:spacing w:line="360" w:lineRule="auto"/>
        <w:ind w:firstLine="420" w:firstLineChars="200"/>
        <w:rPr>
          <w:rFonts w:ascii="仿宋" w:hAnsi="仿宋" w:eastAsia="仿宋" w:cs="仿宋"/>
          <w:bCs/>
          <w:color w:val="auto"/>
          <w:kern w:val="2"/>
          <w:szCs w:val="21"/>
          <w:highlight w:val="none"/>
        </w:rPr>
      </w:pPr>
      <w:r>
        <w:rPr>
          <w:rFonts w:ascii="仿宋" w:hAnsi="仿宋" w:eastAsia="仿宋" w:cs="仿宋"/>
          <w:bCs/>
          <w:color w:val="auto"/>
          <w:kern w:val="2"/>
          <w:szCs w:val="21"/>
          <w:highlight w:val="none"/>
        </w:rPr>
        <w:t>5.</w:t>
      </w:r>
      <w:r>
        <w:rPr>
          <w:rFonts w:hint="eastAsia" w:ascii="仿宋" w:hAnsi="仿宋" w:eastAsia="仿宋" w:cs="仿宋"/>
          <w:bCs/>
          <w:color w:val="auto"/>
          <w:kern w:val="2"/>
          <w:szCs w:val="21"/>
          <w:highlight w:val="none"/>
        </w:rPr>
        <w:t>提供至少1次现场培训，以及相应的培训文档。</w:t>
      </w:r>
    </w:p>
    <w:p>
      <w:pPr>
        <w:snapToGrid w:val="0"/>
        <w:spacing w:line="360" w:lineRule="auto"/>
        <w:ind w:firstLine="420" w:firstLineChars="200"/>
        <w:rPr>
          <w:rFonts w:ascii="仿宋" w:hAnsi="仿宋" w:eastAsia="仿宋" w:cs="仿宋"/>
          <w:bCs/>
          <w:color w:val="auto"/>
          <w:kern w:val="2"/>
          <w:szCs w:val="21"/>
          <w:highlight w:val="none"/>
        </w:rPr>
      </w:pPr>
      <w:r>
        <w:rPr>
          <w:rFonts w:hint="eastAsia" w:ascii="仿宋" w:hAnsi="仿宋" w:eastAsia="仿宋" w:cs="仿宋"/>
          <w:bCs/>
          <w:color w:val="auto"/>
          <w:kern w:val="2"/>
          <w:szCs w:val="21"/>
          <w:highlight w:val="none"/>
        </w:rPr>
        <w:t>6</w:t>
      </w:r>
      <w:r>
        <w:rPr>
          <w:rFonts w:ascii="仿宋" w:hAnsi="仿宋" w:eastAsia="仿宋" w:cs="仿宋"/>
          <w:bCs/>
          <w:color w:val="auto"/>
          <w:kern w:val="2"/>
          <w:szCs w:val="21"/>
          <w:highlight w:val="none"/>
        </w:rPr>
        <w:t>.</w:t>
      </w:r>
      <w:r>
        <w:rPr>
          <w:rFonts w:hint="eastAsia" w:ascii="仿宋" w:hAnsi="仿宋" w:eastAsia="仿宋" w:cs="仿宋"/>
          <w:bCs/>
          <w:color w:val="auto"/>
          <w:kern w:val="2"/>
          <w:szCs w:val="21"/>
          <w:highlight w:val="none"/>
        </w:rPr>
        <w:t>服务地点：采购人指定地点。</w:t>
      </w:r>
    </w:p>
    <w:p>
      <w:pPr>
        <w:pStyle w:val="5"/>
        <w:tabs>
          <w:tab w:val="left" w:pos="900"/>
        </w:tabs>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七、培训</w:t>
      </w:r>
    </w:p>
    <w:p>
      <w:pPr>
        <w:snapToGrid w:val="0"/>
        <w:spacing w:line="360" w:lineRule="auto"/>
        <w:ind w:firstLine="420" w:firstLineChars="200"/>
        <w:rPr>
          <w:rFonts w:ascii="仿宋" w:hAnsi="仿宋" w:eastAsia="仿宋" w:cs="仿宋"/>
          <w:color w:val="auto"/>
          <w:highlight w:val="none"/>
        </w:rPr>
      </w:pPr>
      <w:r>
        <w:rPr>
          <w:rFonts w:hint="eastAsia" w:ascii="仿宋" w:hAnsi="仿宋" w:eastAsia="仿宋" w:cs="仿宋"/>
          <w:bCs/>
          <w:color w:val="auto"/>
          <w:kern w:val="2"/>
          <w:szCs w:val="21"/>
          <w:highlight w:val="none"/>
        </w:rPr>
        <w:t>采购方提供培训场地，中标方负责提供</w:t>
      </w:r>
      <w:r>
        <w:rPr>
          <w:rFonts w:hint="eastAsia" w:ascii="仿宋" w:hAnsi="仿宋" w:eastAsia="仿宋" w:cs="仿宋"/>
          <w:color w:val="auto"/>
          <w:highlight w:val="none"/>
        </w:rPr>
        <w:t>系统设备</w:t>
      </w:r>
      <w:r>
        <w:rPr>
          <w:rFonts w:hint="eastAsia" w:ascii="仿宋" w:hAnsi="仿宋" w:eastAsia="仿宋" w:cs="仿宋"/>
          <w:bCs/>
          <w:color w:val="auto"/>
          <w:kern w:val="2"/>
          <w:szCs w:val="21"/>
          <w:highlight w:val="none"/>
        </w:rPr>
        <w:t>及相关应用软件培训服务。培训内容包括但不限于：</w:t>
      </w:r>
      <w:r>
        <w:rPr>
          <w:rFonts w:hint="eastAsia" w:ascii="仿宋" w:hAnsi="仿宋" w:eastAsia="仿宋" w:cs="仿宋"/>
          <w:color w:val="auto"/>
          <w:highlight w:val="none"/>
        </w:rPr>
        <w:t>系统设备的使用、软件操作、系统基本维护。</w:t>
      </w:r>
    </w:p>
    <w:p>
      <w:pPr>
        <w:pStyle w:val="2"/>
        <w:rPr>
          <w:color w:val="auto"/>
          <w:highlight w:val="none"/>
        </w:rPr>
      </w:pPr>
    </w:p>
    <w:p>
      <w:pPr>
        <w:pStyle w:val="5"/>
        <w:tabs>
          <w:tab w:val="left" w:pos="900"/>
        </w:tabs>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八、实施要求</w:t>
      </w:r>
    </w:p>
    <w:p>
      <w:pPr>
        <w:snapToGrid w:val="0"/>
        <w:spacing w:line="360" w:lineRule="auto"/>
        <w:ind w:firstLine="420" w:firstLineChars="200"/>
        <w:rPr>
          <w:rFonts w:ascii="仿宋" w:hAnsi="仿宋" w:eastAsia="仿宋" w:cs="仿宋"/>
          <w:bCs/>
          <w:color w:val="auto"/>
          <w:kern w:val="2"/>
          <w:szCs w:val="21"/>
          <w:highlight w:val="none"/>
        </w:rPr>
      </w:pPr>
      <w:r>
        <w:rPr>
          <w:rFonts w:hint="eastAsia" w:ascii="仿宋" w:hAnsi="仿宋" w:eastAsia="仿宋" w:cs="仿宋"/>
          <w:bCs/>
          <w:color w:val="auto"/>
          <w:kern w:val="2"/>
          <w:szCs w:val="21"/>
          <w:highlight w:val="none"/>
        </w:rPr>
        <w:t>1.项目整体要求：</w:t>
      </w:r>
    </w:p>
    <w:p>
      <w:pPr>
        <w:snapToGrid w:val="0"/>
        <w:spacing w:line="360" w:lineRule="auto"/>
        <w:ind w:firstLine="420" w:firstLineChars="200"/>
        <w:rPr>
          <w:rFonts w:ascii="仿宋" w:hAnsi="仿宋" w:eastAsia="仿宋" w:cs="仿宋"/>
          <w:bCs/>
          <w:color w:val="auto"/>
          <w:kern w:val="2"/>
          <w:szCs w:val="21"/>
          <w:highlight w:val="none"/>
        </w:rPr>
      </w:pPr>
      <w:r>
        <w:rPr>
          <w:rFonts w:hint="eastAsia" w:ascii="仿宋" w:hAnsi="仿宋" w:eastAsia="仿宋" w:cs="仿宋"/>
          <w:bCs/>
          <w:color w:val="auto"/>
          <w:kern w:val="2"/>
          <w:szCs w:val="21"/>
          <w:highlight w:val="none"/>
        </w:rPr>
        <w:t>为有效进行资源控制、进度控制、质量控制，确保项目工程顺利实施，项目组织管理由采购人和中标人共同组成，明确各方分工，按照项目管理的原则进行实施，建立一套科学、系统、规范和有效的运作制度，例如会议制度、沟通协调。</w:t>
      </w:r>
    </w:p>
    <w:p>
      <w:pPr>
        <w:snapToGrid w:val="0"/>
        <w:spacing w:line="360" w:lineRule="auto"/>
        <w:ind w:firstLine="420" w:firstLineChars="200"/>
        <w:rPr>
          <w:rFonts w:ascii="仿宋" w:hAnsi="仿宋" w:eastAsia="仿宋" w:cs="仿宋"/>
          <w:bCs/>
          <w:color w:val="auto"/>
          <w:kern w:val="2"/>
          <w:szCs w:val="21"/>
          <w:highlight w:val="none"/>
        </w:rPr>
      </w:pPr>
      <w:r>
        <w:rPr>
          <w:rFonts w:hint="eastAsia" w:ascii="仿宋" w:hAnsi="仿宋" w:eastAsia="仿宋" w:cs="仿宋"/>
          <w:bCs/>
          <w:color w:val="auto"/>
          <w:kern w:val="2"/>
          <w:szCs w:val="21"/>
          <w:highlight w:val="none"/>
        </w:rPr>
        <w:t>项目组织实施中，详细描述组织管理、工作进度管理、人员配置、质量控制、保证措施等内容。</w:t>
      </w:r>
    </w:p>
    <w:p>
      <w:pPr>
        <w:snapToGrid w:val="0"/>
        <w:spacing w:line="360" w:lineRule="auto"/>
        <w:ind w:firstLine="420" w:firstLineChars="200"/>
        <w:rPr>
          <w:rFonts w:ascii="仿宋" w:hAnsi="仿宋" w:eastAsia="仿宋" w:cs="仿宋"/>
          <w:bCs/>
          <w:color w:val="auto"/>
          <w:kern w:val="2"/>
          <w:szCs w:val="21"/>
          <w:highlight w:val="none"/>
        </w:rPr>
      </w:pPr>
      <w:r>
        <w:rPr>
          <w:rFonts w:hint="eastAsia" w:ascii="仿宋" w:hAnsi="仿宋" w:eastAsia="仿宋" w:cs="仿宋"/>
          <w:bCs/>
          <w:color w:val="auto"/>
          <w:kern w:val="2"/>
          <w:szCs w:val="21"/>
          <w:highlight w:val="none"/>
        </w:rPr>
        <w:t>2.项目文档管理要求:</w:t>
      </w:r>
    </w:p>
    <w:p>
      <w:pPr>
        <w:snapToGrid w:val="0"/>
        <w:spacing w:line="360" w:lineRule="auto"/>
        <w:ind w:firstLine="420" w:firstLineChars="200"/>
        <w:rPr>
          <w:rFonts w:ascii="仿宋" w:hAnsi="仿宋" w:eastAsia="仿宋" w:cs="仿宋"/>
          <w:bCs/>
          <w:color w:val="auto"/>
          <w:kern w:val="2"/>
          <w:szCs w:val="21"/>
          <w:highlight w:val="none"/>
        </w:rPr>
      </w:pPr>
      <w:r>
        <w:rPr>
          <w:rFonts w:hint="eastAsia" w:ascii="仿宋" w:hAnsi="仿宋" w:eastAsia="仿宋" w:cs="仿宋"/>
          <w:bCs/>
          <w:color w:val="auto"/>
          <w:kern w:val="2"/>
          <w:szCs w:val="21"/>
          <w:highlight w:val="none"/>
        </w:rPr>
        <w:t xml:space="preserve">（1）文档是过程的踪迹，项目文档管理严格按照相关要求，做到及时、真实、符合标准。 </w:t>
      </w:r>
    </w:p>
    <w:p>
      <w:pPr>
        <w:snapToGrid w:val="0"/>
        <w:spacing w:line="360" w:lineRule="auto"/>
        <w:ind w:firstLine="420" w:firstLineChars="200"/>
        <w:rPr>
          <w:rFonts w:ascii="仿宋" w:hAnsi="仿宋" w:eastAsia="仿宋" w:cs="仿宋"/>
          <w:bCs/>
          <w:color w:val="auto"/>
          <w:kern w:val="2"/>
          <w:szCs w:val="21"/>
          <w:highlight w:val="none"/>
        </w:rPr>
      </w:pPr>
      <w:r>
        <w:rPr>
          <w:rFonts w:hint="eastAsia" w:ascii="仿宋" w:hAnsi="仿宋" w:eastAsia="仿宋" w:cs="仿宋"/>
          <w:bCs/>
          <w:color w:val="auto"/>
          <w:kern w:val="2"/>
          <w:szCs w:val="21"/>
          <w:highlight w:val="none"/>
        </w:rPr>
        <w:t>（2）必须定期（月、年）提交运营报告，包含各类系统等运营报告。主要包括：硬件及基础软件系统运行与运营总结、系统运行与运营总结、系统应用和运行与运营建议。</w:t>
      </w:r>
    </w:p>
    <w:p>
      <w:pPr>
        <w:snapToGrid w:val="0"/>
        <w:spacing w:line="360" w:lineRule="auto"/>
        <w:ind w:firstLine="420" w:firstLineChars="200"/>
        <w:rPr>
          <w:rFonts w:ascii="仿宋" w:hAnsi="仿宋" w:eastAsia="仿宋" w:cs="仿宋"/>
          <w:bCs/>
          <w:color w:val="auto"/>
          <w:kern w:val="2"/>
          <w:szCs w:val="21"/>
          <w:highlight w:val="none"/>
        </w:rPr>
      </w:pPr>
      <w:r>
        <w:rPr>
          <w:rFonts w:hint="eastAsia" w:ascii="仿宋" w:hAnsi="仿宋" w:eastAsia="仿宋" w:cs="仿宋"/>
          <w:bCs/>
          <w:color w:val="auto"/>
          <w:kern w:val="2"/>
          <w:szCs w:val="21"/>
          <w:highlight w:val="none"/>
        </w:rPr>
        <w:t>3.项目质量管理要求:</w:t>
      </w:r>
    </w:p>
    <w:p>
      <w:pPr>
        <w:snapToGrid w:val="0"/>
        <w:spacing w:line="360" w:lineRule="auto"/>
        <w:ind w:firstLine="420" w:firstLineChars="200"/>
        <w:rPr>
          <w:rFonts w:ascii="仿宋" w:hAnsi="仿宋" w:eastAsia="仿宋" w:cs="仿宋"/>
          <w:bCs/>
          <w:color w:val="auto"/>
          <w:kern w:val="2"/>
          <w:szCs w:val="21"/>
          <w:highlight w:val="none"/>
        </w:rPr>
      </w:pPr>
      <w:r>
        <w:rPr>
          <w:rFonts w:hint="eastAsia" w:ascii="仿宋" w:hAnsi="仿宋" w:eastAsia="仿宋" w:cs="仿宋"/>
          <w:bCs/>
          <w:color w:val="auto"/>
          <w:kern w:val="2"/>
          <w:szCs w:val="21"/>
          <w:highlight w:val="none"/>
        </w:rPr>
        <w:t xml:space="preserve">（1）遵守相关规范要求，针对招标项目实施过程及交付结果进行质量规划、管理、控制。 </w:t>
      </w:r>
    </w:p>
    <w:p>
      <w:pPr>
        <w:snapToGrid w:val="0"/>
        <w:spacing w:line="360" w:lineRule="auto"/>
        <w:ind w:firstLine="420" w:firstLineChars="200"/>
        <w:rPr>
          <w:rFonts w:ascii="仿宋" w:hAnsi="仿宋" w:eastAsia="仿宋" w:cs="仿宋"/>
          <w:bCs/>
          <w:color w:val="auto"/>
          <w:kern w:val="2"/>
          <w:szCs w:val="21"/>
          <w:highlight w:val="none"/>
        </w:rPr>
      </w:pPr>
      <w:r>
        <w:rPr>
          <w:rFonts w:hint="eastAsia" w:ascii="仿宋" w:hAnsi="仿宋" w:eastAsia="仿宋" w:cs="仿宋"/>
          <w:bCs/>
          <w:color w:val="auto"/>
          <w:kern w:val="2"/>
          <w:szCs w:val="21"/>
          <w:highlight w:val="none"/>
        </w:rPr>
        <w:t>（2）制定详细的质量保证措施。项目风险管理要求:投标人应充分认识到项目风险管理的重要性，在投标文件中必须识别分析项目中的各类风险因素，并提出相应的对策。</w:t>
      </w:r>
    </w:p>
    <w:p>
      <w:pPr>
        <w:snapToGrid w:val="0"/>
        <w:spacing w:line="360" w:lineRule="auto"/>
        <w:ind w:firstLine="420" w:firstLineChars="200"/>
        <w:rPr>
          <w:rFonts w:ascii="仿宋" w:hAnsi="仿宋" w:eastAsia="仿宋" w:cs="仿宋"/>
          <w:bCs/>
          <w:color w:val="auto"/>
          <w:kern w:val="2"/>
          <w:szCs w:val="21"/>
          <w:highlight w:val="none"/>
        </w:rPr>
      </w:pPr>
      <w:r>
        <w:rPr>
          <w:rFonts w:hint="eastAsia" w:ascii="仿宋" w:hAnsi="仿宋" w:eastAsia="仿宋" w:cs="仿宋"/>
          <w:bCs/>
          <w:color w:val="auto"/>
          <w:kern w:val="2"/>
          <w:szCs w:val="21"/>
          <w:highlight w:val="none"/>
        </w:rPr>
        <w:t>4.项目保密要求:</w:t>
      </w:r>
    </w:p>
    <w:p>
      <w:pPr>
        <w:snapToGrid w:val="0"/>
        <w:spacing w:line="360" w:lineRule="auto"/>
        <w:ind w:firstLine="420" w:firstLineChars="200"/>
        <w:rPr>
          <w:rFonts w:ascii="仿宋" w:hAnsi="仿宋" w:eastAsia="仿宋" w:cs="仿宋"/>
          <w:bCs/>
          <w:color w:val="auto"/>
          <w:kern w:val="2"/>
          <w:szCs w:val="21"/>
          <w:highlight w:val="none"/>
        </w:rPr>
      </w:pPr>
      <w:r>
        <w:rPr>
          <w:rFonts w:hint="eastAsia" w:ascii="仿宋" w:hAnsi="仿宋" w:eastAsia="仿宋" w:cs="仿宋"/>
          <w:bCs/>
          <w:color w:val="auto"/>
          <w:kern w:val="2"/>
          <w:szCs w:val="21"/>
          <w:highlight w:val="none"/>
        </w:rPr>
        <w:t xml:space="preserve">（1）中标人必须采取措施对本项目实施过程中的数据、源代码、技术文档等资料保密。否则，由于中标人过错导致的上述资料泄密的，中标人必须承担一切责任。 </w:t>
      </w:r>
    </w:p>
    <w:p>
      <w:pPr>
        <w:snapToGrid w:val="0"/>
        <w:spacing w:line="360" w:lineRule="auto"/>
        <w:ind w:firstLine="420" w:firstLineChars="200"/>
        <w:rPr>
          <w:rFonts w:ascii="仿宋" w:hAnsi="仿宋" w:eastAsia="仿宋" w:cs="仿宋"/>
          <w:bCs/>
          <w:color w:val="auto"/>
          <w:kern w:val="2"/>
          <w:szCs w:val="21"/>
          <w:highlight w:val="none"/>
        </w:rPr>
      </w:pPr>
      <w:r>
        <w:rPr>
          <w:rFonts w:hint="eastAsia" w:ascii="仿宋" w:hAnsi="仿宋" w:eastAsia="仿宋" w:cs="仿宋"/>
          <w:bCs/>
          <w:color w:val="auto"/>
          <w:kern w:val="2"/>
          <w:szCs w:val="21"/>
          <w:highlight w:val="none"/>
        </w:rPr>
        <w:t xml:space="preserve">（2）项目完成后，采购人、中标人双方均有责任对本项目的技术保密承担责任：未经采购人事先书面同意，中标人不得将由采购人为本项目提供的条文、规格、计划、图纸、模型、样品或资料等提供给与本项目无关的任何第三方，不得将其用于履行本项目之外的其它用途。 </w:t>
      </w:r>
    </w:p>
    <w:p>
      <w:pPr>
        <w:snapToGrid w:val="0"/>
        <w:spacing w:line="360" w:lineRule="auto"/>
        <w:ind w:firstLine="420" w:firstLineChars="200"/>
        <w:rPr>
          <w:rFonts w:ascii="仿宋" w:hAnsi="仿宋" w:eastAsia="仿宋" w:cs="仿宋"/>
          <w:bCs/>
          <w:color w:val="auto"/>
          <w:kern w:val="2"/>
          <w:szCs w:val="21"/>
          <w:highlight w:val="none"/>
        </w:rPr>
      </w:pPr>
      <w:r>
        <w:rPr>
          <w:rFonts w:hint="eastAsia" w:ascii="仿宋" w:hAnsi="仿宋" w:eastAsia="仿宋" w:cs="仿宋"/>
          <w:bCs/>
          <w:color w:val="auto"/>
          <w:kern w:val="2"/>
          <w:szCs w:val="21"/>
          <w:highlight w:val="none"/>
        </w:rPr>
        <w:t>（3）中标人针对本项目所派出的所有服务人员，须签订安全保密责任书。</w:t>
      </w:r>
    </w:p>
    <w:p>
      <w:pPr>
        <w:pStyle w:val="2"/>
        <w:rPr>
          <w:color w:val="auto"/>
          <w:highlight w:val="none"/>
        </w:rPr>
      </w:pPr>
    </w:p>
    <w:p>
      <w:pPr>
        <w:pStyle w:val="5"/>
        <w:numPr>
          <w:ilvl w:val="0"/>
          <w:numId w:val="11"/>
        </w:numPr>
        <w:tabs>
          <w:tab w:val="left" w:pos="900"/>
        </w:tabs>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验收</w:t>
      </w:r>
    </w:p>
    <w:p>
      <w:pPr>
        <w:snapToGrid w:val="0"/>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整个项目要求包括但不仅限于以下输出物：</w:t>
      </w:r>
    </w:p>
    <w:p>
      <w:pPr>
        <w:snapToGrid w:val="0"/>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（1）每月提交1份详细的运营报告。</w:t>
      </w:r>
    </w:p>
    <w:p>
      <w:pPr>
        <w:snapToGrid w:val="0"/>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（2）完整的运营资料。</w:t>
      </w:r>
    </w:p>
    <w:p>
      <w:pPr>
        <w:snapToGrid w:val="0"/>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（3）项目验收相关资料、报告等。</w:t>
      </w:r>
    </w:p>
    <w:p>
      <w:pPr>
        <w:pStyle w:val="2"/>
        <w:rPr>
          <w:color w:val="auto"/>
          <w:highlight w:val="none"/>
        </w:rPr>
      </w:pPr>
    </w:p>
    <w:p>
      <w:pPr>
        <w:pStyle w:val="5"/>
        <w:tabs>
          <w:tab w:val="left" w:pos="900"/>
        </w:tabs>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十、违约责任与赔偿损失</w:t>
      </w:r>
    </w:p>
    <w:p>
      <w:pPr>
        <w:pStyle w:val="28"/>
        <w:numPr>
          <w:ilvl w:val="0"/>
          <w:numId w:val="12"/>
        </w:numPr>
        <w:tabs>
          <w:tab w:val="left" w:pos="0"/>
        </w:tabs>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乙方交付的物品不符合招标文件、投标文件或本合同约定的，甲方有权拒收或要求乙方退货、减价、重修等，乙方应在甲方限定期限内重新交付符合规定的物品，逾期不能交付或者交付不符合规定的，甲方有权单方解除合同，乙方需向甲方支付合同价款总额</w:t>
      </w:r>
      <w:r>
        <w:rPr>
          <w:rFonts w:hint="eastAsia" w:ascii="仿宋" w:hAnsi="仿宋" w:eastAsia="仿宋" w:cs="仿宋"/>
          <w:color w:val="auto"/>
          <w:szCs w:val="21"/>
          <w:highlight w:val="none"/>
          <w:u w:val="single"/>
        </w:rPr>
        <w:t xml:space="preserve"> 5 % </w:t>
      </w:r>
      <w:r>
        <w:rPr>
          <w:rFonts w:hint="eastAsia" w:ascii="仿宋" w:hAnsi="仿宋" w:eastAsia="仿宋" w:cs="仿宋"/>
          <w:color w:val="auto"/>
          <w:szCs w:val="21"/>
          <w:highlight w:val="none"/>
        </w:rPr>
        <w:t>的违约金。</w:t>
      </w:r>
    </w:p>
    <w:p>
      <w:pPr>
        <w:pStyle w:val="28"/>
        <w:numPr>
          <w:ilvl w:val="0"/>
          <w:numId w:val="12"/>
        </w:numPr>
        <w:tabs>
          <w:tab w:val="left" w:pos="0"/>
        </w:tabs>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乙方逾期交货，每逾期一日，则每日按合同总额</w:t>
      </w:r>
      <w:r>
        <w:rPr>
          <w:rFonts w:hint="eastAsia" w:ascii="仿宋" w:hAnsi="仿宋" w:eastAsia="仿宋" w:cs="仿宋"/>
          <w:color w:val="auto"/>
          <w:szCs w:val="21"/>
          <w:highlight w:val="none"/>
          <w:u w:val="single"/>
        </w:rPr>
        <w:t xml:space="preserve"> 0.05 % </w:t>
      </w:r>
      <w:r>
        <w:rPr>
          <w:rFonts w:hint="eastAsia" w:ascii="仿宋" w:hAnsi="仿宋" w:eastAsia="仿宋" w:cs="仿宋"/>
          <w:color w:val="auto"/>
          <w:szCs w:val="21"/>
          <w:highlight w:val="none"/>
        </w:rPr>
        <w:t>向甲方支付违约金，逾期交付超过 30 天，甲方有权单方解除合同。</w:t>
      </w:r>
    </w:p>
    <w:p>
      <w:pPr>
        <w:pStyle w:val="28"/>
        <w:numPr>
          <w:ilvl w:val="0"/>
          <w:numId w:val="12"/>
        </w:numPr>
        <w:tabs>
          <w:tab w:val="left" w:pos="0"/>
        </w:tabs>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甲方无正当理由拒收货物/接受服务，到期拒付货物/服务款项的，甲方向乙方偿付本合同总额</w:t>
      </w:r>
      <w:r>
        <w:rPr>
          <w:rFonts w:hint="eastAsia" w:ascii="仿宋" w:hAnsi="仿宋" w:eastAsia="仿宋" w:cs="仿宋"/>
          <w:color w:val="auto"/>
          <w:szCs w:val="21"/>
          <w:highlight w:val="none"/>
          <w:u w:val="single"/>
        </w:rPr>
        <w:t xml:space="preserve"> 5 %</w:t>
      </w:r>
      <w:r>
        <w:rPr>
          <w:rFonts w:hint="eastAsia" w:ascii="仿宋" w:hAnsi="仿宋" w:eastAsia="仿宋" w:cs="仿宋"/>
          <w:color w:val="auto"/>
          <w:szCs w:val="21"/>
          <w:highlight w:val="none"/>
        </w:rPr>
        <w:t>的违约金。甲方逾期付款，则每日按本合同总价的</w:t>
      </w:r>
      <w:r>
        <w:rPr>
          <w:rFonts w:hint="eastAsia" w:ascii="仿宋" w:hAnsi="仿宋" w:eastAsia="仿宋" w:cs="仿宋"/>
          <w:color w:val="auto"/>
          <w:szCs w:val="21"/>
          <w:highlight w:val="none"/>
          <w:u w:val="single"/>
        </w:rPr>
        <w:t xml:space="preserve"> 0.05 % </w:t>
      </w:r>
      <w:r>
        <w:rPr>
          <w:rFonts w:hint="eastAsia" w:ascii="仿宋" w:hAnsi="仿宋" w:eastAsia="仿宋" w:cs="仿宋"/>
          <w:color w:val="auto"/>
          <w:szCs w:val="21"/>
          <w:highlight w:val="none"/>
        </w:rPr>
        <w:t>向乙方偿付违约金。</w:t>
      </w:r>
    </w:p>
    <w:p>
      <w:pPr>
        <w:pStyle w:val="28"/>
        <w:numPr>
          <w:ilvl w:val="0"/>
          <w:numId w:val="12"/>
        </w:numPr>
        <w:tabs>
          <w:tab w:val="left" w:pos="0"/>
        </w:tabs>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违约方除承担违约责任，还应当承担守约方维权支出费用，维权支出费用包括但不限于律师费、诉讼（仲裁）费、鉴定费、财产保全保险费等。</w:t>
      </w:r>
    </w:p>
    <w:p>
      <w:pPr>
        <w:rPr>
          <w:color w:val="auto"/>
          <w:highlight w:val="none"/>
        </w:rPr>
      </w:pPr>
    </w:p>
    <w:p>
      <w:pPr>
        <w:pStyle w:val="5"/>
        <w:tabs>
          <w:tab w:val="left" w:pos="900"/>
        </w:tabs>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十一、争议的解决</w:t>
      </w:r>
    </w:p>
    <w:p>
      <w:pPr>
        <w:tabs>
          <w:tab w:val="left" w:pos="824"/>
        </w:tabs>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履行本合同而引起的一切争议，买卖双方应首先通过友好协商解决，协商不成的，因本合同引起的或与本合同有关的争议，均提请广州仲裁委员会按照仲裁规则进行仲裁，仲裁裁决是终局的，对双方均有约束力。</w:t>
      </w:r>
    </w:p>
    <w:p>
      <w:pPr>
        <w:pStyle w:val="2"/>
        <w:rPr>
          <w:color w:val="auto"/>
          <w:highlight w:val="none"/>
        </w:rPr>
      </w:pPr>
    </w:p>
    <w:p>
      <w:pPr>
        <w:pStyle w:val="5"/>
        <w:tabs>
          <w:tab w:val="left" w:pos="900"/>
        </w:tabs>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十二、不可抗力：</w:t>
      </w:r>
    </w:p>
    <w:p>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pStyle w:val="2"/>
        <w:rPr>
          <w:color w:val="auto"/>
          <w:highlight w:val="none"/>
        </w:rPr>
      </w:pPr>
    </w:p>
    <w:p>
      <w:pPr>
        <w:pStyle w:val="5"/>
        <w:tabs>
          <w:tab w:val="left" w:pos="900"/>
        </w:tabs>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十三、税费：</w:t>
      </w:r>
    </w:p>
    <w:p>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在中国境内、外发生的与本合同执行有关的一切税费均由双方各自负担。</w:t>
      </w:r>
    </w:p>
    <w:p>
      <w:pPr>
        <w:pStyle w:val="2"/>
        <w:rPr>
          <w:color w:val="auto"/>
          <w:highlight w:val="none"/>
        </w:rPr>
      </w:pPr>
    </w:p>
    <w:p>
      <w:pPr>
        <w:pStyle w:val="5"/>
        <w:tabs>
          <w:tab w:val="left" w:pos="900"/>
        </w:tabs>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十四、其它</w:t>
      </w:r>
    </w:p>
    <w:p>
      <w:pPr>
        <w:pStyle w:val="28"/>
        <w:numPr>
          <w:ilvl w:val="0"/>
          <w:numId w:val="13"/>
        </w:numPr>
        <w:tabs>
          <w:tab w:val="left" w:pos="0"/>
        </w:tabs>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本合同所有附件、招标文件、投标文件、中标通知书均为合同的有效组成部分，与本合同具有同等法律效力。</w:t>
      </w:r>
    </w:p>
    <w:p>
      <w:pPr>
        <w:pStyle w:val="28"/>
        <w:numPr>
          <w:ilvl w:val="0"/>
          <w:numId w:val="13"/>
        </w:numPr>
        <w:tabs>
          <w:tab w:val="left" w:pos="0"/>
        </w:tabs>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在执行本合同的过程中，所有经双方签署确认的文件（包括会议纪要、补充协议、往来信函）即成为本合同的有效组成部分。</w:t>
      </w:r>
    </w:p>
    <w:p>
      <w:pPr>
        <w:pStyle w:val="28"/>
        <w:numPr>
          <w:ilvl w:val="0"/>
          <w:numId w:val="13"/>
        </w:numPr>
        <w:tabs>
          <w:tab w:val="left" w:pos="0"/>
        </w:tabs>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如一方地址、电话、传真号码有变更，应在变更当日内书面通知对方，否则，应承担相应责任。 </w:t>
      </w:r>
    </w:p>
    <w:p>
      <w:pPr>
        <w:pStyle w:val="28"/>
        <w:numPr>
          <w:ilvl w:val="0"/>
          <w:numId w:val="13"/>
        </w:numPr>
        <w:tabs>
          <w:tab w:val="left" w:pos="0"/>
        </w:tabs>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除甲方事先书面同意外，乙方不得部分或全部转让其应履行的合同项下的义务。</w:t>
      </w:r>
    </w:p>
    <w:p>
      <w:pPr>
        <w:pStyle w:val="28"/>
        <w:numPr>
          <w:ilvl w:val="0"/>
          <w:numId w:val="13"/>
        </w:numPr>
        <w:tabs>
          <w:tab w:val="left" w:pos="0"/>
        </w:tabs>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双方对本合同均有保密义务，除司法和行政机关要求外，本合同内容不得向无关第三人透露。</w:t>
      </w:r>
    </w:p>
    <w:p>
      <w:pPr>
        <w:rPr>
          <w:color w:val="auto"/>
          <w:highlight w:val="none"/>
        </w:rPr>
      </w:pPr>
    </w:p>
    <w:p>
      <w:pPr>
        <w:pStyle w:val="5"/>
        <w:tabs>
          <w:tab w:val="left" w:pos="900"/>
        </w:tabs>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十五、合同生效：</w:t>
      </w:r>
    </w:p>
    <w:p>
      <w:pPr>
        <w:pStyle w:val="28"/>
        <w:numPr>
          <w:ilvl w:val="0"/>
          <w:numId w:val="14"/>
        </w:numPr>
        <w:tabs>
          <w:tab w:val="left" w:pos="0"/>
        </w:tabs>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合同自甲乙双方法人代表或其授权代表签字盖章之日起生效。</w:t>
      </w:r>
    </w:p>
    <w:p>
      <w:pPr>
        <w:pStyle w:val="28"/>
        <w:numPr>
          <w:ilvl w:val="0"/>
          <w:numId w:val="14"/>
        </w:numPr>
        <w:tabs>
          <w:tab w:val="left" w:pos="0"/>
        </w:tabs>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合同壹式   份，其中甲乙双方各执  份，采购代理机构执壹份，政府采购监督管理部门壹份。</w:t>
      </w:r>
    </w:p>
    <w:p>
      <w:pPr>
        <w:snapToGrid w:val="0"/>
        <w:spacing w:line="360" w:lineRule="auto"/>
        <w:rPr>
          <w:rFonts w:ascii="仿宋" w:hAnsi="仿宋" w:eastAsia="仿宋" w:cs="宋体"/>
          <w:color w:val="auto"/>
          <w:szCs w:val="21"/>
          <w:highlight w:val="none"/>
        </w:rPr>
      </w:pPr>
      <w:r>
        <w:rPr>
          <w:rFonts w:hint="eastAsia" w:ascii="仿宋" w:hAnsi="仿宋" w:eastAsia="仿宋" w:cs="宋体"/>
          <w:color w:val="auto"/>
          <w:szCs w:val="21"/>
          <w:highlight w:val="none"/>
        </w:rPr>
        <w:t>甲方（盖章）：                          乙方（盖章）：</w:t>
      </w:r>
    </w:p>
    <w:p>
      <w:pPr>
        <w:snapToGrid w:val="0"/>
        <w:spacing w:line="360" w:lineRule="auto"/>
        <w:rPr>
          <w:rFonts w:ascii="仿宋" w:hAnsi="仿宋" w:eastAsia="仿宋" w:cs="宋体"/>
          <w:color w:val="auto"/>
          <w:szCs w:val="21"/>
          <w:highlight w:val="none"/>
        </w:rPr>
      </w:pPr>
      <w:r>
        <w:rPr>
          <w:rFonts w:hint="eastAsia" w:ascii="仿宋" w:hAnsi="仿宋" w:eastAsia="仿宋" w:cs="宋体"/>
          <w:color w:val="auto"/>
          <w:szCs w:val="21"/>
          <w:highlight w:val="none"/>
        </w:rPr>
        <w:t xml:space="preserve">代表：                                  代表： </w:t>
      </w:r>
    </w:p>
    <w:p>
      <w:pPr>
        <w:snapToGrid w:val="0"/>
        <w:spacing w:line="360" w:lineRule="auto"/>
        <w:rPr>
          <w:rFonts w:ascii="仿宋" w:hAnsi="仿宋" w:eastAsia="仿宋" w:cs="宋体"/>
          <w:color w:val="auto"/>
          <w:szCs w:val="21"/>
          <w:highlight w:val="none"/>
        </w:rPr>
      </w:pPr>
      <w:r>
        <w:rPr>
          <w:rFonts w:hint="eastAsia" w:ascii="仿宋" w:hAnsi="仿宋" w:eastAsia="仿宋" w:cs="宋体"/>
          <w:color w:val="auto"/>
          <w:szCs w:val="21"/>
          <w:highlight w:val="none"/>
        </w:rPr>
        <w:t>签订地点：</w:t>
      </w:r>
    </w:p>
    <w:p>
      <w:pPr>
        <w:snapToGrid w:val="0"/>
        <w:spacing w:line="360" w:lineRule="auto"/>
        <w:rPr>
          <w:rFonts w:ascii="仿宋" w:hAnsi="仿宋" w:eastAsia="仿宋" w:cs="宋体"/>
          <w:color w:val="auto"/>
          <w:szCs w:val="21"/>
          <w:highlight w:val="none"/>
        </w:rPr>
      </w:pPr>
      <w:r>
        <w:rPr>
          <w:rFonts w:hint="eastAsia" w:ascii="仿宋" w:hAnsi="仿宋" w:eastAsia="仿宋" w:cs="宋体"/>
          <w:color w:val="auto"/>
          <w:szCs w:val="21"/>
          <w:highlight w:val="none"/>
        </w:rPr>
        <w:t xml:space="preserve">签订日期：        年     月    日       签订日期：        年     月     日    </w:t>
      </w:r>
    </w:p>
    <w:p>
      <w:pPr>
        <w:snapToGrid w:val="0"/>
        <w:spacing w:line="360" w:lineRule="auto"/>
        <w:ind w:firstLine="4200" w:firstLineChars="2000"/>
        <w:rPr>
          <w:rFonts w:ascii="仿宋" w:hAnsi="仿宋" w:eastAsia="仿宋" w:cs="宋体"/>
          <w:color w:val="auto"/>
          <w:szCs w:val="21"/>
          <w:highlight w:val="none"/>
        </w:rPr>
      </w:pPr>
      <w:r>
        <w:rPr>
          <w:rFonts w:hint="eastAsia" w:ascii="仿宋" w:hAnsi="仿宋" w:eastAsia="仿宋" w:cs="宋体"/>
          <w:color w:val="auto"/>
          <w:szCs w:val="21"/>
          <w:highlight w:val="none"/>
        </w:rPr>
        <w:t>开户名称：</w:t>
      </w:r>
    </w:p>
    <w:p>
      <w:pPr>
        <w:snapToGrid w:val="0"/>
        <w:spacing w:line="360" w:lineRule="auto"/>
        <w:ind w:firstLine="4200" w:firstLineChars="2000"/>
        <w:rPr>
          <w:rFonts w:ascii="仿宋" w:hAnsi="仿宋" w:eastAsia="仿宋" w:cs="宋体"/>
          <w:color w:val="auto"/>
          <w:szCs w:val="21"/>
          <w:highlight w:val="none"/>
        </w:rPr>
      </w:pPr>
      <w:r>
        <w:rPr>
          <w:rFonts w:hint="eastAsia" w:ascii="仿宋" w:hAnsi="仿宋" w:eastAsia="仿宋" w:cs="宋体"/>
          <w:color w:val="auto"/>
          <w:szCs w:val="21"/>
          <w:highlight w:val="none"/>
        </w:rPr>
        <w:t>银行账号：</w:t>
      </w:r>
    </w:p>
    <w:p>
      <w:pPr>
        <w:spacing w:before="312" w:beforeLines="100" w:line="360" w:lineRule="auto"/>
        <w:rPr>
          <w:rFonts w:ascii="仿宋" w:hAnsi="仿宋" w:eastAsia="仿宋" w:cs="宋体"/>
          <w:color w:val="auto"/>
          <w:szCs w:val="21"/>
          <w:highlight w:val="none"/>
        </w:rPr>
      </w:pPr>
      <w:r>
        <w:rPr>
          <w:rFonts w:hint="eastAsia" w:ascii="仿宋" w:hAnsi="仿宋" w:eastAsia="仿宋" w:cs="宋体"/>
          <w:color w:val="auto"/>
          <w:szCs w:val="21"/>
          <w:highlight w:val="none"/>
        </w:rPr>
        <w:t xml:space="preserve">                                        开 户 行：</w:t>
      </w:r>
    </w:p>
    <w:p>
      <w:pPr>
        <w:pStyle w:val="3"/>
        <w:keepNext/>
        <w:keepLines/>
        <w:pageBreakBefore/>
        <w:tabs>
          <w:tab w:val="left" w:pos="1080"/>
        </w:tabs>
        <w:spacing w:line="360" w:lineRule="auto"/>
        <w:jc w:val="center"/>
        <w:rPr>
          <w:rFonts w:hAnsi="宋体" w:cs="宋体"/>
          <w:b/>
          <w:bCs/>
          <w:color w:val="auto"/>
          <w:kern w:val="44"/>
          <w:sz w:val="32"/>
          <w:szCs w:val="32"/>
          <w:highlight w:val="none"/>
          <w:lang w:val="zh-CN"/>
        </w:rPr>
      </w:pPr>
      <w:r>
        <w:rPr>
          <w:rFonts w:hint="eastAsia" w:hAnsi="宋体" w:cs="宋体"/>
          <w:b/>
          <w:bCs/>
          <w:color w:val="auto"/>
          <w:kern w:val="44"/>
          <w:sz w:val="32"/>
          <w:szCs w:val="32"/>
          <w:highlight w:val="none"/>
          <w:lang w:val="zh-CN"/>
        </w:rPr>
        <w:t>第四篇 用户需求书</w:t>
      </w:r>
    </w:p>
    <w:p>
      <w:pPr>
        <w:snapToGrid w:val="0"/>
        <w:spacing w:line="360" w:lineRule="auto"/>
        <w:rPr>
          <w:rFonts w:ascii="仿宋" w:hAnsi="仿宋" w:eastAsia="仿宋" w:cs="仿宋"/>
          <w:b/>
          <w:bCs/>
          <w:color w:val="auto"/>
          <w:highlight w:val="none"/>
        </w:rPr>
      </w:pPr>
    </w:p>
    <w:p>
      <w:pPr>
        <w:snapToGrid w:val="0"/>
        <w:spacing w:line="360" w:lineRule="auto"/>
        <w:rPr>
          <w:rFonts w:ascii="仿宋" w:hAnsi="仿宋" w:eastAsia="仿宋" w:cs="宋体"/>
          <w:b/>
          <w:bCs/>
          <w:color w:val="auto"/>
          <w:szCs w:val="21"/>
          <w:highlight w:val="none"/>
        </w:rPr>
      </w:pPr>
      <w:r>
        <w:rPr>
          <w:rFonts w:hint="eastAsia" w:ascii="仿宋" w:hAnsi="仿宋" w:eastAsia="仿宋" w:cs="宋体"/>
          <w:b/>
          <w:bCs/>
          <w:color w:val="auto"/>
          <w:szCs w:val="21"/>
          <w:highlight w:val="none"/>
        </w:rPr>
        <w:t>说明：</w:t>
      </w:r>
    </w:p>
    <w:p>
      <w:pPr>
        <w:spacing w:line="360" w:lineRule="auto"/>
        <w:ind w:firstLine="420" w:firstLineChars="200"/>
        <w:rPr>
          <w:rFonts w:ascii="仿宋" w:hAnsi="仿宋" w:eastAsia="仿宋"/>
          <w:color w:val="auto"/>
          <w:highlight w:val="none"/>
        </w:rPr>
      </w:pPr>
      <w:r>
        <w:rPr>
          <w:rFonts w:hint="eastAsia" w:ascii="仿宋" w:hAnsi="仿宋" w:eastAsia="仿宋"/>
          <w:color w:val="auto"/>
          <w:highlight w:val="none"/>
        </w:rPr>
        <w:t>1.招标文件中，凡标有“★”的地方均为须实质响应条款，投标人若有一项带“★”的条款未响应或不满足，将按无效投标处理。</w:t>
      </w:r>
    </w:p>
    <w:p>
      <w:pPr>
        <w:spacing w:line="360" w:lineRule="auto"/>
        <w:ind w:firstLine="420" w:firstLineChars="200"/>
        <w:rPr>
          <w:rFonts w:hint="eastAsia" w:ascii="仿宋" w:hAnsi="仿宋" w:eastAsia="仿宋"/>
          <w:color w:val="auto"/>
          <w:highlight w:val="none"/>
        </w:rPr>
      </w:pPr>
      <w:r>
        <w:rPr>
          <w:rFonts w:hint="eastAsia" w:ascii="仿宋" w:hAnsi="仿宋" w:eastAsia="仿宋"/>
          <w:color w:val="auto"/>
          <w:highlight w:val="none"/>
        </w:rPr>
        <w:t>2.本项目要求的技术指标中，凡标有“▲”的地方均被视为比较重要的技术指标要求或性能要求。投标人要特别加以注意，尽量对此作出实质性的响应。若有一项带“▲”的指标未响应或不满足，将在技术评审中扣分，同时扣分是累加的。</w:t>
      </w:r>
    </w:p>
    <w:tbl>
      <w:tblPr>
        <w:tblStyle w:val="49"/>
        <w:tblW w:w="5000" w:type="pct"/>
        <w:jc w:val="center"/>
        <w:tblLayout w:type="autofit"/>
        <w:tblCellMar>
          <w:top w:w="0" w:type="dxa"/>
          <w:left w:w="108" w:type="dxa"/>
          <w:bottom w:w="0" w:type="dxa"/>
          <w:right w:w="108" w:type="dxa"/>
        </w:tblCellMar>
      </w:tblPr>
      <w:tblGrid>
        <w:gridCol w:w="1930"/>
        <w:gridCol w:w="4161"/>
        <w:gridCol w:w="1886"/>
        <w:gridCol w:w="1763"/>
      </w:tblGrid>
      <w:tr>
        <w:tblPrEx>
          <w:tblCellMar>
            <w:top w:w="0" w:type="dxa"/>
            <w:left w:w="108" w:type="dxa"/>
            <w:bottom w:w="0" w:type="dxa"/>
            <w:right w:w="108" w:type="dxa"/>
          </w:tblCellMar>
        </w:tblPrEx>
        <w:trPr>
          <w:trHeight w:val="344" w:hRule="atLeast"/>
          <w:jc w:val="center"/>
        </w:trPr>
        <w:tc>
          <w:tcPr>
            <w:tcW w:w="991" w:type="pct"/>
            <w:vMerge w:val="restart"/>
            <w:tcBorders>
              <w:top w:val="single" w:color="auto" w:sz="4" w:space="0"/>
              <w:left w:val="single" w:color="auto" w:sz="4" w:space="0"/>
              <w:right w:val="single" w:color="auto" w:sz="4" w:space="0"/>
            </w:tcBorders>
            <w:shd w:val="clear" w:color="auto" w:fill="EEECE1"/>
            <w:vAlign w:val="center"/>
          </w:tcPr>
          <w:p>
            <w:pPr>
              <w:widowControl/>
              <w:jc w:val="center"/>
              <w:rPr>
                <w:rFonts w:ascii="仿宋" w:hAnsi="仿宋" w:eastAsia="仿宋" w:cs="宋体"/>
                <w:color w:val="auto"/>
                <w:highlight w:val="none"/>
              </w:rPr>
            </w:pPr>
            <w:r>
              <w:rPr>
                <w:rFonts w:hint="eastAsia" w:ascii="仿宋" w:hAnsi="仿宋" w:eastAsia="仿宋" w:cs="宋体"/>
                <w:color w:val="auto"/>
                <w:highlight w:val="none"/>
              </w:rPr>
              <w:t>项目名称</w:t>
            </w:r>
          </w:p>
        </w:tc>
        <w:tc>
          <w:tcPr>
            <w:tcW w:w="2136" w:type="pct"/>
            <w:vMerge w:val="restart"/>
            <w:tcBorders>
              <w:top w:val="single" w:color="auto" w:sz="4" w:space="0"/>
              <w:left w:val="nil"/>
              <w:right w:val="single" w:color="auto" w:sz="4" w:space="0"/>
            </w:tcBorders>
            <w:shd w:val="clear" w:color="auto" w:fill="EEECE1"/>
            <w:vAlign w:val="center"/>
          </w:tcPr>
          <w:p>
            <w:pPr>
              <w:widowControl/>
              <w:jc w:val="center"/>
              <w:rPr>
                <w:rFonts w:ascii="仿宋" w:hAnsi="仿宋" w:eastAsia="仿宋" w:cs="宋体"/>
                <w:color w:val="auto"/>
                <w:highlight w:val="none"/>
              </w:rPr>
            </w:pPr>
            <w:r>
              <w:rPr>
                <w:rFonts w:hint="eastAsia" w:ascii="仿宋" w:hAnsi="仿宋" w:eastAsia="仿宋" w:cs="宋体"/>
                <w:color w:val="auto"/>
                <w:highlight w:val="none"/>
              </w:rPr>
              <w:t>分项内容</w:t>
            </w:r>
          </w:p>
        </w:tc>
        <w:tc>
          <w:tcPr>
            <w:tcW w:w="1873" w:type="pct"/>
            <w:gridSpan w:val="2"/>
            <w:tcBorders>
              <w:top w:val="single" w:color="auto" w:sz="4" w:space="0"/>
              <w:left w:val="nil"/>
              <w:bottom w:val="single" w:color="auto" w:sz="4" w:space="0"/>
              <w:right w:val="single" w:color="auto" w:sz="4" w:space="0"/>
            </w:tcBorders>
            <w:shd w:val="clear" w:color="auto" w:fill="EEECE1"/>
            <w:vAlign w:val="center"/>
          </w:tcPr>
          <w:p>
            <w:pPr>
              <w:widowControl/>
              <w:jc w:val="center"/>
              <w:rPr>
                <w:rFonts w:ascii="仿宋" w:hAnsi="仿宋" w:eastAsia="仿宋" w:cs="宋体"/>
                <w:color w:val="auto"/>
                <w:highlight w:val="none"/>
              </w:rPr>
            </w:pPr>
            <w:r>
              <w:rPr>
                <w:rFonts w:hint="eastAsia" w:ascii="仿宋" w:hAnsi="仿宋" w:eastAsia="仿宋" w:cs="宋体"/>
                <w:color w:val="auto"/>
                <w:highlight w:val="none"/>
              </w:rPr>
              <w:t>最高限价（人民币）</w:t>
            </w:r>
          </w:p>
        </w:tc>
      </w:tr>
      <w:tr>
        <w:tblPrEx>
          <w:tblCellMar>
            <w:top w:w="0" w:type="dxa"/>
            <w:left w:w="108" w:type="dxa"/>
            <w:bottom w:w="0" w:type="dxa"/>
            <w:right w:w="108" w:type="dxa"/>
          </w:tblCellMar>
        </w:tblPrEx>
        <w:trPr>
          <w:trHeight w:val="210" w:hRule="atLeast"/>
          <w:jc w:val="center"/>
        </w:trPr>
        <w:tc>
          <w:tcPr>
            <w:tcW w:w="991" w:type="pct"/>
            <w:vMerge w:val="continue"/>
            <w:tcBorders>
              <w:left w:val="single" w:color="auto" w:sz="4" w:space="0"/>
              <w:bottom w:val="single" w:color="auto" w:sz="4" w:space="0"/>
              <w:right w:val="single" w:color="auto" w:sz="4" w:space="0"/>
            </w:tcBorders>
            <w:shd w:val="clear" w:color="auto" w:fill="EEECE1"/>
            <w:vAlign w:val="center"/>
          </w:tcPr>
          <w:p>
            <w:pPr>
              <w:widowControl/>
              <w:jc w:val="center"/>
              <w:rPr>
                <w:rFonts w:ascii="仿宋" w:hAnsi="仿宋" w:eastAsia="仿宋" w:cs="宋体"/>
                <w:color w:val="auto"/>
                <w:highlight w:val="none"/>
              </w:rPr>
            </w:pPr>
          </w:p>
        </w:tc>
        <w:tc>
          <w:tcPr>
            <w:tcW w:w="2136" w:type="pct"/>
            <w:vMerge w:val="continue"/>
            <w:tcBorders>
              <w:left w:val="nil"/>
              <w:bottom w:val="single" w:color="auto" w:sz="4" w:space="0"/>
              <w:right w:val="single" w:color="auto" w:sz="4" w:space="0"/>
            </w:tcBorders>
            <w:shd w:val="clear" w:color="auto" w:fill="EEECE1"/>
            <w:vAlign w:val="center"/>
          </w:tcPr>
          <w:p>
            <w:pPr>
              <w:widowControl/>
              <w:jc w:val="center"/>
              <w:rPr>
                <w:rFonts w:ascii="仿宋" w:hAnsi="仿宋" w:eastAsia="仿宋" w:cs="宋体"/>
                <w:color w:val="auto"/>
                <w:highlight w:val="none"/>
              </w:rPr>
            </w:pPr>
          </w:p>
        </w:tc>
        <w:tc>
          <w:tcPr>
            <w:tcW w:w="968" w:type="pct"/>
            <w:tcBorders>
              <w:top w:val="single" w:color="auto" w:sz="4" w:space="0"/>
              <w:left w:val="nil"/>
              <w:bottom w:val="single" w:color="auto" w:sz="4" w:space="0"/>
              <w:right w:val="single" w:color="auto" w:sz="4" w:space="0"/>
            </w:tcBorders>
            <w:shd w:val="clear" w:color="auto" w:fill="EEECE1"/>
            <w:vAlign w:val="center"/>
          </w:tcPr>
          <w:p>
            <w:pPr>
              <w:widowControl/>
              <w:jc w:val="center"/>
              <w:rPr>
                <w:rFonts w:ascii="仿宋" w:hAnsi="仿宋" w:eastAsia="仿宋" w:cs="宋体"/>
                <w:color w:val="auto"/>
                <w:highlight w:val="none"/>
              </w:rPr>
            </w:pPr>
            <w:r>
              <w:rPr>
                <w:rFonts w:hint="eastAsia" w:ascii="仿宋" w:hAnsi="仿宋" w:eastAsia="仿宋" w:cs="宋体"/>
                <w:color w:val="auto"/>
                <w:highlight w:val="none"/>
              </w:rPr>
              <w:t>分项限价</w:t>
            </w:r>
          </w:p>
        </w:tc>
        <w:tc>
          <w:tcPr>
            <w:tcW w:w="905" w:type="pct"/>
            <w:tcBorders>
              <w:top w:val="single" w:color="auto" w:sz="4" w:space="0"/>
              <w:left w:val="nil"/>
              <w:bottom w:val="single" w:color="auto" w:sz="4" w:space="0"/>
              <w:right w:val="single" w:color="auto" w:sz="4" w:space="0"/>
            </w:tcBorders>
            <w:shd w:val="clear" w:color="auto" w:fill="EEECE1"/>
            <w:vAlign w:val="center"/>
          </w:tcPr>
          <w:p>
            <w:pPr>
              <w:widowControl/>
              <w:jc w:val="center"/>
              <w:rPr>
                <w:rFonts w:ascii="仿宋" w:hAnsi="仿宋" w:eastAsia="仿宋" w:cs="宋体"/>
                <w:color w:val="auto"/>
                <w:highlight w:val="none"/>
              </w:rPr>
            </w:pPr>
            <w:r>
              <w:rPr>
                <w:rFonts w:hint="eastAsia" w:ascii="仿宋" w:hAnsi="仿宋" w:eastAsia="仿宋" w:cs="宋体"/>
                <w:color w:val="auto"/>
                <w:highlight w:val="none"/>
              </w:rPr>
              <w:t>总限价</w:t>
            </w:r>
          </w:p>
        </w:tc>
      </w:tr>
      <w:tr>
        <w:tblPrEx>
          <w:tblCellMar>
            <w:top w:w="0" w:type="dxa"/>
            <w:left w:w="108" w:type="dxa"/>
            <w:bottom w:w="0" w:type="dxa"/>
            <w:right w:w="108" w:type="dxa"/>
          </w:tblCellMar>
        </w:tblPrEx>
        <w:trPr>
          <w:trHeight w:val="690" w:hRule="atLeast"/>
          <w:jc w:val="center"/>
        </w:trPr>
        <w:tc>
          <w:tcPr>
            <w:tcW w:w="991" w:type="pct"/>
            <w:vMerge w:val="restart"/>
            <w:tcBorders>
              <w:left w:val="single" w:color="auto" w:sz="4" w:space="0"/>
              <w:right w:val="single" w:color="auto" w:sz="4" w:space="0"/>
            </w:tcBorders>
            <w:vAlign w:val="center"/>
          </w:tcPr>
          <w:p>
            <w:pPr>
              <w:widowControl/>
              <w:jc w:val="center"/>
              <w:rPr>
                <w:rFonts w:ascii="仿宋" w:hAnsi="仿宋" w:eastAsia="仿宋"/>
                <w:color w:val="auto"/>
                <w:highlight w:val="none"/>
              </w:rPr>
            </w:pPr>
            <w:r>
              <w:rPr>
                <w:rFonts w:hint="eastAsia" w:ascii="仿宋" w:hAnsi="仿宋" w:eastAsia="仿宋" w:cs="宋体"/>
                <w:color w:val="auto"/>
                <w:highlight w:val="none"/>
              </w:rPr>
              <w:t>南海海洋预警信息发布和沿海恶劣天气防灾叫应系统(二期)</w:t>
            </w:r>
          </w:p>
        </w:tc>
        <w:tc>
          <w:tcPr>
            <w:tcW w:w="2136" w:type="pct"/>
            <w:tcBorders>
              <w:top w:val="single" w:color="auto" w:sz="4" w:space="0"/>
              <w:left w:val="nil"/>
              <w:bottom w:val="single" w:color="auto" w:sz="4" w:space="0"/>
              <w:right w:val="single" w:color="auto" w:sz="4" w:space="0"/>
            </w:tcBorders>
            <w:vAlign w:val="center"/>
          </w:tcPr>
          <w:p>
            <w:pPr>
              <w:widowControl/>
              <w:rPr>
                <w:rFonts w:ascii="仿宋" w:hAnsi="仿宋" w:eastAsia="仿宋" w:cs="宋体"/>
                <w:color w:val="auto"/>
                <w:highlight w:val="none"/>
              </w:rPr>
            </w:pPr>
            <w:r>
              <w:rPr>
                <w:rFonts w:hint="eastAsia" w:ascii="仿宋" w:hAnsi="仿宋" w:eastAsia="仿宋" w:cs="宋体"/>
                <w:color w:val="auto"/>
                <w:highlight w:val="none"/>
              </w:rPr>
              <w:t>预警信息采集、发布与质控和预警信息发布系统运营服务</w:t>
            </w:r>
          </w:p>
        </w:tc>
        <w:tc>
          <w:tcPr>
            <w:tcW w:w="968"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szCs w:val="21"/>
                <w:highlight w:val="none"/>
              </w:rPr>
            </w:pPr>
            <w:r>
              <w:rPr>
                <w:rFonts w:hint="eastAsia" w:ascii="仿宋" w:hAnsi="仿宋" w:eastAsia="仿宋" w:cs="仿宋"/>
                <w:color w:val="auto"/>
                <w:szCs w:val="21"/>
                <w:highlight w:val="none"/>
              </w:rPr>
              <w:t>4</w:t>
            </w:r>
            <w:r>
              <w:rPr>
                <w:rFonts w:ascii="仿宋" w:hAnsi="仿宋" w:eastAsia="仿宋" w:cs="仿宋"/>
                <w:color w:val="auto"/>
                <w:szCs w:val="21"/>
                <w:highlight w:val="none"/>
              </w:rPr>
              <w:t>,393,400.00</w:t>
            </w:r>
            <w:r>
              <w:rPr>
                <w:rFonts w:hint="eastAsia" w:ascii="仿宋" w:hAnsi="仿宋" w:eastAsia="仿宋" w:cs="仿宋"/>
                <w:color w:val="auto"/>
                <w:szCs w:val="21"/>
                <w:highlight w:val="none"/>
              </w:rPr>
              <w:t>元</w:t>
            </w:r>
          </w:p>
        </w:tc>
        <w:tc>
          <w:tcPr>
            <w:tcW w:w="905" w:type="pct"/>
            <w:vMerge w:val="restart"/>
            <w:tcBorders>
              <w:left w:val="single" w:color="auto" w:sz="4" w:space="0"/>
              <w:right w:val="single" w:color="auto" w:sz="4" w:space="0"/>
            </w:tcBorders>
            <w:vAlign w:val="center"/>
          </w:tcPr>
          <w:p>
            <w:pPr>
              <w:widowControl/>
              <w:jc w:val="center"/>
              <w:rPr>
                <w:rFonts w:ascii="仿宋" w:hAnsi="仿宋" w:eastAsia="仿宋" w:cs="仿宋"/>
                <w:color w:val="auto"/>
                <w:szCs w:val="21"/>
                <w:highlight w:val="none"/>
              </w:rPr>
            </w:pPr>
            <w:r>
              <w:rPr>
                <w:rFonts w:ascii="仿宋" w:hAnsi="仿宋" w:eastAsia="仿宋" w:cs="仿宋"/>
                <w:color w:val="auto"/>
                <w:szCs w:val="21"/>
                <w:highlight w:val="none"/>
              </w:rPr>
              <w:t>5</w:t>
            </w:r>
            <w:r>
              <w:rPr>
                <w:rFonts w:hint="eastAsia" w:ascii="仿宋" w:hAnsi="仿宋" w:eastAsia="仿宋" w:cs="仿宋"/>
                <w:color w:val="auto"/>
                <w:szCs w:val="21"/>
                <w:highlight w:val="none"/>
              </w:rPr>
              <w:t>,</w:t>
            </w:r>
            <w:r>
              <w:rPr>
                <w:rFonts w:ascii="仿宋" w:hAnsi="仿宋" w:eastAsia="仿宋" w:cs="仿宋"/>
                <w:color w:val="auto"/>
                <w:szCs w:val="21"/>
                <w:highlight w:val="none"/>
              </w:rPr>
              <w:t>300</w:t>
            </w:r>
            <w:r>
              <w:rPr>
                <w:rFonts w:hint="eastAsia" w:ascii="仿宋" w:hAnsi="仿宋" w:eastAsia="仿宋" w:cs="仿宋"/>
                <w:color w:val="auto"/>
                <w:szCs w:val="21"/>
                <w:highlight w:val="none"/>
              </w:rPr>
              <w:t>,</w:t>
            </w:r>
            <w:r>
              <w:rPr>
                <w:rFonts w:ascii="仿宋" w:hAnsi="仿宋" w:eastAsia="仿宋" w:cs="仿宋"/>
                <w:color w:val="auto"/>
                <w:szCs w:val="21"/>
                <w:highlight w:val="none"/>
              </w:rPr>
              <w:t>0</w:t>
            </w:r>
            <w:r>
              <w:rPr>
                <w:rFonts w:hint="eastAsia" w:ascii="仿宋" w:hAnsi="仿宋" w:eastAsia="仿宋" w:cs="仿宋"/>
                <w:color w:val="auto"/>
                <w:szCs w:val="21"/>
                <w:highlight w:val="none"/>
              </w:rPr>
              <w:t>00.00元</w:t>
            </w:r>
          </w:p>
        </w:tc>
      </w:tr>
      <w:tr>
        <w:tblPrEx>
          <w:tblCellMar>
            <w:top w:w="0" w:type="dxa"/>
            <w:left w:w="108" w:type="dxa"/>
            <w:bottom w:w="0" w:type="dxa"/>
            <w:right w:w="108" w:type="dxa"/>
          </w:tblCellMar>
        </w:tblPrEx>
        <w:trPr>
          <w:trHeight w:val="690" w:hRule="atLeast"/>
          <w:jc w:val="center"/>
        </w:trPr>
        <w:tc>
          <w:tcPr>
            <w:tcW w:w="991" w:type="pct"/>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olor w:val="auto"/>
                <w:highlight w:val="none"/>
              </w:rPr>
            </w:pPr>
          </w:p>
        </w:tc>
        <w:tc>
          <w:tcPr>
            <w:tcW w:w="2136" w:type="pct"/>
            <w:tcBorders>
              <w:top w:val="single" w:color="auto" w:sz="4" w:space="0"/>
              <w:left w:val="nil"/>
              <w:bottom w:val="single" w:color="auto" w:sz="4" w:space="0"/>
              <w:right w:val="single" w:color="auto" w:sz="4" w:space="0"/>
            </w:tcBorders>
            <w:vAlign w:val="center"/>
          </w:tcPr>
          <w:p>
            <w:pPr>
              <w:widowControl/>
              <w:rPr>
                <w:rFonts w:ascii="仿宋" w:hAnsi="仿宋" w:eastAsia="仿宋" w:cs="宋体"/>
                <w:color w:val="auto"/>
                <w:highlight w:val="none"/>
              </w:rPr>
            </w:pPr>
            <w:r>
              <w:rPr>
                <w:rFonts w:hint="eastAsia" w:ascii="仿宋" w:hAnsi="仿宋" w:eastAsia="仿宋" w:cs="宋体"/>
                <w:color w:val="auto"/>
                <w:highlight w:val="none"/>
              </w:rPr>
              <w:t>报灾系统运营服务</w:t>
            </w:r>
          </w:p>
        </w:tc>
        <w:tc>
          <w:tcPr>
            <w:tcW w:w="968"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auto"/>
                <w:highlight w:val="none"/>
              </w:rPr>
            </w:pPr>
            <w:r>
              <w:rPr>
                <w:rFonts w:hint="eastAsia" w:ascii="仿宋" w:hAnsi="仿宋" w:eastAsia="仿宋" w:cs="宋体"/>
                <w:color w:val="auto"/>
                <w:highlight w:val="none"/>
              </w:rPr>
              <w:t>9</w:t>
            </w:r>
            <w:r>
              <w:rPr>
                <w:rFonts w:ascii="仿宋" w:hAnsi="仿宋" w:eastAsia="仿宋" w:cs="宋体"/>
                <w:color w:val="auto"/>
                <w:highlight w:val="none"/>
              </w:rPr>
              <w:t>06,600</w:t>
            </w:r>
            <w:r>
              <w:rPr>
                <w:rFonts w:ascii="仿宋" w:hAnsi="仿宋" w:eastAsia="仿宋" w:cs="仿宋"/>
                <w:color w:val="auto"/>
                <w:szCs w:val="21"/>
                <w:highlight w:val="none"/>
              </w:rPr>
              <w:t>.00</w:t>
            </w:r>
            <w:r>
              <w:rPr>
                <w:rFonts w:hint="eastAsia" w:ascii="仿宋" w:hAnsi="仿宋" w:eastAsia="仿宋" w:cs="宋体"/>
                <w:color w:val="auto"/>
                <w:highlight w:val="none"/>
              </w:rPr>
              <w:t>元</w:t>
            </w:r>
          </w:p>
        </w:tc>
        <w:tc>
          <w:tcPr>
            <w:tcW w:w="905" w:type="pct"/>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highlight w:val="none"/>
              </w:rPr>
            </w:pPr>
          </w:p>
        </w:tc>
      </w:tr>
    </w:tbl>
    <w:p>
      <w:pPr>
        <w:pStyle w:val="2"/>
        <w:jc w:val="left"/>
        <w:rPr>
          <w:color w:val="auto"/>
          <w:highlight w:val="none"/>
        </w:rPr>
      </w:pPr>
    </w:p>
    <w:p>
      <w:pPr>
        <w:numPr>
          <w:ilvl w:val="0"/>
          <w:numId w:val="15"/>
        </w:numPr>
        <w:tabs>
          <w:tab w:val="left" w:pos="851"/>
          <w:tab w:val="left" w:pos="1280"/>
        </w:tabs>
        <w:spacing w:line="360" w:lineRule="auto"/>
        <w:rPr>
          <w:rFonts w:ascii="仿宋" w:hAnsi="仿宋" w:eastAsia="仿宋"/>
          <w:color w:val="auto"/>
          <w:highlight w:val="none"/>
        </w:rPr>
      </w:pPr>
      <w:r>
        <w:rPr>
          <w:rFonts w:hint="eastAsia" w:ascii="仿宋" w:hAnsi="仿宋" w:eastAsia="仿宋"/>
          <w:color w:val="auto"/>
          <w:highlight w:val="none"/>
        </w:rPr>
        <w:t>项目类型：</w:t>
      </w:r>
      <w:r>
        <w:rPr>
          <w:rFonts w:ascii="仿宋" w:hAnsi="仿宋" w:eastAsia="仿宋"/>
          <w:color w:val="auto"/>
          <w:highlight w:val="none"/>
        </w:rPr>
        <w:t>服务类</w:t>
      </w:r>
    </w:p>
    <w:p>
      <w:pPr>
        <w:numPr>
          <w:ilvl w:val="0"/>
          <w:numId w:val="15"/>
        </w:numPr>
        <w:tabs>
          <w:tab w:val="left" w:pos="851"/>
          <w:tab w:val="left" w:pos="1280"/>
        </w:tabs>
        <w:spacing w:line="360" w:lineRule="auto"/>
        <w:rPr>
          <w:rFonts w:ascii="仿宋" w:hAnsi="仿宋" w:eastAsia="仿宋"/>
          <w:color w:val="auto"/>
          <w:highlight w:val="none"/>
        </w:rPr>
      </w:pPr>
      <w:r>
        <w:rPr>
          <w:rFonts w:hint="eastAsia" w:ascii="仿宋" w:hAnsi="仿宋" w:eastAsia="仿宋"/>
          <w:color w:val="auto"/>
          <w:highlight w:val="none"/>
        </w:rPr>
        <w:t>服务地点：采购人指定地点</w:t>
      </w:r>
    </w:p>
    <w:p>
      <w:pPr>
        <w:numPr>
          <w:ilvl w:val="0"/>
          <w:numId w:val="15"/>
        </w:numPr>
        <w:tabs>
          <w:tab w:val="left" w:pos="851"/>
          <w:tab w:val="left" w:pos="1280"/>
        </w:tabs>
        <w:spacing w:line="360" w:lineRule="auto"/>
        <w:rPr>
          <w:rFonts w:ascii="仿宋" w:hAnsi="仿宋" w:eastAsia="仿宋"/>
          <w:color w:val="auto"/>
          <w:highlight w:val="none"/>
        </w:rPr>
      </w:pPr>
      <w:r>
        <w:rPr>
          <w:rFonts w:hint="eastAsia" w:ascii="仿宋" w:hAnsi="仿宋" w:eastAsia="仿宋"/>
          <w:color w:val="auto"/>
          <w:highlight w:val="none"/>
        </w:rPr>
        <w:t>项目要求：投标人须对全部内容进行整体投标、分项报价，不得分拆，否则视为无效投标。</w:t>
      </w:r>
    </w:p>
    <w:p>
      <w:pPr>
        <w:pStyle w:val="28"/>
        <w:rPr>
          <w:rFonts w:ascii="仿宋" w:hAnsi="仿宋" w:eastAsia="仿宋"/>
          <w:color w:val="auto"/>
          <w:highlight w:val="none"/>
        </w:rPr>
      </w:pPr>
    </w:p>
    <w:p>
      <w:pPr>
        <w:tabs>
          <w:tab w:val="left" w:pos="851"/>
          <w:tab w:val="left" w:pos="1280"/>
        </w:tabs>
        <w:spacing w:line="360" w:lineRule="auto"/>
        <w:outlineLvl w:val="0"/>
        <w:rPr>
          <w:rFonts w:ascii="仿宋" w:hAnsi="仿宋" w:eastAsia="仿宋"/>
          <w:b/>
          <w:bCs/>
          <w:color w:val="auto"/>
          <w:highlight w:val="none"/>
        </w:rPr>
      </w:pPr>
      <w:bookmarkStart w:id="10" w:name="_Toc22895701"/>
      <w:bookmarkStart w:id="11" w:name="_Toc57212901"/>
      <w:bookmarkStart w:id="12" w:name="_Toc22895793"/>
      <w:r>
        <w:rPr>
          <w:rFonts w:hint="eastAsia" w:ascii="仿宋" w:hAnsi="仿宋" w:eastAsia="仿宋"/>
          <w:b/>
          <w:bCs/>
          <w:color w:val="auto"/>
          <w:highlight w:val="none"/>
        </w:rPr>
        <w:t>一、项目概述</w:t>
      </w:r>
      <w:bookmarkEnd w:id="10"/>
      <w:bookmarkEnd w:id="11"/>
      <w:bookmarkEnd w:id="12"/>
    </w:p>
    <w:p>
      <w:pPr>
        <w:autoSpaceDE/>
        <w:autoSpaceDN/>
        <w:adjustRightInd/>
        <w:spacing w:line="360" w:lineRule="auto"/>
        <w:ind w:firstLine="420" w:firstLineChars="200"/>
        <w:jc w:val="both"/>
        <w:rPr>
          <w:rFonts w:ascii="仿宋" w:hAnsi="仿宋" w:eastAsia="仿宋" w:cs="宋体"/>
          <w:color w:val="auto"/>
          <w:kern w:val="2"/>
          <w:highlight w:val="none"/>
        </w:rPr>
      </w:pPr>
      <w:r>
        <w:rPr>
          <w:rFonts w:hint="eastAsia" w:ascii="仿宋" w:hAnsi="仿宋" w:eastAsia="仿宋" w:cs="宋体"/>
          <w:color w:val="auto"/>
          <w:kern w:val="2"/>
          <w:highlight w:val="none"/>
        </w:rPr>
        <w:t>2014年至2023年，围绕广东省突发预警信息发布系统体系建设工作，广东省气象局分别完成了《广东山洪地质灾害防治气象保障工程之预警信息发布软件系统市、县级试点项目》、《广东山洪地质灾害防治气象保障工程之预警信息发布软件系统市、县级推广项目》、《广东山洪灾害风险预警及信息化发布一体化项目》、《山洪地质灾害气象信息发布管理项目之信息员管理平台》项目的建设并投入使用，并正在进行《广东省海洋预警信息发布系统》项目的建设。在一体化、集约化的建设原则下，现已逐步建设实施了1个省级突发预警信息发布管理平台、3个市级发布管理平台、15个县级发布管理平台和10多种发布渠道子系统的建设，为广东省突发事件预警信息发布业务提供了重要的支撑。</w:t>
      </w:r>
    </w:p>
    <w:p>
      <w:pPr>
        <w:autoSpaceDE/>
        <w:autoSpaceDN/>
        <w:adjustRightInd/>
        <w:spacing w:line="360" w:lineRule="auto"/>
        <w:ind w:firstLine="420" w:firstLineChars="200"/>
        <w:jc w:val="both"/>
        <w:rPr>
          <w:rFonts w:ascii="仿宋" w:hAnsi="仿宋" w:eastAsia="仿宋" w:cs="宋体"/>
          <w:color w:val="auto"/>
          <w:kern w:val="2"/>
          <w:highlight w:val="none"/>
        </w:rPr>
      </w:pPr>
      <w:r>
        <w:rPr>
          <w:rFonts w:hint="eastAsia" w:ascii="仿宋" w:hAnsi="仿宋" w:eastAsia="仿宋" w:cs="宋体"/>
          <w:color w:val="auto"/>
          <w:kern w:val="2"/>
          <w:highlight w:val="none"/>
        </w:rPr>
        <w:t>广东“平安海洋”气象保障工程是省部合作协议的重要建设内容，也是《广东省气象发展“十三五”规划》的重大工程之一。本项目总体目标是基于南海海洋预警信息发布平台和沿海恶劣天气防灾叫应系统，完成主要包括预警信息采集、发布与质控、预警信息发布系统运营服务及报灾系统的运营服务，保障这些系统的正常运行，确保预警信息发布的安全、及时与精准。</w:t>
      </w:r>
    </w:p>
    <w:p>
      <w:pPr>
        <w:autoSpaceDE/>
        <w:autoSpaceDN/>
        <w:adjustRightInd/>
        <w:spacing w:line="360" w:lineRule="auto"/>
        <w:jc w:val="both"/>
        <w:rPr>
          <w:rFonts w:ascii="仿宋" w:hAnsi="仿宋" w:eastAsia="仿宋"/>
          <w:color w:val="auto"/>
          <w:highlight w:val="none"/>
        </w:rPr>
      </w:pPr>
    </w:p>
    <w:p>
      <w:pPr>
        <w:numPr>
          <w:ilvl w:val="0"/>
          <w:numId w:val="16"/>
        </w:numPr>
        <w:tabs>
          <w:tab w:val="left" w:pos="851"/>
          <w:tab w:val="left" w:pos="1280"/>
        </w:tabs>
        <w:spacing w:line="360" w:lineRule="auto"/>
        <w:outlineLvl w:val="0"/>
        <w:rPr>
          <w:rFonts w:ascii="仿宋" w:hAnsi="仿宋" w:eastAsia="仿宋"/>
          <w:b/>
          <w:bCs/>
          <w:color w:val="auto"/>
          <w:highlight w:val="none"/>
        </w:rPr>
      </w:pPr>
      <w:bookmarkStart w:id="13" w:name="_Toc22895796"/>
      <w:bookmarkStart w:id="14" w:name="_Toc57212903"/>
      <w:bookmarkStart w:id="15" w:name="_Toc421865006"/>
      <w:bookmarkStart w:id="16" w:name="_Toc22895704"/>
      <w:bookmarkStart w:id="17" w:name="_Toc487011181"/>
      <w:r>
        <w:rPr>
          <w:rFonts w:hint="eastAsia" w:ascii="仿宋" w:hAnsi="仿宋" w:eastAsia="仿宋"/>
          <w:b/>
          <w:bCs/>
          <w:color w:val="auto"/>
          <w:highlight w:val="none"/>
        </w:rPr>
        <w:t>项目</w:t>
      </w:r>
      <w:bookmarkEnd w:id="13"/>
      <w:bookmarkEnd w:id="14"/>
      <w:bookmarkEnd w:id="15"/>
      <w:bookmarkEnd w:id="16"/>
      <w:bookmarkEnd w:id="17"/>
      <w:r>
        <w:rPr>
          <w:rFonts w:hint="eastAsia" w:ascii="仿宋" w:hAnsi="仿宋" w:eastAsia="仿宋"/>
          <w:b/>
          <w:bCs/>
          <w:color w:val="auto"/>
          <w:highlight w:val="none"/>
        </w:rPr>
        <w:t>运营要求</w:t>
      </w:r>
    </w:p>
    <w:p>
      <w:pPr>
        <w:pStyle w:val="2"/>
        <w:ind w:firstLine="420"/>
        <w:jc w:val="left"/>
        <w:rPr>
          <w:rFonts w:ascii="仿宋" w:hAnsi="Times New Roman" w:eastAsia="仿宋"/>
          <w:bCs w:val="0"/>
          <w:color w:val="auto"/>
          <w:kern w:val="0"/>
          <w:szCs w:val="21"/>
          <w:highlight w:val="none"/>
        </w:rPr>
      </w:pPr>
      <w:r>
        <w:rPr>
          <w:rFonts w:hint="eastAsia" w:ascii="仿宋" w:hAnsi="Times New Roman" w:eastAsia="仿宋"/>
          <w:bCs w:val="0"/>
          <w:color w:val="auto"/>
          <w:kern w:val="0"/>
          <w:szCs w:val="21"/>
          <w:highlight w:val="none"/>
        </w:rPr>
        <w:t>南海海洋预警信息发布和沿海恶劣天气防灾叫应系统(二期)主要内容包括三年期的预警信息采集、发布与质控和预警信息发布系统运营服务，一年期的报灾系统运营服务。</w:t>
      </w:r>
    </w:p>
    <w:p>
      <w:pPr>
        <w:pStyle w:val="2"/>
        <w:ind w:firstLine="420"/>
        <w:jc w:val="left"/>
        <w:rPr>
          <w:color w:val="auto"/>
          <w:highlight w:val="none"/>
        </w:rPr>
      </w:pPr>
      <w:r>
        <w:rPr>
          <w:rFonts w:hint="eastAsia" w:ascii="仿宋" w:hAnsi="Times New Roman" w:eastAsia="仿宋"/>
          <w:bCs w:val="0"/>
          <w:color w:val="auto"/>
          <w:kern w:val="0"/>
          <w:szCs w:val="21"/>
          <w:highlight w:val="none"/>
        </w:rPr>
        <w:t>★投标人须承诺按年限要求提供相应的运营服务。</w:t>
      </w:r>
    </w:p>
    <w:p>
      <w:pPr>
        <w:tabs>
          <w:tab w:val="left" w:pos="851"/>
          <w:tab w:val="left" w:pos="1280"/>
        </w:tabs>
        <w:spacing w:line="360" w:lineRule="auto"/>
        <w:ind w:firstLine="422" w:firstLineChars="200"/>
        <w:jc w:val="both"/>
        <w:outlineLvl w:val="2"/>
        <w:rPr>
          <w:rFonts w:ascii="仿宋" w:hAnsi="仿宋" w:eastAsia="仿宋"/>
          <w:b/>
          <w:bCs/>
          <w:color w:val="auto"/>
          <w:szCs w:val="21"/>
          <w:highlight w:val="none"/>
        </w:rPr>
      </w:pPr>
      <w:r>
        <w:rPr>
          <w:rFonts w:hint="eastAsia" w:ascii="仿宋" w:hAnsi="仿宋" w:eastAsia="仿宋"/>
          <w:b/>
          <w:bCs/>
          <w:color w:val="auto"/>
          <w:szCs w:val="21"/>
          <w:highlight w:val="none"/>
        </w:rPr>
        <w:t>（一）预警信息采集、发布与质控运营服务</w:t>
      </w:r>
    </w:p>
    <w:p>
      <w:pPr>
        <w:tabs>
          <w:tab w:val="left" w:pos="851"/>
          <w:tab w:val="left" w:pos="1280"/>
        </w:tabs>
        <w:spacing w:line="360" w:lineRule="auto"/>
        <w:ind w:firstLine="420" w:firstLineChars="200"/>
        <w:jc w:val="both"/>
        <w:outlineLvl w:val="3"/>
        <w:rPr>
          <w:rFonts w:ascii="仿宋" w:eastAsia="仿宋"/>
          <w:color w:val="auto"/>
          <w:szCs w:val="21"/>
          <w:highlight w:val="none"/>
        </w:rPr>
      </w:pPr>
      <w:r>
        <w:rPr>
          <w:rFonts w:hint="eastAsia" w:ascii="仿宋" w:eastAsia="仿宋"/>
          <w:color w:val="auto"/>
          <w:szCs w:val="21"/>
          <w:highlight w:val="none"/>
        </w:rPr>
        <w:t>（1）预警信息数据采集接口监控管理。</w:t>
      </w:r>
    </w:p>
    <w:p>
      <w:pPr>
        <w:spacing w:line="360" w:lineRule="auto"/>
        <w:ind w:firstLine="420" w:firstLineChars="200"/>
        <w:rPr>
          <w:rFonts w:ascii="仿宋" w:eastAsia="仿宋"/>
          <w:color w:val="auto"/>
          <w:szCs w:val="21"/>
          <w:highlight w:val="none"/>
        </w:rPr>
      </w:pPr>
      <w:r>
        <w:rPr>
          <w:rFonts w:hint="eastAsia" w:ascii="仿宋" w:eastAsia="仿宋"/>
          <w:color w:val="auto"/>
          <w:szCs w:val="21"/>
          <w:highlight w:val="none"/>
        </w:rPr>
        <w:t>1）审批流程数据接口协议</w:t>
      </w:r>
    </w:p>
    <w:p>
      <w:pPr>
        <w:spacing w:line="360" w:lineRule="auto"/>
        <w:ind w:firstLine="420" w:firstLineChars="200"/>
        <w:rPr>
          <w:rFonts w:ascii="仿宋" w:eastAsia="仿宋"/>
          <w:color w:val="auto"/>
          <w:szCs w:val="21"/>
          <w:highlight w:val="none"/>
        </w:rPr>
      </w:pPr>
      <w:r>
        <w:rPr>
          <w:rFonts w:hint="eastAsia" w:ascii="仿宋" w:eastAsia="仿宋"/>
          <w:color w:val="auto"/>
          <w:szCs w:val="21"/>
          <w:highlight w:val="none"/>
        </w:rPr>
        <w:t>根据《广东省突发事件预警信息发布管理办法》中预警信息发布流程的相关规定，与应急厅（局）等外部系统就审批流程的电子化实现进行对接，制定相关数据接口标准，并进行测试，以实现安全、自动化、快速的预警信息报审数据交互和审批结果获取。</w:t>
      </w:r>
    </w:p>
    <w:p>
      <w:pPr>
        <w:spacing w:line="360" w:lineRule="auto"/>
        <w:ind w:firstLine="420" w:firstLineChars="200"/>
        <w:rPr>
          <w:rFonts w:ascii="仿宋" w:eastAsia="仿宋"/>
          <w:color w:val="auto"/>
          <w:szCs w:val="21"/>
          <w:highlight w:val="none"/>
        </w:rPr>
      </w:pPr>
      <w:r>
        <w:rPr>
          <w:rFonts w:ascii="仿宋" w:eastAsia="仿宋"/>
          <w:color w:val="auto"/>
          <w:szCs w:val="21"/>
          <w:highlight w:val="none"/>
        </w:rPr>
        <w:t>2</w:t>
      </w:r>
      <w:r>
        <w:rPr>
          <w:rFonts w:hint="eastAsia" w:ascii="仿宋" w:eastAsia="仿宋"/>
          <w:color w:val="auto"/>
          <w:szCs w:val="21"/>
          <w:highlight w:val="none"/>
        </w:rPr>
        <w:t>）信息员责任人信息报送接口协议</w:t>
      </w:r>
    </w:p>
    <w:p>
      <w:pPr>
        <w:spacing w:line="360" w:lineRule="auto"/>
        <w:ind w:firstLine="420" w:firstLineChars="200"/>
        <w:rPr>
          <w:rFonts w:ascii="仿宋" w:eastAsia="仿宋"/>
          <w:color w:val="auto"/>
          <w:szCs w:val="21"/>
          <w:highlight w:val="none"/>
        </w:rPr>
      </w:pPr>
      <w:r>
        <w:rPr>
          <w:rFonts w:hint="eastAsia" w:ascii="仿宋" w:eastAsia="仿宋"/>
          <w:color w:val="auto"/>
          <w:szCs w:val="21"/>
          <w:highlight w:val="none"/>
        </w:rPr>
        <w:t>制定人员信息报送服务端接口标准，规范外部系统接口采集人员信息的数据格式、提交流程和安全技术方法，以及数据新增、变更和管理的原则。</w:t>
      </w:r>
    </w:p>
    <w:p>
      <w:pPr>
        <w:tabs>
          <w:tab w:val="left" w:pos="851"/>
          <w:tab w:val="left" w:pos="1280"/>
        </w:tabs>
        <w:spacing w:line="360" w:lineRule="auto"/>
        <w:ind w:firstLine="420" w:firstLineChars="200"/>
        <w:jc w:val="both"/>
        <w:outlineLvl w:val="3"/>
        <w:rPr>
          <w:rFonts w:ascii="仿宋" w:eastAsia="仿宋"/>
          <w:color w:val="auto"/>
          <w:szCs w:val="21"/>
          <w:highlight w:val="none"/>
        </w:rPr>
      </w:pPr>
      <w:r>
        <w:rPr>
          <w:rFonts w:hint="eastAsia" w:ascii="仿宋" w:eastAsia="仿宋"/>
          <w:color w:val="auto"/>
          <w:szCs w:val="21"/>
          <w:highlight w:val="none"/>
        </w:rPr>
        <w:t>（</w:t>
      </w:r>
      <w:r>
        <w:rPr>
          <w:rFonts w:ascii="仿宋" w:eastAsia="仿宋"/>
          <w:color w:val="auto"/>
          <w:szCs w:val="21"/>
          <w:highlight w:val="none"/>
        </w:rPr>
        <w:t>2</w:t>
      </w:r>
      <w:r>
        <w:rPr>
          <w:rFonts w:hint="eastAsia" w:ascii="仿宋" w:eastAsia="仿宋"/>
          <w:color w:val="auto"/>
          <w:szCs w:val="21"/>
          <w:highlight w:val="none"/>
        </w:rPr>
        <w:t>）预警信息分发接口监控管理</w:t>
      </w:r>
    </w:p>
    <w:p>
      <w:pPr>
        <w:spacing w:line="360" w:lineRule="auto"/>
        <w:ind w:firstLine="420" w:firstLineChars="200"/>
        <w:rPr>
          <w:rFonts w:ascii="仿宋" w:eastAsia="仿宋"/>
          <w:color w:val="auto"/>
          <w:szCs w:val="21"/>
          <w:highlight w:val="none"/>
        </w:rPr>
      </w:pPr>
      <w:r>
        <w:rPr>
          <w:rFonts w:hint="eastAsia" w:ascii="仿宋" w:eastAsia="仿宋"/>
          <w:color w:val="auto"/>
          <w:szCs w:val="21"/>
          <w:highlight w:val="none"/>
        </w:rPr>
        <w:t>1）各发布渠道推送接口协议</w:t>
      </w:r>
    </w:p>
    <w:p>
      <w:pPr>
        <w:spacing w:line="360" w:lineRule="auto"/>
        <w:ind w:firstLine="420" w:firstLineChars="200"/>
        <w:rPr>
          <w:rFonts w:ascii="仿宋" w:eastAsia="仿宋"/>
          <w:color w:val="auto"/>
          <w:szCs w:val="21"/>
          <w:highlight w:val="none"/>
        </w:rPr>
      </w:pPr>
      <w:r>
        <w:rPr>
          <w:rFonts w:hint="eastAsia" w:ascii="仿宋" w:eastAsia="仿宋"/>
          <w:color w:val="auto"/>
          <w:szCs w:val="21"/>
          <w:highlight w:val="none"/>
        </w:rPr>
        <w:t>面向各种发布渠道，制定预警信息推送接口协议，既要满足预警发布的统一性要求，同时又要兼顾不同渠道的特点和受众群体的差异，与各渠道调研协调合适的预警信息和反馈数据的格式需求，并开展测试和联调、优化。</w:t>
      </w:r>
    </w:p>
    <w:p>
      <w:pPr>
        <w:tabs>
          <w:tab w:val="left" w:pos="851"/>
          <w:tab w:val="left" w:pos="1280"/>
        </w:tabs>
        <w:spacing w:line="360" w:lineRule="auto"/>
        <w:ind w:firstLine="420" w:firstLineChars="200"/>
        <w:jc w:val="both"/>
        <w:outlineLvl w:val="3"/>
        <w:rPr>
          <w:rFonts w:ascii="仿宋" w:eastAsia="仿宋"/>
          <w:color w:val="auto"/>
          <w:szCs w:val="21"/>
          <w:highlight w:val="none"/>
        </w:rPr>
      </w:pPr>
      <w:r>
        <w:rPr>
          <w:rFonts w:hint="eastAsia" w:ascii="仿宋" w:eastAsia="仿宋"/>
          <w:color w:val="auto"/>
          <w:szCs w:val="21"/>
          <w:highlight w:val="none"/>
        </w:rPr>
        <w:t>（</w:t>
      </w:r>
      <w:r>
        <w:rPr>
          <w:rFonts w:ascii="仿宋" w:eastAsia="仿宋"/>
          <w:color w:val="auto"/>
          <w:szCs w:val="21"/>
          <w:highlight w:val="none"/>
        </w:rPr>
        <w:t>3</w:t>
      </w:r>
      <w:r>
        <w:rPr>
          <w:rFonts w:hint="eastAsia" w:ascii="仿宋" w:eastAsia="仿宋"/>
          <w:color w:val="auto"/>
          <w:szCs w:val="21"/>
          <w:highlight w:val="none"/>
        </w:rPr>
        <w:t>）预警信息质量控制</w:t>
      </w:r>
    </w:p>
    <w:p>
      <w:pPr>
        <w:spacing w:line="360" w:lineRule="auto"/>
        <w:ind w:firstLine="420" w:firstLineChars="200"/>
        <w:rPr>
          <w:rFonts w:ascii="仿宋" w:eastAsia="仿宋"/>
          <w:color w:val="auto"/>
          <w:szCs w:val="21"/>
          <w:highlight w:val="none"/>
        </w:rPr>
      </w:pPr>
      <w:r>
        <w:rPr>
          <w:rFonts w:hint="eastAsia" w:ascii="仿宋" w:eastAsia="仿宋"/>
          <w:color w:val="auto"/>
          <w:szCs w:val="21"/>
          <w:highlight w:val="none"/>
        </w:rPr>
        <w:t>1）质量控制策略分析</w:t>
      </w:r>
    </w:p>
    <w:p>
      <w:pPr>
        <w:spacing w:line="360" w:lineRule="auto"/>
        <w:ind w:firstLine="420" w:firstLineChars="200"/>
        <w:rPr>
          <w:rFonts w:ascii="仿宋" w:eastAsia="仿宋"/>
          <w:color w:val="auto"/>
          <w:szCs w:val="21"/>
          <w:highlight w:val="none"/>
        </w:rPr>
      </w:pPr>
      <w:r>
        <w:rPr>
          <w:rFonts w:hint="eastAsia" w:ascii="仿宋" w:eastAsia="仿宋"/>
          <w:color w:val="auto"/>
          <w:szCs w:val="21"/>
          <w:highlight w:val="none"/>
        </w:rPr>
        <w:t>当获取到预警数据后，需要对预警信息的正确性和安全性做审核，根据预警信息质量控制及时捕获、准确判断、安全发布、持续追踪的审核原则，制定质控策略，并对各种策略的控制效果进行跟踪分析，及时发现问题并优化。策略类型包括但不限于：空白字段、敏感词、一致性错误、时间错误、正文错误、业务逻辑错误、解除预警错误。</w:t>
      </w:r>
    </w:p>
    <w:p>
      <w:pPr>
        <w:spacing w:line="360" w:lineRule="auto"/>
        <w:ind w:firstLine="420" w:firstLineChars="200"/>
        <w:rPr>
          <w:rFonts w:ascii="仿宋" w:eastAsia="仿宋"/>
          <w:color w:val="auto"/>
          <w:szCs w:val="21"/>
          <w:highlight w:val="none"/>
        </w:rPr>
      </w:pPr>
      <w:r>
        <w:rPr>
          <w:rFonts w:ascii="仿宋" w:eastAsia="仿宋"/>
          <w:color w:val="auto"/>
          <w:szCs w:val="21"/>
          <w:highlight w:val="none"/>
        </w:rPr>
        <w:t>2</w:t>
      </w:r>
      <w:r>
        <w:rPr>
          <w:rFonts w:hint="eastAsia" w:ascii="仿宋" w:eastAsia="仿宋"/>
          <w:color w:val="auto"/>
          <w:szCs w:val="21"/>
          <w:highlight w:val="none"/>
        </w:rPr>
        <w:t>）制定质控校验规则</w:t>
      </w:r>
    </w:p>
    <w:p>
      <w:pPr>
        <w:spacing w:line="360" w:lineRule="auto"/>
        <w:ind w:firstLine="420" w:firstLineChars="200"/>
        <w:rPr>
          <w:rFonts w:ascii="仿宋" w:eastAsia="仿宋"/>
          <w:color w:val="auto"/>
          <w:szCs w:val="21"/>
          <w:highlight w:val="none"/>
        </w:rPr>
      </w:pPr>
      <w:r>
        <w:rPr>
          <w:rFonts w:hint="eastAsia" w:ascii="仿宋" w:eastAsia="仿宋"/>
          <w:color w:val="auto"/>
          <w:szCs w:val="21"/>
          <w:highlight w:val="none"/>
        </w:rPr>
        <w:t>根据质控策略，制定数据签名校验、非空校验、敏感词校验、非法字段校验、一致性校验、可用性校验、时间校验、关联错误校验、国突上报XML数据格式校验规则，并对规则有效性进行持续的跟踪分析，及时发现问题并优化。</w:t>
      </w:r>
    </w:p>
    <w:p>
      <w:pPr>
        <w:tabs>
          <w:tab w:val="left" w:pos="851"/>
          <w:tab w:val="left" w:pos="1280"/>
        </w:tabs>
        <w:spacing w:line="360" w:lineRule="auto"/>
        <w:ind w:firstLine="420" w:firstLineChars="200"/>
        <w:jc w:val="both"/>
        <w:outlineLvl w:val="3"/>
        <w:rPr>
          <w:rFonts w:ascii="仿宋" w:eastAsia="仿宋"/>
          <w:color w:val="auto"/>
          <w:szCs w:val="21"/>
          <w:highlight w:val="none"/>
        </w:rPr>
      </w:pPr>
      <w:r>
        <w:rPr>
          <w:rFonts w:hint="eastAsia" w:ascii="仿宋" w:eastAsia="仿宋"/>
          <w:color w:val="auto"/>
          <w:szCs w:val="21"/>
          <w:highlight w:val="none"/>
        </w:rPr>
        <w:t>（</w:t>
      </w:r>
      <w:r>
        <w:rPr>
          <w:rFonts w:ascii="仿宋" w:eastAsia="仿宋"/>
          <w:color w:val="auto"/>
          <w:szCs w:val="21"/>
          <w:highlight w:val="none"/>
        </w:rPr>
        <w:t>4</w:t>
      </w:r>
      <w:r>
        <w:rPr>
          <w:rFonts w:hint="eastAsia" w:ascii="仿宋" w:eastAsia="仿宋"/>
          <w:color w:val="auto"/>
          <w:szCs w:val="21"/>
          <w:highlight w:val="none"/>
        </w:rPr>
        <w:t>）联动部门对接服务</w:t>
      </w:r>
    </w:p>
    <w:p>
      <w:pPr>
        <w:spacing w:line="360" w:lineRule="auto"/>
        <w:ind w:firstLine="420" w:firstLineChars="200"/>
        <w:rPr>
          <w:rFonts w:ascii="仿宋" w:eastAsia="仿宋"/>
          <w:color w:val="auto"/>
          <w:szCs w:val="21"/>
          <w:highlight w:val="none"/>
        </w:rPr>
      </w:pPr>
      <w:r>
        <w:rPr>
          <w:rFonts w:ascii="仿宋" w:eastAsia="仿宋"/>
          <w:color w:val="auto"/>
          <w:szCs w:val="21"/>
          <w:highlight w:val="none"/>
        </w:rPr>
        <w:t>1</w:t>
      </w:r>
      <w:r>
        <w:rPr>
          <w:rFonts w:hint="eastAsia" w:ascii="仿宋" w:eastAsia="仿宋"/>
          <w:color w:val="auto"/>
          <w:szCs w:val="21"/>
          <w:highlight w:val="none"/>
        </w:rPr>
        <w:t>）预警类型管理</w:t>
      </w:r>
    </w:p>
    <w:p>
      <w:pPr>
        <w:spacing w:line="360" w:lineRule="auto"/>
        <w:ind w:firstLine="420" w:firstLineChars="200"/>
        <w:rPr>
          <w:rFonts w:ascii="仿宋" w:eastAsia="仿宋"/>
          <w:color w:val="auto"/>
          <w:szCs w:val="21"/>
          <w:highlight w:val="none"/>
        </w:rPr>
      </w:pPr>
      <w:r>
        <w:rPr>
          <w:rFonts w:hint="eastAsia" w:ascii="仿宋" w:eastAsia="仿宋"/>
          <w:color w:val="auto"/>
          <w:szCs w:val="21"/>
          <w:highlight w:val="none"/>
        </w:rPr>
        <w:t>按不同部门可发预警的类型、级别定义、防御指引文档等，配置系统中的预警类型和级别数据。</w:t>
      </w:r>
    </w:p>
    <w:p>
      <w:pPr>
        <w:spacing w:line="360" w:lineRule="auto"/>
        <w:ind w:firstLine="420" w:firstLineChars="200"/>
        <w:rPr>
          <w:rFonts w:ascii="仿宋" w:eastAsia="仿宋"/>
          <w:color w:val="auto"/>
          <w:szCs w:val="21"/>
          <w:highlight w:val="none"/>
        </w:rPr>
      </w:pPr>
      <w:r>
        <w:rPr>
          <w:rFonts w:ascii="仿宋" w:eastAsia="仿宋"/>
          <w:color w:val="auto"/>
          <w:szCs w:val="21"/>
          <w:highlight w:val="none"/>
        </w:rPr>
        <w:t>2</w:t>
      </w:r>
      <w:r>
        <w:rPr>
          <w:rFonts w:hint="eastAsia" w:ascii="仿宋" w:eastAsia="仿宋"/>
          <w:color w:val="auto"/>
          <w:szCs w:val="21"/>
          <w:highlight w:val="none"/>
        </w:rPr>
        <w:t>）预案电子化工作</w:t>
      </w:r>
    </w:p>
    <w:p>
      <w:pPr>
        <w:spacing w:line="360" w:lineRule="auto"/>
        <w:ind w:firstLine="420" w:firstLineChars="200"/>
        <w:rPr>
          <w:rFonts w:ascii="仿宋" w:eastAsia="仿宋"/>
          <w:color w:val="auto"/>
          <w:szCs w:val="21"/>
          <w:highlight w:val="none"/>
        </w:rPr>
      </w:pPr>
      <w:r>
        <w:rPr>
          <w:rFonts w:hint="eastAsia" w:ascii="仿宋" w:eastAsia="仿宋"/>
          <w:color w:val="auto"/>
          <w:szCs w:val="21"/>
          <w:highlight w:val="none"/>
        </w:rPr>
        <w:t>按照联动部门的应急响应预案细则，转换成系统可识别、可执行的电子化信息，包括预案流程、流程触发条件、各步骤涉及的人员信息、通知内容模板和方式等。</w:t>
      </w:r>
    </w:p>
    <w:p>
      <w:pPr>
        <w:spacing w:line="360" w:lineRule="auto"/>
        <w:ind w:firstLine="420" w:firstLineChars="200"/>
        <w:rPr>
          <w:rFonts w:ascii="仿宋" w:eastAsia="仿宋"/>
          <w:color w:val="auto"/>
          <w:szCs w:val="21"/>
          <w:highlight w:val="none"/>
        </w:rPr>
      </w:pPr>
      <w:r>
        <w:rPr>
          <w:rFonts w:ascii="仿宋" w:eastAsia="仿宋"/>
          <w:color w:val="auto"/>
          <w:szCs w:val="21"/>
          <w:highlight w:val="none"/>
        </w:rPr>
        <w:t>3</w:t>
      </w:r>
      <w:r>
        <w:rPr>
          <w:rFonts w:hint="eastAsia" w:ascii="仿宋" w:eastAsia="仿宋"/>
          <w:color w:val="auto"/>
          <w:szCs w:val="21"/>
          <w:highlight w:val="none"/>
        </w:rPr>
        <w:t>）接口支撑管理服务</w:t>
      </w:r>
    </w:p>
    <w:p>
      <w:pPr>
        <w:spacing w:line="360" w:lineRule="auto"/>
        <w:ind w:firstLine="420" w:firstLineChars="200"/>
        <w:rPr>
          <w:rFonts w:ascii="仿宋" w:eastAsia="仿宋"/>
          <w:color w:val="auto"/>
          <w:szCs w:val="21"/>
          <w:highlight w:val="none"/>
        </w:rPr>
      </w:pPr>
      <w:r>
        <w:rPr>
          <w:rFonts w:hint="eastAsia" w:ascii="仿宋" w:eastAsia="仿宋"/>
          <w:color w:val="auto"/>
          <w:szCs w:val="21"/>
          <w:highlight w:val="none"/>
        </w:rPr>
        <w:t>协议宣贯、接口开发指导、参数配置、对接测试联调、维护培训。</w:t>
      </w:r>
    </w:p>
    <w:p>
      <w:pPr>
        <w:numPr>
          <w:ilvl w:val="0"/>
          <w:numId w:val="17"/>
        </w:numPr>
        <w:tabs>
          <w:tab w:val="left" w:pos="851"/>
          <w:tab w:val="left" w:pos="1280"/>
        </w:tabs>
        <w:spacing w:line="360" w:lineRule="auto"/>
        <w:ind w:firstLine="420" w:firstLineChars="200"/>
        <w:jc w:val="both"/>
        <w:outlineLvl w:val="3"/>
        <w:rPr>
          <w:rFonts w:ascii="仿宋" w:hAnsi="仿宋" w:eastAsia="仿宋"/>
          <w:color w:val="auto"/>
          <w:highlight w:val="none"/>
        </w:rPr>
      </w:pPr>
      <w:r>
        <w:rPr>
          <w:rFonts w:hint="eastAsia" w:ascii="仿宋" w:hAnsi="仿宋" w:eastAsia="仿宋"/>
          <w:color w:val="auto"/>
          <w:highlight w:val="none"/>
        </w:rPr>
        <w:t>数据分析服务</w:t>
      </w:r>
    </w:p>
    <w:p>
      <w:pPr>
        <w:spacing w:line="360" w:lineRule="auto"/>
        <w:ind w:firstLine="420" w:firstLineChars="200"/>
        <w:rPr>
          <w:rFonts w:ascii="仿宋" w:hAnsi="仿宋" w:eastAsia="仿宋"/>
          <w:color w:val="auto"/>
          <w:highlight w:val="none"/>
        </w:rPr>
      </w:pPr>
      <w:r>
        <w:rPr>
          <w:rFonts w:hint="eastAsia" w:ascii="仿宋" w:hAnsi="仿宋" w:eastAsia="仿宋"/>
          <w:color w:val="auto"/>
          <w:highlight w:val="none"/>
        </w:rPr>
        <w:t>1）预警信息发布效益评估分析服务</w:t>
      </w:r>
    </w:p>
    <w:p>
      <w:pPr>
        <w:spacing w:line="360" w:lineRule="auto"/>
        <w:ind w:firstLine="420" w:firstLineChars="200"/>
        <w:rPr>
          <w:rFonts w:ascii="仿宋" w:hAnsi="仿宋" w:eastAsia="仿宋"/>
          <w:color w:val="auto"/>
          <w:highlight w:val="none"/>
        </w:rPr>
      </w:pPr>
      <w:r>
        <w:rPr>
          <w:rFonts w:hint="eastAsia" w:ascii="仿宋" w:hAnsi="仿宋" w:eastAsia="仿宋"/>
          <w:color w:val="auto"/>
          <w:highlight w:val="none"/>
        </w:rPr>
        <w:t>对预警信息发布的启动及时性、业务流转时效、传播速度和广度、预警信息质量、防御指引的有效性、社会反响和减灾效果等方面的数据入手，制定效益评估指标体系，提供效益分析报告，适用于考核、评分和效益评估。</w:t>
      </w:r>
    </w:p>
    <w:p>
      <w:pPr>
        <w:spacing w:line="360" w:lineRule="auto"/>
        <w:ind w:firstLine="420" w:firstLineChars="200"/>
        <w:rPr>
          <w:rFonts w:ascii="仿宋" w:hAnsi="仿宋" w:eastAsia="仿宋"/>
          <w:color w:val="auto"/>
          <w:highlight w:val="none"/>
        </w:rPr>
      </w:pPr>
      <w:r>
        <w:rPr>
          <w:rFonts w:hint="eastAsia" w:ascii="仿宋" w:hAnsi="仿宋" w:eastAsia="仿宋"/>
          <w:color w:val="auto"/>
          <w:highlight w:val="none"/>
        </w:rPr>
        <w:t>预警信息发布效益评估分析服务分为月度、季度、半年、一年和典型过程等多种方式，每年月度评估12次、季度4次、半年2次、一年1次、典型过程平均15次，总计34次。根据不同分类、维度的统计数据，进行分析和解读，对比实际效果和反馈评价，得出考核评分和效益评估报告。每次需提取各类数据进行分项统计，制作统计表和统计图。</w:t>
      </w:r>
    </w:p>
    <w:p>
      <w:pPr>
        <w:spacing w:line="360" w:lineRule="auto"/>
        <w:ind w:firstLine="420" w:firstLineChars="200"/>
        <w:rPr>
          <w:rFonts w:ascii="仿宋" w:hAnsi="仿宋" w:eastAsia="仿宋"/>
          <w:color w:val="auto"/>
          <w:highlight w:val="none"/>
        </w:rPr>
      </w:pPr>
      <w:r>
        <w:rPr>
          <w:rFonts w:ascii="仿宋" w:hAnsi="仿宋" w:eastAsia="仿宋"/>
          <w:color w:val="auto"/>
          <w:highlight w:val="none"/>
        </w:rPr>
        <w:t>2</w:t>
      </w:r>
      <w:r>
        <w:rPr>
          <w:rFonts w:hint="eastAsia" w:ascii="仿宋" w:hAnsi="仿宋" w:eastAsia="仿宋"/>
          <w:color w:val="auto"/>
          <w:highlight w:val="none"/>
        </w:rPr>
        <w:t>）质量控制效果检验与分析</w:t>
      </w:r>
    </w:p>
    <w:p>
      <w:pPr>
        <w:spacing w:line="360" w:lineRule="auto"/>
        <w:ind w:firstLine="420" w:firstLineChars="200"/>
        <w:rPr>
          <w:color w:val="auto"/>
          <w:highlight w:val="none"/>
        </w:rPr>
      </w:pPr>
      <w:r>
        <w:rPr>
          <w:rFonts w:hint="eastAsia" w:ascii="仿宋" w:hAnsi="仿宋" w:eastAsia="仿宋"/>
          <w:color w:val="auto"/>
          <w:highlight w:val="none"/>
        </w:rPr>
        <w:t>对质量控制的效果进行人工检验，分析质量控制的成功率、空报率、漏报率、错报率等，并在分析结果的基础上，调整质控规则或方法。每季度开展分析评估，提出分析结论和策略修改建议。</w:t>
      </w:r>
    </w:p>
    <w:p>
      <w:pPr>
        <w:numPr>
          <w:ilvl w:val="0"/>
          <w:numId w:val="17"/>
        </w:numPr>
        <w:tabs>
          <w:tab w:val="left" w:pos="851"/>
          <w:tab w:val="left" w:pos="1280"/>
        </w:tabs>
        <w:spacing w:line="360" w:lineRule="auto"/>
        <w:ind w:firstLine="420" w:firstLineChars="200"/>
        <w:jc w:val="both"/>
        <w:outlineLvl w:val="3"/>
        <w:rPr>
          <w:rFonts w:ascii="仿宋" w:hAnsi="仿宋" w:eastAsia="仿宋"/>
          <w:color w:val="auto"/>
          <w:highlight w:val="none"/>
        </w:rPr>
      </w:pPr>
      <w:r>
        <w:rPr>
          <w:rFonts w:hint="eastAsia" w:ascii="仿宋" w:hAnsi="仿宋" w:eastAsia="仿宋"/>
          <w:color w:val="auto"/>
          <w:highlight w:val="none"/>
        </w:rPr>
        <w:t>受众用户标签化处理服务</w:t>
      </w:r>
    </w:p>
    <w:p>
      <w:pPr>
        <w:spacing w:line="360" w:lineRule="auto"/>
        <w:ind w:firstLine="420" w:firstLineChars="200"/>
        <w:rPr>
          <w:rFonts w:ascii="仿宋" w:eastAsia="仿宋"/>
          <w:color w:val="auto"/>
          <w:szCs w:val="21"/>
          <w:highlight w:val="none"/>
        </w:rPr>
      </w:pPr>
      <w:r>
        <w:rPr>
          <w:rFonts w:ascii="仿宋" w:eastAsia="仿宋"/>
          <w:color w:val="auto"/>
          <w:szCs w:val="21"/>
          <w:highlight w:val="none"/>
        </w:rPr>
        <w:t>1</w:t>
      </w:r>
      <w:r>
        <w:rPr>
          <w:rFonts w:hint="eastAsia" w:ascii="仿宋" w:eastAsia="仿宋"/>
          <w:color w:val="auto"/>
          <w:szCs w:val="21"/>
          <w:highlight w:val="none"/>
        </w:rPr>
        <w:t>）标签体系编码标准</w:t>
      </w:r>
    </w:p>
    <w:p>
      <w:pPr>
        <w:spacing w:line="360" w:lineRule="auto"/>
        <w:ind w:firstLine="420" w:firstLineChars="200"/>
        <w:rPr>
          <w:rFonts w:ascii="仿宋" w:eastAsia="仿宋"/>
          <w:color w:val="auto"/>
          <w:szCs w:val="21"/>
          <w:highlight w:val="none"/>
        </w:rPr>
      </w:pPr>
      <w:r>
        <w:rPr>
          <w:rFonts w:hint="eastAsia" w:ascii="仿宋" w:eastAsia="仿宋"/>
          <w:color w:val="auto"/>
          <w:szCs w:val="21"/>
          <w:highlight w:val="none"/>
        </w:rPr>
        <w:t>对标签类目和标签值进行编码设计，已标准的形式予以呈现，并实际应用于系统开发中，供突发平台相关系统和各渠道使用。</w:t>
      </w:r>
    </w:p>
    <w:p>
      <w:pPr>
        <w:spacing w:line="360" w:lineRule="auto"/>
        <w:ind w:firstLine="420" w:firstLineChars="200"/>
        <w:rPr>
          <w:rFonts w:ascii="仿宋" w:hAnsi="仿宋" w:eastAsia="仿宋"/>
          <w:color w:val="auto"/>
          <w:highlight w:val="none"/>
        </w:rPr>
      </w:pPr>
      <w:r>
        <w:rPr>
          <w:rFonts w:hint="eastAsia" w:ascii="仿宋" w:hAnsi="仿宋" w:eastAsia="仿宋"/>
          <w:color w:val="auto"/>
          <w:highlight w:val="none"/>
        </w:rPr>
        <w:t>2）受众用户信息维护</w:t>
      </w:r>
    </w:p>
    <w:p>
      <w:pPr>
        <w:spacing w:line="360" w:lineRule="auto"/>
        <w:ind w:firstLine="420"/>
        <w:rPr>
          <w:rFonts w:ascii="仿宋" w:hAnsi="仿宋" w:eastAsia="仿宋"/>
          <w:color w:val="auto"/>
          <w:highlight w:val="none"/>
        </w:rPr>
      </w:pPr>
      <w:r>
        <w:rPr>
          <w:rFonts w:hint="eastAsia" w:ascii="仿宋" w:hAnsi="仿宋" w:eastAsia="仿宋"/>
          <w:color w:val="auto"/>
          <w:highlight w:val="none"/>
        </w:rPr>
        <w:t>采用多数据源方式收集用户信息，实现一张表管理，并提供导入、录入、编辑等功能。根据用户情况，定期更新用户信息。一般每年批量更新2次，更新时各单位都会集中对各类受众用户数据进行更新，需要对新数据进行数据整理和治理，对原有用户数据进行合并处理等。</w:t>
      </w:r>
    </w:p>
    <w:p>
      <w:pPr>
        <w:spacing w:line="360" w:lineRule="auto"/>
        <w:ind w:firstLine="420" w:firstLineChars="200"/>
        <w:rPr>
          <w:rFonts w:ascii="仿宋" w:hAnsi="仿宋" w:eastAsia="仿宋"/>
          <w:color w:val="auto"/>
          <w:highlight w:val="none"/>
        </w:rPr>
      </w:pPr>
      <w:r>
        <w:rPr>
          <w:rFonts w:hint="eastAsia" w:ascii="仿宋" w:hAnsi="仿宋" w:eastAsia="仿宋"/>
          <w:color w:val="auto"/>
          <w:highlight w:val="none"/>
        </w:rPr>
        <w:t>3）受众用户需求整理</w:t>
      </w:r>
    </w:p>
    <w:p>
      <w:pPr>
        <w:spacing w:line="360" w:lineRule="auto"/>
        <w:ind w:firstLine="420"/>
        <w:rPr>
          <w:rFonts w:ascii="仿宋" w:hAnsi="仿宋" w:eastAsia="仿宋"/>
          <w:color w:val="auto"/>
          <w:highlight w:val="none"/>
        </w:rPr>
      </w:pPr>
      <w:r>
        <w:rPr>
          <w:rFonts w:hint="eastAsia" w:ascii="仿宋" w:hAnsi="仿宋" w:eastAsia="仿宋"/>
          <w:color w:val="auto"/>
          <w:highlight w:val="none"/>
        </w:rPr>
        <w:t>响应用户需求，协助用户修改配置个性化设置，包括接收发布渠道、时间、方式等的设置。</w:t>
      </w:r>
    </w:p>
    <w:p>
      <w:pPr>
        <w:spacing w:line="360" w:lineRule="auto"/>
        <w:ind w:firstLine="420" w:firstLineChars="200"/>
        <w:rPr>
          <w:rFonts w:ascii="仿宋" w:hAnsi="仿宋" w:eastAsia="仿宋"/>
          <w:color w:val="auto"/>
          <w:highlight w:val="none"/>
        </w:rPr>
      </w:pPr>
      <w:r>
        <w:rPr>
          <w:rFonts w:hint="eastAsia" w:ascii="仿宋" w:hAnsi="仿宋" w:eastAsia="仿宋"/>
          <w:color w:val="auto"/>
          <w:highlight w:val="none"/>
        </w:rPr>
        <w:t>4）POI联系人数据管理</w:t>
      </w:r>
    </w:p>
    <w:p>
      <w:pPr>
        <w:pStyle w:val="2"/>
        <w:ind w:firstLine="420" w:firstLineChars="200"/>
        <w:jc w:val="left"/>
        <w:rPr>
          <w:rFonts w:ascii="仿宋" w:hAnsi="仿宋" w:eastAsia="仿宋"/>
          <w:bCs w:val="0"/>
          <w:color w:val="auto"/>
          <w:kern w:val="0"/>
          <w:highlight w:val="none"/>
        </w:rPr>
      </w:pPr>
      <w:r>
        <w:rPr>
          <w:rFonts w:hint="eastAsia" w:ascii="仿宋" w:hAnsi="仿宋" w:eastAsia="仿宋"/>
          <w:bCs w:val="0"/>
          <w:color w:val="auto"/>
          <w:kern w:val="0"/>
          <w:highlight w:val="none"/>
        </w:rPr>
        <w:t>实时增量+每周全量方式采集POI数据中的责任人、联系人数据，纳入标签化用户的统一管理，支持对POI责任人数据采用标签形式画像和管理,提供接口供各渠道实现精准靶向发布。</w:t>
      </w:r>
    </w:p>
    <w:p>
      <w:pPr>
        <w:tabs>
          <w:tab w:val="left" w:pos="851"/>
          <w:tab w:val="left" w:pos="1280"/>
        </w:tabs>
        <w:spacing w:line="360" w:lineRule="auto"/>
        <w:ind w:firstLine="422" w:firstLineChars="200"/>
        <w:jc w:val="both"/>
        <w:outlineLvl w:val="2"/>
        <w:rPr>
          <w:rFonts w:ascii="仿宋" w:hAnsi="仿宋" w:eastAsia="仿宋"/>
          <w:b/>
          <w:bCs/>
          <w:color w:val="auto"/>
          <w:highlight w:val="none"/>
        </w:rPr>
      </w:pPr>
      <w:r>
        <w:rPr>
          <w:rFonts w:hint="eastAsia" w:ascii="仿宋" w:hAnsi="仿宋" w:eastAsia="仿宋"/>
          <w:b/>
          <w:bCs/>
          <w:color w:val="auto"/>
          <w:highlight w:val="none"/>
        </w:rPr>
        <w:t>（二）预警信息发布系统运营服务</w:t>
      </w:r>
    </w:p>
    <w:p>
      <w:pPr>
        <w:spacing w:line="360" w:lineRule="auto"/>
        <w:ind w:firstLine="420" w:firstLineChars="200"/>
        <w:outlineLvl w:val="3"/>
        <w:rPr>
          <w:rFonts w:ascii="仿宋" w:hAnsi="仿宋" w:eastAsia="仿宋"/>
          <w:color w:val="auto"/>
          <w:highlight w:val="none"/>
        </w:rPr>
      </w:pPr>
      <w:r>
        <w:rPr>
          <w:rFonts w:hint="eastAsia" w:ascii="仿宋" w:hAnsi="仿宋" w:eastAsia="仿宋"/>
          <w:color w:val="auto"/>
          <w:highlight w:val="none"/>
        </w:rPr>
        <w:t>（1）系统外部接口监控</w:t>
      </w:r>
    </w:p>
    <w:p>
      <w:pPr>
        <w:spacing w:line="360" w:lineRule="auto"/>
        <w:ind w:firstLine="420" w:firstLineChars="200"/>
        <w:rPr>
          <w:rFonts w:ascii="仿宋" w:hAnsi="仿宋" w:eastAsia="仿宋"/>
          <w:color w:val="auto"/>
          <w:highlight w:val="none"/>
        </w:rPr>
      </w:pPr>
      <w:r>
        <w:rPr>
          <w:rFonts w:hint="eastAsia" w:ascii="仿宋" w:hAnsi="仿宋" w:eastAsia="仿宋"/>
          <w:color w:val="auto"/>
          <w:highlight w:val="none"/>
        </w:rPr>
        <w:t>监控与外部系统对接接口的运行情况，包括设备、网络、软件三方面，及时发现故障并与相关部门联系，接受对接系统的报障和意见，并参与、跟进故障排除。常态化监控各网络联通情况、对接接口运行状态和预警信息发布情况；根据报警/报障不定时检查、调试。</w:t>
      </w:r>
    </w:p>
    <w:p>
      <w:pPr>
        <w:spacing w:line="360" w:lineRule="auto"/>
        <w:ind w:firstLine="420" w:firstLineChars="200"/>
        <w:rPr>
          <w:rFonts w:ascii="仿宋" w:hAnsi="仿宋" w:eastAsia="仿宋"/>
          <w:color w:val="auto"/>
          <w:highlight w:val="none"/>
        </w:rPr>
      </w:pPr>
      <w:r>
        <w:rPr>
          <w:rFonts w:hint="eastAsia" w:ascii="仿宋" w:hAnsi="仿宋" w:eastAsia="仿宋"/>
          <w:color w:val="auto"/>
          <w:highlight w:val="none"/>
        </w:rPr>
        <w:t>针对各种突发的棘手故障情况，进行快速响应和故障排除，保证预警信息顺畅发出。事后对故障原因进行深度分析，发现存在问题，提出改进意见，进行漏洞补救等。</w:t>
      </w:r>
    </w:p>
    <w:p>
      <w:pPr>
        <w:spacing w:line="360" w:lineRule="auto"/>
        <w:ind w:firstLine="420" w:firstLineChars="200"/>
        <w:outlineLvl w:val="3"/>
        <w:rPr>
          <w:rFonts w:ascii="仿宋" w:hAnsi="仿宋" w:eastAsia="仿宋"/>
          <w:color w:val="auto"/>
          <w:highlight w:val="none"/>
        </w:rPr>
      </w:pPr>
      <w:r>
        <w:rPr>
          <w:rFonts w:hint="eastAsia" w:ascii="仿宋" w:hAnsi="仿宋" w:eastAsia="仿宋"/>
          <w:color w:val="auto"/>
          <w:highlight w:val="none"/>
        </w:rPr>
        <w:t>（2）系统健康评估</w:t>
      </w:r>
    </w:p>
    <w:p>
      <w:pPr>
        <w:spacing w:line="360" w:lineRule="auto"/>
        <w:ind w:firstLine="420" w:firstLineChars="200"/>
        <w:rPr>
          <w:rFonts w:ascii="仿宋" w:hAnsi="仿宋" w:eastAsia="仿宋"/>
          <w:color w:val="auto"/>
          <w:highlight w:val="none"/>
        </w:rPr>
      </w:pPr>
      <w:r>
        <w:rPr>
          <w:rFonts w:hint="eastAsia" w:ascii="仿宋" w:hAnsi="仿宋" w:eastAsia="仿宋"/>
          <w:color w:val="auto"/>
          <w:highlight w:val="none"/>
        </w:rPr>
        <w:t>根据采集到的系统软硬件监控日志和运行情况，分析系统的健康状况，评估可能发生的故障风险，及应对意见等。</w:t>
      </w:r>
    </w:p>
    <w:p>
      <w:pPr>
        <w:spacing w:line="360" w:lineRule="auto"/>
        <w:ind w:firstLine="420" w:firstLineChars="200"/>
        <w:outlineLvl w:val="3"/>
        <w:rPr>
          <w:rFonts w:ascii="仿宋" w:hAnsi="仿宋" w:eastAsia="仿宋"/>
          <w:color w:val="auto"/>
          <w:highlight w:val="none"/>
        </w:rPr>
      </w:pPr>
      <w:r>
        <w:rPr>
          <w:rFonts w:hint="eastAsia" w:ascii="仿宋" w:hAnsi="仿宋" w:eastAsia="仿宋"/>
          <w:color w:val="auto"/>
          <w:highlight w:val="none"/>
        </w:rPr>
        <w:t>（3）预警信息发布模板的制作与审核</w:t>
      </w:r>
    </w:p>
    <w:p>
      <w:pPr>
        <w:spacing w:line="360" w:lineRule="auto"/>
        <w:ind w:firstLine="420" w:firstLineChars="200"/>
        <w:rPr>
          <w:rFonts w:ascii="仿宋" w:hAnsi="仿宋" w:eastAsia="仿宋"/>
          <w:color w:val="auto"/>
          <w:highlight w:val="none"/>
        </w:rPr>
      </w:pPr>
      <w:r>
        <w:rPr>
          <w:rFonts w:hint="eastAsia" w:ascii="仿宋" w:hAnsi="仿宋" w:eastAsia="仿宋"/>
          <w:color w:val="auto"/>
          <w:highlight w:val="none"/>
        </w:rPr>
        <w:t>定时对预警信息发布模板的修改/新增请求进行审核，主要是对其内容通配模板、发布及审批流程、所选渠道适应性等进行审核；必要时（如新增发布渠道时），对所有信息模板进行统一制作、修改；不定期调整默认模板的内容等。</w:t>
      </w:r>
    </w:p>
    <w:p>
      <w:pPr>
        <w:spacing w:line="360" w:lineRule="auto"/>
        <w:ind w:firstLine="420" w:firstLineChars="200"/>
        <w:outlineLvl w:val="3"/>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4</w:t>
      </w:r>
      <w:r>
        <w:rPr>
          <w:rFonts w:hint="eastAsia" w:ascii="仿宋" w:hAnsi="仿宋" w:eastAsia="仿宋"/>
          <w:color w:val="auto"/>
          <w:highlight w:val="none"/>
        </w:rPr>
        <w:t>）预警信息发布责任单位信息维护与管理</w:t>
      </w:r>
    </w:p>
    <w:p>
      <w:pPr>
        <w:spacing w:line="360" w:lineRule="auto"/>
        <w:ind w:firstLine="420" w:firstLineChars="200"/>
        <w:rPr>
          <w:rFonts w:ascii="仿宋" w:hAnsi="仿宋" w:eastAsia="仿宋"/>
          <w:color w:val="auto"/>
          <w:highlight w:val="none"/>
        </w:rPr>
      </w:pPr>
      <w:r>
        <w:rPr>
          <w:rFonts w:hint="eastAsia" w:ascii="仿宋" w:hAnsi="仿宋" w:eastAsia="仿宋"/>
          <w:color w:val="auto"/>
          <w:highlight w:val="none"/>
        </w:rPr>
        <w:t>每个工作日定时处理各地对预警信息发布责任单位的信息提出的增、删、改等请求，以及管理员账号和其他账号的相应操作和用户密码的重置等。</w:t>
      </w:r>
    </w:p>
    <w:p>
      <w:pPr>
        <w:spacing w:line="360" w:lineRule="auto"/>
        <w:ind w:firstLine="420" w:firstLineChars="200"/>
        <w:outlineLvl w:val="3"/>
        <w:rPr>
          <w:rFonts w:ascii="仿宋" w:hAnsi="仿宋" w:eastAsia="仿宋"/>
          <w:color w:val="auto"/>
          <w:highlight w:val="none"/>
        </w:rPr>
      </w:pPr>
      <w:r>
        <w:rPr>
          <w:rFonts w:hint="eastAsia" w:ascii="仿宋" w:hAnsi="仿宋" w:eastAsia="仿宋"/>
          <w:color w:val="auto"/>
          <w:highlight w:val="none"/>
        </w:rPr>
        <w:t>（5）预警类型配置管理</w:t>
      </w:r>
    </w:p>
    <w:p>
      <w:pPr>
        <w:spacing w:line="360" w:lineRule="auto"/>
        <w:ind w:firstLine="420" w:firstLineChars="200"/>
        <w:rPr>
          <w:rFonts w:ascii="仿宋" w:hAnsi="仿宋" w:eastAsia="仿宋"/>
          <w:color w:val="auto"/>
          <w:highlight w:val="none"/>
        </w:rPr>
      </w:pPr>
      <w:r>
        <w:rPr>
          <w:rFonts w:hint="eastAsia" w:ascii="仿宋" w:hAnsi="仿宋" w:eastAsia="仿宋"/>
          <w:color w:val="auto"/>
          <w:highlight w:val="none"/>
        </w:rPr>
        <w:t>对新增预警类型的请求进行审批并设置代码，每工作日收集申请，每周整理、审批、设置代码、分配给申请单位、报备中国局，每个月根据历史灾害发生情况统计和灾害形成机理分析，对本月份不可能发生的预警类型进行调整。</w:t>
      </w:r>
    </w:p>
    <w:p>
      <w:pPr>
        <w:spacing w:line="360" w:lineRule="auto"/>
        <w:ind w:firstLine="420" w:firstLineChars="200"/>
        <w:outlineLvl w:val="3"/>
        <w:rPr>
          <w:rFonts w:ascii="仿宋" w:hAnsi="仿宋" w:eastAsia="仿宋"/>
          <w:color w:val="auto"/>
          <w:highlight w:val="none"/>
        </w:rPr>
      </w:pPr>
      <w:r>
        <w:rPr>
          <w:rFonts w:hint="eastAsia" w:ascii="仿宋" w:hAnsi="仿宋" w:eastAsia="仿宋"/>
          <w:color w:val="auto"/>
          <w:highlight w:val="none"/>
        </w:rPr>
        <w:t>（6）系统用户角色及权限配置管理</w:t>
      </w:r>
    </w:p>
    <w:p>
      <w:pPr>
        <w:spacing w:line="360" w:lineRule="auto"/>
        <w:ind w:firstLine="420" w:firstLineChars="200"/>
        <w:rPr>
          <w:rFonts w:ascii="仿宋" w:hAnsi="仿宋" w:eastAsia="仿宋"/>
          <w:color w:val="auto"/>
          <w:highlight w:val="none"/>
        </w:rPr>
      </w:pPr>
      <w:r>
        <w:rPr>
          <w:rFonts w:hint="eastAsia" w:ascii="仿宋" w:hAnsi="仿宋" w:eastAsia="仿宋"/>
          <w:color w:val="auto"/>
          <w:highlight w:val="none"/>
        </w:rPr>
        <w:t>根据业务需要，定期对系统中的用户角色进行维护，以及对不同角色的权限进行配置管理。每年组织1次全省需求收集、角色梳理和权限调整等。根据需求对应系统功能，分析角色设计和权限赋予方案，按照方案在测试系统中进行配置，必要时进行少量系统开发，测试、联调、割接上线。</w:t>
      </w:r>
    </w:p>
    <w:p>
      <w:pPr>
        <w:spacing w:line="360" w:lineRule="auto"/>
        <w:ind w:firstLine="420" w:firstLineChars="200"/>
        <w:outlineLvl w:val="3"/>
        <w:rPr>
          <w:rFonts w:ascii="仿宋" w:hAnsi="仿宋" w:eastAsia="仿宋"/>
          <w:color w:val="auto"/>
          <w:highlight w:val="none"/>
        </w:rPr>
      </w:pPr>
      <w:r>
        <w:rPr>
          <w:rFonts w:hint="eastAsia" w:ascii="仿宋" w:hAnsi="仿宋" w:eastAsia="仿宋"/>
          <w:color w:val="auto"/>
          <w:highlight w:val="none"/>
        </w:rPr>
        <w:t>（7）重大活动、应急演练支持</w:t>
      </w:r>
    </w:p>
    <w:p>
      <w:pPr>
        <w:spacing w:line="360" w:lineRule="auto"/>
        <w:ind w:firstLine="420" w:firstLineChars="200"/>
        <w:rPr>
          <w:rFonts w:ascii="仿宋" w:hAnsi="仿宋" w:eastAsia="仿宋"/>
          <w:color w:val="auto"/>
          <w:highlight w:val="none"/>
        </w:rPr>
      </w:pPr>
      <w:r>
        <w:rPr>
          <w:rFonts w:hint="eastAsia" w:ascii="仿宋" w:hAnsi="仿宋" w:eastAsia="仿宋"/>
          <w:color w:val="auto"/>
          <w:highlight w:val="none"/>
        </w:rPr>
        <w:t>对重大活动、参观和应急演练等提供脚本编制服务，组织人员、提供场地和设备进行练习和实际演练，对参观提供讲解和常规演示服务。</w:t>
      </w:r>
    </w:p>
    <w:p>
      <w:pPr>
        <w:spacing w:line="360" w:lineRule="auto"/>
        <w:ind w:firstLine="420" w:firstLineChars="200"/>
        <w:outlineLvl w:val="3"/>
        <w:rPr>
          <w:rFonts w:ascii="仿宋" w:hAnsi="仿宋" w:eastAsia="仿宋"/>
          <w:color w:val="auto"/>
          <w:highlight w:val="none"/>
        </w:rPr>
      </w:pPr>
      <w:r>
        <w:rPr>
          <w:rFonts w:hint="eastAsia" w:ascii="仿宋" w:hAnsi="仿宋" w:eastAsia="仿宋"/>
          <w:color w:val="auto"/>
          <w:highlight w:val="none"/>
        </w:rPr>
        <w:t>（8）全网短信发布支撑</w:t>
      </w:r>
    </w:p>
    <w:p>
      <w:pPr>
        <w:spacing w:line="360" w:lineRule="auto"/>
        <w:ind w:firstLine="420" w:firstLineChars="200"/>
        <w:rPr>
          <w:rFonts w:ascii="仿宋" w:hAnsi="仿宋" w:eastAsia="仿宋"/>
          <w:color w:val="auto"/>
          <w:highlight w:val="none"/>
        </w:rPr>
      </w:pPr>
      <w:r>
        <w:rPr>
          <w:rFonts w:hint="eastAsia" w:ascii="仿宋" w:hAnsi="仿宋" w:eastAsia="仿宋"/>
          <w:color w:val="auto"/>
          <w:highlight w:val="none"/>
        </w:rPr>
        <w:t>联系三大运营商发布全网短信，并通过网站、微博、微信、客户端、户外显示屏大喇叭等渠道向公众发布。发布前，对接短信的申请发布单位，以及三大运营商，发布时，统筹协调全网短信发布的各个业务环节，发布完成后，收集发布数据，进行统计、汇报、归档，制作总结报告等。</w:t>
      </w:r>
    </w:p>
    <w:p>
      <w:pPr>
        <w:spacing w:line="360" w:lineRule="auto"/>
        <w:ind w:firstLine="420" w:firstLineChars="200"/>
        <w:outlineLvl w:val="3"/>
        <w:rPr>
          <w:rFonts w:ascii="仿宋" w:hAnsi="仿宋" w:eastAsia="仿宋"/>
          <w:color w:val="auto"/>
          <w:highlight w:val="none"/>
        </w:rPr>
      </w:pPr>
      <w:r>
        <w:rPr>
          <w:rFonts w:hint="eastAsia" w:ascii="仿宋" w:hAnsi="仿宋" w:eastAsia="仿宋"/>
          <w:color w:val="auto"/>
          <w:highlight w:val="none"/>
        </w:rPr>
        <w:t>（9）发布渠道及舆情监控</w:t>
      </w:r>
    </w:p>
    <w:p>
      <w:pPr>
        <w:spacing w:line="360" w:lineRule="auto"/>
        <w:ind w:firstLine="420" w:firstLineChars="200"/>
        <w:rPr>
          <w:color w:val="auto"/>
          <w:highlight w:val="none"/>
        </w:rPr>
      </w:pPr>
      <w:r>
        <w:rPr>
          <w:rFonts w:ascii="仿宋" w:hAnsi="仿宋" w:eastAsia="仿宋"/>
          <w:color w:val="auto"/>
          <w:highlight w:val="none"/>
        </w:rPr>
        <w:t>通过PC和手机实时监控系统网络状态和渠道的信息发布情况、每小时巡查所有渠道在线状态；接听热线电话，关注微博、微信上的粉丝留言，响应舆情公众投诉和意见，并将投诉内容和意见进行反馈、跟进直至问题解决；发现系统问题和错误，并发起任务跟踪工单，反馈处理意见等。</w:t>
      </w:r>
      <w:r>
        <w:rPr>
          <w:rFonts w:hint="eastAsia" w:ascii="仿宋" w:hAnsi="仿宋" w:eastAsia="仿宋"/>
          <w:color w:val="auto"/>
          <w:highlight w:val="none"/>
        </w:rPr>
        <w:t>人员需求：计算机、软件、电子、通信类专业大专以上学历，熟悉突发系统及渠道运行原理、机制和相关操作；根据业务要求，能完成简单的报表制作、工作总结和手册编写。专岗提供7*24小时服务，3班倒5班配。</w:t>
      </w:r>
    </w:p>
    <w:p>
      <w:pPr>
        <w:tabs>
          <w:tab w:val="left" w:pos="851"/>
          <w:tab w:val="left" w:pos="1280"/>
        </w:tabs>
        <w:spacing w:line="360" w:lineRule="auto"/>
        <w:ind w:firstLine="422" w:firstLineChars="200"/>
        <w:jc w:val="both"/>
        <w:outlineLvl w:val="2"/>
        <w:rPr>
          <w:rFonts w:ascii="仿宋" w:hAnsi="仿宋" w:eastAsia="仿宋"/>
          <w:b/>
          <w:bCs/>
          <w:color w:val="auto"/>
          <w:highlight w:val="none"/>
        </w:rPr>
      </w:pPr>
      <w:r>
        <w:rPr>
          <w:rFonts w:hint="eastAsia" w:ascii="仿宋" w:hAnsi="仿宋" w:eastAsia="仿宋"/>
          <w:b/>
          <w:bCs/>
          <w:color w:val="auto"/>
          <w:highlight w:val="none"/>
        </w:rPr>
        <w:t>（三）报灾系统运营服务</w:t>
      </w:r>
    </w:p>
    <w:p>
      <w:pPr>
        <w:spacing w:line="360" w:lineRule="auto"/>
        <w:ind w:firstLine="420" w:firstLineChars="200"/>
        <w:outlineLvl w:val="3"/>
        <w:rPr>
          <w:rFonts w:ascii="仿宋" w:hAnsi="仿宋" w:eastAsia="仿宋" w:cs="宋体"/>
          <w:color w:val="auto"/>
          <w:kern w:val="2"/>
          <w:highlight w:val="none"/>
        </w:rPr>
      </w:pPr>
      <w:r>
        <w:rPr>
          <w:rFonts w:hint="eastAsia" w:ascii="仿宋" w:hAnsi="仿宋" w:eastAsia="仿宋"/>
          <w:color w:val="auto"/>
          <w:highlight w:val="none"/>
        </w:rPr>
        <w:t>（</w:t>
      </w:r>
      <w:r>
        <w:rPr>
          <w:rFonts w:ascii="仿宋" w:hAnsi="仿宋" w:eastAsia="仿宋"/>
          <w:color w:val="auto"/>
          <w:highlight w:val="none"/>
        </w:rPr>
        <w:t>1</w:t>
      </w:r>
      <w:r>
        <w:rPr>
          <w:rFonts w:hint="eastAsia" w:ascii="仿宋" w:hAnsi="仿宋" w:eastAsia="仿宋"/>
          <w:color w:val="auto"/>
          <w:highlight w:val="none"/>
        </w:rPr>
        <w:t>）</w:t>
      </w:r>
      <w:r>
        <w:rPr>
          <w:rFonts w:ascii="仿宋" w:hAnsi="仿宋" w:eastAsia="仿宋" w:cs="宋体"/>
          <w:color w:val="auto"/>
          <w:kern w:val="2"/>
          <w:highlight w:val="none"/>
        </w:rPr>
        <w:t>灾情实况数据审核</w:t>
      </w:r>
    </w:p>
    <w:p>
      <w:pPr>
        <w:autoSpaceDE/>
        <w:autoSpaceDN/>
        <w:adjustRightInd/>
        <w:spacing w:line="360" w:lineRule="auto"/>
        <w:ind w:firstLine="420" w:firstLineChars="200"/>
        <w:jc w:val="both"/>
        <w:rPr>
          <w:rFonts w:ascii="仿宋" w:hAnsi="仿宋" w:eastAsia="仿宋" w:cs="宋体"/>
          <w:color w:val="auto"/>
          <w:kern w:val="2"/>
          <w:highlight w:val="none"/>
        </w:rPr>
      </w:pPr>
      <w:r>
        <w:rPr>
          <w:rFonts w:ascii="仿宋" w:hAnsi="仿宋" w:eastAsia="仿宋" w:cs="宋体"/>
          <w:color w:val="auto"/>
          <w:kern w:val="2"/>
          <w:highlight w:val="none"/>
        </w:rPr>
        <w:t>对各渠道上报的灾情实况进行人工审核，及时发现有重大影响的灾情。</w:t>
      </w:r>
      <w:r>
        <w:rPr>
          <w:rFonts w:hint="eastAsia" w:ascii="仿宋" w:hAnsi="仿宋" w:eastAsia="仿宋" w:cs="宋体"/>
          <w:color w:val="auto"/>
          <w:kern w:val="2"/>
          <w:highlight w:val="none"/>
        </w:rPr>
        <w:t>1个专岗2</w:t>
      </w:r>
      <w:r>
        <w:rPr>
          <w:rFonts w:ascii="仿宋" w:hAnsi="仿宋" w:eastAsia="仿宋" w:cs="宋体"/>
          <w:color w:val="auto"/>
          <w:kern w:val="2"/>
          <w:highlight w:val="none"/>
        </w:rPr>
        <w:t>4</w:t>
      </w:r>
      <w:r>
        <w:rPr>
          <w:rFonts w:hint="eastAsia" w:ascii="仿宋" w:hAnsi="仿宋" w:eastAsia="仿宋" w:cs="宋体"/>
          <w:color w:val="auto"/>
          <w:kern w:val="2"/>
          <w:highlight w:val="none"/>
        </w:rPr>
        <w:t>小时服务，</w:t>
      </w:r>
      <w:r>
        <w:rPr>
          <w:rFonts w:hint="eastAsia" w:ascii="仿宋" w:hAnsi="仿宋" w:eastAsia="仿宋"/>
          <w:color w:val="auto"/>
          <w:highlight w:val="none"/>
        </w:rPr>
        <w:t>3班倒5班配。</w:t>
      </w:r>
    </w:p>
    <w:p>
      <w:pPr>
        <w:spacing w:line="360" w:lineRule="auto"/>
        <w:ind w:firstLine="420" w:firstLineChars="200"/>
        <w:outlineLvl w:val="3"/>
        <w:rPr>
          <w:rFonts w:ascii="仿宋" w:hAnsi="仿宋" w:eastAsia="仿宋" w:cs="宋体"/>
          <w:color w:val="auto"/>
          <w:kern w:val="2"/>
          <w:highlight w:val="none"/>
        </w:rPr>
      </w:pPr>
      <w:r>
        <w:rPr>
          <w:rFonts w:hint="eastAsia" w:ascii="仿宋" w:hAnsi="仿宋" w:eastAsia="仿宋"/>
          <w:color w:val="auto"/>
          <w:highlight w:val="none"/>
        </w:rPr>
        <w:t>（</w:t>
      </w:r>
      <w:r>
        <w:rPr>
          <w:rFonts w:ascii="仿宋" w:hAnsi="仿宋" w:eastAsia="仿宋"/>
          <w:color w:val="auto"/>
          <w:highlight w:val="none"/>
        </w:rPr>
        <w:t>2</w:t>
      </w:r>
      <w:r>
        <w:rPr>
          <w:rFonts w:hint="eastAsia" w:ascii="仿宋" w:hAnsi="仿宋" w:eastAsia="仿宋"/>
          <w:color w:val="auto"/>
          <w:highlight w:val="none"/>
        </w:rPr>
        <w:t>）</w:t>
      </w:r>
      <w:r>
        <w:rPr>
          <w:rFonts w:ascii="仿宋" w:hAnsi="仿宋" w:eastAsia="仿宋" w:cs="宋体"/>
          <w:color w:val="auto"/>
          <w:kern w:val="2"/>
          <w:highlight w:val="none"/>
        </w:rPr>
        <w:t>灾情分析</w:t>
      </w:r>
    </w:p>
    <w:p>
      <w:pPr>
        <w:autoSpaceDE/>
        <w:autoSpaceDN/>
        <w:adjustRightInd/>
        <w:spacing w:line="360" w:lineRule="auto"/>
        <w:ind w:firstLine="420" w:firstLineChars="200"/>
        <w:jc w:val="both"/>
        <w:rPr>
          <w:rFonts w:ascii="仿宋" w:hAnsi="仿宋" w:eastAsia="仿宋" w:cs="宋体"/>
          <w:color w:val="auto"/>
          <w:kern w:val="2"/>
          <w:highlight w:val="none"/>
        </w:rPr>
      </w:pPr>
      <w:r>
        <w:rPr>
          <w:rFonts w:ascii="仿宋" w:hAnsi="仿宋" w:eastAsia="仿宋" w:cs="宋体"/>
          <w:color w:val="auto"/>
          <w:kern w:val="2"/>
          <w:highlight w:val="none"/>
        </w:rPr>
        <w:t>发现灾情后，结合天气实况和预报，进行有针对性地事件发展风险、影响和灾损分析，提出响应方案和辅助决策意见。</w:t>
      </w:r>
    </w:p>
    <w:p>
      <w:pPr>
        <w:spacing w:line="360" w:lineRule="auto"/>
        <w:ind w:firstLine="420" w:firstLineChars="200"/>
        <w:outlineLvl w:val="3"/>
        <w:rPr>
          <w:rFonts w:ascii="仿宋" w:hAnsi="仿宋" w:eastAsia="仿宋" w:cs="宋体"/>
          <w:color w:val="auto"/>
          <w:kern w:val="2"/>
          <w:highlight w:val="none"/>
        </w:rPr>
      </w:pPr>
      <w:r>
        <w:rPr>
          <w:rFonts w:hint="eastAsia" w:ascii="仿宋" w:hAnsi="仿宋" w:eastAsia="仿宋"/>
          <w:color w:val="auto"/>
          <w:highlight w:val="none"/>
        </w:rPr>
        <w:t>（</w:t>
      </w:r>
      <w:r>
        <w:rPr>
          <w:rFonts w:ascii="仿宋" w:hAnsi="仿宋" w:eastAsia="仿宋"/>
          <w:color w:val="auto"/>
          <w:highlight w:val="none"/>
        </w:rPr>
        <w:t>3</w:t>
      </w:r>
      <w:r>
        <w:rPr>
          <w:rFonts w:hint="eastAsia" w:ascii="仿宋" w:hAnsi="仿宋" w:eastAsia="仿宋"/>
          <w:color w:val="auto"/>
          <w:highlight w:val="none"/>
        </w:rPr>
        <w:t>）</w:t>
      </w:r>
      <w:r>
        <w:rPr>
          <w:rFonts w:ascii="仿宋" w:hAnsi="仿宋" w:eastAsia="仿宋" w:cs="宋体"/>
          <w:color w:val="auto"/>
          <w:kern w:val="2"/>
          <w:highlight w:val="none"/>
        </w:rPr>
        <w:t>灾情报告制作</w:t>
      </w:r>
    </w:p>
    <w:p>
      <w:pPr>
        <w:autoSpaceDE/>
        <w:autoSpaceDN/>
        <w:adjustRightInd/>
        <w:spacing w:line="360" w:lineRule="auto"/>
        <w:ind w:firstLine="420" w:firstLineChars="200"/>
        <w:jc w:val="both"/>
        <w:rPr>
          <w:rFonts w:ascii="仿宋" w:hAnsi="仿宋" w:eastAsia="仿宋" w:cs="宋体"/>
          <w:color w:val="auto"/>
          <w:kern w:val="2"/>
          <w:highlight w:val="none"/>
        </w:rPr>
      </w:pPr>
      <w:r>
        <w:rPr>
          <w:rFonts w:ascii="仿宋" w:hAnsi="仿宋" w:eastAsia="仿宋" w:cs="宋体"/>
          <w:color w:val="auto"/>
          <w:kern w:val="2"/>
          <w:highlight w:val="none"/>
        </w:rPr>
        <w:t>在突发事件处置完成后，收集整理响应过程的各类数据，制作灾情报告。</w:t>
      </w:r>
    </w:p>
    <w:p>
      <w:pPr>
        <w:spacing w:line="360" w:lineRule="auto"/>
        <w:ind w:firstLine="420" w:firstLineChars="200"/>
        <w:outlineLvl w:val="3"/>
        <w:rPr>
          <w:rFonts w:ascii="仿宋" w:hAnsi="仿宋" w:eastAsia="仿宋" w:cs="宋体"/>
          <w:color w:val="auto"/>
          <w:kern w:val="2"/>
          <w:highlight w:val="none"/>
        </w:rPr>
      </w:pPr>
      <w:r>
        <w:rPr>
          <w:rFonts w:hint="eastAsia" w:ascii="仿宋" w:hAnsi="仿宋" w:eastAsia="仿宋"/>
          <w:color w:val="auto"/>
          <w:highlight w:val="none"/>
        </w:rPr>
        <w:t>（</w:t>
      </w:r>
      <w:r>
        <w:rPr>
          <w:rFonts w:ascii="仿宋" w:hAnsi="仿宋" w:eastAsia="仿宋"/>
          <w:color w:val="auto"/>
          <w:highlight w:val="none"/>
        </w:rPr>
        <w:t>4</w:t>
      </w:r>
      <w:r>
        <w:rPr>
          <w:rFonts w:hint="eastAsia" w:ascii="仿宋" w:hAnsi="仿宋" w:eastAsia="仿宋"/>
          <w:color w:val="auto"/>
          <w:highlight w:val="none"/>
        </w:rPr>
        <w:t>）</w:t>
      </w:r>
      <w:r>
        <w:rPr>
          <w:rFonts w:ascii="仿宋" w:hAnsi="仿宋" w:eastAsia="仿宋" w:cs="宋体"/>
          <w:color w:val="auto"/>
          <w:kern w:val="2"/>
          <w:highlight w:val="none"/>
        </w:rPr>
        <w:t>灾情数据及报告上报服务</w:t>
      </w:r>
    </w:p>
    <w:p>
      <w:pPr>
        <w:autoSpaceDE/>
        <w:autoSpaceDN/>
        <w:adjustRightInd/>
        <w:spacing w:line="360" w:lineRule="auto"/>
        <w:ind w:firstLine="420" w:firstLineChars="200"/>
        <w:jc w:val="both"/>
        <w:rPr>
          <w:rFonts w:ascii="仿宋" w:hAnsi="仿宋" w:eastAsia="仿宋" w:cs="宋体"/>
          <w:color w:val="auto"/>
          <w:kern w:val="2"/>
          <w:highlight w:val="none"/>
        </w:rPr>
      </w:pPr>
      <w:r>
        <w:rPr>
          <w:rFonts w:ascii="仿宋" w:hAnsi="仿宋" w:eastAsia="仿宋" w:cs="宋体"/>
          <w:color w:val="auto"/>
          <w:kern w:val="2"/>
          <w:highlight w:val="none"/>
        </w:rPr>
        <w:t>对接上级部门及相关单位，充分沟通理解提取数据的用途和要求，针对要求提取典型数据，开展分析，得出结论，提交并根据反馈意见进行补充或修正。</w:t>
      </w:r>
    </w:p>
    <w:p>
      <w:pPr>
        <w:pStyle w:val="28"/>
        <w:rPr>
          <w:rFonts w:ascii="仿宋" w:hAnsi="仿宋" w:eastAsia="仿宋" w:cs="宋体"/>
          <w:color w:val="auto"/>
          <w:sz w:val="24"/>
          <w:szCs w:val="24"/>
          <w:highlight w:val="none"/>
        </w:rPr>
      </w:pPr>
    </w:p>
    <w:p>
      <w:pPr>
        <w:autoSpaceDE/>
        <w:autoSpaceDN/>
        <w:spacing w:line="360" w:lineRule="auto"/>
        <w:jc w:val="both"/>
        <w:outlineLvl w:val="0"/>
        <w:rPr>
          <w:rFonts w:ascii="仿宋" w:hAnsi="仿宋" w:eastAsia="仿宋" w:cs="宋体"/>
          <w:b/>
          <w:bCs/>
          <w:color w:val="auto"/>
          <w:kern w:val="2"/>
          <w:highlight w:val="none"/>
        </w:rPr>
      </w:pPr>
      <w:r>
        <w:rPr>
          <w:rFonts w:hint="eastAsia" w:ascii="仿宋" w:hAnsi="仿宋" w:eastAsia="仿宋" w:cs="宋体"/>
          <w:b/>
          <w:bCs/>
          <w:color w:val="auto"/>
          <w:kern w:val="2"/>
          <w:highlight w:val="none"/>
        </w:rPr>
        <w:t>三、</w:t>
      </w:r>
      <w:bookmarkStart w:id="18" w:name="_Toc50106353"/>
      <w:r>
        <w:rPr>
          <w:rFonts w:hint="eastAsia" w:ascii="仿宋" w:hAnsi="仿宋" w:eastAsia="仿宋" w:cs="宋体"/>
          <w:b/>
          <w:bCs/>
          <w:color w:val="auto"/>
          <w:kern w:val="2"/>
          <w:highlight w:val="none"/>
        </w:rPr>
        <w:t>进度要求</w:t>
      </w:r>
      <w:bookmarkEnd w:id="18"/>
    </w:p>
    <w:p>
      <w:pPr>
        <w:snapToGrid w:val="0"/>
        <w:spacing w:line="360" w:lineRule="auto"/>
        <w:ind w:firstLine="420" w:firstLineChars="200"/>
        <w:rPr>
          <w:rFonts w:ascii="仿宋" w:hAnsi="仿宋" w:eastAsia="仿宋"/>
          <w:color w:val="auto"/>
          <w:highlight w:val="none"/>
        </w:rPr>
      </w:pPr>
      <w:bookmarkStart w:id="19" w:name="_Hlk127174377"/>
      <w:r>
        <w:rPr>
          <w:rFonts w:hint="eastAsia" w:ascii="仿宋" w:hAnsi="仿宋" w:eastAsia="仿宋"/>
          <w:color w:val="auto"/>
          <w:highlight w:val="none"/>
        </w:rPr>
        <w:t>本项目</w:t>
      </w:r>
      <w:r>
        <w:rPr>
          <w:rFonts w:ascii="仿宋" w:hAnsi="仿宋" w:eastAsia="仿宋"/>
          <w:color w:val="auto"/>
          <w:highlight w:val="none"/>
        </w:rPr>
        <w:t>各阶段任务</w:t>
      </w:r>
      <w:r>
        <w:rPr>
          <w:rFonts w:hint="eastAsia" w:ascii="仿宋" w:hAnsi="仿宋" w:eastAsia="仿宋"/>
          <w:color w:val="auto"/>
          <w:highlight w:val="none"/>
        </w:rPr>
        <w:t>整体</w:t>
      </w:r>
      <w:r>
        <w:rPr>
          <w:rFonts w:ascii="仿宋" w:hAnsi="仿宋" w:eastAsia="仿宋"/>
          <w:color w:val="auto"/>
          <w:highlight w:val="none"/>
        </w:rPr>
        <w:t>进度初步分解如下（具体进度计划将与最终中标人进行协商调整）：</w:t>
      </w:r>
    </w:p>
    <w:p>
      <w:pPr>
        <w:snapToGrid w:val="0"/>
        <w:spacing w:line="360" w:lineRule="auto"/>
        <w:ind w:firstLine="420" w:firstLineChars="200"/>
        <w:rPr>
          <w:rFonts w:ascii="仿宋" w:hAnsi="仿宋" w:eastAsia="仿宋"/>
          <w:color w:val="auto"/>
          <w:highlight w:val="none"/>
        </w:rPr>
      </w:pPr>
      <w:r>
        <w:rPr>
          <w:rFonts w:hint="eastAsia" w:ascii="仿宋" w:hAnsi="仿宋" w:eastAsia="仿宋"/>
          <w:color w:val="auto"/>
          <w:highlight w:val="none"/>
        </w:rPr>
        <w:t>（1）在采购代理机构发出中标通知书之日起的30个工作日内，采购人和中标人签订合同，项目启动。</w:t>
      </w:r>
    </w:p>
    <w:p>
      <w:pPr>
        <w:snapToGrid w:val="0"/>
        <w:spacing w:line="360" w:lineRule="auto"/>
        <w:ind w:firstLine="420" w:firstLineChars="200"/>
        <w:rPr>
          <w:rFonts w:ascii="仿宋" w:hAnsi="仿宋" w:eastAsia="仿宋"/>
          <w:color w:val="auto"/>
          <w:highlight w:val="none"/>
        </w:rPr>
      </w:pPr>
      <w:r>
        <w:rPr>
          <w:rFonts w:hint="eastAsia" w:ascii="仿宋" w:hAnsi="仿宋" w:eastAsia="仿宋"/>
          <w:color w:val="auto"/>
          <w:highlight w:val="none"/>
        </w:rPr>
        <w:t>（2）开展为期一年期的报灾系统运营服务和三年期的预警信息采集、发布与质控和预警信息发布系统运营服务，在每一个运营服务年度结束时，组织对指定运营服务的质量评估；运营服务到期后开展验收。</w:t>
      </w:r>
    </w:p>
    <w:p>
      <w:pPr>
        <w:snapToGrid w:val="0"/>
        <w:spacing w:line="360" w:lineRule="auto"/>
        <w:ind w:firstLine="420" w:firstLineChars="200"/>
        <w:rPr>
          <w:rFonts w:ascii="仿宋" w:hAnsi="仿宋" w:eastAsia="仿宋"/>
          <w:color w:val="auto"/>
          <w:highlight w:val="none"/>
        </w:rPr>
      </w:pPr>
      <w:r>
        <w:rPr>
          <w:rFonts w:hint="eastAsia" w:ascii="仿宋" w:hAnsi="仿宋" w:eastAsia="仿宋"/>
          <w:color w:val="auto"/>
          <w:highlight w:val="none"/>
        </w:rPr>
        <w:t>（3）项目完成结算后申请最终支付。</w:t>
      </w:r>
    </w:p>
    <w:bookmarkEnd w:id="19"/>
    <w:p>
      <w:pPr>
        <w:rPr>
          <w:rFonts w:ascii="仿宋" w:hAnsi="仿宋" w:eastAsia="仿宋"/>
          <w:color w:val="auto"/>
          <w:highlight w:val="none"/>
        </w:rPr>
      </w:pPr>
    </w:p>
    <w:p>
      <w:pPr>
        <w:snapToGrid w:val="0"/>
        <w:spacing w:line="360" w:lineRule="auto"/>
        <w:outlineLvl w:val="0"/>
        <w:rPr>
          <w:rFonts w:ascii="仿宋" w:hAnsi="仿宋" w:eastAsia="仿宋"/>
          <w:b/>
          <w:color w:val="auto"/>
          <w:highlight w:val="none"/>
        </w:rPr>
      </w:pPr>
      <w:bookmarkStart w:id="20" w:name="_Toc50106354"/>
      <w:r>
        <w:rPr>
          <w:rFonts w:hint="eastAsia" w:ascii="仿宋" w:hAnsi="仿宋" w:eastAsia="仿宋"/>
          <w:b/>
          <w:color w:val="auto"/>
          <w:highlight w:val="none"/>
        </w:rPr>
        <w:t>四、实施要求</w:t>
      </w:r>
      <w:bookmarkEnd w:id="20"/>
    </w:p>
    <w:p>
      <w:pPr>
        <w:snapToGrid w:val="0"/>
        <w:spacing w:line="360" w:lineRule="auto"/>
        <w:ind w:firstLine="420" w:firstLineChars="200"/>
        <w:rPr>
          <w:rFonts w:ascii="仿宋" w:hAnsi="仿宋" w:eastAsia="仿宋"/>
          <w:color w:val="auto"/>
          <w:highlight w:val="none"/>
        </w:rPr>
      </w:pPr>
      <w:bookmarkStart w:id="21" w:name="_Hlk127174205"/>
      <w:r>
        <w:rPr>
          <w:rFonts w:hint="eastAsia" w:ascii="仿宋" w:hAnsi="仿宋" w:eastAsia="仿宋"/>
          <w:color w:val="auto"/>
          <w:highlight w:val="none"/>
        </w:rPr>
        <w:t>1.项目整体要求：</w:t>
      </w:r>
    </w:p>
    <w:p>
      <w:pPr>
        <w:snapToGrid w:val="0"/>
        <w:spacing w:line="360" w:lineRule="auto"/>
        <w:ind w:firstLine="420" w:firstLineChars="200"/>
        <w:rPr>
          <w:rFonts w:ascii="仿宋" w:hAnsi="仿宋" w:eastAsia="仿宋"/>
          <w:color w:val="auto"/>
          <w:highlight w:val="none"/>
        </w:rPr>
      </w:pPr>
      <w:r>
        <w:rPr>
          <w:rFonts w:ascii="仿宋" w:hAnsi="仿宋" w:eastAsia="仿宋"/>
          <w:color w:val="auto"/>
          <w:highlight w:val="none"/>
        </w:rPr>
        <w:t>为有效进行资源控制、进度控制、质量控制，确保项目工程顺利实施，项目组织管理由</w:t>
      </w:r>
      <w:r>
        <w:rPr>
          <w:rFonts w:hint="eastAsia" w:ascii="仿宋" w:hAnsi="仿宋" w:eastAsia="仿宋"/>
          <w:color w:val="auto"/>
          <w:highlight w:val="none"/>
        </w:rPr>
        <w:t>采购人</w:t>
      </w:r>
      <w:r>
        <w:rPr>
          <w:rFonts w:ascii="仿宋" w:hAnsi="仿宋" w:eastAsia="仿宋"/>
          <w:color w:val="auto"/>
          <w:highlight w:val="none"/>
        </w:rPr>
        <w:t>和中标</w:t>
      </w:r>
      <w:r>
        <w:rPr>
          <w:rFonts w:hint="eastAsia" w:ascii="仿宋" w:hAnsi="仿宋" w:eastAsia="仿宋"/>
          <w:color w:val="auto"/>
          <w:highlight w:val="none"/>
        </w:rPr>
        <w:t>人</w:t>
      </w:r>
      <w:r>
        <w:rPr>
          <w:rFonts w:ascii="仿宋" w:hAnsi="仿宋" w:eastAsia="仿宋"/>
          <w:color w:val="auto"/>
          <w:highlight w:val="none"/>
        </w:rPr>
        <w:t>共同组成，明确各方分工，按照项目管理的原则进行实施，建立一套科学、系统、规范和有效的运作制度，例如会议制度、沟通协调。</w:t>
      </w:r>
    </w:p>
    <w:p>
      <w:pPr>
        <w:snapToGrid w:val="0"/>
        <w:spacing w:line="360" w:lineRule="auto"/>
        <w:ind w:firstLine="420" w:firstLineChars="200"/>
        <w:rPr>
          <w:rFonts w:ascii="仿宋" w:hAnsi="仿宋" w:eastAsia="仿宋"/>
          <w:color w:val="auto"/>
          <w:highlight w:val="none"/>
        </w:rPr>
      </w:pPr>
      <w:r>
        <w:rPr>
          <w:rFonts w:ascii="仿宋" w:hAnsi="仿宋" w:eastAsia="仿宋"/>
          <w:color w:val="auto"/>
          <w:highlight w:val="none"/>
        </w:rPr>
        <w:t>项目组织实施中，详细描述组织管理、工作进度管理、人员配置、质量控制、保证措施等内容。</w:t>
      </w:r>
    </w:p>
    <w:p>
      <w:pPr>
        <w:snapToGrid w:val="0"/>
        <w:spacing w:line="360" w:lineRule="auto"/>
        <w:ind w:firstLine="420" w:firstLineChars="200"/>
        <w:rPr>
          <w:rFonts w:ascii="仿宋" w:hAnsi="仿宋" w:eastAsia="仿宋"/>
          <w:color w:val="auto"/>
          <w:highlight w:val="none"/>
        </w:rPr>
      </w:pPr>
      <w:r>
        <w:rPr>
          <w:rFonts w:hint="eastAsia" w:ascii="仿宋" w:hAnsi="仿宋" w:eastAsia="仿宋"/>
          <w:color w:val="auto"/>
          <w:highlight w:val="none"/>
        </w:rPr>
        <w:t>2.项目文档管理要求:</w:t>
      </w:r>
    </w:p>
    <w:p>
      <w:pPr>
        <w:snapToGrid w:val="0"/>
        <w:spacing w:line="360" w:lineRule="auto"/>
        <w:ind w:firstLine="420" w:firstLineChars="200"/>
        <w:rPr>
          <w:rFonts w:ascii="仿宋" w:hAnsi="仿宋" w:eastAsia="仿宋"/>
          <w:color w:val="auto"/>
          <w:highlight w:val="none"/>
        </w:rPr>
      </w:pPr>
      <w:r>
        <w:rPr>
          <w:rFonts w:hint="eastAsia" w:ascii="仿宋" w:hAnsi="仿宋" w:eastAsia="仿宋"/>
          <w:color w:val="auto"/>
          <w:highlight w:val="none"/>
        </w:rPr>
        <w:t xml:space="preserve">（1）文档是过程的踪迹，项目文档管理严格按照相关要求，做到及时、真实、符合标准。 </w:t>
      </w:r>
    </w:p>
    <w:p>
      <w:pPr>
        <w:snapToGrid w:val="0"/>
        <w:spacing w:line="360" w:lineRule="auto"/>
        <w:ind w:firstLine="420" w:firstLineChars="200"/>
        <w:rPr>
          <w:rFonts w:ascii="仿宋" w:hAnsi="仿宋" w:eastAsia="仿宋"/>
          <w:color w:val="auto"/>
          <w:highlight w:val="none"/>
        </w:rPr>
      </w:pPr>
      <w:r>
        <w:rPr>
          <w:rFonts w:hint="eastAsia" w:ascii="仿宋" w:hAnsi="仿宋" w:eastAsia="仿宋"/>
          <w:color w:val="auto"/>
          <w:highlight w:val="none"/>
        </w:rPr>
        <w:t>（2）必须定期（月、年）提交运营报告，包含各类系统等运营报告。主要包括：硬件及基础软件系统运行与运营总结、系统运行与运营总结、系统应用和运行与运营建议。</w:t>
      </w:r>
    </w:p>
    <w:p>
      <w:pPr>
        <w:snapToGrid w:val="0"/>
        <w:spacing w:line="360" w:lineRule="auto"/>
        <w:ind w:firstLine="420" w:firstLineChars="200"/>
        <w:rPr>
          <w:rFonts w:ascii="仿宋" w:hAnsi="仿宋" w:eastAsia="仿宋"/>
          <w:color w:val="auto"/>
          <w:highlight w:val="none"/>
        </w:rPr>
      </w:pPr>
      <w:r>
        <w:rPr>
          <w:rFonts w:hint="eastAsia" w:ascii="仿宋" w:hAnsi="仿宋" w:eastAsia="仿宋"/>
          <w:color w:val="auto"/>
          <w:highlight w:val="none"/>
        </w:rPr>
        <w:t>3.项目质量管理要求:</w:t>
      </w:r>
    </w:p>
    <w:p>
      <w:pPr>
        <w:snapToGrid w:val="0"/>
        <w:spacing w:line="360" w:lineRule="auto"/>
        <w:ind w:firstLine="420" w:firstLineChars="200"/>
        <w:rPr>
          <w:rFonts w:ascii="仿宋" w:hAnsi="仿宋" w:eastAsia="仿宋"/>
          <w:color w:val="auto"/>
          <w:highlight w:val="none"/>
        </w:rPr>
      </w:pPr>
      <w:r>
        <w:rPr>
          <w:rFonts w:hint="eastAsia" w:ascii="仿宋" w:hAnsi="仿宋" w:eastAsia="仿宋"/>
          <w:color w:val="auto"/>
          <w:highlight w:val="none"/>
        </w:rPr>
        <w:t xml:space="preserve">（1）遵守相关规范要求，针对招标项目实施过程及交付结果进行质量规划、管理、控制。 </w:t>
      </w:r>
    </w:p>
    <w:p>
      <w:pPr>
        <w:snapToGrid w:val="0"/>
        <w:spacing w:line="360" w:lineRule="auto"/>
        <w:ind w:firstLine="420" w:firstLineChars="200"/>
        <w:rPr>
          <w:rFonts w:ascii="仿宋" w:hAnsi="仿宋" w:eastAsia="仿宋"/>
          <w:color w:val="auto"/>
          <w:highlight w:val="none"/>
        </w:rPr>
      </w:pPr>
      <w:r>
        <w:rPr>
          <w:rFonts w:hint="eastAsia" w:ascii="仿宋" w:hAnsi="仿宋" w:eastAsia="仿宋"/>
          <w:color w:val="auto"/>
          <w:highlight w:val="none"/>
        </w:rPr>
        <w:t>（2）制定详细的质量保证措施。项目风险管理要求:投标人应充分认识到项目风险管理的重要性，在投标文件中必须识别分析项目中的各类风险因素，并提出相应的对策。</w:t>
      </w:r>
    </w:p>
    <w:p>
      <w:pPr>
        <w:snapToGrid w:val="0"/>
        <w:spacing w:line="360" w:lineRule="auto"/>
        <w:ind w:firstLine="420" w:firstLineChars="200"/>
        <w:rPr>
          <w:rFonts w:ascii="仿宋" w:hAnsi="仿宋" w:eastAsia="仿宋"/>
          <w:color w:val="auto"/>
          <w:highlight w:val="none"/>
        </w:rPr>
      </w:pPr>
      <w:r>
        <w:rPr>
          <w:rFonts w:hint="eastAsia" w:ascii="仿宋" w:hAnsi="仿宋" w:eastAsia="仿宋"/>
          <w:color w:val="auto"/>
          <w:highlight w:val="none"/>
        </w:rPr>
        <w:t>4.项目保密要求:</w:t>
      </w:r>
    </w:p>
    <w:p>
      <w:pPr>
        <w:snapToGrid w:val="0"/>
        <w:spacing w:line="360" w:lineRule="auto"/>
        <w:ind w:firstLine="420" w:firstLineChars="200"/>
        <w:rPr>
          <w:rFonts w:ascii="仿宋" w:hAnsi="仿宋" w:eastAsia="仿宋"/>
          <w:color w:val="auto"/>
          <w:highlight w:val="none"/>
        </w:rPr>
      </w:pPr>
      <w:r>
        <w:rPr>
          <w:rFonts w:hint="eastAsia" w:ascii="仿宋" w:hAnsi="仿宋" w:eastAsia="仿宋"/>
          <w:color w:val="auto"/>
          <w:highlight w:val="none"/>
        </w:rPr>
        <w:t xml:space="preserve">（1）中标人必须采取措施对本项目实施过程中的数据、源代码、技术文档等资料保密。否则，由于中标人过错导致的上述资料泄密的，中标人必须承担一切责任。 </w:t>
      </w:r>
    </w:p>
    <w:p>
      <w:pPr>
        <w:snapToGrid w:val="0"/>
        <w:spacing w:line="360" w:lineRule="auto"/>
        <w:ind w:firstLine="420" w:firstLineChars="200"/>
        <w:rPr>
          <w:rFonts w:ascii="仿宋" w:hAnsi="仿宋" w:eastAsia="仿宋"/>
          <w:color w:val="auto"/>
          <w:highlight w:val="none"/>
        </w:rPr>
      </w:pPr>
      <w:r>
        <w:rPr>
          <w:rFonts w:hint="eastAsia" w:ascii="仿宋" w:hAnsi="仿宋" w:eastAsia="仿宋"/>
          <w:color w:val="auto"/>
          <w:highlight w:val="none"/>
        </w:rPr>
        <w:t xml:space="preserve">（2）项目完成后，采购人、中标人双方均有责任对本项目的技术保密承担责任：未经采购人事先书面同意，中标人不得将由采购人为本项目提供的条文、规格、计划、图纸、模型、样品或资料等提供给与本项目无关的任何第三方，不得将其用于履行本项目之外的其它用途。 </w:t>
      </w:r>
    </w:p>
    <w:p>
      <w:pPr>
        <w:snapToGrid w:val="0"/>
        <w:spacing w:line="360" w:lineRule="auto"/>
        <w:ind w:firstLine="420" w:firstLineChars="200"/>
        <w:rPr>
          <w:rFonts w:ascii="仿宋" w:hAnsi="仿宋" w:eastAsia="仿宋"/>
          <w:color w:val="auto"/>
          <w:highlight w:val="none"/>
        </w:rPr>
      </w:pPr>
      <w:r>
        <w:rPr>
          <w:rFonts w:hint="eastAsia" w:ascii="仿宋" w:hAnsi="仿宋" w:eastAsia="仿宋"/>
          <w:color w:val="auto"/>
          <w:highlight w:val="none"/>
        </w:rPr>
        <w:t>（3）中标人针对本项目所派出的所有服务人员，须签订安全保密责任书。</w:t>
      </w:r>
    </w:p>
    <w:bookmarkEnd w:id="21"/>
    <w:p>
      <w:pPr>
        <w:pStyle w:val="28"/>
        <w:rPr>
          <w:rFonts w:ascii="仿宋" w:hAnsi="仿宋" w:eastAsia="仿宋"/>
          <w:color w:val="auto"/>
          <w:highlight w:val="none"/>
        </w:rPr>
      </w:pPr>
    </w:p>
    <w:p>
      <w:pPr>
        <w:numPr>
          <w:ilvl w:val="0"/>
          <w:numId w:val="18"/>
        </w:numPr>
        <w:spacing w:line="360" w:lineRule="auto"/>
        <w:outlineLvl w:val="0"/>
        <w:rPr>
          <w:rFonts w:ascii="仿宋" w:hAnsi="仿宋" w:eastAsia="仿宋"/>
          <w:b/>
          <w:color w:val="auto"/>
          <w:highlight w:val="none"/>
        </w:rPr>
      </w:pPr>
      <w:r>
        <w:rPr>
          <w:rFonts w:hint="eastAsia" w:ascii="仿宋" w:hAnsi="仿宋" w:eastAsia="仿宋"/>
          <w:b/>
          <w:color w:val="auto"/>
          <w:highlight w:val="none"/>
        </w:rPr>
        <w:t>成果交付要求:</w:t>
      </w:r>
      <w:r>
        <w:rPr>
          <w:rFonts w:hint="eastAsia" w:ascii="仿宋" w:hAnsi="仿宋" w:eastAsia="仿宋" w:cs="宋体"/>
          <w:b/>
          <w:bCs/>
          <w:color w:val="auto"/>
          <w:kern w:val="2"/>
          <w:highlight w:val="none"/>
        </w:rPr>
        <w:t xml:space="preserve"> </w:t>
      </w:r>
    </w:p>
    <w:p>
      <w:pPr>
        <w:snapToGrid w:val="0"/>
        <w:spacing w:line="360" w:lineRule="auto"/>
        <w:ind w:firstLine="420" w:firstLineChars="200"/>
        <w:rPr>
          <w:rFonts w:ascii="仿宋" w:hAnsi="仿宋" w:eastAsia="仿宋"/>
          <w:color w:val="auto"/>
          <w:szCs w:val="21"/>
          <w:highlight w:val="none"/>
        </w:rPr>
      </w:pPr>
      <w:bookmarkStart w:id="22" w:name="_Hlk127174099"/>
      <w:r>
        <w:rPr>
          <w:rFonts w:hint="eastAsia" w:ascii="仿宋" w:hAnsi="仿宋" w:eastAsia="仿宋"/>
          <w:color w:val="auto"/>
          <w:szCs w:val="21"/>
          <w:highlight w:val="none"/>
        </w:rPr>
        <w:t>整个项目要求包括但不仅限于以下输出物：</w:t>
      </w:r>
    </w:p>
    <w:p>
      <w:pPr>
        <w:pStyle w:val="169"/>
        <w:snapToGrid w:val="0"/>
        <w:spacing w:line="360" w:lineRule="auto"/>
        <w:ind w:left="431" w:firstLine="0" w:firstLineChars="0"/>
        <w:rPr>
          <w:rFonts w:ascii="仿宋" w:hAnsi="仿宋" w:eastAsia="仿宋"/>
          <w:color w:val="auto"/>
          <w:sz w:val="21"/>
          <w:szCs w:val="21"/>
          <w:highlight w:val="none"/>
        </w:rPr>
      </w:pPr>
      <w:r>
        <w:rPr>
          <w:rFonts w:hint="eastAsia" w:ascii="仿宋" w:hAnsi="仿宋" w:eastAsia="仿宋"/>
          <w:color w:val="auto"/>
          <w:sz w:val="21"/>
          <w:szCs w:val="21"/>
          <w:highlight w:val="none"/>
        </w:rPr>
        <w:t>（1）每月提交1份正式运营报告。</w:t>
      </w:r>
    </w:p>
    <w:p>
      <w:pPr>
        <w:pStyle w:val="169"/>
        <w:snapToGrid w:val="0"/>
        <w:spacing w:line="360" w:lineRule="auto"/>
        <w:ind w:left="431" w:firstLine="0" w:firstLineChars="0"/>
        <w:rPr>
          <w:rFonts w:ascii="仿宋" w:hAnsi="仿宋" w:eastAsia="仿宋"/>
          <w:color w:val="auto"/>
          <w:sz w:val="21"/>
          <w:szCs w:val="21"/>
          <w:highlight w:val="none"/>
        </w:rPr>
      </w:pPr>
      <w:r>
        <w:rPr>
          <w:rFonts w:hint="eastAsia" w:ascii="仿宋" w:hAnsi="仿宋" w:eastAsia="仿宋"/>
          <w:color w:val="auto"/>
          <w:sz w:val="21"/>
          <w:szCs w:val="21"/>
          <w:highlight w:val="none"/>
        </w:rPr>
        <w:t>（</w:t>
      </w:r>
      <w:r>
        <w:rPr>
          <w:rFonts w:ascii="仿宋" w:hAnsi="仿宋" w:eastAsia="仿宋"/>
          <w:color w:val="auto"/>
          <w:sz w:val="21"/>
          <w:szCs w:val="21"/>
          <w:highlight w:val="none"/>
        </w:rPr>
        <w:t>2</w:t>
      </w:r>
      <w:r>
        <w:rPr>
          <w:rFonts w:hint="eastAsia" w:ascii="仿宋" w:hAnsi="仿宋" w:eastAsia="仿宋"/>
          <w:color w:val="auto"/>
          <w:sz w:val="21"/>
          <w:szCs w:val="21"/>
          <w:highlight w:val="none"/>
        </w:rPr>
        <w:t>）完整的运营资料。</w:t>
      </w:r>
    </w:p>
    <w:p>
      <w:pPr>
        <w:pStyle w:val="169"/>
        <w:snapToGrid w:val="0"/>
        <w:spacing w:line="360" w:lineRule="auto"/>
        <w:ind w:left="431" w:firstLine="0" w:firstLineChars="0"/>
        <w:rPr>
          <w:rFonts w:ascii="仿宋" w:hAnsi="仿宋" w:eastAsia="仿宋"/>
          <w:color w:val="auto"/>
          <w:sz w:val="21"/>
          <w:szCs w:val="21"/>
          <w:highlight w:val="none"/>
        </w:rPr>
      </w:pPr>
      <w:r>
        <w:rPr>
          <w:rFonts w:hint="eastAsia" w:ascii="仿宋" w:hAnsi="仿宋" w:eastAsia="仿宋"/>
          <w:color w:val="auto"/>
          <w:sz w:val="21"/>
          <w:szCs w:val="21"/>
          <w:highlight w:val="none"/>
        </w:rPr>
        <w:t>（</w:t>
      </w:r>
      <w:r>
        <w:rPr>
          <w:rFonts w:ascii="仿宋" w:hAnsi="仿宋" w:eastAsia="仿宋"/>
          <w:color w:val="auto"/>
          <w:sz w:val="21"/>
          <w:szCs w:val="21"/>
          <w:highlight w:val="none"/>
        </w:rPr>
        <w:t>3</w:t>
      </w:r>
      <w:r>
        <w:rPr>
          <w:rFonts w:hint="eastAsia" w:ascii="仿宋" w:hAnsi="仿宋" w:eastAsia="仿宋"/>
          <w:color w:val="auto"/>
          <w:sz w:val="21"/>
          <w:szCs w:val="21"/>
          <w:highlight w:val="none"/>
        </w:rPr>
        <w:t>）项目验收相关资料、报告等。</w:t>
      </w:r>
    </w:p>
    <w:bookmarkEnd w:id="22"/>
    <w:p>
      <w:pPr>
        <w:numPr>
          <w:ilvl w:val="0"/>
          <w:numId w:val="18"/>
        </w:numPr>
        <w:spacing w:line="360" w:lineRule="auto"/>
        <w:outlineLvl w:val="0"/>
        <w:rPr>
          <w:rFonts w:ascii="仿宋" w:hAnsi="仿宋" w:eastAsia="仿宋"/>
          <w:color w:val="auto"/>
          <w:highlight w:val="none"/>
        </w:rPr>
      </w:pPr>
      <w:r>
        <w:rPr>
          <w:rFonts w:hint="eastAsia" w:ascii="仿宋" w:hAnsi="仿宋" w:eastAsia="仿宋"/>
          <w:b/>
          <w:bCs/>
          <w:color w:val="auto"/>
          <w:highlight w:val="none"/>
        </w:rPr>
        <w:t>服务要求</w:t>
      </w:r>
    </w:p>
    <w:p>
      <w:pPr>
        <w:pStyle w:val="28"/>
        <w:spacing w:line="360" w:lineRule="auto"/>
        <w:ind w:left="421"/>
        <w:rPr>
          <w:rFonts w:ascii="仿宋" w:hAnsi="仿宋" w:eastAsia="仿宋"/>
          <w:color w:val="auto"/>
          <w:kern w:val="0"/>
          <w:szCs w:val="24"/>
          <w:highlight w:val="none"/>
        </w:rPr>
      </w:pPr>
      <w:bookmarkStart w:id="23" w:name="_Hlk127174149"/>
      <w:r>
        <w:rPr>
          <w:rFonts w:hint="eastAsia" w:ascii="仿宋" w:hAnsi="仿宋" w:eastAsia="仿宋"/>
          <w:color w:val="auto"/>
          <w:kern w:val="0"/>
          <w:szCs w:val="24"/>
          <w:highlight w:val="none"/>
        </w:rPr>
        <w:t>在运营期内，中标人须提供以下服务：</w:t>
      </w:r>
    </w:p>
    <w:p>
      <w:pPr>
        <w:pStyle w:val="28"/>
        <w:spacing w:line="360" w:lineRule="auto"/>
        <w:ind w:left="421"/>
        <w:rPr>
          <w:rFonts w:ascii="仿宋" w:hAnsi="仿宋" w:eastAsia="仿宋"/>
          <w:color w:val="auto"/>
          <w:kern w:val="0"/>
          <w:szCs w:val="24"/>
          <w:highlight w:val="none"/>
        </w:rPr>
      </w:pPr>
      <w:r>
        <w:rPr>
          <w:rFonts w:hint="eastAsia" w:ascii="仿宋" w:hAnsi="仿宋" w:eastAsia="仿宋"/>
          <w:color w:val="auto"/>
          <w:kern w:val="0"/>
          <w:szCs w:val="24"/>
          <w:highlight w:val="none"/>
        </w:rPr>
        <w:t>1. ★指定至少6名驻场工程师，驻场工程师要求具备计算机、软件、电子、通信类专业大专以上学历，熟悉突发系统及渠道运行原理、机制和相关操作。</w:t>
      </w:r>
    </w:p>
    <w:p>
      <w:pPr>
        <w:pStyle w:val="28"/>
        <w:spacing w:line="360" w:lineRule="auto"/>
        <w:ind w:left="421"/>
        <w:rPr>
          <w:rFonts w:ascii="仿宋" w:hAnsi="仿宋" w:eastAsia="仿宋"/>
          <w:color w:val="auto"/>
          <w:kern w:val="0"/>
          <w:szCs w:val="24"/>
          <w:highlight w:val="none"/>
        </w:rPr>
      </w:pPr>
      <w:r>
        <w:rPr>
          <w:rFonts w:hint="eastAsia" w:ascii="仿宋" w:hAnsi="仿宋" w:eastAsia="仿宋"/>
          <w:color w:val="auto"/>
          <w:kern w:val="0"/>
          <w:szCs w:val="24"/>
          <w:highlight w:val="none"/>
        </w:rPr>
        <w:t>2. ★专岗提供7×24小时驻场运维服务，3班倒5班配驻场工程师，驻场开展包括预警信息采集、发布与质控、预警信息发布系统运营服务及报灾系统的运营服务，保障这些系统的正常运行，确保预警信息发布的安全、及时与精准。</w:t>
      </w:r>
    </w:p>
    <w:p>
      <w:pPr>
        <w:pStyle w:val="28"/>
        <w:spacing w:line="360" w:lineRule="auto"/>
        <w:ind w:left="421"/>
        <w:rPr>
          <w:rFonts w:ascii="仿宋" w:hAnsi="仿宋" w:eastAsia="仿宋"/>
          <w:color w:val="auto"/>
          <w:kern w:val="0"/>
          <w:szCs w:val="24"/>
          <w:highlight w:val="none"/>
        </w:rPr>
      </w:pPr>
      <w:r>
        <w:rPr>
          <w:rFonts w:hint="eastAsia" w:ascii="仿宋" w:hAnsi="仿宋" w:eastAsia="仿宋"/>
          <w:color w:val="auto"/>
          <w:kern w:val="0"/>
          <w:szCs w:val="24"/>
          <w:highlight w:val="none"/>
        </w:rPr>
        <w:t>3.保证稳定的服务人员，项目团队人员不少于8人，须配备高水平技术人员，★提供7×24小时响应的电话等远程技术支持，对于驻场工程通过电话支持无法解决的问题，高水平技术人员抵达现场解决故障的响应时间不超过2小时。</w:t>
      </w:r>
    </w:p>
    <w:p>
      <w:pPr>
        <w:pStyle w:val="28"/>
        <w:spacing w:line="360" w:lineRule="auto"/>
        <w:ind w:left="421"/>
        <w:rPr>
          <w:rFonts w:ascii="仿宋" w:hAnsi="仿宋" w:eastAsia="仿宋"/>
          <w:color w:val="auto"/>
          <w:kern w:val="0"/>
          <w:szCs w:val="24"/>
          <w:highlight w:val="none"/>
        </w:rPr>
      </w:pPr>
      <w:r>
        <w:rPr>
          <w:rFonts w:hint="eastAsia" w:ascii="仿宋" w:hAnsi="仿宋" w:eastAsia="仿宋"/>
          <w:color w:val="auto"/>
          <w:kern w:val="0"/>
          <w:szCs w:val="24"/>
          <w:highlight w:val="none"/>
        </w:rPr>
        <w:t>4.协助采购人完成系统在广东省内的推广应用。</w:t>
      </w:r>
    </w:p>
    <w:p>
      <w:pPr>
        <w:pStyle w:val="28"/>
        <w:spacing w:line="360" w:lineRule="auto"/>
        <w:ind w:left="421"/>
        <w:rPr>
          <w:rFonts w:ascii="仿宋" w:hAnsi="仿宋" w:eastAsia="仿宋"/>
          <w:color w:val="auto"/>
          <w:kern w:val="0"/>
          <w:szCs w:val="24"/>
          <w:highlight w:val="none"/>
        </w:rPr>
      </w:pPr>
      <w:r>
        <w:rPr>
          <w:rFonts w:hint="eastAsia" w:ascii="仿宋" w:hAnsi="仿宋" w:eastAsia="仿宋"/>
          <w:color w:val="auto"/>
          <w:kern w:val="0"/>
          <w:szCs w:val="24"/>
          <w:highlight w:val="none"/>
        </w:rPr>
        <w:t>5.提供至少1次现场培训，以及相应的培训文档。</w:t>
      </w:r>
    </w:p>
    <w:p>
      <w:pPr>
        <w:pStyle w:val="28"/>
        <w:spacing w:line="360" w:lineRule="auto"/>
        <w:ind w:left="421"/>
        <w:rPr>
          <w:rFonts w:ascii="仿宋" w:hAnsi="仿宋" w:eastAsia="仿宋"/>
          <w:color w:val="auto"/>
          <w:kern w:val="0"/>
          <w:szCs w:val="24"/>
          <w:highlight w:val="none"/>
        </w:rPr>
      </w:pPr>
      <w:r>
        <w:rPr>
          <w:rFonts w:hint="eastAsia" w:ascii="仿宋" w:hAnsi="仿宋" w:eastAsia="仿宋"/>
          <w:color w:val="auto"/>
          <w:kern w:val="0"/>
          <w:szCs w:val="24"/>
          <w:highlight w:val="none"/>
        </w:rPr>
        <w:t>6.服务地点：采购人指定地点。</w:t>
      </w:r>
    </w:p>
    <w:p>
      <w:pPr>
        <w:rPr>
          <w:color w:val="auto"/>
          <w:highlight w:val="none"/>
        </w:rPr>
      </w:pPr>
    </w:p>
    <w:bookmarkEnd w:id="23"/>
    <w:p>
      <w:pPr>
        <w:numPr>
          <w:ilvl w:val="0"/>
          <w:numId w:val="18"/>
        </w:numPr>
        <w:spacing w:line="360" w:lineRule="auto"/>
        <w:outlineLvl w:val="0"/>
        <w:rPr>
          <w:rFonts w:ascii="仿宋" w:hAnsi="仿宋" w:eastAsia="仿宋" w:cs="宋体"/>
          <w:b/>
          <w:color w:val="auto"/>
          <w:szCs w:val="21"/>
          <w:highlight w:val="none"/>
        </w:rPr>
      </w:pPr>
      <w:r>
        <w:rPr>
          <w:rFonts w:hint="eastAsia" w:ascii="仿宋" w:hAnsi="仿宋" w:eastAsia="仿宋" w:cs="宋体"/>
          <w:b/>
          <w:color w:val="auto"/>
          <w:szCs w:val="21"/>
          <w:highlight w:val="none"/>
        </w:rPr>
        <w:t>付款方式</w:t>
      </w:r>
    </w:p>
    <w:p>
      <w:pPr>
        <w:autoSpaceDE/>
        <w:autoSpaceDN/>
        <w:spacing w:line="360" w:lineRule="auto"/>
        <w:ind w:firstLine="420" w:firstLineChars="200"/>
        <w:jc w:val="both"/>
        <w:rPr>
          <w:rFonts w:ascii="仿宋" w:hAnsi="仿宋" w:eastAsia="仿宋" w:cs="宋体"/>
          <w:color w:val="auto"/>
          <w:kern w:val="2"/>
          <w:highlight w:val="none"/>
        </w:rPr>
      </w:pPr>
      <w:bookmarkStart w:id="24" w:name="_Hlk127174047"/>
      <w:r>
        <w:rPr>
          <w:rFonts w:hint="eastAsia" w:ascii="仿宋" w:hAnsi="仿宋" w:eastAsia="仿宋" w:cs="宋体"/>
          <w:color w:val="auto"/>
          <w:kern w:val="2"/>
          <w:highlight w:val="none"/>
        </w:rPr>
        <w:t>1.支付进度：</w:t>
      </w:r>
    </w:p>
    <w:p>
      <w:pPr>
        <w:snapToGrid w:val="0"/>
        <w:spacing w:line="360" w:lineRule="auto"/>
        <w:ind w:firstLine="420" w:firstLineChars="200"/>
        <w:rPr>
          <w:rFonts w:ascii="仿宋" w:hAnsi="仿宋" w:eastAsia="仿宋" w:cs="仿宋"/>
          <w:bCs/>
          <w:color w:val="auto"/>
          <w:kern w:val="2"/>
          <w:szCs w:val="21"/>
          <w:highlight w:val="none"/>
        </w:rPr>
      </w:pPr>
      <w:r>
        <w:rPr>
          <w:rFonts w:hint="eastAsia" w:ascii="仿宋" w:hAnsi="仿宋" w:eastAsia="仿宋" w:cs="仿宋"/>
          <w:bCs/>
          <w:color w:val="auto"/>
          <w:kern w:val="2"/>
          <w:szCs w:val="21"/>
          <w:highlight w:val="none"/>
        </w:rPr>
        <w:t>（1）合同签订后，中标人向采购人提供合同金额5%的银行保函（项目完成后且中标人无违约行为，甲方退还该银行保函）及开具项目合同金额的30%等额正式发票，采购人在10个工作日内，支付相应的发票费用。</w:t>
      </w:r>
    </w:p>
    <w:p>
      <w:pPr>
        <w:snapToGrid w:val="0"/>
        <w:spacing w:line="360" w:lineRule="auto"/>
        <w:ind w:firstLine="420" w:firstLineChars="200"/>
        <w:rPr>
          <w:rFonts w:ascii="仿宋" w:hAnsi="仿宋" w:eastAsia="仿宋" w:cs="仿宋"/>
          <w:bCs/>
          <w:color w:val="auto"/>
          <w:kern w:val="2"/>
          <w:szCs w:val="21"/>
          <w:highlight w:val="none"/>
        </w:rPr>
      </w:pPr>
      <w:r>
        <w:rPr>
          <w:rFonts w:hint="eastAsia" w:ascii="仿宋" w:hAnsi="仿宋" w:eastAsia="仿宋" w:cs="仿宋"/>
          <w:bCs/>
          <w:color w:val="auto"/>
          <w:kern w:val="2"/>
          <w:szCs w:val="21"/>
          <w:highlight w:val="none"/>
        </w:rPr>
        <w:t>（2）预警信息采集、发布与质控和预警信息发布系统运营服务满一年服务期，通过质量评估后，中标人向采购人开具该部分运营服务金额的30%等额正式发票，采购人在10个工作日内，支付相应的发票费用。</w:t>
      </w:r>
    </w:p>
    <w:p>
      <w:pPr>
        <w:snapToGrid w:val="0"/>
        <w:spacing w:line="360" w:lineRule="auto"/>
        <w:ind w:firstLine="420" w:firstLineChars="200"/>
        <w:rPr>
          <w:rFonts w:ascii="仿宋" w:hAnsi="仿宋" w:eastAsia="仿宋" w:cs="仿宋"/>
          <w:bCs/>
          <w:color w:val="auto"/>
          <w:kern w:val="2"/>
          <w:szCs w:val="21"/>
          <w:highlight w:val="none"/>
        </w:rPr>
      </w:pPr>
      <w:r>
        <w:rPr>
          <w:rFonts w:hint="eastAsia" w:ascii="仿宋" w:hAnsi="仿宋" w:eastAsia="仿宋" w:cs="仿宋"/>
          <w:bCs/>
          <w:color w:val="auto"/>
          <w:kern w:val="2"/>
          <w:szCs w:val="21"/>
          <w:highlight w:val="none"/>
        </w:rPr>
        <w:t>（3）预警信息采集、发布与质控和预警信息发布系统运营服务满两年服务期，通过质量评估后，中标人向采购人开具该部分运营服务金额的30%等额正式发票，采购人在10个工作日内，支付相应的发票费用。</w:t>
      </w:r>
    </w:p>
    <w:p>
      <w:pPr>
        <w:snapToGrid w:val="0"/>
        <w:spacing w:line="360" w:lineRule="auto"/>
        <w:ind w:firstLine="420" w:firstLineChars="200"/>
        <w:rPr>
          <w:rFonts w:ascii="仿宋" w:hAnsi="仿宋" w:eastAsia="仿宋" w:cs="仿宋"/>
          <w:bCs/>
          <w:color w:val="auto"/>
          <w:kern w:val="2"/>
          <w:szCs w:val="21"/>
          <w:highlight w:val="none"/>
        </w:rPr>
      </w:pPr>
      <w:r>
        <w:rPr>
          <w:rFonts w:hint="eastAsia" w:ascii="仿宋" w:hAnsi="仿宋" w:eastAsia="仿宋" w:cs="仿宋"/>
          <w:bCs/>
          <w:color w:val="auto"/>
          <w:kern w:val="2"/>
          <w:szCs w:val="21"/>
          <w:highlight w:val="none"/>
        </w:rPr>
        <w:t>（4）报灾系统运营服务满一年服务期，通过验收后，中标人向采购人开具该部分运营服务总金额的</w:t>
      </w:r>
      <w:r>
        <w:rPr>
          <w:rFonts w:ascii="仿宋" w:hAnsi="仿宋" w:eastAsia="仿宋" w:cs="仿宋"/>
          <w:bCs/>
          <w:color w:val="auto"/>
          <w:kern w:val="2"/>
          <w:szCs w:val="21"/>
          <w:highlight w:val="none"/>
        </w:rPr>
        <w:t>7</w:t>
      </w:r>
      <w:r>
        <w:rPr>
          <w:rFonts w:hint="eastAsia" w:ascii="仿宋" w:hAnsi="仿宋" w:eastAsia="仿宋" w:cs="仿宋"/>
          <w:bCs/>
          <w:color w:val="auto"/>
          <w:kern w:val="2"/>
          <w:szCs w:val="21"/>
          <w:highlight w:val="none"/>
        </w:rPr>
        <w:t>0%等额正式发票，采购人在10个工作日内，支付相应的发票费用。</w:t>
      </w:r>
    </w:p>
    <w:p>
      <w:pPr>
        <w:snapToGrid w:val="0"/>
        <w:spacing w:line="360" w:lineRule="auto"/>
        <w:ind w:firstLine="420" w:firstLineChars="200"/>
        <w:rPr>
          <w:rFonts w:ascii="仿宋" w:hAnsi="仿宋" w:eastAsia="仿宋" w:cs="仿宋"/>
          <w:bCs/>
          <w:color w:val="auto"/>
          <w:kern w:val="2"/>
          <w:szCs w:val="21"/>
          <w:highlight w:val="none"/>
        </w:rPr>
      </w:pPr>
      <w:r>
        <w:rPr>
          <w:rFonts w:hint="eastAsia" w:ascii="仿宋" w:hAnsi="仿宋" w:eastAsia="仿宋" w:cs="仿宋"/>
          <w:bCs/>
          <w:color w:val="auto"/>
          <w:kern w:val="2"/>
          <w:szCs w:val="21"/>
          <w:highlight w:val="none"/>
        </w:rPr>
        <w:t>（5）预警信息采集、发布与质控和预警信息发布系统运营服务满三年服务期，通过审计和验收后，中标人向采购人开具该部分运营服务金额的</w:t>
      </w:r>
      <w:r>
        <w:rPr>
          <w:rFonts w:ascii="仿宋" w:hAnsi="仿宋" w:eastAsia="仿宋" w:cs="仿宋"/>
          <w:bCs/>
          <w:color w:val="auto"/>
          <w:kern w:val="2"/>
          <w:szCs w:val="21"/>
          <w:highlight w:val="none"/>
        </w:rPr>
        <w:t>1</w:t>
      </w:r>
      <w:r>
        <w:rPr>
          <w:rFonts w:hint="eastAsia" w:ascii="仿宋" w:hAnsi="仿宋" w:eastAsia="仿宋" w:cs="仿宋"/>
          <w:bCs/>
          <w:color w:val="auto"/>
          <w:kern w:val="2"/>
          <w:szCs w:val="21"/>
          <w:highlight w:val="none"/>
        </w:rPr>
        <w:t>0%等额正式发票，</w:t>
      </w:r>
      <w:r>
        <w:rPr>
          <w:rFonts w:hint="eastAsia" w:ascii="仿宋" w:hAnsi="仿宋" w:eastAsia="仿宋" w:cs="宋体"/>
          <w:color w:val="auto"/>
          <w:kern w:val="2"/>
          <w:highlight w:val="none"/>
        </w:rPr>
        <w:t>采购人在10个工作日内，支付相应的发票费用并完成结算程序</w:t>
      </w:r>
      <w:r>
        <w:rPr>
          <w:rFonts w:hint="eastAsia" w:ascii="仿宋" w:hAnsi="仿宋" w:eastAsia="仿宋" w:cs="仿宋"/>
          <w:bCs/>
          <w:color w:val="auto"/>
          <w:kern w:val="2"/>
          <w:szCs w:val="21"/>
          <w:highlight w:val="none"/>
        </w:rPr>
        <w:t>并退回银行保函。</w:t>
      </w:r>
    </w:p>
    <w:p>
      <w:pPr>
        <w:autoSpaceDE/>
        <w:autoSpaceDN/>
        <w:spacing w:line="360" w:lineRule="auto"/>
        <w:ind w:firstLine="420" w:firstLineChars="200"/>
        <w:jc w:val="both"/>
        <w:rPr>
          <w:rFonts w:ascii="仿宋" w:hAnsi="仿宋" w:eastAsia="仿宋" w:cs="宋体"/>
          <w:color w:val="auto"/>
          <w:kern w:val="2"/>
          <w:highlight w:val="none"/>
        </w:rPr>
      </w:pPr>
      <w:r>
        <w:rPr>
          <w:rFonts w:hint="eastAsia" w:ascii="仿宋" w:hAnsi="仿宋" w:eastAsia="仿宋" w:cs="宋体"/>
          <w:color w:val="auto"/>
          <w:kern w:val="2"/>
          <w:highlight w:val="none"/>
        </w:rPr>
        <w:t>2.中标人凭以下有效文件与采购人结算：</w:t>
      </w:r>
    </w:p>
    <w:p>
      <w:pPr>
        <w:autoSpaceDE/>
        <w:autoSpaceDN/>
        <w:spacing w:line="360" w:lineRule="auto"/>
        <w:ind w:firstLine="420" w:firstLineChars="200"/>
        <w:jc w:val="both"/>
        <w:rPr>
          <w:rFonts w:ascii="仿宋" w:hAnsi="仿宋" w:eastAsia="仿宋" w:cs="宋体"/>
          <w:color w:val="auto"/>
          <w:kern w:val="2"/>
          <w:highlight w:val="none"/>
        </w:rPr>
      </w:pPr>
      <w:r>
        <w:rPr>
          <w:rFonts w:hint="eastAsia" w:ascii="仿宋" w:hAnsi="仿宋" w:eastAsia="仿宋" w:cs="宋体"/>
          <w:color w:val="auto"/>
          <w:kern w:val="2"/>
          <w:highlight w:val="none"/>
        </w:rPr>
        <w:t>1)合同；</w:t>
      </w:r>
    </w:p>
    <w:p>
      <w:pPr>
        <w:autoSpaceDE/>
        <w:autoSpaceDN/>
        <w:spacing w:line="360" w:lineRule="auto"/>
        <w:ind w:firstLine="420" w:firstLineChars="200"/>
        <w:jc w:val="both"/>
        <w:rPr>
          <w:rFonts w:ascii="仿宋" w:hAnsi="仿宋" w:eastAsia="仿宋" w:cs="宋体"/>
          <w:color w:val="auto"/>
          <w:kern w:val="2"/>
          <w:highlight w:val="none"/>
        </w:rPr>
      </w:pPr>
      <w:r>
        <w:rPr>
          <w:rFonts w:hint="eastAsia" w:ascii="仿宋" w:hAnsi="仿宋" w:eastAsia="仿宋" w:cs="宋体"/>
          <w:color w:val="auto"/>
          <w:kern w:val="2"/>
          <w:highlight w:val="none"/>
        </w:rPr>
        <w:t>2)中标人开具的正式发票；</w:t>
      </w:r>
    </w:p>
    <w:p>
      <w:pPr>
        <w:autoSpaceDE/>
        <w:autoSpaceDN/>
        <w:spacing w:line="360" w:lineRule="auto"/>
        <w:ind w:firstLine="420" w:firstLineChars="200"/>
        <w:jc w:val="both"/>
        <w:rPr>
          <w:rFonts w:ascii="仿宋" w:hAnsi="仿宋" w:eastAsia="仿宋" w:cs="宋体"/>
          <w:color w:val="auto"/>
          <w:kern w:val="2"/>
          <w:highlight w:val="none"/>
        </w:rPr>
      </w:pPr>
      <w:r>
        <w:rPr>
          <w:rFonts w:hint="eastAsia" w:ascii="仿宋" w:hAnsi="仿宋" w:eastAsia="仿宋" w:cs="宋体"/>
          <w:color w:val="auto"/>
          <w:kern w:val="2"/>
          <w:highlight w:val="none"/>
        </w:rPr>
        <w:t>3)验收报告（加盖采购人公章）；</w:t>
      </w:r>
    </w:p>
    <w:p>
      <w:pPr>
        <w:autoSpaceDE/>
        <w:autoSpaceDN/>
        <w:spacing w:line="360" w:lineRule="auto"/>
        <w:ind w:firstLine="420" w:firstLineChars="200"/>
        <w:jc w:val="both"/>
        <w:rPr>
          <w:rFonts w:ascii="仿宋" w:hAnsi="仿宋" w:eastAsia="仿宋" w:cs="宋体"/>
          <w:color w:val="auto"/>
          <w:kern w:val="2"/>
          <w:highlight w:val="none"/>
        </w:rPr>
      </w:pPr>
      <w:r>
        <w:rPr>
          <w:rFonts w:hint="eastAsia" w:ascii="仿宋" w:hAnsi="仿宋" w:eastAsia="仿宋" w:cs="宋体"/>
          <w:color w:val="auto"/>
          <w:kern w:val="2"/>
          <w:highlight w:val="none"/>
        </w:rPr>
        <w:t>4)中标通知书。</w:t>
      </w:r>
    </w:p>
    <w:p>
      <w:pPr>
        <w:autoSpaceDE/>
        <w:autoSpaceDN/>
        <w:spacing w:line="360" w:lineRule="auto"/>
        <w:ind w:firstLine="420" w:firstLineChars="200"/>
        <w:jc w:val="both"/>
        <w:rPr>
          <w:rFonts w:ascii="仿宋" w:hAnsi="仿宋" w:eastAsia="仿宋" w:cs="宋体"/>
          <w:color w:val="auto"/>
          <w:kern w:val="2"/>
          <w:highlight w:val="none"/>
        </w:rPr>
      </w:pPr>
      <w:r>
        <w:rPr>
          <w:rFonts w:hint="eastAsia" w:ascii="仿宋" w:hAnsi="仿宋" w:eastAsia="仿宋" w:cs="宋体"/>
          <w:color w:val="auto"/>
          <w:kern w:val="2"/>
          <w:highlight w:val="none"/>
        </w:rPr>
        <w:t>3.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bookmarkEnd w:id="24"/>
    <w:p>
      <w:pPr>
        <w:pStyle w:val="45"/>
        <w:widowControl w:val="0"/>
        <w:spacing w:before="0" w:beforeAutospacing="0" w:after="0" w:afterAutospacing="0" w:line="360" w:lineRule="auto"/>
        <w:jc w:val="both"/>
        <w:rPr>
          <w:rFonts w:ascii="仿宋" w:hAnsi="仿宋" w:eastAsia="仿宋" w:cs="仿宋"/>
          <w:color w:val="auto"/>
          <w:kern w:val="2"/>
          <w:sz w:val="21"/>
          <w:szCs w:val="21"/>
          <w:highlight w:val="none"/>
          <w:lang w:bidi="ar"/>
        </w:rPr>
      </w:pPr>
    </w:p>
    <w:p>
      <w:pPr>
        <w:pStyle w:val="45"/>
        <w:widowControl w:val="0"/>
        <w:spacing w:before="0" w:beforeAutospacing="0" w:after="0" w:afterAutospacing="0" w:line="360" w:lineRule="auto"/>
        <w:jc w:val="both"/>
        <w:rPr>
          <w:rFonts w:ascii="仿宋" w:hAnsi="仿宋" w:eastAsia="仿宋" w:cs="仿宋"/>
          <w:color w:val="auto"/>
          <w:kern w:val="2"/>
          <w:sz w:val="21"/>
          <w:szCs w:val="21"/>
          <w:highlight w:val="none"/>
          <w:lang w:bidi="ar"/>
        </w:rPr>
      </w:pPr>
    </w:p>
    <w:p>
      <w:pPr>
        <w:pStyle w:val="3"/>
        <w:keepNext/>
        <w:keepLines/>
        <w:pageBreakBefore/>
        <w:tabs>
          <w:tab w:val="left" w:pos="1080"/>
        </w:tabs>
        <w:spacing w:line="360" w:lineRule="auto"/>
        <w:jc w:val="center"/>
        <w:rPr>
          <w:rFonts w:hAnsi="宋体" w:cs="宋体"/>
          <w:b/>
          <w:color w:val="auto"/>
          <w:kern w:val="44"/>
          <w:sz w:val="32"/>
          <w:highlight w:val="none"/>
          <w:lang w:val="zh-CN"/>
        </w:rPr>
      </w:pPr>
      <w:r>
        <w:rPr>
          <w:rFonts w:hint="eastAsia" w:hAnsi="宋体" w:cs="宋体"/>
          <w:b/>
          <w:bCs/>
          <w:color w:val="auto"/>
          <w:kern w:val="44"/>
          <w:sz w:val="32"/>
          <w:szCs w:val="32"/>
          <w:highlight w:val="none"/>
          <w:lang w:val="zh-CN"/>
        </w:rPr>
        <w:t>第五篇  投标文件格式</w:t>
      </w:r>
    </w:p>
    <w:p>
      <w:pPr>
        <w:pStyle w:val="164"/>
        <w:ind w:firstLine="420"/>
        <w:jc w:val="center"/>
        <w:rPr>
          <w:bCs/>
          <w:color w:val="auto"/>
          <w:highlight w:val="none"/>
        </w:rPr>
      </w:pPr>
      <w:r>
        <w:rPr>
          <w:rFonts w:hint="eastAsia"/>
          <w:color w:val="auto"/>
          <w:highlight w:val="none"/>
        </w:rPr>
        <w:t>目  录</w:t>
      </w:r>
    </w:p>
    <w:p>
      <w:pPr>
        <w:spacing w:line="312" w:lineRule="auto"/>
        <w:ind w:firstLine="527" w:firstLineChars="250"/>
        <w:rPr>
          <w:rFonts w:hAnsi="宋体" w:cs="宋体"/>
          <w:b/>
          <w:bCs/>
          <w:color w:val="auto"/>
          <w:szCs w:val="21"/>
          <w:highlight w:val="none"/>
          <w:lang w:val="zh-CN"/>
        </w:rPr>
      </w:pPr>
      <w:r>
        <w:rPr>
          <w:rFonts w:hint="eastAsia" w:hAnsi="宋体" w:cs="宋体"/>
          <w:b/>
          <w:bCs/>
          <w:color w:val="auto"/>
          <w:szCs w:val="21"/>
          <w:highlight w:val="none"/>
          <w:lang w:val="zh-CN"/>
        </w:rPr>
        <w:t>一、自查表</w:t>
      </w:r>
    </w:p>
    <w:p>
      <w:pPr>
        <w:spacing w:line="312" w:lineRule="auto"/>
        <w:ind w:firstLine="527" w:firstLineChars="250"/>
        <w:rPr>
          <w:rFonts w:hAnsi="宋体" w:cs="宋体"/>
          <w:color w:val="auto"/>
          <w:kern w:val="2"/>
          <w:szCs w:val="21"/>
          <w:highlight w:val="none"/>
        </w:rPr>
      </w:pPr>
      <w:r>
        <w:rPr>
          <w:rFonts w:hint="eastAsia" w:hAnsi="宋体" w:cs="宋体"/>
          <w:b/>
          <w:bCs/>
          <w:color w:val="auto"/>
          <w:szCs w:val="21"/>
          <w:highlight w:val="none"/>
          <w:lang w:val="zh-CN"/>
        </w:rPr>
        <w:t>二、</w:t>
      </w:r>
      <w:r>
        <w:rPr>
          <w:rFonts w:hint="eastAsia" w:hAnsi="宋体" w:cs="宋体"/>
          <w:b/>
          <w:bCs/>
          <w:color w:val="auto"/>
          <w:kern w:val="2"/>
          <w:szCs w:val="21"/>
          <w:highlight w:val="none"/>
          <w:lang w:val="zh-CN"/>
        </w:rPr>
        <w:t>商务部分文件</w:t>
      </w:r>
    </w:p>
    <w:p>
      <w:pPr>
        <w:snapToGrid w:val="0"/>
        <w:spacing w:line="360" w:lineRule="auto"/>
        <w:ind w:left="953" w:leftChars="454" w:firstLine="105" w:firstLineChars="50"/>
        <w:rPr>
          <w:rFonts w:ascii="仿宋" w:hAnsi="仿宋" w:eastAsia="仿宋" w:cs="仿宋"/>
          <w:color w:val="auto"/>
          <w:szCs w:val="21"/>
          <w:highlight w:val="none"/>
        </w:rPr>
      </w:pPr>
      <w:r>
        <w:rPr>
          <w:rFonts w:hint="eastAsia" w:ascii="仿宋" w:hAnsi="仿宋" w:eastAsia="仿宋" w:cs="仿宋"/>
          <w:color w:val="auto"/>
          <w:szCs w:val="21"/>
          <w:highlight w:val="none"/>
        </w:rPr>
        <w:t>1.投标函(格式见附表2.1)</w:t>
      </w:r>
    </w:p>
    <w:p>
      <w:pPr>
        <w:snapToGrid w:val="0"/>
        <w:spacing w:line="360" w:lineRule="auto"/>
        <w:ind w:left="953" w:leftChars="454" w:firstLine="105" w:firstLineChars="50"/>
        <w:rPr>
          <w:rFonts w:ascii="仿宋" w:hAnsi="仿宋" w:eastAsia="仿宋" w:cs="仿宋"/>
          <w:color w:val="auto"/>
          <w:szCs w:val="21"/>
          <w:highlight w:val="none"/>
        </w:rPr>
      </w:pPr>
      <w:r>
        <w:rPr>
          <w:rFonts w:hint="eastAsia" w:ascii="仿宋" w:hAnsi="仿宋" w:eastAsia="仿宋" w:cs="仿宋"/>
          <w:color w:val="auto"/>
          <w:szCs w:val="21"/>
          <w:highlight w:val="none"/>
        </w:rPr>
        <w:t>2.资格声明书(格式见附表2.2)</w:t>
      </w:r>
    </w:p>
    <w:p>
      <w:pPr>
        <w:snapToGrid w:val="0"/>
        <w:spacing w:line="360" w:lineRule="auto"/>
        <w:ind w:left="953" w:leftChars="454" w:firstLine="105" w:firstLineChars="50"/>
        <w:rPr>
          <w:rFonts w:ascii="仿宋" w:hAnsi="仿宋" w:eastAsia="仿宋" w:cs="仿宋"/>
          <w:color w:val="auto"/>
          <w:szCs w:val="21"/>
          <w:highlight w:val="none"/>
        </w:rPr>
      </w:pPr>
      <w:r>
        <w:rPr>
          <w:rFonts w:hint="eastAsia" w:ascii="仿宋" w:hAnsi="仿宋" w:eastAsia="仿宋" w:cs="仿宋"/>
          <w:color w:val="auto"/>
          <w:szCs w:val="21"/>
          <w:highlight w:val="none"/>
        </w:rPr>
        <w:t>3.法定代表人证明书(格式见附表2.3)</w:t>
      </w:r>
    </w:p>
    <w:p>
      <w:pPr>
        <w:snapToGrid w:val="0"/>
        <w:spacing w:line="360" w:lineRule="auto"/>
        <w:ind w:left="953" w:leftChars="454" w:firstLine="105" w:firstLineChars="50"/>
        <w:rPr>
          <w:rFonts w:ascii="仿宋" w:hAnsi="仿宋" w:eastAsia="仿宋" w:cs="仿宋"/>
          <w:color w:val="auto"/>
          <w:szCs w:val="21"/>
          <w:highlight w:val="none"/>
        </w:rPr>
      </w:pPr>
      <w:r>
        <w:rPr>
          <w:rFonts w:hint="eastAsia" w:ascii="仿宋" w:hAnsi="仿宋" w:eastAsia="仿宋" w:cs="仿宋"/>
          <w:color w:val="auto"/>
          <w:szCs w:val="21"/>
          <w:highlight w:val="none"/>
        </w:rPr>
        <w:t>4.法定代表人授权书（若投标人代表非法定代表人时适用）(格式见附表2.4)</w:t>
      </w:r>
    </w:p>
    <w:p>
      <w:pPr>
        <w:snapToGrid w:val="0"/>
        <w:spacing w:line="360" w:lineRule="auto"/>
        <w:ind w:left="953" w:leftChars="454" w:firstLine="105" w:firstLineChars="50"/>
        <w:rPr>
          <w:rFonts w:ascii="仿宋" w:hAnsi="仿宋" w:eastAsia="仿宋" w:cs="仿宋"/>
          <w:color w:val="auto"/>
          <w:szCs w:val="21"/>
          <w:highlight w:val="none"/>
        </w:rPr>
      </w:pPr>
      <w:r>
        <w:rPr>
          <w:rFonts w:hint="eastAsia" w:ascii="仿宋" w:hAnsi="仿宋" w:eastAsia="仿宋" w:cs="仿宋"/>
          <w:color w:val="auto"/>
          <w:szCs w:val="21"/>
          <w:highlight w:val="none"/>
        </w:rPr>
        <w:t>5.证明投标人的合格性的证明文件格式（加盖投标人法人公章），其中包括：</w:t>
      </w:r>
    </w:p>
    <w:p>
      <w:pPr>
        <w:snapToGrid w:val="0"/>
        <w:spacing w:line="360" w:lineRule="auto"/>
        <w:ind w:left="953" w:leftChars="454" w:firstLine="105" w:firstLineChars="50"/>
        <w:rPr>
          <w:rFonts w:ascii="仿宋" w:hAnsi="仿宋" w:eastAsia="仿宋" w:cs="仿宋"/>
          <w:color w:val="auto"/>
          <w:szCs w:val="21"/>
          <w:highlight w:val="none"/>
        </w:rPr>
      </w:pPr>
      <w:r>
        <w:rPr>
          <w:rFonts w:hint="eastAsia" w:ascii="仿宋" w:hAnsi="仿宋" w:eastAsia="仿宋" w:cs="仿宋"/>
          <w:color w:val="auto"/>
          <w:szCs w:val="21"/>
          <w:highlight w:val="none"/>
        </w:rPr>
        <w:t>6.投标人基本情况表(见附表2.6)</w:t>
      </w:r>
    </w:p>
    <w:p>
      <w:pPr>
        <w:snapToGrid w:val="0"/>
        <w:spacing w:line="360" w:lineRule="auto"/>
        <w:ind w:left="953" w:leftChars="454" w:firstLine="105" w:firstLineChars="50"/>
        <w:rPr>
          <w:rFonts w:ascii="仿宋" w:hAnsi="仿宋" w:eastAsia="仿宋" w:cs="仿宋"/>
          <w:color w:val="auto"/>
          <w:szCs w:val="21"/>
          <w:highlight w:val="none"/>
        </w:rPr>
      </w:pPr>
      <w:r>
        <w:rPr>
          <w:rFonts w:hint="eastAsia" w:ascii="仿宋" w:hAnsi="仿宋" w:eastAsia="仿宋" w:cs="仿宋"/>
          <w:color w:val="auto"/>
          <w:szCs w:val="21"/>
          <w:highlight w:val="none"/>
        </w:rPr>
        <w:t>7.202</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年投标人财务状况表（见附表2.7）</w:t>
      </w:r>
    </w:p>
    <w:p>
      <w:pPr>
        <w:snapToGrid w:val="0"/>
        <w:spacing w:line="360" w:lineRule="auto"/>
        <w:ind w:left="953" w:leftChars="454" w:firstLine="105" w:firstLineChars="50"/>
        <w:rPr>
          <w:rFonts w:ascii="仿宋" w:hAnsi="仿宋" w:eastAsia="仿宋" w:cs="仿宋"/>
          <w:color w:val="auto"/>
          <w:szCs w:val="21"/>
          <w:highlight w:val="none"/>
        </w:rPr>
      </w:pPr>
      <w:r>
        <w:rPr>
          <w:rFonts w:hint="eastAsia" w:ascii="仿宋" w:hAnsi="仿宋" w:eastAsia="仿宋" w:cs="仿宋"/>
          <w:color w:val="auto"/>
          <w:szCs w:val="21"/>
          <w:highlight w:val="none"/>
        </w:rPr>
        <w:t>8.中标服务费承诺书(见附表2.8)</w:t>
      </w:r>
    </w:p>
    <w:p>
      <w:pPr>
        <w:snapToGrid w:val="0"/>
        <w:spacing w:line="360" w:lineRule="auto"/>
        <w:ind w:left="953" w:leftChars="454" w:firstLine="105" w:firstLineChars="50"/>
        <w:rPr>
          <w:rFonts w:ascii="仿宋" w:hAnsi="仿宋" w:eastAsia="仿宋" w:cs="仿宋"/>
          <w:color w:val="auto"/>
          <w:szCs w:val="21"/>
          <w:highlight w:val="none"/>
        </w:rPr>
      </w:pPr>
      <w:r>
        <w:rPr>
          <w:rFonts w:hint="eastAsia" w:ascii="仿宋" w:hAnsi="仿宋" w:eastAsia="仿宋" w:cs="仿宋"/>
          <w:color w:val="auto"/>
          <w:szCs w:val="21"/>
          <w:highlight w:val="none"/>
        </w:rPr>
        <w:t>9.项目管理架构 (见附表2.9)</w:t>
      </w:r>
    </w:p>
    <w:p>
      <w:pPr>
        <w:snapToGrid w:val="0"/>
        <w:spacing w:line="360" w:lineRule="auto"/>
        <w:ind w:firstLine="1050" w:firstLineChars="5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10.商务条款响应表格式(见附表2.10) </w:t>
      </w:r>
    </w:p>
    <w:p>
      <w:pPr>
        <w:snapToGrid w:val="0"/>
        <w:spacing w:line="360" w:lineRule="auto"/>
        <w:ind w:left="953" w:leftChars="454" w:firstLine="315" w:firstLineChars="150"/>
        <w:rPr>
          <w:rFonts w:ascii="仿宋" w:hAnsi="仿宋" w:eastAsia="仿宋" w:cs="仿宋"/>
          <w:color w:val="auto"/>
          <w:szCs w:val="21"/>
          <w:highlight w:val="none"/>
        </w:rPr>
      </w:pPr>
      <w:r>
        <w:rPr>
          <w:rFonts w:hint="eastAsia" w:ascii="仿宋" w:hAnsi="仿宋" w:eastAsia="仿宋" w:cs="仿宋"/>
          <w:color w:val="auto"/>
          <w:szCs w:val="21"/>
          <w:highlight w:val="none"/>
        </w:rPr>
        <w:t>10.1 实质性商务条款（“★”项）响应表</w:t>
      </w:r>
    </w:p>
    <w:p>
      <w:pPr>
        <w:snapToGrid w:val="0"/>
        <w:spacing w:line="360" w:lineRule="auto"/>
        <w:ind w:left="953" w:leftChars="454" w:firstLine="315" w:firstLineChars="150"/>
        <w:rPr>
          <w:rFonts w:ascii="仿宋" w:hAnsi="仿宋" w:eastAsia="仿宋" w:cs="仿宋"/>
          <w:color w:val="auto"/>
          <w:szCs w:val="21"/>
          <w:highlight w:val="none"/>
        </w:rPr>
      </w:pPr>
      <w:r>
        <w:rPr>
          <w:rFonts w:hint="eastAsia" w:ascii="仿宋" w:hAnsi="仿宋" w:eastAsia="仿宋" w:cs="仿宋"/>
          <w:color w:val="auto"/>
          <w:szCs w:val="21"/>
          <w:highlight w:val="none"/>
        </w:rPr>
        <w:t>10.2 一般商务条款响应表</w:t>
      </w:r>
    </w:p>
    <w:p>
      <w:pPr>
        <w:snapToGrid w:val="0"/>
        <w:spacing w:line="360" w:lineRule="auto"/>
        <w:ind w:left="953" w:leftChars="454" w:firstLine="105" w:firstLineChars="50"/>
        <w:rPr>
          <w:rFonts w:ascii="仿宋" w:hAnsi="仿宋" w:eastAsia="仿宋" w:cs="仿宋"/>
          <w:color w:val="auto"/>
          <w:szCs w:val="21"/>
          <w:highlight w:val="none"/>
        </w:rPr>
      </w:pPr>
      <w:r>
        <w:rPr>
          <w:rFonts w:hint="eastAsia" w:ascii="仿宋" w:hAnsi="仿宋" w:eastAsia="仿宋" w:cs="仿宋"/>
          <w:color w:val="auto"/>
          <w:szCs w:val="21"/>
          <w:highlight w:val="none"/>
        </w:rPr>
        <w:t>11.各项声明函（落实政府采购政策时所需） (见附表2.11) （如有）</w:t>
      </w:r>
    </w:p>
    <w:p>
      <w:pPr>
        <w:snapToGrid w:val="0"/>
        <w:spacing w:line="360" w:lineRule="auto"/>
        <w:ind w:left="953" w:leftChars="454" w:firstLine="105" w:firstLineChars="5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11.1 中小企业声明函格式</w:t>
      </w:r>
      <w:bookmarkStart w:id="25" w:name="_Hlk495872756"/>
      <w:r>
        <w:rPr>
          <w:rFonts w:hint="eastAsia" w:ascii="仿宋" w:hAnsi="仿宋" w:eastAsia="仿宋" w:cs="仿宋"/>
          <w:color w:val="auto"/>
          <w:szCs w:val="21"/>
          <w:highlight w:val="none"/>
        </w:rPr>
        <w:t>(见附表2.11-1)</w:t>
      </w:r>
      <w:bookmarkEnd w:id="25"/>
      <w:r>
        <w:rPr>
          <w:rFonts w:hint="eastAsia" w:ascii="仿宋" w:hAnsi="仿宋" w:eastAsia="仿宋" w:cs="仿宋"/>
          <w:color w:val="auto"/>
          <w:szCs w:val="21"/>
          <w:highlight w:val="none"/>
        </w:rPr>
        <w:t>（如有）</w:t>
      </w:r>
    </w:p>
    <w:p>
      <w:pPr>
        <w:snapToGrid w:val="0"/>
        <w:spacing w:line="360" w:lineRule="auto"/>
        <w:ind w:left="953" w:leftChars="454" w:firstLine="105" w:firstLineChars="5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11.2 监狱企业的证明文件格(见附表2.11-2)（如有）</w:t>
      </w:r>
    </w:p>
    <w:p>
      <w:pPr>
        <w:snapToGrid w:val="0"/>
        <w:spacing w:line="360" w:lineRule="auto"/>
        <w:ind w:left="953" w:leftChars="454" w:firstLine="105" w:firstLineChars="5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11.3 残疾人福利性单位的声明函及证明文件</w:t>
      </w:r>
      <w:bookmarkStart w:id="26" w:name="_Hlk495872848"/>
      <w:r>
        <w:rPr>
          <w:rFonts w:hint="eastAsia" w:ascii="仿宋" w:hAnsi="仿宋" w:eastAsia="仿宋" w:cs="仿宋"/>
          <w:color w:val="auto"/>
          <w:szCs w:val="21"/>
          <w:highlight w:val="none"/>
        </w:rPr>
        <w:t>(见附表2.11-3)</w:t>
      </w:r>
      <w:bookmarkEnd w:id="26"/>
      <w:r>
        <w:rPr>
          <w:rFonts w:hint="eastAsia" w:ascii="仿宋" w:hAnsi="仿宋" w:eastAsia="仿宋" w:cs="仿宋"/>
          <w:color w:val="auto"/>
          <w:szCs w:val="21"/>
          <w:highlight w:val="none"/>
        </w:rPr>
        <w:t>（如有）</w:t>
      </w:r>
    </w:p>
    <w:p>
      <w:pPr>
        <w:snapToGrid w:val="0"/>
        <w:spacing w:line="360" w:lineRule="auto"/>
        <w:ind w:left="953" w:leftChars="454" w:firstLine="105" w:firstLineChars="50"/>
        <w:rPr>
          <w:rFonts w:ascii="仿宋" w:hAnsi="仿宋" w:eastAsia="仿宋" w:cs="仿宋"/>
          <w:color w:val="auto"/>
          <w:szCs w:val="21"/>
          <w:highlight w:val="none"/>
        </w:rPr>
      </w:pPr>
      <w:r>
        <w:rPr>
          <w:rFonts w:hint="eastAsia" w:ascii="仿宋" w:hAnsi="仿宋" w:eastAsia="仿宋" w:cs="仿宋"/>
          <w:color w:val="auto"/>
          <w:szCs w:val="21"/>
          <w:highlight w:val="none"/>
        </w:rPr>
        <w:t>12. 投标人认为完成本项目所需的其他证明文件(见附表2.12)</w:t>
      </w:r>
    </w:p>
    <w:p>
      <w:pPr>
        <w:snapToGrid w:val="0"/>
        <w:spacing w:line="360" w:lineRule="auto"/>
        <w:ind w:left="953" w:leftChars="454" w:firstLine="105" w:firstLineChars="50"/>
        <w:rPr>
          <w:rFonts w:ascii="仿宋" w:hAnsi="仿宋" w:eastAsia="仿宋" w:cs="仿宋"/>
          <w:color w:val="auto"/>
          <w:szCs w:val="21"/>
          <w:highlight w:val="none"/>
        </w:rPr>
      </w:pPr>
      <w:r>
        <w:rPr>
          <w:rFonts w:hint="eastAsia" w:ascii="仿宋" w:hAnsi="仿宋" w:eastAsia="仿宋" w:cs="仿宋"/>
          <w:color w:val="auto"/>
          <w:szCs w:val="21"/>
          <w:highlight w:val="none"/>
        </w:rPr>
        <w:t>13.</w:t>
      </w:r>
      <w:r>
        <w:rPr>
          <w:rFonts w:hint="eastAsia" w:ascii="仿宋" w:hAnsi="仿宋" w:eastAsia="仿宋" w:cs="仿宋"/>
          <w:color w:val="auto"/>
          <w:highlight w:val="none"/>
        </w:rPr>
        <w:t xml:space="preserve"> </w:t>
      </w:r>
      <w:r>
        <w:rPr>
          <w:rFonts w:hint="eastAsia" w:ascii="仿宋" w:hAnsi="仿宋" w:eastAsia="仿宋" w:cs="仿宋"/>
          <w:color w:val="auto"/>
          <w:szCs w:val="21"/>
          <w:highlight w:val="none"/>
        </w:rPr>
        <w:t>公平竞争承诺书</w:t>
      </w:r>
      <w:bookmarkStart w:id="27" w:name="_Hlk495872921"/>
      <w:r>
        <w:rPr>
          <w:rFonts w:hint="eastAsia" w:ascii="仿宋" w:hAnsi="仿宋" w:eastAsia="仿宋" w:cs="仿宋"/>
          <w:color w:val="auto"/>
          <w:szCs w:val="21"/>
          <w:highlight w:val="none"/>
        </w:rPr>
        <w:t>(见附表2.13)</w:t>
      </w:r>
      <w:bookmarkEnd w:id="27"/>
    </w:p>
    <w:p>
      <w:pPr>
        <w:spacing w:line="360" w:lineRule="auto"/>
        <w:ind w:firstLine="527" w:firstLineChars="250"/>
        <w:rPr>
          <w:rFonts w:hAnsi="宋体" w:cs="宋体"/>
          <w:color w:val="auto"/>
          <w:kern w:val="2"/>
          <w:szCs w:val="21"/>
          <w:highlight w:val="none"/>
        </w:rPr>
      </w:pPr>
      <w:r>
        <w:rPr>
          <w:rFonts w:hint="eastAsia" w:hAnsi="宋体" w:cs="宋体"/>
          <w:b/>
          <w:bCs/>
          <w:color w:val="auto"/>
          <w:szCs w:val="21"/>
          <w:highlight w:val="none"/>
          <w:lang w:val="zh-CN"/>
        </w:rPr>
        <w:t>三、</w:t>
      </w:r>
      <w:r>
        <w:rPr>
          <w:rFonts w:hint="eastAsia" w:hAnsi="宋体" w:cs="宋体"/>
          <w:b/>
          <w:bCs/>
          <w:color w:val="auto"/>
          <w:kern w:val="2"/>
          <w:szCs w:val="21"/>
          <w:highlight w:val="none"/>
          <w:lang w:val="zh-CN"/>
        </w:rPr>
        <w:t>技术部分文件</w:t>
      </w:r>
    </w:p>
    <w:p>
      <w:pPr>
        <w:snapToGrid w:val="0"/>
        <w:spacing w:line="360" w:lineRule="auto"/>
        <w:ind w:left="953" w:leftChars="454" w:firstLine="105" w:firstLineChars="50"/>
        <w:rPr>
          <w:rFonts w:ascii="仿宋" w:hAnsi="仿宋" w:eastAsia="仿宋" w:cs="仿宋"/>
          <w:color w:val="auto"/>
          <w:szCs w:val="21"/>
          <w:highlight w:val="none"/>
        </w:rPr>
      </w:pPr>
      <w:r>
        <w:rPr>
          <w:rFonts w:ascii="仿宋" w:hAnsi="仿宋" w:eastAsia="仿宋" w:cs="仿宋"/>
          <w:color w:val="auto"/>
          <w:szCs w:val="21"/>
          <w:highlight w:val="none"/>
        </w:rPr>
        <w:t>1</w:t>
      </w:r>
      <w:r>
        <w:rPr>
          <w:rFonts w:hint="eastAsia" w:ascii="仿宋" w:hAnsi="仿宋" w:eastAsia="仿宋" w:cs="仿宋"/>
          <w:color w:val="auto"/>
          <w:szCs w:val="21"/>
          <w:highlight w:val="none"/>
        </w:rPr>
        <w:t>.</w:t>
      </w:r>
      <w:r>
        <w:rPr>
          <w:rFonts w:hint="eastAsia"/>
          <w:color w:val="auto"/>
          <w:highlight w:val="none"/>
        </w:rPr>
        <w:t xml:space="preserve"> </w:t>
      </w:r>
      <w:r>
        <w:rPr>
          <w:rFonts w:hint="eastAsia" w:ascii="仿宋" w:hAnsi="仿宋" w:eastAsia="仿宋" w:cs="仿宋"/>
          <w:color w:val="auto"/>
          <w:szCs w:val="21"/>
          <w:highlight w:val="none"/>
        </w:rPr>
        <w:t>需求分析及运营服务原则和思路 (见附表3.</w:t>
      </w:r>
      <w:r>
        <w:rPr>
          <w:rFonts w:ascii="仿宋" w:hAnsi="仿宋" w:eastAsia="仿宋" w:cs="仿宋"/>
          <w:color w:val="auto"/>
          <w:szCs w:val="21"/>
          <w:highlight w:val="none"/>
        </w:rPr>
        <w:t>1</w:t>
      </w:r>
      <w:r>
        <w:rPr>
          <w:rFonts w:hint="eastAsia" w:ascii="仿宋" w:hAnsi="仿宋" w:eastAsia="仿宋" w:cs="仿宋"/>
          <w:color w:val="auto"/>
          <w:szCs w:val="21"/>
          <w:highlight w:val="none"/>
        </w:rPr>
        <w:t>)</w:t>
      </w:r>
    </w:p>
    <w:p>
      <w:pPr>
        <w:snapToGrid w:val="0"/>
        <w:spacing w:line="360" w:lineRule="auto"/>
        <w:ind w:left="953" w:leftChars="454" w:firstLine="105" w:firstLineChars="50"/>
        <w:rPr>
          <w:rFonts w:ascii="仿宋" w:hAnsi="仿宋" w:eastAsia="仿宋" w:cs="仿宋"/>
          <w:color w:val="auto"/>
          <w:szCs w:val="21"/>
          <w:highlight w:val="none"/>
        </w:rPr>
      </w:pPr>
      <w:r>
        <w:rPr>
          <w:rFonts w:ascii="仿宋" w:hAnsi="仿宋" w:eastAsia="仿宋" w:cs="仿宋"/>
          <w:color w:val="auto"/>
          <w:szCs w:val="21"/>
          <w:highlight w:val="none"/>
        </w:rPr>
        <w:t>2</w:t>
      </w:r>
      <w:r>
        <w:rPr>
          <w:rFonts w:hint="eastAsia" w:ascii="仿宋" w:hAnsi="仿宋" w:eastAsia="仿宋" w:cs="仿宋"/>
          <w:color w:val="auto"/>
          <w:szCs w:val="21"/>
          <w:highlight w:val="none"/>
        </w:rPr>
        <w:t>.</w:t>
      </w:r>
      <w:r>
        <w:rPr>
          <w:rFonts w:hint="eastAsia"/>
          <w:color w:val="auto"/>
          <w:highlight w:val="none"/>
        </w:rPr>
        <w:t xml:space="preserve"> </w:t>
      </w:r>
      <w:r>
        <w:rPr>
          <w:rFonts w:hint="eastAsia" w:ascii="仿宋" w:hAnsi="仿宋" w:eastAsia="仿宋" w:cs="仿宋"/>
          <w:color w:val="auto"/>
          <w:szCs w:val="21"/>
          <w:highlight w:val="none"/>
        </w:rPr>
        <w:t>预警信息采集、发布与质控(见附表3.</w:t>
      </w:r>
      <w:r>
        <w:rPr>
          <w:rFonts w:ascii="仿宋" w:hAnsi="仿宋" w:eastAsia="仿宋" w:cs="仿宋"/>
          <w:color w:val="auto"/>
          <w:szCs w:val="21"/>
          <w:highlight w:val="none"/>
        </w:rPr>
        <w:t>2</w:t>
      </w:r>
      <w:r>
        <w:rPr>
          <w:rFonts w:hint="eastAsia" w:ascii="仿宋" w:hAnsi="仿宋" w:eastAsia="仿宋" w:cs="仿宋"/>
          <w:color w:val="auto"/>
          <w:szCs w:val="21"/>
          <w:highlight w:val="none"/>
        </w:rPr>
        <w:t>)</w:t>
      </w:r>
    </w:p>
    <w:p>
      <w:pPr>
        <w:snapToGrid w:val="0"/>
        <w:spacing w:line="360" w:lineRule="auto"/>
        <w:ind w:left="953" w:leftChars="454" w:firstLine="105" w:firstLineChars="50"/>
        <w:rPr>
          <w:rFonts w:ascii="仿宋" w:hAnsi="仿宋" w:eastAsia="仿宋" w:cs="仿宋"/>
          <w:color w:val="auto"/>
          <w:szCs w:val="21"/>
          <w:highlight w:val="none"/>
        </w:rPr>
      </w:pPr>
      <w:r>
        <w:rPr>
          <w:rFonts w:ascii="仿宋" w:hAnsi="仿宋" w:eastAsia="仿宋" w:cs="仿宋"/>
          <w:color w:val="auto"/>
          <w:szCs w:val="21"/>
          <w:highlight w:val="none"/>
        </w:rPr>
        <w:t>3</w:t>
      </w:r>
      <w:r>
        <w:rPr>
          <w:rFonts w:hint="eastAsia" w:ascii="仿宋" w:hAnsi="仿宋" w:eastAsia="仿宋" w:cs="仿宋"/>
          <w:color w:val="auto"/>
          <w:szCs w:val="21"/>
          <w:highlight w:val="none"/>
        </w:rPr>
        <w:t>.</w:t>
      </w:r>
      <w:r>
        <w:rPr>
          <w:rFonts w:hint="eastAsia"/>
          <w:color w:val="auto"/>
          <w:highlight w:val="none"/>
        </w:rPr>
        <w:t xml:space="preserve"> </w:t>
      </w:r>
      <w:r>
        <w:rPr>
          <w:rFonts w:hint="eastAsia" w:ascii="仿宋" w:hAnsi="仿宋" w:eastAsia="仿宋" w:cs="仿宋"/>
          <w:color w:val="auto"/>
          <w:szCs w:val="21"/>
          <w:highlight w:val="none"/>
        </w:rPr>
        <w:t>报灾模块运营服务(见附表3.</w:t>
      </w:r>
      <w:r>
        <w:rPr>
          <w:rFonts w:ascii="仿宋" w:hAnsi="仿宋" w:eastAsia="仿宋" w:cs="仿宋"/>
          <w:color w:val="auto"/>
          <w:szCs w:val="21"/>
          <w:highlight w:val="none"/>
        </w:rPr>
        <w:t>3</w:t>
      </w:r>
      <w:r>
        <w:rPr>
          <w:rFonts w:hint="eastAsia" w:ascii="仿宋" w:hAnsi="仿宋" w:eastAsia="仿宋" w:cs="仿宋"/>
          <w:color w:val="auto"/>
          <w:szCs w:val="21"/>
          <w:highlight w:val="none"/>
        </w:rPr>
        <w:t>)</w:t>
      </w:r>
    </w:p>
    <w:p>
      <w:pPr>
        <w:snapToGrid w:val="0"/>
        <w:spacing w:line="360" w:lineRule="auto"/>
        <w:ind w:left="953" w:leftChars="454" w:firstLine="105" w:firstLineChars="50"/>
        <w:rPr>
          <w:rFonts w:ascii="仿宋" w:hAnsi="仿宋" w:eastAsia="仿宋" w:cs="仿宋"/>
          <w:color w:val="auto"/>
          <w:szCs w:val="21"/>
          <w:highlight w:val="none"/>
        </w:rPr>
      </w:pPr>
      <w:r>
        <w:rPr>
          <w:rFonts w:ascii="仿宋" w:hAnsi="仿宋" w:eastAsia="仿宋" w:cs="仿宋"/>
          <w:color w:val="auto"/>
          <w:szCs w:val="21"/>
          <w:highlight w:val="none"/>
        </w:rPr>
        <w:t>4</w:t>
      </w:r>
      <w:r>
        <w:rPr>
          <w:rFonts w:hint="eastAsia" w:ascii="仿宋" w:hAnsi="仿宋" w:eastAsia="仿宋" w:cs="仿宋"/>
          <w:color w:val="auto"/>
          <w:szCs w:val="21"/>
          <w:highlight w:val="none"/>
        </w:rPr>
        <w:t>.</w:t>
      </w:r>
      <w:r>
        <w:rPr>
          <w:rFonts w:hint="eastAsia"/>
          <w:color w:val="auto"/>
          <w:highlight w:val="none"/>
        </w:rPr>
        <w:t xml:space="preserve"> </w:t>
      </w:r>
      <w:r>
        <w:rPr>
          <w:rFonts w:hint="eastAsia" w:ascii="仿宋" w:hAnsi="仿宋" w:eastAsia="仿宋" w:cs="仿宋"/>
          <w:color w:val="auto"/>
          <w:szCs w:val="21"/>
          <w:highlight w:val="none"/>
        </w:rPr>
        <w:t>预警信息发布系统运营服务(见附表3.</w:t>
      </w:r>
      <w:r>
        <w:rPr>
          <w:rFonts w:ascii="仿宋" w:hAnsi="仿宋" w:eastAsia="仿宋" w:cs="仿宋"/>
          <w:color w:val="auto"/>
          <w:szCs w:val="21"/>
          <w:highlight w:val="none"/>
        </w:rPr>
        <w:t>4</w:t>
      </w:r>
      <w:r>
        <w:rPr>
          <w:rFonts w:hint="eastAsia" w:ascii="仿宋" w:hAnsi="仿宋" w:eastAsia="仿宋" w:cs="仿宋"/>
          <w:color w:val="auto"/>
          <w:szCs w:val="21"/>
          <w:highlight w:val="none"/>
        </w:rPr>
        <w:t>)</w:t>
      </w:r>
    </w:p>
    <w:p>
      <w:pPr>
        <w:snapToGrid w:val="0"/>
        <w:spacing w:line="360" w:lineRule="auto"/>
        <w:ind w:left="953" w:leftChars="454" w:firstLine="105" w:firstLineChars="50"/>
        <w:rPr>
          <w:rFonts w:ascii="仿宋" w:hAnsi="仿宋" w:eastAsia="仿宋" w:cs="仿宋"/>
          <w:color w:val="auto"/>
          <w:szCs w:val="21"/>
          <w:highlight w:val="none"/>
        </w:rPr>
      </w:pPr>
      <w:r>
        <w:rPr>
          <w:rFonts w:ascii="仿宋" w:hAnsi="仿宋" w:eastAsia="仿宋" w:cs="仿宋"/>
          <w:color w:val="auto"/>
          <w:szCs w:val="21"/>
          <w:highlight w:val="none"/>
        </w:rPr>
        <w:t>5</w:t>
      </w:r>
      <w:r>
        <w:rPr>
          <w:rFonts w:hint="eastAsia" w:ascii="仿宋" w:hAnsi="仿宋" w:eastAsia="仿宋" w:cs="仿宋"/>
          <w:color w:val="auto"/>
          <w:szCs w:val="21"/>
          <w:highlight w:val="none"/>
        </w:rPr>
        <w:t>.</w:t>
      </w:r>
      <w:r>
        <w:rPr>
          <w:rFonts w:hint="eastAsia"/>
          <w:color w:val="auto"/>
          <w:highlight w:val="none"/>
        </w:rPr>
        <w:t xml:space="preserve"> </w:t>
      </w:r>
      <w:r>
        <w:rPr>
          <w:rFonts w:hint="eastAsia" w:ascii="仿宋" w:hAnsi="仿宋" w:eastAsia="仿宋" w:cs="仿宋"/>
          <w:color w:val="auto"/>
          <w:szCs w:val="21"/>
          <w:highlight w:val="none"/>
        </w:rPr>
        <w:t>数据接口运营与分析(见附表3.</w:t>
      </w:r>
      <w:r>
        <w:rPr>
          <w:rFonts w:ascii="仿宋" w:hAnsi="仿宋" w:eastAsia="仿宋" w:cs="仿宋"/>
          <w:color w:val="auto"/>
          <w:szCs w:val="21"/>
          <w:highlight w:val="none"/>
        </w:rPr>
        <w:t>5</w:t>
      </w:r>
      <w:r>
        <w:rPr>
          <w:rFonts w:hint="eastAsia" w:ascii="仿宋" w:hAnsi="仿宋" w:eastAsia="仿宋" w:cs="仿宋"/>
          <w:color w:val="auto"/>
          <w:szCs w:val="21"/>
          <w:highlight w:val="none"/>
        </w:rPr>
        <w:t>)</w:t>
      </w:r>
    </w:p>
    <w:p>
      <w:pPr>
        <w:snapToGrid w:val="0"/>
        <w:spacing w:line="360" w:lineRule="auto"/>
        <w:ind w:left="953" w:leftChars="454" w:firstLine="105" w:firstLineChars="50"/>
        <w:rPr>
          <w:rFonts w:ascii="仿宋" w:hAnsi="仿宋" w:eastAsia="仿宋" w:cs="仿宋"/>
          <w:color w:val="auto"/>
          <w:szCs w:val="21"/>
          <w:highlight w:val="none"/>
        </w:rPr>
      </w:pPr>
      <w:r>
        <w:rPr>
          <w:rFonts w:ascii="仿宋" w:hAnsi="仿宋" w:eastAsia="仿宋" w:cs="仿宋"/>
          <w:color w:val="auto"/>
          <w:szCs w:val="21"/>
          <w:highlight w:val="none"/>
        </w:rPr>
        <w:t>6</w:t>
      </w:r>
      <w:r>
        <w:rPr>
          <w:rFonts w:hint="eastAsia" w:ascii="仿宋" w:hAnsi="仿宋" w:eastAsia="仿宋" w:cs="仿宋"/>
          <w:color w:val="auto"/>
          <w:szCs w:val="21"/>
          <w:highlight w:val="none"/>
        </w:rPr>
        <w:t>.</w:t>
      </w:r>
      <w:r>
        <w:rPr>
          <w:rFonts w:hint="eastAsia"/>
          <w:color w:val="auto"/>
          <w:highlight w:val="none"/>
        </w:rPr>
        <w:t xml:space="preserve"> </w:t>
      </w:r>
      <w:r>
        <w:rPr>
          <w:rFonts w:hint="eastAsia" w:ascii="仿宋" w:hAnsi="仿宋" w:eastAsia="仿宋" w:cs="仿宋"/>
          <w:color w:val="auto"/>
          <w:szCs w:val="21"/>
          <w:highlight w:val="none"/>
        </w:rPr>
        <w:t>人员安排 (见附表3.</w:t>
      </w:r>
      <w:r>
        <w:rPr>
          <w:rFonts w:ascii="仿宋" w:hAnsi="仿宋" w:eastAsia="仿宋" w:cs="仿宋"/>
          <w:color w:val="auto"/>
          <w:szCs w:val="21"/>
          <w:highlight w:val="none"/>
        </w:rPr>
        <w:t>6</w:t>
      </w:r>
      <w:r>
        <w:rPr>
          <w:rFonts w:hint="eastAsia" w:ascii="仿宋" w:hAnsi="仿宋" w:eastAsia="仿宋" w:cs="仿宋"/>
          <w:color w:val="auto"/>
          <w:szCs w:val="21"/>
          <w:highlight w:val="none"/>
        </w:rPr>
        <w:t>)</w:t>
      </w:r>
    </w:p>
    <w:p>
      <w:pPr>
        <w:spacing w:line="360" w:lineRule="auto"/>
        <w:ind w:firstLine="527" w:firstLineChars="250"/>
        <w:rPr>
          <w:rFonts w:hAnsi="宋体" w:cs="宋体"/>
          <w:color w:val="auto"/>
          <w:kern w:val="2"/>
          <w:szCs w:val="21"/>
          <w:highlight w:val="none"/>
        </w:rPr>
      </w:pPr>
      <w:r>
        <w:rPr>
          <w:rFonts w:hint="eastAsia" w:hAnsi="宋体" w:cs="宋体"/>
          <w:b/>
          <w:bCs/>
          <w:color w:val="auto"/>
          <w:szCs w:val="21"/>
          <w:highlight w:val="none"/>
          <w:lang w:val="zh-CN"/>
        </w:rPr>
        <w:t>四、价格</w:t>
      </w:r>
      <w:r>
        <w:rPr>
          <w:rFonts w:hint="eastAsia" w:hAnsi="宋体" w:cs="宋体"/>
          <w:b/>
          <w:bCs/>
          <w:color w:val="auto"/>
          <w:kern w:val="2"/>
          <w:szCs w:val="21"/>
          <w:highlight w:val="none"/>
          <w:lang w:val="zh-CN"/>
        </w:rPr>
        <w:t>部分文件</w:t>
      </w:r>
    </w:p>
    <w:p>
      <w:pPr>
        <w:snapToGrid w:val="0"/>
        <w:spacing w:line="360" w:lineRule="auto"/>
        <w:ind w:left="953" w:leftChars="454" w:firstLine="105" w:firstLineChars="50"/>
        <w:rPr>
          <w:rFonts w:ascii="仿宋" w:hAnsi="仿宋" w:eastAsia="仿宋" w:cs="仿宋"/>
          <w:color w:val="auto"/>
          <w:szCs w:val="21"/>
          <w:highlight w:val="none"/>
        </w:rPr>
      </w:pPr>
      <w:r>
        <w:rPr>
          <w:rFonts w:hint="eastAsia" w:ascii="仿宋" w:hAnsi="仿宋" w:eastAsia="仿宋" w:cs="仿宋"/>
          <w:color w:val="auto"/>
          <w:szCs w:val="21"/>
          <w:highlight w:val="none"/>
        </w:rPr>
        <w:t>1.投标报价总表(见附表4.1)</w:t>
      </w:r>
    </w:p>
    <w:p>
      <w:pPr>
        <w:snapToGrid w:val="0"/>
        <w:spacing w:line="360" w:lineRule="auto"/>
        <w:ind w:left="953" w:leftChars="454" w:firstLine="105" w:firstLineChars="50"/>
        <w:rPr>
          <w:rFonts w:ascii="仿宋" w:hAnsi="仿宋" w:eastAsia="仿宋" w:cs="仿宋"/>
          <w:color w:val="auto"/>
          <w:szCs w:val="21"/>
          <w:highlight w:val="none"/>
        </w:rPr>
      </w:pPr>
      <w:r>
        <w:rPr>
          <w:rFonts w:hint="eastAsia" w:ascii="仿宋" w:hAnsi="仿宋" w:eastAsia="仿宋" w:cs="仿宋"/>
          <w:color w:val="auto"/>
          <w:szCs w:val="21"/>
          <w:highlight w:val="none"/>
        </w:rPr>
        <w:t>2.分项报价明细表(见附表4.2)</w:t>
      </w:r>
    </w:p>
    <w:p>
      <w:pPr>
        <w:pStyle w:val="120"/>
        <w:rPr>
          <w:color w:val="auto"/>
          <w:highlight w:val="none"/>
        </w:rPr>
      </w:pPr>
    </w:p>
    <w:p>
      <w:pPr>
        <w:spacing w:line="360" w:lineRule="auto"/>
        <w:ind w:firstLine="211" w:firstLineChars="100"/>
        <w:jc w:val="both"/>
        <w:rPr>
          <w:rFonts w:hAnsi="宋体" w:cs="宋体"/>
          <w:b/>
          <w:bCs/>
          <w:color w:val="auto"/>
          <w:kern w:val="2"/>
          <w:szCs w:val="21"/>
          <w:highlight w:val="none"/>
          <w:lang w:val="zh-CN"/>
        </w:rPr>
      </w:pPr>
      <w:r>
        <w:rPr>
          <w:rFonts w:hint="eastAsia" w:hAnsi="宋体" w:cs="宋体"/>
          <w:b/>
          <w:bCs/>
          <w:color w:val="auto"/>
          <w:kern w:val="2"/>
          <w:szCs w:val="21"/>
          <w:highlight w:val="none"/>
          <w:lang w:val="zh-CN"/>
        </w:rPr>
        <w:t>唱标信封另单独封装，按以下顺序装订：</w:t>
      </w:r>
    </w:p>
    <w:p>
      <w:pPr>
        <w:spacing w:line="360" w:lineRule="auto"/>
        <w:ind w:left="1026" w:leftChars="355" w:hanging="281" w:hangingChars="134"/>
        <w:rPr>
          <w:rFonts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1) 投标函（从投标文件正本中复印，加盖投标人法人公章）；</w:t>
      </w:r>
    </w:p>
    <w:p>
      <w:pPr>
        <w:spacing w:line="360" w:lineRule="auto"/>
        <w:ind w:left="1026" w:leftChars="355" w:hanging="281" w:hangingChars="134"/>
        <w:rPr>
          <w:rFonts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2）投标报价总表（从投标文件正本中复印，加盖投标人法人公章）；</w:t>
      </w:r>
    </w:p>
    <w:p>
      <w:pPr>
        <w:spacing w:line="360" w:lineRule="auto"/>
        <w:ind w:left="1026" w:leftChars="355" w:hanging="281" w:hangingChars="134"/>
        <w:rPr>
          <w:rFonts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3）法定代表人证明书及法定代表人授权书（复印件）（原件单独递交无须密封，在递交投标文件时单独递交）；</w:t>
      </w:r>
    </w:p>
    <w:p>
      <w:pPr>
        <w:spacing w:line="360" w:lineRule="auto"/>
        <w:ind w:left="1026" w:leftChars="355" w:hanging="281" w:hangingChars="134"/>
        <w:rPr>
          <w:rFonts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4）电子文件（含投标文件经济文件、商务技术文件, 电子投标文件采用CD－R光盘或U盘装载，其中经济部分需用MS office的excel格式提供。）</w:t>
      </w:r>
    </w:p>
    <w:p>
      <w:pPr>
        <w:spacing w:line="360" w:lineRule="auto"/>
        <w:ind w:left="1026" w:leftChars="355" w:hanging="281" w:hangingChars="134"/>
        <w:rPr>
          <w:rFonts w:hAnsi="宋体" w:cs="宋体"/>
          <w:color w:val="auto"/>
          <w:szCs w:val="21"/>
          <w:highlight w:val="none"/>
          <w:lang w:val="zh-CN"/>
        </w:rPr>
      </w:pPr>
    </w:p>
    <w:p>
      <w:pPr>
        <w:spacing w:line="360" w:lineRule="auto"/>
        <w:ind w:left="1026" w:leftChars="355" w:hanging="281" w:hangingChars="134"/>
        <w:rPr>
          <w:rFonts w:hAnsi="宋体" w:cs="宋体"/>
          <w:color w:val="auto"/>
          <w:szCs w:val="21"/>
          <w:highlight w:val="none"/>
          <w:lang w:val="zh-CN"/>
        </w:rPr>
      </w:pPr>
    </w:p>
    <w:p>
      <w:pPr>
        <w:spacing w:line="360" w:lineRule="auto"/>
        <w:ind w:left="1026" w:leftChars="355" w:hanging="281" w:hangingChars="134"/>
        <w:rPr>
          <w:rFonts w:hAnsi="宋体" w:cs="宋体"/>
          <w:color w:val="auto"/>
          <w:szCs w:val="21"/>
          <w:highlight w:val="none"/>
          <w:lang w:val="zh-CN"/>
        </w:rPr>
      </w:pPr>
    </w:p>
    <w:p>
      <w:pPr>
        <w:spacing w:line="360" w:lineRule="auto"/>
        <w:ind w:left="1026" w:leftChars="355" w:hanging="281" w:hangingChars="134"/>
        <w:rPr>
          <w:rFonts w:hAnsi="宋体" w:cs="宋体"/>
          <w:color w:val="auto"/>
          <w:szCs w:val="21"/>
          <w:highlight w:val="none"/>
          <w:lang w:val="zh-CN"/>
        </w:rPr>
      </w:pPr>
    </w:p>
    <w:p>
      <w:pPr>
        <w:spacing w:line="360" w:lineRule="auto"/>
        <w:ind w:left="1026" w:leftChars="355" w:hanging="281" w:hangingChars="134"/>
        <w:rPr>
          <w:rFonts w:hAnsi="宋体" w:cs="宋体"/>
          <w:color w:val="auto"/>
          <w:szCs w:val="21"/>
          <w:highlight w:val="none"/>
          <w:lang w:val="zh-CN"/>
        </w:rPr>
      </w:pPr>
    </w:p>
    <w:p>
      <w:pPr>
        <w:spacing w:line="360" w:lineRule="auto"/>
        <w:ind w:left="1026" w:leftChars="355" w:hanging="281" w:hangingChars="134"/>
        <w:rPr>
          <w:rFonts w:hAnsi="宋体" w:cs="宋体"/>
          <w:color w:val="auto"/>
          <w:szCs w:val="21"/>
          <w:highlight w:val="none"/>
          <w:lang w:val="zh-CN"/>
        </w:rPr>
      </w:pPr>
    </w:p>
    <w:p>
      <w:pPr>
        <w:spacing w:line="360" w:lineRule="auto"/>
        <w:ind w:left="1026" w:leftChars="355" w:hanging="281" w:hangingChars="134"/>
        <w:rPr>
          <w:rFonts w:hAnsi="宋体" w:cs="宋体"/>
          <w:color w:val="auto"/>
          <w:szCs w:val="21"/>
          <w:highlight w:val="none"/>
          <w:lang w:val="zh-CN"/>
        </w:rPr>
      </w:pPr>
    </w:p>
    <w:p>
      <w:pPr>
        <w:spacing w:line="360" w:lineRule="auto"/>
        <w:ind w:left="1026" w:leftChars="355" w:hanging="281" w:hangingChars="134"/>
        <w:rPr>
          <w:rFonts w:hAnsi="宋体" w:cs="宋体"/>
          <w:color w:val="auto"/>
          <w:szCs w:val="21"/>
          <w:highlight w:val="none"/>
          <w:lang w:val="zh-CN"/>
        </w:rPr>
      </w:pPr>
    </w:p>
    <w:p>
      <w:pPr>
        <w:spacing w:line="360" w:lineRule="auto"/>
        <w:ind w:left="1026" w:leftChars="355" w:hanging="281" w:hangingChars="134"/>
        <w:rPr>
          <w:rFonts w:hAnsi="宋体" w:cs="宋体"/>
          <w:color w:val="auto"/>
          <w:szCs w:val="21"/>
          <w:highlight w:val="none"/>
          <w:lang w:val="zh-CN"/>
        </w:rPr>
      </w:pPr>
    </w:p>
    <w:p>
      <w:pPr>
        <w:spacing w:line="360" w:lineRule="auto"/>
        <w:ind w:left="1026" w:leftChars="355" w:hanging="281" w:hangingChars="134"/>
        <w:rPr>
          <w:rFonts w:hAnsi="宋体" w:cs="宋体"/>
          <w:color w:val="auto"/>
          <w:szCs w:val="21"/>
          <w:highlight w:val="none"/>
          <w:lang w:val="zh-CN"/>
        </w:rPr>
      </w:pPr>
    </w:p>
    <w:p>
      <w:pPr>
        <w:pStyle w:val="120"/>
        <w:rPr>
          <w:rFonts w:hAnsi="宋体" w:cs="宋体"/>
          <w:color w:val="auto"/>
          <w:szCs w:val="21"/>
          <w:highlight w:val="none"/>
          <w:lang w:val="zh-CN"/>
        </w:rPr>
      </w:pPr>
    </w:p>
    <w:p>
      <w:pPr>
        <w:pStyle w:val="120"/>
        <w:rPr>
          <w:rFonts w:hAnsi="宋体" w:cs="宋体"/>
          <w:color w:val="auto"/>
          <w:szCs w:val="21"/>
          <w:highlight w:val="none"/>
          <w:lang w:val="zh-CN"/>
        </w:rPr>
      </w:pPr>
    </w:p>
    <w:p>
      <w:pPr>
        <w:pStyle w:val="120"/>
        <w:rPr>
          <w:rFonts w:hAnsi="宋体" w:cs="宋体"/>
          <w:color w:val="auto"/>
          <w:szCs w:val="21"/>
          <w:highlight w:val="none"/>
          <w:lang w:val="zh-CN"/>
        </w:rPr>
      </w:pPr>
    </w:p>
    <w:p>
      <w:pPr>
        <w:pStyle w:val="120"/>
        <w:rPr>
          <w:rFonts w:hAnsi="宋体" w:cs="宋体"/>
          <w:color w:val="auto"/>
          <w:szCs w:val="21"/>
          <w:highlight w:val="none"/>
          <w:lang w:val="zh-CN"/>
        </w:rPr>
      </w:pPr>
    </w:p>
    <w:p>
      <w:pPr>
        <w:pStyle w:val="120"/>
        <w:rPr>
          <w:rFonts w:hAnsi="宋体" w:cs="宋体"/>
          <w:color w:val="auto"/>
          <w:szCs w:val="21"/>
          <w:highlight w:val="none"/>
          <w:lang w:val="zh-CN"/>
        </w:rPr>
      </w:pPr>
    </w:p>
    <w:p>
      <w:pPr>
        <w:pStyle w:val="120"/>
        <w:rPr>
          <w:rFonts w:hAnsi="宋体" w:cs="宋体"/>
          <w:color w:val="auto"/>
          <w:szCs w:val="21"/>
          <w:highlight w:val="none"/>
          <w:lang w:val="zh-CN"/>
        </w:rPr>
      </w:pPr>
    </w:p>
    <w:p>
      <w:pPr>
        <w:pStyle w:val="120"/>
        <w:rPr>
          <w:rFonts w:hAnsi="宋体" w:cs="宋体"/>
          <w:color w:val="auto"/>
          <w:szCs w:val="21"/>
          <w:highlight w:val="none"/>
          <w:lang w:val="zh-CN"/>
        </w:rPr>
      </w:pPr>
    </w:p>
    <w:p>
      <w:pPr>
        <w:pStyle w:val="120"/>
        <w:rPr>
          <w:rFonts w:hAnsi="宋体" w:cs="宋体"/>
          <w:color w:val="auto"/>
          <w:szCs w:val="21"/>
          <w:highlight w:val="none"/>
          <w:lang w:val="zh-CN"/>
        </w:rPr>
      </w:pPr>
    </w:p>
    <w:p>
      <w:pPr>
        <w:pStyle w:val="120"/>
        <w:rPr>
          <w:rFonts w:hAnsi="宋体" w:cs="宋体"/>
          <w:color w:val="auto"/>
          <w:szCs w:val="21"/>
          <w:highlight w:val="none"/>
          <w:lang w:val="zh-CN"/>
        </w:rPr>
      </w:pPr>
    </w:p>
    <w:p>
      <w:pPr>
        <w:pStyle w:val="120"/>
        <w:rPr>
          <w:rFonts w:hAnsi="宋体" w:cs="宋体"/>
          <w:color w:val="auto"/>
          <w:szCs w:val="21"/>
          <w:highlight w:val="none"/>
          <w:lang w:val="zh-CN"/>
        </w:rPr>
      </w:pPr>
    </w:p>
    <w:p>
      <w:pPr>
        <w:pStyle w:val="120"/>
        <w:rPr>
          <w:rFonts w:hAnsi="宋体" w:cs="宋体"/>
          <w:color w:val="auto"/>
          <w:szCs w:val="21"/>
          <w:highlight w:val="none"/>
          <w:lang w:val="zh-CN"/>
        </w:rPr>
      </w:pPr>
    </w:p>
    <w:p>
      <w:pPr>
        <w:spacing w:line="360" w:lineRule="auto"/>
        <w:rPr>
          <w:rFonts w:hAnsi="宋体" w:cs="宋体"/>
          <w:color w:val="auto"/>
          <w:szCs w:val="21"/>
          <w:highlight w:val="none"/>
          <w:lang w:val="zh-CN"/>
        </w:rPr>
      </w:pPr>
    </w:p>
    <w:p>
      <w:pPr>
        <w:pStyle w:val="120"/>
        <w:rPr>
          <w:rFonts w:hAnsi="宋体" w:cs="宋体"/>
          <w:color w:val="auto"/>
          <w:szCs w:val="21"/>
          <w:highlight w:val="none"/>
          <w:lang w:val="zh-CN"/>
        </w:rPr>
      </w:pPr>
    </w:p>
    <w:p>
      <w:pPr>
        <w:pStyle w:val="120"/>
        <w:rPr>
          <w:rFonts w:hAnsi="宋体" w:cs="宋体"/>
          <w:color w:val="auto"/>
          <w:szCs w:val="21"/>
          <w:highlight w:val="none"/>
          <w:lang w:val="zh-CN"/>
        </w:rPr>
      </w:pPr>
    </w:p>
    <w:p>
      <w:pPr>
        <w:pStyle w:val="120"/>
        <w:rPr>
          <w:rFonts w:hAnsi="宋体" w:cs="宋体"/>
          <w:color w:val="auto"/>
          <w:szCs w:val="21"/>
          <w:highlight w:val="none"/>
          <w:lang w:val="zh-CN"/>
        </w:rPr>
      </w:pPr>
    </w:p>
    <w:p>
      <w:pPr>
        <w:pStyle w:val="120"/>
        <w:rPr>
          <w:rFonts w:hAnsi="宋体" w:cs="宋体"/>
          <w:color w:val="auto"/>
          <w:szCs w:val="21"/>
          <w:highlight w:val="none"/>
          <w:lang w:val="zh-CN"/>
        </w:rPr>
      </w:pPr>
    </w:p>
    <w:p>
      <w:pPr>
        <w:pStyle w:val="120"/>
        <w:rPr>
          <w:rFonts w:hAnsi="宋体" w:cs="宋体"/>
          <w:color w:val="auto"/>
          <w:szCs w:val="21"/>
          <w:highlight w:val="none"/>
          <w:lang w:val="zh-CN"/>
        </w:rPr>
      </w:pPr>
    </w:p>
    <w:p>
      <w:pPr>
        <w:pStyle w:val="120"/>
        <w:rPr>
          <w:rFonts w:hAnsi="宋体" w:cs="宋体"/>
          <w:color w:val="auto"/>
          <w:szCs w:val="21"/>
          <w:highlight w:val="none"/>
          <w:lang w:val="zh-CN"/>
        </w:rPr>
      </w:pPr>
    </w:p>
    <w:p>
      <w:pPr>
        <w:pStyle w:val="120"/>
        <w:rPr>
          <w:rFonts w:hAnsi="宋体" w:cs="宋体"/>
          <w:color w:val="auto"/>
          <w:szCs w:val="21"/>
          <w:highlight w:val="none"/>
          <w:lang w:val="zh-CN"/>
        </w:rPr>
      </w:pPr>
    </w:p>
    <w:p>
      <w:pPr>
        <w:pStyle w:val="120"/>
        <w:rPr>
          <w:rFonts w:hAnsi="宋体" w:cs="宋体"/>
          <w:color w:val="auto"/>
          <w:szCs w:val="21"/>
          <w:highlight w:val="none"/>
          <w:lang w:val="zh-CN"/>
        </w:rPr>
      </w:pPr>
    </w:p>
    <w:p>
      <w:pPr>
        <w:pStyle w:val="120"/>
        <w:rPr>
          <w:rFonts w:hAnsi="宋体" w:cs="宋体"/>
          <w:color w:val="auto"/>
          <w:szCs w:val="21"/>
          <w:highlight w:val="none"/>
          <w:lang w:val="zh-CN"/>
        </w:rPr>
      </w:pPr>
    </w:p>
    <w:p>
      <w:pPr>
        <w:pStyle w:val="120"/>
        <w:rPr>
          <w:rFonts w:hAnsi="宋体" w:cs="宋体"/>
          <w:color w:val="auto"/>
          <w:szCs w:val="21"/>
          <w:highlight w:val="none"/>
          <w:lang w:val="zh-CN"/>
        </w:rPr>
      </w:pPr>
    </w:p>
    <w:p>
      <w:pPr>
        <w:pStyle w:val="120"/>
        <w:rPr>
          <w:rFonts w:hAnsi="宋体" w:cs="宋体"/>
          <w:color w:val="auto"/>
          <w:szCs w:val="21"/>
          <w:highlight w:val="none"/>
          <w:lang w:val="zh-CN"/>
        </w:rPr>
      </w:pPr>
    </w:p>
    <w:p>
      <w:pPr>
        <w:pStyle w:val="120"/>
        <w:rPr>
          <w:rFonts w:hAnsi="宋体" w:cs="宋体"/>
          <w:color w:val="auto"/>
          <w:szCs w:val="21"/>
          <w:highlight w:val="none"/>
          <w:lang w:val="zh-CN"/>
        </w:rPr>
      </w:pPr>
    </w:p>
    <w:p>
      <w:pPr>
        <w:pStyle w:val="120"/>
        <w:rPr>
          <w:rFonts w:hAnsi="宋体" w:cs="宋体"/>
          <w:color w:val="auto"/>
          <w:szCs w:val="21"/>
          <w:highlight w:val="none"/>
          <w:lang w:val="zh-CN"/>
        </w:rPr>
      </w:pPr>
    </w:p>
    <w:p>
      <w:pPr>
        <w:pStyle w:val="120"/>
        <w:rPr>
          <w:rFonts w:hAnsi="宋体" w:cs="宋体"/>
          <w:color w:val="auto"/>
          <w:szCs w:val="21"/>
          <w:highlight w:val="none"/>
          <w:lang w:val="zh-CN"/>
        </w:rPr>
      </w:pPr>
    </w:p>
    <w:p>
      <w:pPr>
        <w:spacing w:line="360" w:lineRule="auto"/>
        <w:rPr>
          <w:rFonts w:hAnsi="宋体"/>
          <w:color w:val="auto"/>
          <w:highlight w:val="none"/>
          <w:lang w:val="zh-CN"/>
        </w:rPr>
      </w:pPr>
      <w:r>
        <w:rPr>
          <w:rFonts w:hint="eastAsia" w:hAnsi="宋体"/>
          <w:color w:val="auto"/>
          <w:highlight w:val="none"/>
          <w:lang w:val="zh-CN"/>
        </w:rPr>
        <w:t>附件：投标文件封面格式：                                         （正/副本）</w:t>
      </w:r>
    </w:p>
    <w:p>
      <w:pPr>
        <w:ind w:right="-26"/>
        <w:jc w:val="center"/>
        <w:rPr>
          <w:b/>
          <w:color w:val="auto"/>
          <w:sz w:val="56"/>
          <w:szCs w:val="52"/>
          <w:highlight w:val="none"/>
        </w:rPr>
      </w:pPr>
    </w:p>
    <w:p>
      <w:pPr>
        <w:tabs>
          <w:tab w:val="left" w:pos="420"/>
          <w:tab w:val="left" w:pos="6660"/>
        </w:tabs>
        <w:spacing w:line="1600" w:lineRule="atLeast"/>
        <w:jc w:val="center"/>
        <w:rPr>
          <w:b/>
          <w:color w:val="auto"/>
          <w:sz w:val="56"/>
          <w:szCs w:val="52"/>
          <w:highlight w:val="none"/>
        </w:rPr>
      </w:pPr>
      <w:r>
        <w:rPr>
          <w:rFonts w:hint="eastAsia"/>
          <w:b/>
          <w:color w:val="auto"/>
          <w:sz w:val="56"/>
          <w:szCs w:val="52"/>
          <w:highlight w:val="none"/>
        </w:rPr>
        <w:t>南海海洋预警信息发布和沿海恶劣天气防灾叫应系统(二期)</w:t>
      </w:r>
    </w:p>
    <w:p>
      <w:pPr>
        <w:tabs>
          <w:tab w:val="left" w:pos="420"/>
          <w:tab w:val="left" w:pos="6660"/>
        </w:tabs>
        <w:spacing w:line="1600" w:lineRule="atLeast"/>
        <w:jc w:val="center"/>
        <w:rPr>
          <w:rFonts w:hAnsi="宋体"/>
          <w:b/>
          <w:color w:val="auto"/>
          <w:sz w:val="72"/>
          <w:szCs w:val="72"/>
          <w:highlight w:val="none"/>
        </w:rPr>
      </w:pPr>
      <w:r>
        <w:rPr>
          <w:rFonts w:hint="eastAsia" w:hAnsi="宋体"/>
          <w:b/>
          <w:color w:val="auto"/>
          <w:sz w:val="72"/>
          <w:szCs w:val="72"/>
          <w:highlight w:val="none"/>
        </w:rPr>
        <w:t>投标文件</w:t>
      </w:r>
    </w:p>
    <w:p>
      <w:pPr>
        <w:ind w:right="-26"/>
        <w:rPr>
          <w:rFonts w:hAnsi="宋体"/>
          <w:b/>
          <w:bCs/>
          <w:color w:val="auto"/>
          <w:kern w:val="2"/>
          <w:sz w:val="44"/>
          <w:szCs w:val="44"/>
          <w:highlight w:val="none"/>
          <w:lang w:val="zh-CN"/>
        </w:rPr>
      </w:pPr>
    </w:p>
    <w:p>
      <w:pPr>
        <w:spacing w:line="500" w:lineRule="exact"/>
        <w:jc w:val="center"/>
        <w:rPr>
          <w:rFonts w:hAnsi="宋体"/>
          <w:b/>
          <w:bCs/>
          <w:color w:val="auto"/>
          <w:sz w:val="28"/>
          <w:szCs w:val="28"/>
          <w:highlight w:val="none"/>
        </w:rPr>
      </w:pPr>
      <w:r>
        <w:rPr>
          <w:rFonts w:hint="eastAsia" w:hAnsi="宋体"/>
          <w:b/>
          <w:bCs/>
          <w:color w:val="auto"/>
          <w:sz w:val="28"/>
          <w:szCs w:val="28"/>
          <w:highlight w:val="none"/>
        </w:rPr>
        <w:t>采购编号：GDYD230090</w:t>
      </w:r>
      <w:r>
        <w:rPr>
          <w:rFonts w:hint="eastAsia" w:hAnsi="宋体"/>
          <w:b/>
          <w:bCs/>
          <w:color w:val="auto"/>
          <w:sz w:val="28"/>
          <w:szCs w:val="28"/>
          <w:highlight w:val="none"/>
        </w:rPr>
        <w:fldChar w:fldCharType="begin"/>
      </w:r>
      <w:r>
        <w:rPr>
          <w:rFonts w:hint="eastAsia" w:hAnsi="宋体"/>
          <w:b/>
          <w:bCs/>
          <w:color w:val="auto"/>
          <w:sz w:val="28"/>
          <w:szCs w:val="28"/>
          <w:highlight w:val="none"/>
        </w:rPr>
        <w:instrText xml:space="preserve"> DOCVARIABLE  采购编号  \* MERGEFORMAT </w:instrText>
      </w:r>
      <w:r>
        <w:rPr>
          <w:rFonts w:hint="eastAsia" w:hAnsi="宋体"/>
          <w:b/>
          <w:bCs/>
          <w:color w:val="auto"/>
          <w:sz w:val="28"/>
          <w:szCs w:val="28"/>
          <w:highlight w:val="none"/>
        </w:rPr>
        <w:fldChar w:fldCharType="end"/>
      </w:r>
    </w:p>
    <w:p>
      <w:pPr>
        <w:spacing w:line="360" w:lineRule="auto"/>
        <w:rPr>
          <w:rFonts w:hAnsi="宋体"/>
          <w:b/>
          <w:color w:val="auto"/>
          <w:sz w:val="28"/>
          <w:szCs w:val="28"/>
          <w:highlight w:val="none"/>
        </w:rPr>
      </w:pPr>
    </w:p>
    <w:p>
      <w:pPr>
        <w:spacing w:line="360" w:lineRule="auto"/>
        <w:rPr>
          <w:rFonts w:hAnsi="宋体"/>
          <w:b/>
          <w:color w:val="auto"/>
          <w:sz w:val="28"/>
          <w:szCs w:val="28"/>
          <w:highlight w:val="none"/>
        </w:rPr>
      </w:pPr>
    </w:p>
    <w:p>
      <w:pPr>
        <w:spacing w:line="360" w:lineRule="auto"/>
        <w:rPr>
          <w:rFonts w:hAnsi="宋体"/>
          <w:b/>
          <w:color w:val="auto"/>
          <w:sz w:val="28"/>
          <w:szCs w:val="28"/>
          <w:highlight w:val="none"/>
        </w:rPr>
      </w:pPr>
    </w:p>
    <w:p>
      <w:pPr>
        <w:spacing w:line="360" w:lineRule="auto"/>
        <w:ind w:firstLine="703" w:firstLineChars="250"/>
        <w:rPr>
          <w:rFonts w:hAnsi="宋体"/>
          <w:b/>
          <w:bCs/>
          <w:color w:val="auto"/>
          <w:sz w:val="28"/>
          <w:szCs w:val="28"/>
          <w:highlight w:val="none"/>
        </w:rPr>
      </w:pPr>
      <w:r>
        <w:rPr>
          <w:rFonts w:hint="eastAsia" w:hAnsi="宋体"/>
          <w:b/>
          <w:bCs/>
          <w:color w:val="auto"/>
          <w:sz w:val="28"/>
          <w:szCs w:val="28"/>
          <w:highlight w:val="none"/>
        </w:rPr>
        <w:t>投标人：</w:t>
      </w:r>
    </w:p>
    <w:p>
      <w:pPr>
        <w:spacing w:line="360" w:lineRule="auto"/>
        <w:ind w:firstLine="703" w:firstLineChars="250"/>
        <w:rPr>
          <w:rFonts w:hAnsi="宋体"/>
          <w:b/>
          <w:bCs/>
          <w:color w:val="auto"/>
          <w:sz w:val="28"/>
          <w:szCs w:val="28"/>
          <w:highlight w:val="none"/>
        </w:rPr>
      </w:pPr>
      <w:r>
        <w:rPr>
          <w:rFonts w:hint="eastAsia" w:hAnsi="宋体"/>
          <w:b/>
          <w:bCs/>
          <w:color w:val="auto"/>
          <w:sz w:val="28"/>
          <w:szCs w:val="28"/>
          <w:highlight w:val="none"/>
        </w:rPr>
        <w:t>投标人地址：</w:t>
      </w:r>
    </w:p>
    <w:p>
      <w:pPr>
        <w:spacing w:line="360" w:lineRule="auto"/>
        <w:ind w:firstLine="703" w:firstLineChars="250"/>
        <w:rPr>
          <w:rFonts w:hAnsi="宋体"/>
          <w:b/>
          <w:bCs/>
          <w:color w:val="auto"/>
          <w:sz w:val="28"/>
          <w:szCs w:val="28"/>
          <w:highlight w:val="none"/>
        </w:rPr>
      </w:pPr>
      <w:r>
        <w:rPr>
          <w:rFonts w:hint="eastAsia" w:hAnsi="宋体"/>
          <w:b/>
          <w:bCs/>
          <w:color w:val="auto"/>
          <w:sz w:val="28"/>
          <w:szCs w:val="28"/>
          <w:highlight w:val="none"/>
        </w:rPr>
        <w:t>联系人：</w:t>
      </w:r>
    </w:p>
    <w:p>
      <w:pPr>
        <w:spacing w:line="360" w:lineRule="auto"/>
        <w:ind w:firstLine="703" w:firstLineChars="250"/>
        <w:rPr>
          <w:rFonts w:hAnsi="宋体"/>
          <w:b/>
          <w:bCs/>
          <w:color w:val="auto"/>
          <w:sz w:val="28"/>
          <w:szCs w:val="28"/>
          <w:highlight w:val="none"/>
        </w:rPr>
      </w:pPr>
      <w:r>
        <w:rPr>
          <w:rFonts w:hint="eastAsia" w:hAnsi="宋体"/>
          <w:b/>
          <w:bCs/>
          <w:color w:val="auto"/>
          <w:sz w:val="28"/>
          <w:szCs w:val="28"/>
          <w:highlight w:val="none"/>
        </w:rPr>
        <w:t>联系电话：</w:t>
      </w:r>
    </w:p>
    <w:p>
      <w:pPr>
        <w:spacing w:line="360" w:lineRule="auto"/>
        <w:ind w:firstLine="703" w:firstLineChars="250"/>
        <w:rPr>
          <w:rFonts w:hAnsi="宋体"/>
          <w:b/>
          <w:bCs/>
          <w:color w:val="auto"/>
          <w:sz w:val="28"/>
          <w:szCs w:val="28"/>
          <w:highlight w:val="none"/>
        </w:rPr>
      </w:pPr>
      <w:r>
        <w:rPr>
          <w:rFonts w:hint="eastAsia" w:hAnsi="宋体"/>
          <w:b/>
          <w:bCs/>
          <w:color w:val="auto"/>
          <w:sz w:val="28"/>
          <w:szCs w:val="28"/>
          <w:highlight w:val="none"/>
        </w:rPr>
        <w:t>电子邮箱：</w:t>
      </w:r>
    </w:p>
    <w:p>
      <w:pPr>
        <w:spacing w:line="360" w:lineRule="auto"/>
        <w:ind w:firstLine="703" w:firstLineChars="250"/>
        <w:rPr>
          <w:rFonts w:hAnsi="宋体"/>
          <w:b/>
          <w:bCs/>
          <w:color w:val="auto"/>
          <w:sz w:val="28"/>
          <w:szCs w:val="28"/>
          <w:highlight w:val="none"/>
        </w:rPr>
      </w:pPr>
      <w:r>
        <w:rPr>
          <w:rFonts w:hint="eastAsia" w:hAnsi="宋体"/>
          <w:b/>
          <w:bCs/>
          <w:color w:val="auto"/>
          <w:sz w:val="28"/>
          <w:szCs w:val="28"/>
          <w:highlight w:val="none"/>
        </w:rPr>
        <w:t>投标日期：2023年 月</w:t>
      </w:r>
    </w:p>
    <w:p>
      <w:pPr>
        <w:pStyle w:val="3"/>
        <w:spacing w:before="120" w:line="480" w:lineRule="exact"/>
        <w:jc w:val="center"/>
        <w:rPr>
          <w:rFonts w:hAnsi="宋体" w:cs="宋体"/>
          <w:b/>
          <w:color w:val="auto"/>
          <w:sz w:val="32"/>
          <w:szCs w:val="32"/>
          <w:highlight w:val="none"/>
        </w:rPr>
      </w:pPr>
      <w:r>
        <w:rPr>
          <w:rFonts w:hint="eastAsia" w:hAnsi="宋体" w:cs="宋体"/>
          <w:color w:val="auto"/>
          <w:szCs w:val="21"/>
          <w:highlight w:val="none"/>
          <w:lang w:val="zh-CN"/>
        </w:rPr>
        <w:br w:type="page"/>
      </w:r>
      <w:r>
        <w:rPr>
          <w:rFonts w:hint="eastAsia" w:hAnsi="宋体" w:cs="宋体"/>
          <w:b/>
          <w:color w:val="auto"/>
          <w:sz w:val="32"/>
          <w:szCs w:val="32"/>
          <w:highlight w:val="none"/>
        </w:rPr>
        <w:t>一、自查表</w:t>
      </w:r>
    </w:p>
    <w:p>
      <w:pPr>
        <w:pStyle w:val="3"/>
        <w:spacing w:before="120" w:line="480" w:lineRule="exact"/>
        <w:jc w:val="center"/>
        <w:rPr>
          <w:rFonts w:hAnsi="宋体" w:cs="宋体"/>
          <w:b/>
          <w:color w:val="auto"/>
          <w:sz w:val="32"/>
          <w:szCs w:val="32"/>
          <w:highlight w:val="none"/>
        </w:rPr>
      </w:pPr>
      <w:r>
        <w:rPr>
          <w:rFonts w:hint="eastAsia" w:hAnsi="宋体" w:cs="宋体"/>
          <w:b/>
          <w:color w:val="auto"/>
          <w:sz w:val="32"/>
          <w:szCs w:val="32"/>
          <w:highlight w:val="none"/>
        </w:rPr>
        <w:t>1.资格性/符合性自查表</w:t>
      </w:r>
    </w:p>
    <w:tbl>
      <w:tblPr>
        <w:tblStyle w:val="49"/>
        <w:tblW w:w="0" w:type="auto"/>
        <w:tblInd w:w="5" w:type="dxa"/>
        <w:tblLayout w:type="fixed"/>
        <w:tblCellMar>
          <w:top w:w="0" w:type="dxa"/>
          <w:left w:w="0" w:type="dxa"/>
          <w:bottom w:w="0" w:type="dxa"/>
          <w:right w:w="0" w:type="dxa"/>
        </w:tblCellMar>
      </w:tblPr>
      <w:tblGrid>
        <w:gridCol w:w="709"/>
        <w:gridCol w:w="1559"/>
        <w:gridCol w:w="5245"/>
        <w:gridCol w:w="1134"/>
        <w:gridCol w:w="1134"/>
      </w:tblGrid>
      <w:tr>
        <w:tblPrEx>
          <w:tblCellMar>
            <w:top w:w="0" w:type="dxa"/>
            <w:left w:w="0" w:type="dxa"/>
            <w:bottom w:w="0" w:type="dxa"/>
            <w:right w:w="0" w:type="dxa"/>
          </w:tblCellMar>
        </w:tblPrEx>
        <w:trPr>
          <w:trHeight w:val="522" w:hRule="atLeast"/>
        </w:trPr>
        <w:tc>
          <w:tcPr>
            <w:tcW w:w="2268" w:type="dxa"/>
            <w:gridSpan w:val="2"/>
            <w:tcBorders>
              <w:top w:val="single" w:color="auto" w:sz="4" w:space="0"/>
              <w:left w:val="single" w:color="auto" w:sz="4" w:space="0"/>
              <w:bottom w:val="single" w:color="auto" w:sz="4" w:space="0"/>
              <w:right w:val="single" w:color="auto" w:sz="4" w:space="0"/>
            </w:tcBorders>
            <w:vAlign w:val="center"/>
          </w:tcPr>
          <w:p>
            <w:pPr>
              <w:ind w:left="-171"/>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评审内容</w:t>
            </w:r>
          </w:p>
        </w:tc>
        <w:tc>
          <w:tcPr>
            <w:tcW w:w="5245" w:type="dxa"/>
            <w:tcBorders>
              <w:top w:val="single" w:color="auto" w:sz="4" w:space="0"/>
              <w:left w:val="single" w:color="auto" w:sz="4" w:space="0"/>
              <w:bottom w:val="single" w:color="auto" w:sz="4" w:space="0"/>
              <w:right w:val="single" w:color="auto" w:sz="4" w:space="0"/>
            </w:tcBorders>
            <w:vAlign w:val="center"/>
          </w:tcPr>
          <w:p>
            <w:pPr>
              <w:ind w:left="-171"/>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采购文件要求</w:t>
            </w:r>
          </w:p>
        </w:tc>
        <w:tc>
          <w:tcPr>
            <w:tcW w:w="1134" w:type="dxa"/>
            <w:tcBorders>
              <w:top w:val="single" w:color="auto" w:sz="4" w:space="0"/>
              <w:left w:val="nil"/>
              <w:bottom w:val="single" w:color="auto" w:sz="4" w:space="0"/>
              <w:right w:val="single" w:color="auto" w:sz="4" w:space="0"/>
            </w:tcBorders>
            <w:vAlign w:val="center"/>
          </w:tcPr>
          <w:p>
            <w:pPr>
              <w:ind w:left="-171"/>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自查结论</w:t>
            </w:r>
          </w:p>
        </w:tc>
        <w:tc>
          <w:tcPr>
            <w:tcW w:w="1134" w:type="dxa"/>
            <w:tcBorders>
              <w:top w:val="single" w:color="auto" w:sz="4" w:space="0"/>
              <w:left w:val="single" w:color="auto" w:sz="4" w:space="0"/>
              <w:bottom w:val="single" w:color="000000" w:sz="4" w:space="0"/>
              <w:right w:val="single" w:color="auto" w:sz="4" w:space="0"/>
            </w:tcBorders>
            <w:vAlign w:val="center"/>
          </w:tcPr>
          <w:p>
            <w:pPr>
              <w:ind w:left="-171"/>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证明资料</w:t>
            </w:r>
          </w:p>
        </w:tc>
      </w:tr>
      <w:tr>
        <w:tblPrEx>
          <w:tblCellMar>
            <w:top w:w="0" w:type="dxa"/>
            <w:left w:w="0" w:type="dxa"/>
            <w:bottom w:w="0" w:type="dxa"/>
            <w:right w:w="0" w:type="dxa"/>
          </w:tblCellMar>
        </w:tblPrEx>
        <w:trPr>
          <w:trHeight w:val="510" w:hRule="atLeast"/>
        </w:trPr>
        <w:tc>
          <w:tcPr>
            <w:tcW w:w="709" w:type="dxa"/>
            <w:vMerge w:val="restart"/>
            <w:tcBorders>
              <w:top w:val="nil"/>
              <w:left w:val="single" w:color="auto" w:sz="4" w:space="0"/>
              <w:right w:val="single" w:color="auto" w:sz="4" w:space="0"/>
            </w:tcBorders>
            <w:vAlign w:val="center"/>
          </w:tcPr>
          <w:p>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资格性检查</w:t>
            </w:r>
          </w:p>
        </w:tc>
        <w:tc>
          <w:tcPr>
            <w:tcW w:w="1559" w:type="dxa"/>
            <w:tcBorders>
              <w:top w:val="nil"/>
              <w:left w:val="nil"/>
              <w:bottom w:val="single" w:color="auto" w:sz="4" w:space="0"/>
              <w:right w:val="single" w:color="auto" w:sz="4" w:space="0"/>
            </w:tcBorders>
            <w:vAlign w:val="center"/>
          </w:tcPr>
          <w:p>
            <w:pPr>
              <w:ind w:left="40" w:leftChars="19"/>
              <w:jc w:val="center"/>
              <w:rPr>
                <w:rFonts w:ascii="仿宋" w:hAnsi="仿宋" w:eastAsia="仿宋" w:cs="仿宋"/>
                <w:color w:val="auto"/>
                <w:szCs w:val="21"/>
                <w:highlight w:val="none"/>
              </w:rPr>
            </w:pPr>
            <w:r>
              <w:rPr>
                <w:rFonts w:hint="eastAsia" w:ascii="仿宋" w:hAnsi="仿宋" w:eastAsia="仿宋" w:cs="仿宋"/>
                <w:color w:val="auto"/>
                <w:szCs w:val="21"/>
                <w:highlight w:val="none"/>
              </w:rPr>
              <w:t>投标函</w:t>
            </w:r>
          </w:p>
        </w:tc>
        <w:tc>
          <w:tcPr>
            <w:tcW w:w="5245" w:type="dxa"/>
            <w:tcBorders>
              <w:top w:val="nil"/>
              <w:left w:val="nil"/>
              <w:bottom w:val="single" w:color="auto" w:sz="4" w:space="0"/>
              <w:right w:val="single" w:color="auto" w:sz="4" w:space="0"/>
            </w:tcBorders>
            <w:vAlign w:val="center"/>
          </w:tcPr>
          <w:p>
            <w:pPr>
              <w:ind w:left="40" w:leftChars="19"/>
              <w:jc w:val="both"/>
              <w:rPr>
                <w:rFonts w:ascii="仿宋" w:hAnsi="仿宋" w:eastAsia="仿宋" w:cs="仿宋"/>
                <w:color w:val="auto"/>
                <w:szCs w:val="21"/>
                <w:highlight w:val="none"/>
              </w:rPr>
            </w:pPr>
            <w:r>
              <w:rPr>
                <w:rFonts w:hint="eastAsia" w:ascii="仿宋" w:hAnsi="仿宋" w:eastAsia="仿宋" w:cs="仿宋"/>
                <w:color w:val="auto"/>
                <w:szCs w:val="21"/>
                <w:highlight w:val="none"/>
              </w:rPr>
              <w:t>按对应格式文件填写、签署、盖章(原件)</w:t>
            </w:r>
          </w:p>
        </w:tc>
        <w:tc>
          <w:tcPr>
            <w:tcW w:w="1134" w:type="dxa"/>
            <w:tcBorders>
              <w:top w:val="nil"/>
              <w:left w:val="nil"/>
              <w:bottom w:val="single" w:color="auto" w:sz="4" w:space="0"/>
              <w:right w:val="single" w:color="auto" w:sz="4" w:space="0"/>
            </w:tcBorders>
            <w:vAlign w:val="center"/>
          </w:tcPr>
          <w:p>
            <w:pPr>
              <w:ind w:left="264" w:leftChars="59" w:hanging="140" w:hangingChars="67"/>
              <w:jc w:val="both"/>
              <w:rPr>
                <w:rFonts w:ascii="仿宋" w:hAnsi="仿宋" w:eastAsia="仿宋" w:cs="仿宋"/>
                <w:color w:val="auto"/>
                <w:szCs w:val="21"/>
                <w:highlight w:val="none"/>
              </w:rPr>
            </w:pPr>
            <w:r>
              <w:rPr>
                <w:rFonts w:hint="eastAsia" w:ascii="仿宋" w:hAnsi="仿宋" w:eastAsia="仿宋" w:cs="仿宋"/>
                <w:color w:val="auto"/>
                <w:szCs w:val="21"/>
                <w:highlight w:val="none"/>
              </w:rPr>
              <w:t>□通过</w:t>
            </w:r>
          </w:p>
          <w:p>
            <w:pPr>
              <w:ind w:left="264" w:leftChars="59" w:hanging="140" w:hangingChars="67"/>
              <w:jc w:val="both"/>
              <w:rPr>
                <w:rFonts w:ascii="仿宋" w:hAnsi="仿宋" w:eastAsia="仿宋" w:cs="仿宋"/>
                <w:color w:val="auto"/>
                <w:szCs w:val="21"/>
                <w:highlight w:val="none"/>
              </w:rPr>
            </w:pPr>
            <w:r>
              <w:rPr>
                <w:rFonts w:hint="eastAsia" w:ascii="仿宋" w:hAnsi="仿宋" w:eastAsia="仿宋" w:cs="仿宋"/>
                <w:color w:val="auto"/>
                <w:szCs w:val="21"/>
                <w:highlight w:val="none"/>
              </w:rPr>
              <w:t>□不通过</w:t>
            </w:r>
          </w:p>
        </w:tc>
        <w:tc>
          <w:tcPr>
            <w:tcW w:w="1134" w:type="dxa"/>
            <w:tcBorders>
              <w:top w:val="nil"/>
              <w:left w:val="nil"/>
              <w:bottom w:val="single" w:color="auto" w:sz="4" w:space="0"/>
              <w:right w:val="single" w:color="auto" w:sz="4" w:space="0"/>
            </w:tcBorders>
            <w:vAlign w:val="center"/>
          </w:tcPr>
          <w:p>
            <w:pPr>
              <w:ind w:left="124" w:leftChars="59"/>
              <w:rPr>
                <w:rFonts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r>
        <w:tblPrEx>
          <w:tblCellMar>
            <w:top w:w="0" w:type="dxa"/>
            <w:left w:w="0" w:type="dxa"/>
            <w:bottom w:w="0" w:type="dxa"/>
            <w:right w:w="0" w:type="dxa"/>
          </w:tblCellMar>
        </w:tblPrEx>
        <w:trPr>
          <w:trHeight w:val="510" w:hRule="atLeast"/>
        </w:trPr>
        <w:tc>
          <w:tcPr>
            <w:tcW w:w="709" w:type="dxa"/>
            <w:vMerge w:val="continue"/>
            <w:tcBorders>
              <w:left w:val="single" w:color="auto" w:sz="4" w:space="0"/>
              <w:right w:val="single" w:color="auto" w:sz="4" w:space="0"/>
            </w:tcBorders>
            <w:vAlign w:val="center"/>
          </w:tcPr>
          <w:p>
            <w:pPr>
              <w:jc w:val="center"/>
              <w:rPr>
                <w:rFonts w:ascii="仿宋" w:hAnsi="仿宋" w:eastAsia="仿宋" w:cs="仿宋"/>
                <w:color w:val="auto"/>
                <w:szCs w:val="21"/>
                <w:highlight w:val="none"/>
              </w:rPr>
            </w:pPr>
          </w:p>
        </w:tc>
        <w:tc>
          <w:tcPr>
            <w:tcW w:w="1559" w:type="dxa"/>
            <w:tcBorders>
              <w:top w:val="nil"/>
              <w:left w:val="nil"/>
              <w:bottom w:val="single" w:color="auto" w:sz="4" w:space="0"/>
              <w:right w:val="single" w:color="auto" w:sz="4" w:space="0"/>
            </w:tcBorders>
            <w:vAlign w:val="center"/>
          </w:tcPr>
          <w:p>
            <w:pPr>
              <w:ind w:left="40" w:leftChars="19"/>
              <w:jc w:val="center"/>
              <w:rPr>
                <w:rFonts w:ascii="仿宋" w:hAnsi="仿宋" w:eastAsia="仿宋" w:cs="仿宋"/>
                <w:color w:val="auto"/>
                <w:szCs w:val="21"/>
                <w:highlight w:val="none"/>
              </w:rPr>
            </w:pPr>
            <w:r>
              <w:rPr>
                <w:rFonts w:hint="eastAsia" w:ascii="仿宋" w:hAnsi="仿宋" w:eastAsia="仿宋" w:cs="仿宋"/>
                <w:color w:val="auto"/>
                <w:szCs w:val="21"/>
                <w:highlight w:val="none"/>
              </w:rPr>
              <w:t>法定代表人/负责人资格证明书及授权委托书</w:t>
            </w:r>
          </w:p>
        </w:tc>
        <w:tc>
          <w:tcPr>
            <w:tcW w:w="5245" w:type="dxa"/>
            <w:tcBorders>
              <w:top w:val="nil"/>
              <w:left w:val="nil"/>
              <w:bottom w:val="single" w:color="auto" w:sz="4" w:space="0"/>
              <w:right w:val="single" w:color="auto" w:sz="4" w:space="0"/>
            </w:tcBorders>
            <w:vAlign w:val="center"/>
          </w:tcPr>
          <w:p>
            <w:pPr>
              <w:ind w:left="40" w:leftChars="19"/>
              <w:jc w:val="both"/>
              <w:rPr>
                <w:rFonts w:ascii="仿宋" w:hAnsi="仿宋" w:eastAsia="仿宋" w:cs="仿宋"/>
                <w:color w:val="auto"/>
                <w:szCs w:val="21"/>
                <w:highlight w:val="none"/>
              </w:rPr>
            </w:pPr>
            <w:r>
              <w:rPr>
                <w:rFonts w:hint="eastAsia" w:ascii="仿宋" w:hAnsi="仿宋" w:eastAsia="仿宋" w:cs="仿宋"/>
                <w:color w:val="auto"/>
                <w:szCs w:val="21"/>
                <w:highlight w:val="none"/>
              </w:rPr>
              <w:t>按对应格式文件签署、盖章(原件)</w:t>
            </w:r>
          </w:p>
        </w:tc>
        <w:tc>
          <w:tcPr>
            <w:tcW w:w="1134" w:type="dxa"/>
            <w:tcBorders>
              <w:top w:val="nil"/>
              <w:left w:val="nil"/>
              <w:bottom w:val="single" w:color="auto" w:sz="4" w:space="0"/>
              <w:right w:val="single" w:color="auto" w:sz="4" w:space="0"/>
            </w:tcBorders>
            <w:vAlign w:val="center"/>
          </w:tcPr>
          <w:p>
            <w:pPr>
              <w:ind w:left="264" w:leftChars="59" w:hanging="140" w:hangingChars="67"/>
              <w:jc w:val="both"/>
              <w:rPr>
                <w:rFonts w:ascii="仿宋" w:hAnsi="仿宋" w:eastAsia="仿宋" w:cs="仿宋"/>
                <w:color w:val="auto"/>
                <w:szCs w:val="21"/>
                <w:highlight w:val="none"/>
              </w:rPr>
            </w:pPr>
            <w:r>
              <w:rPr>
                <w:rFonts w:hint="eastAsia" w:ascii="仿宋" w:hAnsi="仿宋" w:eastAsia="仿宋" w:cs="仿宋"/>
                <w:color w:val="auto"/>
                <w:szCs w:val="21"/>
                <w:highlight w:val="none"/>
              </w:rPr>
              <w:t>□通过</w:t>
            </w:r>
          </w:p>
          <w:p>
            <w:pPr>
              <w:ind w:left="264" w:leftChars="59" w:hanging="140" w:hangingChars="67"/>
              <w:jc w:val="both"/>
              <w:rPr>
                <w:rFonts w:ascii="仿宋" w:hAnsi="仿宋" w:eastAsia="仿宋" w:cs="仿宋"/>
                <w:color w:val="auto"/>
                <w:szCs w:val="21"/>
                <w:highlight w:val="none"/>
              </w:rPr>
            </w:pPr>
            <w:r>
              <w:rPr>
                <w:rFonts w:hint="eastAsia" w:ascii="仿宋" w:hAnsi="仿宋" w:eastAsia="仿宋" w:cs="仿宋"/>
                <w:color w:val="auto"/>
                <w:szCs w:val="21"/>
                <w:highlight w:val="none"/>
              </w:rPr>
              <w:t>□不通过</w:t>
            </w:r>
          </w:p>
        </w:tc>
        <w:tc>
          <w:tcPr>
            <w:tcW w:w="1134" w:type="dxa"/>
            <w:tcBorders>
              <w:top w:val="nil"/>
              <w:left w:val="nil"/>
              <w:bottom w:val="single" w:color="auto" w:sz="4" w:space="0"/>
              <w:right w:val="single" w:color="auto" w:sz="4" w:space="0"/>
            </w:tcBorders>
            <w:vAlign w:val="center"/>
          </w:tcPr>
          <w:p>
            <w:pPr>
              <w:ind w:left="124" w:leftChars="59"/>
              <w:rPr>
                <w:rFonts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r>
        <w:tblPrEx>
          <w:tblCellMar>
            <w:top w:w="0" w:type="dxa"/>
            <w:left w:w="0" w:type="dxa"/>
            <w:bottom w:w="0" w:type="dxa"/>
            <w:right w:w="0" w:type="dxa"/>
          </w:tblCellMar>
        </w:tblPrEx>
        <w:trPr>
          <w:trHeight w:val="916" w:hRule="atLeast"/>
        </w:trPr>
        <w:tc>
          <w:tcPr>
            <w:tcW w:w="709" w:type="dxa"/>
            <w:vMerge w:val="continue"/>
            <w:tcBorders>
              <w:left w:val="single" w:color="auto" w:sz="4" w:space="0"/>
              <w:right w:val="single" w:color="auto" w:sz="4" w:space="0"/>
            </w:tcBorders>
            <w:vAlign w:val="center"/>
          </w:tcPr>
          <w:p>
            <w:pPr>
              <w:ind w:left="-171"/>
              <w:jc w:val="center"/>
              <w:rPr>
                <w:rFonts w:ascii="仿宋" w:hAnsi="仿宋" w:eastAsia="仿宋" w:cs="仿宋"/>
                <w:color w:val="auto"/>
                <w:szCs w:val="21"/>
                <w:highlight w:val="none"/>
              </w:rPr>
            </w:pPr>
          </w:p>
        </w:tc>
        <w:tc>
          <w:tcPr>
            <w:tcW w:w="1559" w:type="dxa"/>
            <w:tcBorders>
              <w:top w:val="single" w:color="auto" w:sz="4" w:space="0"/>
              <w:left w:val="nil"/>
              <w:bottom w:val="single" w:color="auto" w:sz="4" w:space="0"/>
              <w:right w:val="single" w:color="auto" w:sz="4" w:space="0"/>
            </w:tcBorders>
            <w:vAlign w:val="center"/>
          </w:tcPr>
          <w:p>
            <w:pPr>
              <w:ind w:left="40" w:leftChars="19"/>
              <w:jc w:val="both"/>
              <w:rPr>
                <w:rFonts w:ascii="仿宋" w:hAnsi="仿宋" w:eastAsia="仿宋" w:cs="仿宋"/>
                <w:color w:val="auto"/>
                <w:szCs w:val="21"/>
                <w:highlight w:val="none"/>
              </w:rPr>
            </w:pPr>
            <w:r>
              <w:rPr>
                <w:rFonts w:hint="eastAsia" w:ascii="仿宋" w:hAnsi="仿宋" w:eastAsia="仿宋" w:cs="仿宋"/>
                <w:color w:val="auto"/>
                <w:szCs w:val="21"/>
                <w:highlight w:val="none"/>
              </w:rPr>
              <w:t>准入条件(关于资格的声明)</w:t>
            </w:r>
          </w:p>
        </w:tc>
        <w:tc>
          <w:tcPr>
            <w:tcW w:w="5245" w:type="dxa"/>
            <w:tcBorders>
              <w:top w:val="nil"/>
              <w:left w:val="nil"/>
              <w:bottom w:val="single" w:color="auto" w:sz="4" w:space="0"/>
              <w:right w:val="single" w:color="auto" w:sz="4" w:space="0"/>
            </w:tcBorders>
            <w:vAlign w:val="center"/>
          </w:tcPr>
          <w:p>
            <w:pPr>
              <w:ind w:left="40" w:leftChars="19"/>
              <w:jc w:val="both"/>
              <w:rPr>
                <w:rFonts w:ascii="仿宋" w:hAnsi="仿宋" w:eastAsia="仿宋" w:cs="仿宋"/>
                <w:color w:val="auto"/>
                <w:szCs w:val="21"/>
                <w:highlight w:val="none"/>
              </w:rPr>
            </w:pPr>
            <w:r>
              <w:rPr>
                <w:rFonts w:hint="eastAsia" w:ascii="仿宋" w:hAnsi="仿宋" w:eastAsia="仿宋" w:cs="仿宋"/>
                <w:color w:val="auto"/>
                <w:szCs w:val="21"/>
                <w:highlight w:val="none"/>
              </w:rPr>
              <w:t>能独立承担民事责任，具有从事本项目的经营范围和能力。提供《营业执照》</w:t>
            </w:r>
            <w:r>
              <w:rPr>
                <w:rFonts w:hint="eastAsia" w:ascii="仿宋" w:hAnsi="仿宋" w:eastAsia="仿宋" w:cs="仿宋"/>
                <w:bCs/>
                <w:color w:val="auto"/>
                <w:szCs w:val="21"/>
                <w:highlight w:val="none"/>
              </w:rPr>
              <w:t>副本复印件</w:t>
            </w:r>
            <w:r>
              <w:rPr>
                <w:rFonts w:hint="eastAsia" w:ascii="仿宋" w:hAnsi="仿宋" w:eastAsia="仿宋" w:cs="仿宋"/>
                <w:color w:val="auto"/>
                <w:szCs w:val="21"/>
                <w:highlight w:val="none"/>
              </w:rPr>
              <w:t>、</w:t>
            </w:r>
            <w:r>
              <w:rPr>
                <w:rFonts w:hint="eastAsia" w:ascii="仿宋" w:hAnsi="仿宋" w:eastAsia="仿宋" w:cs="仿宋"/>
                <w:bCs/>
                <w:color w:val="auto"/>
                <w:szCs w:val="21"/>
                <w:highlight w:val="none"/>
              </w:rPr>
              <w:t>招标公告要求的资质资格证明复印件</w:t>
            </w:r>
            <w:r>
              <w:rPr>
                <w:rFonts w:hint="eastAsia" w:ascii="仿宋" w:hAnsi="仿宋" w:eastAsia="仿宋" w:cs="仿宋"/>
                <w:color w:val="auto"/>
                <w:szCs w:val="21"/>
                <w:highlight w:val="none"/>
              </w:rPr>
              <w:t>加盖公章（见《投标须知前附表》）。</w:t>
            </w:r>
          </w:p>
        </w:tc>
        <w:tc>
          <w:tcPr>
            <w:tcW w:w="1134" w:type="dxa"/>
            <w:tcBorders>
              <w:top w:val="nil"/>
              <w:left w:val="nil"/>
              <w:bottom w:val="single" w:color="auto" w:sz="4" w:space="0"/>
              <w:right w:val="single" w:color="auto" w:sz="4" w:space="0"/>
            </w:tcBorders>
            <w:vAlign w:val="center"/>
          </w:tcPr>
          <w:p>
            <w:pPr>
              <w:ind w:left="264" w:leftChars="59" w:hanging="140" w:hangingChars="67"/>
              <w:jc w:val="both"/>
              <w:rPr>
                <w:rFonts w:ascii="仿宋" w:hAnsi="仿宋" w:eastAsia="仿宋" w:cs="仿宋"/>
                <w:color w:val="auto"/>
                <w:szCs w:val="21"/>
                <w:highlight w:val="none"/>
              </w:rPr>
            </w:pPr>
            <w:r>
              <w:rPr>
                <w:rFonts w:hint="eastAsia" w:ascii="仿宋" w:hAnsi="仿宋" w:eastAsia="仿宋" w:cs="仿宋"/>
                <w:color w:val="auto"/>
                <w:szCs w:val="21"/>
                <w:highlight w:val="none"/>
              </w:rPr>
              <w:t>□通过</w:t>
            </w:r>
          </w:p>
          <w:p>
            <w:pPr>
              <w:ind w:left="264" w:leftChars="59" w:hanging="140" w:hangingChars="67"/>
              <w:jc w:val="both"/>
              <w:rPr>
                <w:rFonts w:ascii="仿宋" w:hAnsi="仿宋" w:eastAsia="仿宋" w:cs="仿宋"/>
                <w:color w:val="auto"/>
                <w:szCs w:val="21"/>
                <w:highlight w:val="none"/>
              </w:rPr>
            </w:pPr>
            <w:r>
              <w:rPr>
                <w:rFonts w:hint="eastAsia" w:ascii="仿宋" w:hAnsi="仿宋" w:eastAsia="仿宋" w:cs="仿宋"/>
                <w:color w:val="auto"/>
                <w:szCs w:val="21"/>
                <w:highlight w:val="none"/>
              </w:rPr>
              <w:t>□不通过</w:t>
            </w:r>
          </w:p>
        </w:tc>
        <w:tc>
          <w:tcPr>
            <w:tcW w:w="1134" w:type="dxa"/>
            <w:tcBorders>
              <w:top w:val="nil"/>
              <w:left w:val="nil"/>
              <w:bottom w:val="single" w:color="auto" w:sz="4" w:space="0"/>
              <w:right w:val="single" w:color="auto" w:sz="4" w:space="0"/>
            </w:tcBorders>
            <w:vAlign w:val="center"/>
          </w:tcPr>
          <w:p>
            <w:pPr>
              <w:ind w:left="124" w:leftChars="59"/>
              <w:rPr>
                <w:rFonts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r>
        <w:tblPrEx>
          <w:tblCellMar>
            <w:top w:w="0" w:type="dxa"/>
            <w:left w:w="0" w:type="dxa"/>
            <w:bottom w:w="0" w:type="dxa"/>
            <w:right w:w="0" w:type="dxa"/>
          </w:tblCellMar>
        </w:tblPrEx>
        <w:trPr>
          <w:trHeight w:val="731" w:hRule="atLeast"/>
        </w:trPr>
        <w:tc>
          <w:tcPr>
            <w:tcW w:w="709" w:type="dxa"/>
            <w:vMerge w:val="continue"/>
            <w:tcBorders>
              <w:left w:val="single" w:color="auto" w:sz="4" w:space="0"/>
              <w:right w:val="single" w:color="auto" w:sz="4" w:space="0"/>
            </w:tcBorders>
            <w:vAlign w:val="center"/>
          </w:tcPr>
          <w:p>
            <w:pPr>
              <w:ind w:left="-171"/>
              <w:jc w:val="center"/>
              <w:rPr>
                <w:rFonts w:ascii="仿宋" w:hAnsi="仿宋" w:eastAsia="仿宋" w:cs="仿宋"/>
                <w:color w:val="auto"/>
                <w:szCs w:val="21"/>
                <w:highlight w:val="none"/>
              </w:rPr>
            </w:pPr>
          </w:p>
        </w:tc>
        <w:tc>
          <w:tcPr>
            <w:tcW w:w="1559" w:type="dxa"/>
            <w:vMerge w:val="restart"/>
            <w:tcBorders>
              <w:top w:val="single" w:color="auto" w:sz="4" w:space="0"/>
              <w:left w:val="nil"/>
              <w:right w:val="single" w:color="auto" w:sz="4" w:space="0"/>
            </w:tcBorders>
            <w:vAlign w:val="center"/>
          </w:tcPr>
          <w:p>
            <w:pPr>
              <w:ind w:left="40" w:leftChars="19"/>
              <w:jc w:val="center"/>
              <w:rPr>
                <w:rFonts w:ascii="仿宋" w:hAnsi="仿宋" w:eastAsia="仿宋" w:cs="仿宋"/>
                <w:color w:val="auto"/>
                <w:szCs w:val="21"/>
                <w:highlight w:val="none"/>
              </w:rPr>
            </w:pPr>
            <w:r>
              <w:rPr>
                <w:rFonts w:hint="eastAsia" w:ascii="仿宋" w:hAnsi="仿宋" w:eastAsia="仿宋" w:cs="仿宋"/>
                <w:color w:val="auto"/>
                <w:szCs w:val="21"/>
                <w:highlight w:val="none"/>
              </w:rPr>
              <w:t>其他要求</w:t>
            </w:r>
          </w:p>
        </w:tc>
        <w:tc>
          <w:tcPr>
            <w:tcW w:w="5245" w:type="dxa"/>
            <w:tcBorders>
              <w:top w:val="nil"/>
              <w:left w:val="nil"/>
              <w:bottom w:val="single" w:color="auto" w:sz="4" w:space="0"/>
              <w:right w:val="single" w:color="auto" w:sz="4" w:space="0"/>
            </w:tcBorders>
            <w:vAlign w:val="center"/>
          </w:tcPr>
          <w:p>
            <w:pPr>
              <w:spacing w:line="300" w:lineRule="auto"/>
              <w:jc w:val="both"/>
              <w:rPr>
                <w:rFonts w:ascii="仿宋" w:hAnsi="仿宋" w:eastAsia="仿宋" w:cs="仿宋"/>
                <w:color w:val="auto"/>
                <w:kern w:val="2"/>
                <w:szCs w:val="21"/>
                <w:highlight w:val="none"/>
                <w:lang w:val="zh-CN"/>
              </w:rPr>
            </w:pPr>
            <w:r>
              <w:rPr>
                <w:rFonts w:hint="eastAsia" w:ascii="仿宋" w:hAnsi="仿宋" w:eastAsia="仿宋" w:cs="仿宋"/>
                <w:color w:val="auto"/>
                <w:szCs w:val="21"/>
                <w:highlight w:val="none"/>
              </w:rPr>
              <w:t>按投标资料清单中规定提供“必须提交”的文件资料</w:t>
            </w:r>
          </w:p>
        </w:tc>
        <w:tc>
          <w:tcPr>
            <w:tcW w:w="1134" w:type="dxa"/>
            <w:tcBorders>
              <w:top w:val="nil"/>
              <w:left w:val="nil"/>
              <w:bottom w:val="single" w:color="auto" w:sz="4" w:space="0"/>
              <w:right w:val="single" w:color="auto" w:sz="4" w:space="0"/>
            </w:tcBorders>
            <w:vAlign w:val="center"/>
          </w:tcPr>
          <w:p>
            <w:pPr>
              <w:ind w:left="264" w:leftChars="59" w:hanging="140" w:hangingChars="67"/>
              <w:jc w:val="both"/>
              <w:rPr>
                <w:rFonts w:ascii="仿宋" w:hAnsi="仿宋" w:eastAsia="仿宋" w:cs="仿宋"/>
                <w:color w:val="auto"/>
                <w:szCs w:val="21"/>
                <w:highlight w:val="none"/>
              </w:rPr>
            </w:pPr>
            <w:r>
              <w:rPr>
                <w:rFonts w:hint="eastAsia" w:ascii="仿宋" w:hAnsi="仿宋" w:eastAsia="仿宋" w:cs="仿宋"/>
                <w:color w:val="auto"/>
                <w:szCs w:val="21"/>
                <w:highlight w:val="none"/>
              </w:rPr>
              <w:t>□通过</w:t>
            </w:r>
          </w:p>
          <w:p>
            <w:pPr>
              <w:ind w:left="264" w:leftChars="59" w:hanging="140" w:hangingChars="67"/>
              <w:jc w:val="both"/>
              <w:rPr>
                <w:rFonts w:ascii="仿宋" w:hAnsi="仿宋" w:eastAsia="仿宋" w:cs="仿宋"/>
                <w:color w:val="auto"/>
                <w:szCs w:val="21"/>
                <w:highlight w:val="none"/>
              </w:rPr>
            </w:pPr>
            <w:r>
              <w:rPr>
                <w:rFonts w:hint="eastAsia" w:ascii="仿宋" w:hAnsi="仿宋" w:eastAsia="仿宋" w:cs="仿宋"/>
                <w:color w:val="auto"/>
                <w:szCs w:val="21"/>
                <w:highlight w:val="none"/>
              </w:rPr>
              <w:t>□不通过</w:t>
            </w:r>
          </w:p>
        </w:tc>
        <w:tc>
          <w:tcPr>
            <w:tcW w:w="1134" w:type="dxa"/>
            <w:tcBorders>
              <w:top w:val="nil"/>
              <w:left w:val="nil"/>
              <w:bottom w:val="single" w:color="auto" w:sz="4" w:space="0"/>
              <w:right w:val="single" w:color="auto" w:sz="4" w:space="0"/>
            </w:tcBorders>
            <w:vAlign w:val="center"/>
          </w:tcPr>
          <w:p>
            <w:pPr>
              <w:ind w:left="124" w:leftChars="59"/>
              <w:rPr>
                <w:rFonts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r>
        <w:tblPrEx>
          <w:tblCellMar>
            <w:top w:w="0" w:type="dxa"/>
            <w:left w:w="0" w:type="dxa"/>
            <w:bottom w:w="0" w:type="dxa"/>
            <w:right w:w="0" w:type="dxa"/>
          </w:tblCellMar>
        </w:tblPrEx>
        <w:trPr>
          <w:trHeight w:val="731" w:hRule="atLeast"/>
        </w:trPr>
        <w:tc>
          <w:tcPr>
            <w:tcW w:w="709" w:type="dxa"/>
            <w:vMerge w:val="continue"/>
            <w:tcBorders>
              <w:left w:val="single" w:color="auto" w:sz="4" w:space="0"/>
              <w:bottom w:val="single" w:color="auto" w:sz="4" w:space="0"/>
              <w:right w:val="single" w:color="auto" w:sz="4" w:space="0"/>
            </w:tcBorders>
            <w:vAlign w:val="center"/>
          </w:tcPr>
          <w:p>
            <w:pPr>
              <w:ind w:left="-171"/>
              <w:jc w:val="center"/>
              <w:rPr>
                <w:rFonts w:ascii="仿宋" w:hAnsi="仿宋" w:eastAsia="仿宋" w:cs="仿宋"/>
                <w:color w:val="auto"/>
                <w:szCs w:val="21"/>
                <w:highlight w:val="none"/>
              </w:rPr>
            </w:pPr>
          </w:p>
        </w:tc>
        <w:tc>
          <w:tcPr>
            <w:tcW w:w="1559" w:type="dxa"/>
            <w:vMerge w:val="continue"/>
            <w:tcBorders>
              <w:left w:val="nil"/>
              <w:bottom w:val="single" w:color="auto" w:sz="4" w:space="0"/>
              <w:right w:val="single" w:color="auto" w:sz="4" w:space="0"/>
            </w:tcBorders>
            <w:vAlign w:val="center"/>
          </w:tcPr>
          <w:p>
            <w:pPr>
              <w:ind w:left="40" w:leftChars="19"/>
              <w:jc w:val="both"/>
              <w:rPr>
                <w:rFonts w:ascii="仿宋" w:hAnsi="仿宋" w:eastAsia="仿宋" w:cs="仿宋"/>
                <w:color w:val="auto"/>
                <w:szCs w:val="21"/>
                <w:highlight w:val="none"/>
              </w:rPr>
            </w:pPr>
          </w:p>
        </w:tc>
        <w:tc>
          <w:tcPr>
            <w:tcW w:w="5245" w:type="dxa"/>
            <w:tcBorders>
              <w:top w:val="nil"/>
              <w:left w:val="nil"/>
              <w:bottom w:val="single" w:color="auto" w:sz="4" w:space="0"/>
              <w:right w:val="single" w:color="auto" w:sz="4" w:space="0"/>
            </w:tcBorders>
            <w:vAlign w:val="center"/>
          </w:tcPr>
          <w:p>
            <w:pPr>
              <w:tabs>
                <w:tab w:val="left" w:pos="2880"/>
              </w:tabs>
              <w:ind w:left="40" w:leftChars="19"/>
              <w:jc w:val="both"/>
              <w:rPr>
                <w:rFonts w:ascii="仿宋" w:hAnsi="仿宋" w:eastAsia="仿宋" w:cs="仿宋"/>
                <w:color w:val="auto"/>
                <w:szCs w:val="21"/>
                <w:highlight w:val="none"/>
              </w:rPr>
            </w:pPr>
            <w:r>
              <w:rPr>
                <w:rFonts w:hint="eastAsia" w:ascii="仿宋" w:hAnsi="仿宋" w:eastAsia="仿宋" w:cs="仿宋"/>
                <w:color w:val="auto"/>
                <w:szCs w:val="21"/>
                <w:highlight w:val="none"/>
              </w:rPr>
              <w:t>在参与政府采购活动中未有违法违纪行为并受过处罚</w:t>
            </w:r>
          </w:p>
        </w:tc>
        <w:tc>
          <w:tcPr>
            <w:tcW w:w="1134" w:type="dxa"/>
            <w:tcBorders>
              <w:top w:val="nil"/>
              <w:left w:val="nil"/>
              <w:bottom w:val="single" w:color="auto" w:sz="4" w:space="0"/>
              <w:right w:val="single" w:color="auto" w:sz="4" w:space="0"/>
            </w:tcBorders>
            <w:vAlign w:val="center"/>
          </w:tcPr>
          <w:p>
            <w:pPr>
              <w:ind w:left="264" w:leftChars="59" w:hanging="140" w:hangingChars="67"/>
              <w:jc w:val="both"/>
              <w:rPr>
                <w:rFonts w:ascii="仿宋" w:hAnsi="仿宋" w:eastAsia="仿宋" w:cs="仿宋"/>
                <w:color w:val="auto"/>
                <w:szCs w:val="21"/>
                <w:highlight w:val="none"/>
              </w:rPr>
            </w:pPr>
            <w:r>
              <w:rPr>
                <w:rFonts w:hint="eastAsia" w:ascii="仿宋" w:hAnsi="仿宋" w:eastAsia="仿宋" w:cs="仿宋"/>
                <w:color w:val="auto"/>
                <w:szCs w:val="21"/>
                <w:highlight w:val="none"/>
              </w:rPr>
              <w:t>□通过</w:t>
            </w:r>
          </w:p>
          <w:p>
            <w:pPr>
              <w:ind w:left="264" w:leftChars="59" w:hanging="140" w:hangingChars="67"/>
              <w:jc w:val="both"/>
              <w:rPr>
                <w:rFonts w:ascii="仿宋" w:hAnsi="仿宋" w:eastAsia="仿宋" w:cs="仿宋"/>
                <w:color w:val="auto"/>
                <w:szCs w:val="21"/>
                <w:highlight w:val="none"/>
              </w:rPr>
            </w:pPr>
            <w:r>
              <w:rPr>
                <w:rFonts w:hint="eastAsia" w:ascii="仿宋" w:hAnsi="仿宋" w:eastAsia="仿宋" w:cs="仿宋"/>
                <w:color w:val="auto"/>
                <w:szCs w:val="21"/>
                <w:highlight w:val="none"/>
              </w:rPr>
              <w:t>□不通过</w:t>
            </w:r>
          </w:p>
        </w:tc>
        <w:tc>
          <w:tcPr>
            <w:tcW w:w="1134" w:type="dxa"/>
            <w:tcBorders>
              <w:top w:val="nil"/>
              <w:left w:val="nil"/>
              <w:bottom w:val="single" w:color="auto" w:sz="4" w:space="0"/>
              <w:right w:val="single" w:color="auto" w:sz="4" w:space="0"/>
            </w:tcBorders>
            <w:vAlign w:val="center"/>
          </w:tcPr>
          <w:p>
            <w:pPr>
              <w:ind w:left="124" w:leftChars="59"/>
              <w:rPr>
                <w:rFonts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r>
        <w:tblPrEx>
          <w:tblCellMar>
            <w:top w:w="0" w:type="dxa"/>
            <w:left w:w="0" w:type="dxa"/>
            <w:bottom w:w="0" w:type="dxa"/>
            <w:right w:w="0" w:type="dxa"/>
          </w:tblCellMar>
        </w:tblPrEx>
        <w:trPr>
          <w:trHeight w:val="1033" w:hRule="atLeast"/>
        </w:trPr>
        <w:tc>
          <w:tcPr>
            <w:tcW w:w="709" w:type="dxa"/>
            <w:vMerge w:val="restart"/>
            <w:tcBorders>
              <w:top w:val="nil"/>
              <w:left w:val="single" w:color="auto" w:sz="4" w:space="0"/>
              <w:bottom w:val="single" w:color="000000" w:sz="4" w:space="0"/>
              <w:right w:val="single" w:color="auto" w:sz="4" w:space="0"/>
            </w:tcBorders>
            <w:vAlign w:val="center"/>
          </w:tcPr>
          <w:p>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符合性审查</w:t>
            </w:r>
          </w:p>
        </w:tc>
        <w:tc>
          <w:tcPr>
            <w:tcW w:w="1559" w:type="dxa"/>
            <w:tcBorders>
              <w:top w:val="nil"/>
              <w:left w:val="single" w:color="auto" w:sz="4" w:space="0"/>
              <w:bottom w:val="single" w:color="auto" w:sz="4" w:space="0"/>
              <w:right w:val="single" w:color="auto" w:sz="4" w:space="0"/>
            </w:tcBorders>
            <w:vAlign w:val="center"/>
          </w:tcPr>
          <w:p>
            <w:pPr>
              <w:ind w:left="-171"/>
              <w:jc w:val="center"/>
              <w:rPr>
                <w:rFonts w:ascii="仿宋" w:hAnsi="仿宋" w:eastAsia="仿宋" w:cs="仿宋"/>
                <w:color w:val="auto"/>
                <w:szCs w:val="21"/>
                <w:highlight w:val="none"/>
              </w:rPr>
            </w:pPr>
            <w:r>
              <w:rPr>
                <w:rFonts w:hint="eastAsia" w:ascii="仿宋" w:hAnsi="仿宋" w:eastAsia="仿宋" w:cs="仿宋"/>
                <w:color w:val="auto"/>
                <w:szCs w:val="21"/>
                <w:highlight w:val="none"/>
              </w:rPr>
              <w:t>报价人的</w:t>
            </w:r>
          </w:p>
          <w:p>
            <w:pPr>
              <w:ind w:left="-171"/>
              <w:jc w:val="center"/>
              <w:rPr>
                <w:rFonts w:ascii="仿宋" w:hAnsi="仿宋" w:eastAsia="仿宋" w:cs="仿宋"/>
                <w:color w:val="auto"/>
                <w:szCs w:val="21"/>
                <w:highlight w:val="none"/>
              </w:rPr>
            </w:pPr>
            <w:r>
              <w:rPr>
                <w:rFonts w:hint="eastAsia" w:ascii="仿宋" w:hAnsi="仿宋" w:eastAsia="仿宋" w:cs="仿宋"/>
                <w:color w:val="auto"/>
                <w:szCs w:val="21"/>
                <w:highlight w:val="none"/>
              </w:rPr>
              <w:t>合格性</w:t>
            </w:r>
          </w:p>
        </w:tc>
        <w:tc>
          <w:tcPr>
            <w:tcW w:w="5245" w:type="dxa"/>
            <w:tcBorders>
              <w:top w:val="single" w:color="auto" w:sz="4" w:space="0"/>
              <w:left w:val="nil"/>
              <w:bottom w:val="single" w:color="auto" w:sz="4" w:space="0"/>
              <w:right w:val="single" w:color="auto" w:sz="4" w:space="0"/>
            </w:tcBorders>
            <w:vAlign w:val="center"/>
          </w:tcPr>
          <w:p>
            <w:pPr>
              <w:jc w:val="both"/>
              <w:rPr>
                <w:rFonts w:ascii="仿宋" w:hAnsi="仿宋" w:eastAsia="仿宋" w:cs="仿宋"/>
                <w:color w:val="auto"/>
                <w:szCs w:val="21"/>
                <w:highlight w:val="none"/>
              </w:rPr>
            </w:pPr>
            <w:r>
              <w:rPr>
                <w:rFonts w:hint="eastAsia" w:ascii="仿宋" w:hAnsi="仿宋" w:eastAsia="仿宋" w:cs="仿宋"/>
                <w:color w:val="auto"/>
                <w:szCs w:val="21"/>
                <w:highlight w:val="none"/>
              </w:rPr>
              <w:t>在经营范围内报价</w:t>
            </w:r>
          </w:p>
        </w:tc>
        <w:tc>
          <w:tcPr>
            <w:tcW w:w="1134" w:type="dxa"/>
            <w:tcBorders>
              <w:top w:val="single" w:color="auto" w:sz="4" w:space="0"/>
              <w:left w:val="nil"/>
              <w:bottom w:val="single" w:color="auto" w:sz="4" w:space="0"/>
              <w:right w:val="single" w:color="auto" w:sz="4" w:space="0"/>
            </w:tcBorders>
            <w:vAlign w:val="center"/>
          </w:tcPr>
          <w:p>
            <w:pPr>
              <w:ind w:left="264" w:leftChars="59" w:hanging="140" w:hangingChars="67"/>
              <w:jc w:val="both"/>
              <w:rPr>
                <w:rFonts w:ascii="仿宋" w:hAnsi="仿宋" w:eastAsia="仿宋" w:cs="仿宋"/>
                <w:color w:val="auto"/>
                <w:szCs w:val="21"/>
                <w:highlight w:val="none"/>
              </w:rPr>
            </w:pPr>
            <w:r>
              <w:rPr>
                <w:rFonts w:hint="eastAsia" w:ascii="仿宋" w:hAnsi="仿宋" w:eastAsia="仿宋" w:cs="仿宋"/>
                <w:color w:val="auto"/>
                <w:szCs w:val="21"/>
                <w:highlight w:val="none"/>
              </w:rPr>
              <w:t>□通过</w:t>
            </w:r>
          </w:p>
          <w:p>
            <w:pPr>
              <w:ind w:left="264" w:leftChars="59" w:hanging="140" w:hangingChars="67"/>
              <w:jc w:val="both"/>
              <w:rPr>
                <w:rFonts w:ascii="仿宋" w:hAnsi="仿宋" w:eastAsia="仿宋" w:cs="仿宋"/>
                <w:color w:val="auto"/>
                <w:szCs w:val="21"/>
                <w:highlight w:val="none"/>
              </w:rPr>
            </w:pPr>
            <w:r>
              <w:rPr>
                <w:rFonts w:hint="eastAsia" w:ascii="仿宋" w:hAnsi="仿宋" w:eastAsia="仿宋" w:cs="仿宋"/>
                <w:color w:val="auto"/>
                <w:szCs w:val="21"/>
                <w:highlight w:val="none"/>
              </w:rPr>
              <w:t>□不通过</w:t>
            </w:r>
          </w:p>
        </w:tc>
        <w:tc>
          <w:tcPr>
            <w:tcW w:w="1134" w:type="dxa"/>
            <w:tcBorders>
              <w:top w:val="single" w:color="auto" w:sz="4" w:space="0"/>
              <w:left w:val="nil"/>
              <w:bottom w:val="single" w:color="auto" w:sz="4" w:space="0"/>
              <w:right w:val="single" w:color="auto" w:sz="4" w:space="0"/>
            </w:tcBorders>
            <w:vAlign w:val="center"/>
          </w:tcPr>
          <w:p>
            <w:pPr>
              <w:ind w:left="124" w:leftChars="59"/>
              <w:rPr>
                <w:rFonts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r>
        <w:tblPrEx>
          <w:tblCellMar>
            <w:top w:w="0" w:type="dxa"/>
            <w:left w:w="0" w:type="dxa"/>
            <w:bottom w:w="0" w:type="dxa"/>
            <w:right w:w="0" w:type="dxa"/>
          </w:tblCellMar>
        </w:tblPrEx>
        <w:trPr>
          <w:trHeight w:val="319" w:hRule="atLeast"/>
        </w:trPr>
        <w:tc>
          <w:tcPr>
            <w:tcW w:w="709" w:type="dxa"/>
            <w:vMerge w:val="continue"/>
            <w:tcBorders>
              <w:top w:val="nil"/>
              <w:left w:val="single" w:color="auto" w:sz="4" w:space="0"/>
              <w:bottom w:val="single" w:color="000000" w:sz="4" w:space="0"/>
              <w:right w:val="single" w:color="auto" w:sz="4" w:space="0"/>
            </w:tcBorders>
            <w:vAlign w:val="center"/>
          </w:tcPr>
          <w:p>
            <w:pPr>
              <w:ind w:left="-171"/>
              <w:jc w:val="center"/>
              <w:rPr>
                <w:rFonts w:ascii="仿宋" w:hAnsi="仿宋" w:eastAsia="仿宋" w:cs="仿宋"/>
                <w:color w:val="auto"/>
                <w:szCs w:val="21"/>
                <w:highlight w:val="none"/>
              </w:rPr>
            </w:pPr>
          </w:p>
        </w:tc>
        <w:tc>
          <w:tcPr>
            <w:tcW w:w="1559" w:type="dxa"/>
            <w:tcBorders>
              <w:top w:val="single" w:color="auto" w:sz="4" w:space="0"/>
              <w:left w:val="nil"/>
              <w:bottom w:val="single" w:color="auto" w:sz="4" w:space="0"/>
              <w:right w:val="single" w:color="auto" w:sz="4" w:space="0"/>
            </w:tcBorders>
            <w:vAlign w:val="center"/>
          </w:tcPr>
          <w:p>
            <w:pPr>
              <w:ind w:left="-171"/>
              <w:jc w:val="center"/>
              <w:rPr>
                <w:rFonts w:ascii="仿宋" w:hAnsi="仿宋" w:eastAsia="仿宋" w:cs="仿宋"/>
                <w:color w:val="auto"/>
                <w:szCs w:val="21"/>
                <w:highlight w:val="none"/>
              </w:rPr>
            </w:pPr>
            <w:r>
              <w:rPr>
                <w:rFonts w:hint="eastAsia" w:ascii="仿宋" w:hAnsi="仿宋" w:eastAsia="仿宋" w:cs="仿宋"/>
                <w:color w:val="auto"/>
                <w:szCs w:val="21"/>
                <w:highlight w:val="none"/>
              </w:rPr>
              <w:t>商务要求</w:t>
            </w:r>
          </w:p>
        </w:tc>
        <w:tc>
          <w:tcPr>
            <w:tcW w:w="5245" w:type="dxa"/>
            <w:tcBorders>
              <w:top w:val="nil"/>
              <w:left w:val="nil"/>
              <w:bottom w:val="single" w:color="auto" w:sz="4" w:space="0"/>
              <w:right w:val="single" w:color="auto" w:sz="4" w:space="0"/>
            </w:tcBorders>
            <w:vAlign w:val="center"/>
          </w:tcPr>
          <w:p>
            <w:pPr>
              <w:tabs>
                <w:tab w:val="left" w:pos="2880"/>
              </w:tabs>
              <w:ind w:left="40" w:leftChars="19"/>
              <w:jc w:val="both"/>
              <w:rPr>
                <w:rFonts w:ascii="仿宋" w:hAnsi="仿宋" w:eastAsia="仿宋" w:cs="仿宋"/>
                <w:color w:val="auto"/>
                <w:szCs w:val="21"/>
                <w:highlight w:val="none"/>
              </w:rPr>
            </w:pPr>
            <w:r>
              <w:rPr>
                <w:rFonts w:hint="eastAsia" w:ascii="仿宋" w:hAnsi="仿宋" w:eastAsia="仿宋" w:cs="仿宋"/>
                <w:color w:val="auto"/>
                <w:szCs w:val="21"/>
                <w:highlight w:val="none"/>
              </w:rPr>
              <w:t>实质性响应招标文件中“★”号参数的商务要求</w:t>
            </w:r>
          </w:p>
        </w:tc>
        <w:tc>
          <w:tcPr>
            <w:tcW w:w="1134" w:type="dxa"/>
            <w:tcBorders>
              <w:top w:val="nil"/>
              <w:left w:val="nil"/>
              <w:bottom w:val="single" w:color="auto" w:sz="4" w:space="0"/>
              <w:right w:val="single" w:color="auto" w:sz="4" w:space="0"/>
            </w:tcBorders>
            <w:vAlign w:val="center"/>
          </w:tcPr>
          <w:p>
            <w:pPr>
              <w:ind w:left="264" w:leftChars="59" w:hanging="140" w:hangingChars="67"/>
              <w:jc w:val="both"/>
              <w:rPr>
                <w:rFonts w:ascii="仿宋" w:hAnsi="仿宋" w:eastAsia="仿宋" w:cs="仿宋"/>
                <w:color w:val="auto"/>
                <w:szCs w:val="21"/>
                <w:highlight w:val="none"/>
              </w:rPr>
            </w:pPr>
            <w:r>
              <w:rPr>
                <w:rFonts w:hint="eastAsia" w:ascii="仿宋" w:hAnsi="仿宋" w:eastAsia="仿宋" w:cs="仿宋"/>
                <w:color w:val="auto"/>
                <w:szCs w:val="21"/>
                <w:highlight w:val="none"/>
              </w:rPr>
              <w:t>□通过</w:t>
            </w:r>
          </w:p>
          <w:p>
            <w:pPr>
              <w:ind w:left="264" w:leftChars="59" w:hanging="140" w:hangingChars="67"/>
              <w:jc w:val="both"/>
              <w:rPr>
                <w:rFonts w:ascii="仿宋" w:hAnsi="仿宋" w:eastAsia="仿宋" w:cs="仿宋"/>
                <w:color w:val="auto"/>
                <w:szCs w:val="21"/>
                <w:highlight w:val="none"/>
              </w:rPr>
            </w:pPr>
            <w:r>
              <w:rPr>
                <w:rFonts w:hint="eastAsia" w:ascii="仿宋" w:hAnsi="仿宋" w:eastAsia="仿宋" w:cs="仿宋"/>
                <w:color w:val="auto"/>
                <w:szCs w:val="21"/>
                <w:highlight w:val="none"/>
              </w:rPr>
              <w:t>□不通过</w:t>
            </w:r>
          </w:p>
        </w:tc>
        <w:tc>
          <w:tcPr>
            <w:tcW w:w="1134" w:type="dxa"/>
            <w:tcBorders>
              <w:top w:val="nil"/>
              <w:left w:val="nil"/>
              <w:bottom w:val="single" w:color="auto" w:sz="4" w:space="0"/>
              <w:right w:val="single" w:color="auto" w:sz="4" w:space="0"/>
            </w:tcBorders>
            <w:vAlign w:val="center"/>
          </w:tcPr>
          <w:p>
            <w:pPr>
              <w:ind w:left="124" w:leftChars="59"/>
              <w:rPr>
                <w:rFonts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r>
        <w:tblPrEx>
          <w:tblCellMar>
            <w:top w:w="0" w:type="dxa"/>
            <w:left w:w="0" w:type="dxa"/>
            <w:bottom w:w="0" w:type="dxa"/>
            <w:right w:w="0" w:type="dxa"/>
          </w:tblCellMar>
        </w:tblPrEx>
        <w:trPr>
          <w:trHeight w:val="450" w:hRule="atLeast"/>
        </w:trPr>
        <w:tc>
          <w:tcPr>
            <w:tcW w:w="709" w:type="dxa"/>
            <w:vMerge w:val="continue"/>
            <w:tcBorders>
              <w:top w:val="nil"/>
              <w:left w:val="single" w:color="auto" w:sz="4" w:space="0"/>
              <w:bottom w:val="single" w:color="000000" w:sz="4" w:space="0"/>
              <w:right w:val="single" w:color="auto" w:sz="4" w:space="0"/>
            </w:tcBorders>
            <w:vAlign w:val="center"/>
          </w:tcPr>
          <w:p>
            <w:pPr>
              <w:ind w:left="-171"/>
              <w:jc w:val="center"/>
              <w:rPr>
                <w:rFonts w:ascii="仿宋" w:hAnsi="仿宋" w:eastAsia="仿宋" w:cs="仿宋"/>
                <w:color w:val="auto"/>
                <w:szCs w:val="21"/>
                <w:highlight w:val="none"/>
              </w:rPr>
            </w:pPr>
          </w:p>
        </w:tc>
        <w:tc>
          <w:tcPr>
            <w:tcW w:w="1559" w:type="dxa"/>
            <w:tcBorders>
              <w:top w:val="single" w:color="auto" w:sz="4" w:space="0"/>
              <w:left w:val="nil"/>
              <w:bottom w:val="single" w:color="auto" w:sz="4" w:space="0"/>
              <w:right w:val="single" w:color="auto" w:sz="4" w:space="0"/>
            </w:tcBorders>
            <w:vAlign w:val="center"/>
          </w:tcPr>
          <w:p>
            <w:pPr>
              <w:ind w:left="-171"/>
              <w:jc w:val="center"/>
              <w:rPr>
                <w:rFonts w:ascii="仿宋" w:hAnsi="仿宋" w:eastAsia="仿宋" w:cs="仿宋"/>
                <w:color w:val="auto"/>
                <w:szCs w:val="21"/>
                <w:highlight w:val="none"/>
              </w:rPr>
            </w:pPr>
            <w:r>
              <w:rPr>
                <w:rFonts w:hint="eastAsia" w:ascii="仿宋" w:hAnsi="仿宋" w:eastAsia="仿宋" w:cs="仿宋"/>
                <w:color w:val="auto"/>
                <w:szCs w:val="21"/>
                <w:highlight w:val="none"/>
              </w:rPr>
              <w:t>技术要求</w:t>
            </w:r>
          </w:p>
        </w:tc>
        <w:tc>
          <w:tcPr>
            <w:tcW w:w="5245" w:type="dxa"/>
            <w:tcBorders>
              <w:top w:val="nil"/>
              <w:left w:val="nil"/>
              <w:bottom w:val="single" w:color="auto" w:sz="4" w:space="0"/>
              <w:right w:val="single" w:color="auto" w:sz="4" w:space="0"/>
            </w:tcBorders>
            <w:vAlign w:val="center"/>
          </w:tcPr>
          <w:p>
            <w:pPr>
              <w:tabs>
                <w:tab w:val="left" w:pos="2880"/>
              </w:tabs>
              <w:ind w:left="40" w:leftChars="19"/>
              <w:jc w:val="both"/>
              <w:rPr>
                <w:rFonts w:ascii="仿宋" w:hAnsi="仿宋" w:eastAsia="仿宋" w:cs="仿宋"/>
                <w:color w:val="auto"/>
                <w:szCs w:val="21"/>
                <w:highlight w:val="none"/>
              </w:rPr>
            </w:pPr>
            <w:r>
              <w:rPr>
                <w:rFonts w:hint="eastAsia" w:ascii="仿宋" w:hAnsi="仿宋" w:eastAsia="仿宋" w:cs="仿宋"/>
                <w:color w:val="auto"/>
                <w:szCs w:val="21"/>
                <w:highlight w:val="none"/>
              </w:rPr>
              <w:t>实质性响应招标文件中“★”号参数的技术要求</w:t>
            </w:r>
          </w:p>
        </w:tc>
        <w:tc>
          <w:tcPr>
            <w:tcW w:w="1134" w:type="dxa"/>
            <w:tcBorders>
              <w:top w:val="nil"/>
              <w:left w:val="nil"/>
              <w:bottom w:val="single" w:color="auto" w:sz="4" w:space="0"/>
              <w:right w:val="single" w:color="auto" w:sz="4" w:space="0"/>
            </w:tcBorders>
            <w:vAlign w:val="center"/>
          </w:tcPr>
          <w:p>
            <w:pPr>
              <w:ind w:left="264" w:leftChars="59" w:hanging="140" w:hangingChars="67"/>
              <w:jc w:val="both"/>
              <w:rPr>
                <w:rFonts w:ascii="仿宋" w:hAnsi="仿宋" w:eastAsia="仿宋" w:cs="仿宋"/>
                <w:color w:val="auto"/>
                <w:szCs w:val="21"/>
                <w:highlight w:val="none"/>
              </w:rPr>
            </w:pPr>
            <w:r>
              <w:rPr>
                <w:rFonts w:hint="eastAsia" w:ascii="仿宋" w:hAnsi="仿宋" w:eastAsia="仿宋" w:cs="仿宋"/>
                <w:color w:val="auto"/>
                <w:szCs w:val="21"/>
                <w:highlight w:val="none"/>
              </w:rPr>
              <w:t>□通过</w:t>
            </w:r>
          </w:p>
          <w:p>
            <w:pPr>
              <w:ind w:left="264" w:leftChars="59" w:hanging="140" w:hangingChars="67"/>
              <w:jc w:val="both"/>
              <w:rPr>
                <w:rFonts w:ascii="仿宋" w:hAnsi="仿宋" w:eastAsia="仿宋" w:cs="仿宋"/>
                <w:color w:val="auto"/>
                <w:szCs w:val="21"/>
                <w:highlight w:val="none"/>
              </w:rPr>
            </w:pPr>
            <w:r>
              <w:rPr>
                <w:rFonts w:hint="eastAsia" w:ascii="仿宋" w:hAnsi="仿宋" w:eastAsia="仿宋" w:cs="仿宋"/>
                <w:color w:val="auto"/>
                <w:szCs w:val="21"/>
                <w:highlight w:val="none"/>
              </w:rPr>
              <w:t>□不通过</w:t>
            </w:r>
          </w:p>
        </w:tc>
        <w:tc>
          <w:tcPr>
            <w:tcW w:w="1134" w:type="dxa"/>
            <w:tcBorders>
              <w:top w:val="nil"/>
              <w:left w:val="nil"/>
              <w:bottom w:val="single" w:color="auto" w:sz="4" w:space="0"/>
              <w:right w:val="single" w:color="auto" w:sz="4" w:space="0"/>
            </w:tcBorders>
            <w:vAlign w:val="center"/>
          </w:tcPr>
          <w:p>
            <w:pPr>
              <w:ind w:left="124" w:leftChars="59"/>
              <w:rPr>
                <w:rFonts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r>
        <w:tblPrEx>
          <w:tblCellMar>
            <w:top w:w="0" w:type="dxa"/>
            <w:left w:w="0" w:type="dxa"/>
            <w:bottom w:w="0" w:type="dxa"/>
            <w:right w:w="0" w:type="dxa"/>
          </w:tblCellMar>
        </w:tblPrEx>
        <w:trPr>
          <w:trHeight w:val="450" w:hRule="atLeast"/>
        </w:trPr>
        <w:tc>
          <w:tcPr>
            <w:tcW w:w="709" w:type="dxa"/>
            <w:vMerge w:val="continue"/>
            <w:tcBorders>
              <w:top w:val="nil"/>
              <w:left w:val="single" w:color="auto" w:sz="4" w:space="0"/>
              <w:bottom w:val="single" w:color="000000" w:sz="4" w:space="0"/>
              <w:right w:val="single" w:color="auto" w:sz="4" w:space="0"/>
            </w:tcBorders>
            <w:vAlign w:val="center"/>
          </w:tcPr>
          <w:p>
            <w:pPr>
              <w:ind w:left="-171"/>
              <w:jc w:val="center"/>
              <w:rPr>
                <w:rFonts w:ascii="仿宋" w:hAnsi="仿宋" w:eastAsia="仿宋" w:cs="仿宋"/>
                <w:color w:val="auto"/>
                <w:szCs w:val="21"/>
                <w:highlight w:val="none"/>
              </w:rPr>
            </w:pPr>
          </w:p>
        </w:tc>
        <w:tc>
          <w:tcPr>
            <w:tcW w:w="1559" w:type="dxa"/>
            <w:tcBorders>
              <w:top w:val="nil"/>
              <w:left w:val="nil"/>
              <w:bottom w:val="single" w:color="auto" w:sz="4" w:space="0"/>
              <w:right w:val="single" w:color="auto" w:sz="4" w:space="0"/>
            </w:tcBorders>
            <w:vAlign w:val="center"/>
          </w:tcPr>
          <w:p>
            <w:pPr>
              <w:ind w:left="-171"/>
              <w:jc w:val="center"/>
              <w:rPr>
                <w:rFonts w:ascii="仿宋" w:hAnsi="仿宋" w:eastAsia="仿宋" w:cs="仿宋"/>
                <w:color w:val="auto"/>
                <w:szCs w:val="21"/>
                <w:highlight w:val="none"/>
              </w:rPr>
            </w:pPr>
            <w:r>
              <w:rPr>
                <w:rFonts w:hint="eastAsia" w:ascii="仿宋" w:hAnsi="仿宋" w:eastAsia="仿宋" w:cs="仿宋"/>
                <w:color w:val="auto"/>
                <w:szCs w:val="21"/>
                <w:highlight w:val="none"/>
              </w:rPr>
              <w:t>报价要求</w:t>
            </w:r>
          </w:p>
        </w:tc>
        <w:tc>
          <w:tcPr>
            <w:tcW w:w="5245" w:type="dxa"/>
            <w:tcBorders>
              <w:top w:val="nil"/>
              <w:left w:val="nil"/>
              <w:bottom w:val="single" w:color="auto" w:sz="4" w:space="0"/>
              <w:right w:val="single" w:color="auto" w:sz="4" w:space="0"/>
            </w:tcBorders>
            <w:vAlign w:val="center"/>
          </w:tcPr>
          <w:p>
            <w:pPr>
              <w:tabs>
                <w:tab w:val="left" w:pos="2880"/>
              </w:tabs>
              <w:ind w:left="40" w:leftChars="19"/>
              <w:jc w:val="both"/>
              <w:rPr>
                <w:rFonts w:ascii="仿宋" w:hAnsi="仿宋" w:eastAsia="仿宋" w:cs="仿宋"/>
                <w:color w:val="auto"/>
                <w:szCs w:val="21"/>
                <w:highlight w:val="none"/>
              </w:rPr>
            </w:pPr>
            <w:r>
              <w:rPr>
                <w:rFonts w:hint="eastAsia" w:ascii="仿宋" w:hAnsi="仿宋" w:eastAsia="仿宋" w:cs="仿宋"/>
                <w:color w:val="auto"/>
                <w:szCs w:val="21"/>
                <w:highlight w:val="none"/>
              </w:rPr>
              <w:t>报价方案是唯一确定</w:t>
            </w:r>
          </w:p>
        </w:tc>
        <w:tc>
          <w:tcPr>
            <w:tcW w:w="1134" w:type="dxa"/>
            <w:tcBorders>
              <w:top w:val="nil"/>
              <w:left w:val="nil"/>
              <w:bottom w:val="single" w:color="auto" w:sz="4" w:space="0"/>
              <w:right w:val="single" w:color="auto" w:sz="4" w:space="0"/>
            </w:tcBorders>
            <w:vAlign w:val="center"/>
          </w:tcPr>
          <w:p>
            <w:pPr>
              <w:ind w:left="264" w:leftChars="59" w:hanging="140" w:hangingChars="67"/>
              <w:jc w:val="both"/>
              <w:rPr>
                <w:rFonts w:ascii="仿宋" w:hAnsi="仿宋" w:eastAsia="仿宋" w:cs="仿宋"/>
                <w:color w:val="auto"/>
                <w:szCs w:val="21"/>
                <w:highlight w:val="none"/>
              </w:rPr>
            </w:pPr>
            <w:r>
              <w:rPr>
                <w:rFonts w:hint="eastAsia" w:ascii="仿宋" w:hAnsi="仿宋" w:eastAsia="仿宋" w:cs="仿宋"/>
                <w:color w:val="auto"/>
                <w:szCs w:val="21"/>
                <w:highlight w:val="none"/>
              </w:rPr>
              <w:t>□通过</w:t>
            </w:r>
          </w:p>
          <w:p>
            <w:pPr>
              <w:ind w:left="264" w:leftChars="59" w:hanging="140" w:hangingChars="67"/>
              <w:jc w:val="both"/>
              <w:rPr>
                <w:rFonts w:ascii="仿宋" w:hAnsi="仿宋" w:eastAsia="仿宋" w:cs="仿宋"/>
                <w:color w:val="auto"/>
                <w:szCs w:val="21"/>
                <w:highlight w:val="none"/>
              </w:rPr>
            </w:pPr>
            <w:r>
              <w:rPr>
                <w:rFonts w:hint="eastAsia" w:ascii="仿宋" w:hAnsi="仿宋" w:eastAsia="仿宋" w:cs="仿宋"/>
                <w:color w:val="auto"/>
                <w:szCs w:val="21"/>
                <w:highlight w:val="none"/>
              </w:rPr>
              <w:t>□不通过</w:t>
            </w:r>
          </w:p>
        </w:tc>
        <w:tc>
          <w:tcPr>
            <w:tcW w:w="1134" w:type="dxa"/>
            <w:tcBorders>
              <w:top w:val="nil"/>
              <w:left w:val="nil"/>
              <w:bottom w:val="single" w:color="auto" w:sz="4" w:space="0"/>
              <w:right w:val="single" w:color="auto" w:sz="4" w:space="0"/>
            </w:tcBorders>
            <w:vAlign w:val="center"/>
          </w:tcPr>
          <w:p>
            <w:pPr>
              <w:ind w:left="124" w:leftChars="59"/>
              <w:rPr>
                <w:rFonts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r>
        <w:tblPrEx>
          <w:tblCellMar>
            <w:top w:w="0" w:type="dxa"/>
            <w:left w:w="0" w:type="dxa"/>
            <w:bottom w:w="0" w:type="dxa"/>
            <w:right w:w="0" w:type="dxa"/>
          </w:tblCellMar>
        </w:tblPrEx>
        <w:trPr>
          <w:trHeight w:val="450" w:hRule="atLeast"/>
        </w:trPr>
        <w:tc>
          <w:tcPr>
            <w:tcW w:w="709" w:type="dxa"/>
            <w:vMerge w:val="continue"/>
            <w:tcBorders>
              <w:top w:val="nil"/>
              <w:left w:val="single" w:color="auto" w:sz="4" w:space="0"/>
              <w:bottom w:val="single" w:color="000000" w:sz="4" w:space="0"/>
              <w:right w:val="single" w:color="auto" w:sz="4" w:space="0"/>
            </w:tcBorders>
            <w:vAlign w:val="center"/>
          </w:tcPr>
          <w:p>
            <w:pPr>
              <w:ind w:left="-171"/>
              <w:jc w:val="center"/>
              <w:rPr>
                <w:rFonts w:ascii="仿宋" w:hAnsi="仿宋" w:eastAsia="仿宋" w:cs="仿宋"/>
                <w:color w:val="auto"/>
                <w:szCs w:val="21"/>
                <w:highlight w:val="none"/>
              </w:rPr>
            </w:pPr>
          </w:p>
        </w:tc>
        <w:tc>
          <w:tcPr>
            <w:tcW w:w="1559" w:type="dxa"/>
            <w:tcBorders>
              <w:top w:val="nil"/>
              <w:left w:val="nil"/>
              <w:bottom w:val="single" w:color="auto" w:sz="4" w:space="0"/>
              <w:right w:val="single" w:color="auto" w:sz="4" w:space="0"/>
            </w:tcBorders>
            <w:vAlign w:val="center"/>
          </w:tcPr>
          <w:p>
            <w:pPr>
              <w:ind w:left="-171"/>
              <w:jc w:val="center"/>
              <w:rPr>
                <w:rFonts w:ascii="仿宋" w:hAnsi="仿宋" w:eastAsia="仿宋" w:cs="仿宋"/>
                <w:color w:val="auto"/>
                <w:szCs w:val="21"/>
                <w:highlight w:val="none"/>
              </w:rPr>
            </w:pPr>
            <w:r>
              <w:rPr>
                <w:rFonts w:hint="eastAsia" w:ascii="仿宋" w:hAnsi="仿宋" w:eastAsia="仿宋" w:cs="仿宋"/>
                <w:color w:val="auto"/>
                <w:szCs w:val="21"/>
                <w:highlight w:val="none"/>
              </w:rPr>
              <w:t>其它</w:t>
            </w:r>
          </w:p>
        </w:tc>
        <w:tc>
          <w:tcPr>
            <w:tcW w:w="5245" w:type="dxa"/>
            <w:tcBorders>
              <w:top w:val="nil"/>
              <w:left w:val="nil"/>
              <w:bottom w:val="single" w:color="auto" w:sz="4" w:space="0"/>
              <w:right w:val="single" w:color="auto" w:sz="4" w:space="0"/>
            </w:tcBorders>
            <w:vAlign w:val="center"/>
          </w:tcPr>
          <w:p>
            <w:pPr>
              <w:tabs>
                <w:tab w:val="left" w:pos="2880"/>
              </w:tabs>
              <w:ind w:left="40" w:leftChars="19"/>
              <w:jc w:val="both"/>
              <w:rPr>
                <w:rFonts w:ascii="仿宋" w:hAnsi="仿宋" w:eastAsia="仿宋" w:cs="仿宋"/>
                <w:color w:val="auto"/>
                <w:szCs w:val="21"/>
                <w:highlight w:val="none"/>
              </w:rPr>
            </w:pPr>
            <w:r>
              <w:rPr>
                <w:rFonts w:hint="eastAsia" w:ascii="仿宋" w:hAnsi="仿宋" w:eastAsia="仿宋" w:cs="仿宋"/>
                <w:color w:val="auto"/>
                <w:szCs w:val="21"/>
                <w:highlight w:val="none"/>
              </w:rPr>
              <w:t>实质性响应招标文件中规定的其它情况</w:t>
            </w:r>
          </w:p>
        </w:tc>
        <w:tc>
          <w:tcPr>
            <w:tcW w:w="1134" w:type="dxa"/>
            <w:tcBorders>
              <w:top w:val="nil"/>
              <w:left w:val="nil"/>
              <w:bottom w:val="single" w:color="auto" w:sz="4" w:space="0"/>
              <w:right w:val="single" w:color="auto" w:sz="4" w:space="0"/>
            </w:tcBorders>
            <w:vAlign w:val="center"/>
          </w:tcPr>
          <w:p>
            <w:pPr>
              <w:ind w:left="264" w:leftChars="59" w:hanging="140" w:hangingChars="67"/>
              <w:jc w:val="both"/>
              <w:rPr>
                <w:rFonts w:ascii="仿宋" w:hAnsi="仿宋" w:eastAsia="仿宋" w:cs="仿宋"/>
                <w:color w:val="auto"/>
                <w:szCs w:val="21"/>
                <w:highlight w:val="none"/>
              </w:rPr>
            </w:pPr>
            <w:r>
              <w:rPr>
                <w:rFonts w:hint="eastAsia" w:ascii="仿宋" w:hAnsi="仿宋" w:eastAsia="仿宋" w:cs="仿宋"/>
                <w:color w:val="auto"/>
                <w:szCs w:val="21"/>
                <w:highlight w:val="none"/>
              </w:rPr>
              <w:t>□通过</w:t>
            </w:r>
          </w:p>
          <w:p>
            <w:pPr>
              <w:ind w:left="264" w:leftChars="59" w:hanging="140" w:hangingChars="67"/>
              <w:jc w:val="both"/>
              <w:rPr>
                <w:rFonts w:ascii="仿宋" w:hAnsi="仿宋" w:eastAsia="仿宋" w:cs="仿宋"/>
                <w:color w:val="auto"/>
                <w:szCs w:val="21"/>
                <w:highlight w:val="none"/>
              </w:rPr>
            </w:pPr>
            <w:r>
              <w:rPr>
                <w:rFonts w:hint="eastAsia" w:ascii="仿宋" w:hAnsi="仿宋" w:eastAsia="仿宋" w:cs="仿宋"/>
                <w:color w:val="auto"/>
                <w:szCs w:val="21"/>
                <w:highlight w:val="none"/>
              </w:rPr>
              <w:t>□不通过</w:t>
            </w:r>
          </w:p>
        </w:tc>
        <w:tc>
          <w:tcPr>
            <w:tcW w:w="1134" w:type="dxa"/>
            <w:tcBorders>
              <w:top w:val="nil"/>
              <w:left w:val="nil"/>
              <w:bottom w:val="single" w:color="auto" w:sz="4" w:space="0"/>
              <w:right w:val="single" w:color="auto" w:sz="4" w:space="0"/>
            </w:tcBorders>
            <w:vAlign w:val="center"/>
          </w:tcPr>
          <w:p>
            <w:pPr>
              <w:ind w:left="124" w:leftChars="59"/>
              <w:rPr>
                <w:rFonts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bl>
    <w:p>
      <w:pPr>
        <w:rPr>
          <w:rFonts w:ascii="仿宋" w:hAnsi="仿宋" w:eastAsia="仿宋" w:cs="仿宋"/>
          <w:color w:val="auto"/>
          <w:highlight w:val="none"/>
        </w:rPr>
      </w:pPr>
    </w:p>
    <w:p>
      <w:pPr>
        <w:pStyle w:val="20"/>
        <w:spacing w:line="360" w:lineRule="exact"/>
        <w:ind w:left="422" w:hanging="422" w:hangingChars="200"/>
        <w:jc w:val="both"/>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注：以上材料将作为投标人合格性和有效性审核的重要内容之一，投标人必须严格按照其内容及序列要求在投标文件中对应如实提供，对缺漏和不符合项将会直接导致无效投标！在对应的□打“√”。</w:t>
      </w:r>
    </w:p>
    <w:p>
      <w:pPr>
        <w:snapToGrid w:val="0"/>
        <w:spacing w:line="300" w:lineRule="auto"/>
        <w:rPr>
          <w:rFonts w:ascii="仿宋" w:hAnsi="仿宋" w:eastAsia="仿宋" w:cs="仿宋"/>
          <w:color w:val="auto"/>
          <w:szCs w:val="21"/>
          <w:highlight w:val="none"/>
        </w:rPr>
      </w:pPr>
    </w:p>
    <w:p>
      <w:pPr>
        <w:snapToGrid w:val="0"/>
        <w:spacing w:line="300" w:lineRule="auto"/>
        <w:rPr>
          <w:rFonts w:ascii="仿宋" w:hAnsi="仿宋" w:eastAsia="仿宋" w:cs="仿宋"/>
          <w:color w:val="auto"/>
          <w:szCs w:val="21"/>
          <w:highlight w:val="none"/>
          <w:u w:val="single"/>
        </w:rPr>
      </w:pPr>
      <w:r>
        <w:rPr>
          <w:rFonts w:hint="eastAsia" w:ascii="仿宋" w:hAnsi="仿宋" w:eastAsia="仿宋" w:cs="仿宋"/>
          <w:color w:val="auto"/>
          <w:szCs w:val="21"/>
          <w:highlight w:val="none"/>
        </w:rPr>
        <w:t>投标人法定代表人（或法定代表人授权代表）亲笔签字：</w:t>
      </w:r>
      <w:r>
        <w:rPr>
          <w:rFonts w:hint="eastAsia" w:ascii="仿宋" w:hAnsi="仿宋" w:eastAsia="仿宋" w:cs="仿宋"/>
          <w:color w:val="auto"/>
          <w:szCs w:val="21"/>
          <w:highlight w:val="none"/>
          <w:u w:val="single"/>
        </w:rPr>
        <w:t xml:space="preserve">                   </w:t>
      </w:r>
    </w:p>
    <w:p>
      <w:pPr>
        <w:snapToGrid w:val="0"/>
        <w:spacing w:line="300" w:lineRule="auto"/>
        <w:rPr>
          <w:rFonts w:ascii="仿宋" w:hAnsi="仿宋" w:eastAsia="仿宋" w:cs="仿宋"/>
          <w:color w:val="auto"/>
          <w:szCs w:val="21"/>
          <w:highlight w:val="none"/>
          <w:u w:val="single"/>
        </w:rPr>
      </w:pPr>
      <w:r>
        <w:rPr>
          <w:rFonts w:hint="eastAsia" w:ascii="仿宋" w:hAnsi="仿宋" w:eastAsia="仿宋" w:cs="仿宋"/>
          <w:color w:val="auto"/>
          <w:szCs w:val="21"/>
          <w:highlight w:val="none"/>
        </w:rPr>
        <w:t>投标人名称（加盖法人公章）：</w:t>
      </w:r>
      <w:r>
        <w:rPr>
          <w:rFonts w:hint="eastAsia" w:ascii="仿宋" w:hAnsi="仿宋" w:eastAsia="仿宋" w:cs="仿宋"/>
          <w:color w:val="auto"/>
          <w:szCs w:val="21"/>
          <w:highlight w:val="none"/>
          <w:u w:val="single"/>
        </w:rPr>
        <w:t xml:space="preserve">                        </w:t>
      </w:r>
    </w:p>
    <w:p>
      <w:pPr>
        <w:snapToGrid w:val="0"/>
        <w:spacing w:line="300" w:lineRule="auto"/>
        <w:rPr>
          <w:rFonts w:ascii="仿宋" w:hAnsi="仿宋" w:eastAsia="仿宋" w:cs="仿宋"/>
          <w:color w:val="auto"/>
          <w:szCs w:val="21"/>
          <w:highlight w:val="none"/>
        </w:rPr>
      </w:pPr>
      <w:r>
        <w:rPr>
          <w:rFonts w:hint="eastAsia" w:ascii="仿宋" w:hAnsi="仿宋" w:eastAsia="仿宋" w:cs="仿宋"/>
          <w:color w:val="auto"/>
          <w:szCs w:val="21"/>
          <w:highlight w:val="none"/>
        </w:rPr>
        <w:t>日期：   年   月   日</w:t>
      </w:r>
    </w:p>
    <w:p>
      <w:pPr>
        <w:pStyle w:val="20"/>
        <w:spacing w:line="360" w:lineRule="exact"/>
        <w:rPr>
          <w:rFonts w:hAnsi="宋体" w:cs="宋体"/>
          <w:color w:val="auto"/>
          <w:sz w:val="21"/>
          <w:highlight w:val="none"/>
        </w:rPr>
      </w:pPr>
    </w:p>
    <w:p>
      <w:pPr>
        <w:pStyle w:val="20"/>
        <w:spacing w:line="360" w:lineRule="exact"/>
        <w:jc w:val="left"/>
        <w:rPr>
          <w:rFonts w:hAnsi="宋体" w:cs="宋体"/>
          <w:color w:val="auto"/>
          <w:sz w:val="21"/>
          <w:highlight w:val="none"/>
        </w:rPr>
      </w:pPr>
    </w:p>
    <w:p>
      <w:pPr>
        <w:pStyle w:val="20"/>
        <w:spacing w:line="360" w:lineRule="exact"/>
        <w:jc w:val="left"/>
        <w:rPr>
          <w:rFonts w:hAnsi="宋体" w:cs="宋体"/>
          <w:color w:val="auto"/>
          <w:sz w:val="21"/>
          <w:highlight w:val="none"/>
        </w:rPr>
      </w:pPr>
    </w:p>
    <w:p>
      <w:pPr>
        <w:pStyle w:val="20"/>
        <w:spacing w:line="360" w:lineRule="exact"/>
        <w:jc w:val="left"/>
        <w:rPr>
          <w:rFonts w:hAnsi="宋体" w:cs="宋体"/>
          <w:color w:val="auto"/>
          <w:sz w:val="21"/>
          <w:highlight w:val="none"/>
        </w:rPr>
      </w:pPr>
    </w:p>
    <w:p>
      <w:pPr>
        <w:pStyle w:val="20"/>
        <w:spacing w:line="360" w:lineRule="exact"/>
        <w:jc w:val="left"/>
        <w:rPr>
          <w:rFonts w:hAnsi="宋体" w:cs="宋体"/>
          <w:color w:val="auto"/>
          <w:sz w:val="21"/>
          <w:highlight w:val="none"/>
        </w:rPr>
      </w:pPr>
    </w:p>
    <w:p>
      <w:pPr>
        <w:pStyle w:val="20"/>
        <w:spacing w:line="360" w:lineRule="exact"/>
        <w:jc w:val="left"/>
        <w:rPr>
          <w:rFonts w:hAnsi="宋体" w:cs="宋体"/>
          <w:color w:val="auto"/>
          <w:sz w:val="21"/>
          <w:highlight w:val="none"/>
        </w:rPr>
      </w:pPr>
    </w:p>
    <w:p>
      <w:pPr>
        <w:pStyle w:val="20"/>
        <w:spacing w:line="360" w:lineRule="exact"/>
        <w:jc w:val="left"/>
        <w:rPr>
          <w:rFonts w:hAnsi="宋体" w:cs="宋体"/>
          <w:color w:val="auto"/>
          <w:sz w:val="21"/>
          <w:highlight w:val="none"/>
        </w:rPr>
      </w:pPr>
    </w:p>
    <w:p>
      <w:pPr>
        <w:pStyle w:val="3"/>
        <w:spacing w:before="120" w:line="480" w:lineRule="exact"/>
        <w:jc w:val="center"/>
        <w:rPr>
          <w:rFonts w:hAnsi="宋体" w:cs="宋体"/>
          <w:b/>
          <w:color w:val="auto"/>
          <w:sz w:val="32"/>
          <w:szCs w:val="32"/>
          <w:highlight w:val="none"/>
        </w:rPr>
      </w:pPr>
      <w:r>
        <w:rPr>
          <w:rFonts w:hint="eastAsia" w:hAnsi="宋体" w:cs="宋体"/>
          <w:b/>
          <w:color w:val="auto"/>
          <w:sz w:val="32"/>
          <w:szCs w:val="32"/>
          <w:highlight w:val="none"/>
        </w:rPr>
        <w:t>2.商务响应评分标准自查表</w:t>
      </w:r>
    </w:p>
    <w:p>
      <w:pPr>
        <w:pStyle w:val="3"/>
        <w:spacing w:before="120" w:line="480" w:lineRule="exact"/>
        <w:jc w:val="center"/>
        <w:rPr>
          <w:rFonts w:hAnsi="宋体"/>
          <w:b/>
          <w:color w:val="auto"/>
          <w:sz w:val="21"/>
          <w:szCs w:val="21"/>
          <w:highlight w:val="none"/>
        </w:rPr>
      </w:pPr>
      <w:r>
        <w:rPr>
          <w:rFonts w:hint="eastAsia" w:hAnsi="宋体"/>
          <w:b/>
          <w:color w:val="auto"/>
          <w:sz w:val="21"/>
          <w:szCs w:val="21"/>
          <w:highlight w:val="none"/>
        </w:rPr>
        <w:t>商务响应评分标准自查表</w:t>
      </w:r>
    </w:p>
    <w:p>
      <w:pPr>
        <w:rPr>
          <w:color w:val="auto"/>
          <w:highlight w:val="none"/>
        </w:rPr>
      </w:pPr>
    </w:p>
    <w:tbl>
      <w:tblPr>
        <w:tblStyle w:val="49"/>
        <w:tblW w:w="0" w:type="auto"/>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0"/>
        <w:gridCol w:w="4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200" w:type="dxa"/>
            <w:vAlign w:val="center"/>
          </w:tcPr>
          <w:p>
            <w:pPr>
              <w:pStyle w:val="147"/>
              <w:keepNext w:val="0"/>
              <w:adjustRightInd/>
              <w:spacing w:before="0" w:after="0" w:line="240" w:lineRule="auto"/>
              <w:textAlignment w:val="auto"/>
              <w:rPr>
                <w:rFonts w:ascii="宋体" w:hAnsi="宋体" w:cs="宋体"/>
                <w:snapToGrid/>
                <w:color w:val="auto"/>
                <w:spacing w:val="0"/>
                <w:kern w:val="2"/>
                <w:szCs w:val="21"/>
                <w:highlight w:val="none"/>
              </w:rPr>
            </w:pPr>
            <w:r>
              <w:rPr>
                <w:rFonts w:hint="eastAsia" w:ascii="宋体" w:hAnsi="宋体" w:cs="宋体"/>
                <w:snapToGrid/>
                <w:color w:val="auto"/>
                <w:spacing w:val="0"/>
                <w:kern w:val="2"/>
                <w:szCs w:val="21"/>
                <w:highlight w:val="none"/>
              </w:rPr>
              <w:t>评审细则</w:t>
            </w:r>
          </w:p>
        </w:tc>
        <w:tc>
          <w:tcPr>
            <w:tcW w:w="4010" w:type="dxa"/>
            <w:vAlign w:val="center"/>
          </w:tcPr>
          <w:p>
            <w:pPr>
              <w:pStyle w:val="147"/>
              <w:keepNext w:val="0"/>
              <w:adjustRightInd/>
              <w:spacing w:before="0" w:after="0" w:line="240" w:lineRule="auto"/>
              <w:textAlignment w:val="auto"/>
              <w:rPr>
                <w:rFonts w:ascii="宋体" w:hAnsi="宋体" w:cs="宋体"/>
                <w:snapToGrid/>
                <w:color w:val="auto"/>
                <w:spacing w:val="0"/>
                <w:kern w:val="2"/>
                <w:szCs w:val="21"/>
                <w:highlight w:val="none"/>
              </w:rPr>
            </w:pPr>
            <w:r>
              <w:rPr>
                <w:rFonts w:hint="eastAsia" w:ascii="宋体" w:hAnsi="宋体" w:cs="宋体"/>
                <w:snapToGrid/>
                <w:color w:val="auto"/>
                <w:spacing w:val="0"/>
                <w:kern w:val="2"/>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00" w:type="dxa"/>
            <w:vAlign w:val="center"/>
          </w:tcPr>
          <w:p>
            <w:pPr>
              <w:pStyle w:val="37"/>
              <w:rPr>
                <w:rFonts w:ascii="宋体" w:hAnsi="宋体" w:cs="宋体"/>
                <w:iCs/>
                <w:color w:val="auto"/>
                <w:szCs w:val="21"/>
                <w:highlight w:val="none"/>
              </w:rPr>
            </w:pPr>
            <w:r>
              <w:rPr>
                <w:rFonts w:hint="eastAsia" w:ascii="宋体" w:hAnsi="宋体" w:cs="宋体"/>
                <w:iCs/>
                <w:color w:val="auto"/>
                <w:szCs w:val="21"/>
                <w:highlight w:val="none"/>
              </w:rPr>
              <w:t>............</w:t>
            </w:r>
          </w:p>
        </w:tc>
        <w:tc>
          <w:tcPr>
            <w:tcW w:w="4010" w:type="dxa"/>
            <w:vAlign w:val="center"/>
          </w:tcPr>
          <w:p>
            <w:pPr>
              <w:pStyle w:val="37"/>
              <w:jc w:val="center"/>
              <w:rPr>
                <w:rFonts w:ascii="宋体" w:hAnsi="宋体" w:cs="宋体"/>
                <w:color w:val="auto"/>
                <w:szCs w:val="21"/>
                <w:highlight w:val="none"/>
              </w:rPr>
            </w:pPr>
            <w:r>
              <w:rPr>
                <w:rFonts w:hint="eastAsia" w:ascii="宋体" w:hAnsi="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00" w:type="dxa"/>
            <w:vAlign w:val="center"/>
          </w:tcPr>
          <w:p>
            <w:pPr>
              <w:pStyle w:val="37"/>
              <w:rPr>
                <w:rFonts w:ascii="宋体" w:hAnsi="宋体" w:cs="宋体"/>
                <w:iCs/>
                <w:color w:val="auto"/>
                <w:szCs w:val="21"/>
                <w:highlight w:val="none"/>
              </w:rPr>
            </w:pPr>
            <w:r>
              <w:rPr>
                <w:rFonts w:hint="eastAsia" w:ascii="宋体" w:hAnsi="宋体" w:cs="宋体"/>
                <w:iCs/>
                <w:color w:val="auto"/>
                <w:szCs w:val="21"/>
                <w:highlight w:val="none"/>
              </w:rPr>
              <w:t>............</w:t>
            </w:r>
          </w:p>
        </w:tc>
        <w:tc>
          <w:tcPr>
            <w:tcW w:w="4010" w:type="dxa"/>
            <w:vAlign w:val="center"/>
          </w:tcPr>
          <w:p>
            <w:pPr>
              <w:pStyle w:val="37"/>
              <w:jc w:val="center"/>
              <w:rPr>
                <w:rFonts w:ascii="宋体" w:hAnsi="宋体" w:cs="宋体"/>
                <w:color w:val="auto"/>
                <w:szCs w:val="21"/>
                <w:highlight w:val="none"/>
              </w:rPr>
            </w:pPr>
            <w:r>
              <w:rPr>
                <w:rFonts w:hint="eastAsia" w:ascii="宋体" w:hAnsi="宋体" w:cs="宋体"/>
                <w:color w:val="auto"/>
                <w:szCs w:val="21"/>
                <w:highlight w:val="none"/>
              </w:rPr>
              <w:t>第（）页</w:t>
            </w:r>
          </w:p>
        </w:tc>
      </w:tr>
    </w:tbl>
    <w:p>
      <w:pPr>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【备注】如因投标人在投标文件中的页码标注错误而导致评审专家漏看，所产生的一切后果由投标人自行负责。</w:t>
      </w:r>
    </w:p>
    <w:p>
      <w:pPr>
        <w:snapToGrid w:val="0"/>
        <w:spacing w:line="360" w:lineRule="auto"/>
        <w:rPr>
          <w:rFonts w:ascii="仿宋" w:hAnsi="仿宋" w:eastAsia="仿宋" w:cs="仿宋"/>
          <w:color w:val="auto"/>
          <w:szCs w:val="21"/>
          <w:highlight w:val="none"/>
          <w:u w:val="single"/>
        </w:rPr>
      </w:pPr>
      <w:r>
        <w:rPr>
          <w:rFonts w:hint="eastAsia" w:ascii="仿宋" w:hAnsi="仿宋" w:eastAsia="仿宋" w:cs="仿宋"/>
          <w:color w:val="auto"/>
          <w:szCs w:val="21"/>
          <w:highlight w:val="none"/>
        </w:rPr>
        <w:t>投标人法定代表人（或法定代表人授权代表）签字：</w:t>
      </w:r>
    </w:p>
    <w:p>
      <w:pPr>
        <w:snapToGrid w:val="0"/>
        <w:spacing w:line="360" w:lineRule="auto"/>
        <w:rPr>
          <w:rFonts w:ascii="仿宋" w:hAnsi="仿宋" w:eastAsia="仿宋" w:cs="仿宋"/>
          <w:color w:val="auto"/>
          <w:szCs w:val="21"/>
          <w:highlight w:val="none"/>
          <w:u w:val="single"/>
        </w:rPr>
      </w:pPr>
      <w:r>
        <w:rPr>
          <w:rFonts w:hint="eastAsia" w:ascii="仿宋" w:hAnsi="仿宋" w:eastAsia="仿宋" w:cs="仿宋"/>
          <w:color w:val="auto"/>
          <w:szCs w:val="21"/>
          <w:highlight w:val="none"/>
        </w:rPr>
        <w:t>投标人名称（签章）：</w:t>
      </w:r>
    </w:p>
    <w:p>
      <w:pPr>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日期：   年   月   日</w:t>
      </w:r>
    </w:p>
    <w:p>
      <w:pPr>
        <w:snapToGrid w:val="0"/>
        <w:spacing w:line="300" w:lineRule="auto"/>
        <w:rPr>
          <w:rFonts w:hAnsi="宋体" w:cs="宋体"/>
          <w:color w:val="auto"/>
          <w:szCs w:val="21"/>
          <w:highlight w:val="none"/>
        </w:rPr>
      </w:pPr>
    </w:p>
    <w:p>
      <w:pPr>
        <w:snapToGrid w:val="0"/>
        <w:spacing w:line="360" w:lineRule="auto"/>
        <w:jc w:val="center"/>
        <w:rPr>
          <w:rFonts w:hAnsi="宋体" w:cs="宋体"/>
          <w:b/>
          <w:color w:val="auto"/>
          <w:sz w:val="30"/>
          <w:szCs w:val="30"/>
          <w:highlight w:val="none"/>
        </w:rPr>
      </w:pPr>
    </w:p>
    <w:p>
      <w:pPr>
        <w:pStyle w:val="3"/>
        <w:spacing w:before="120" w:line="480" w:lineRule="exact"/>
        <w:jc w:val="center"/>
        <w:rPr>
          <w:rFonts w:hAnsi="宋体" w:cs="宋体"/>
          <w:b/>
          <w:color w:val="auto"/>
          <w:sz w:val="32"/>
          <w:szCs w:val="32"/>
          <w:highlight w:val="none"/>
        </w:rPr>
      </w:pPr>
      <w:r>
        <w:rPr>
          <w:rFonts w:hint="eastAsia" w:hAnsi="宋体" w:cs="宋体"/>
          <w:b/>
          <w:color w:val="auto"/>
          <w:sz w:val="32"/>
          <w:szCs w:val="32"/>
          <w:highlight w:val="none"/>
        </w:rPr>
        <w:t>3.技术响应评分标准自查表</w:t>
      </w:r>
    </w:p>
    <w:p>
      <w:pPr>
        <w:pStyle w:val="3"/>
        <w:spacing w:before="120" w:line="480" w:lineRule="exact"/>
        <w:jc w:val="center"/>
        <w:rPr>
          <w:rFonts w:hAnsi="宋体"/>
          <w:b/>
          <w:color w:val="auto"/>
          <w:sz w:val="21"/>
          <w:szCs w:val="21"/>
          <w:highlight w:val="none"/>
        </w:rPr>
      </w:pPr>
      <w:r>
        <w:rPr>
          <w:rFonts w:hint="eastAsia" w:hAnsi="宋体"/>
          <w:b/>
          <w:color w:val="auto"/>
          <w:sz w:val="21"/>
          <w:szCs w:val="21"/>
          <w:highlight w:val="none"/>
        </w:rPr>
        <w:t>技术响应评分标准自查表</w:t>
      </w:r>
    </w:p>
    <w:tbl>
      <w:tblPr>
        <w:tblStyle w:val="49"/>
        <w:tblW w:w="0" w:type="auto"/>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0"/>
        <w:gridCol w:w="4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200" w:type="dxa"/>
            <w:vAlign w:val="center"/>
          </w:tcPr>
          <w:p>
            <w:pPr>
              <w:pStyle w:val="147"/>
              <w:keepNext w:val="0"/>
              <w:adjustRightInd/>
              <w:spacing w:before="0" w:after="0" w:line="240" w:lineRule="auto"/>
              <w:textAlignment w:val="auto"/>
              <w:rPr>
                <w:rFonts w:ascii="宋体" w:hAnsi="宋体" w:cs="宋体"/>
                <w:bCs/>
                <w:snapToGrid/>
                <w:color w:val="auto"/>
                <w:spacing w:val="0"/>
                <w:kern w:val="2"/>
                <w:szCs w:val="21"/>
                <w:highlight w:val="none"/>
              </w:rPr>
            </w:pPr>
            <w:r>
              <w:rPr>
                <w:rFonts w:hint="eastAsia" w:ascii="宋体" w:hAnsi="宋体" w:cs="宋体"/>
                <w:bCs/>
                <w:snapToGrid/>
                <w:color w:val="auto"/>
                <w:spacing w:val="0"/>
                <w:kern w:val="2"/>
                <w:szCs w:val="21"/>
                <w:highlight w:val="none"/>
              </w:rPr>
              <w:t>评审细则</w:t>
            </w:r>
          </w:p>
        </w:tc>
        <w:tc>
          <w:tcPr>
            <w:tcW w:w="4010" w:type="dxa"/>
            <w:vAlign w:val="center"/>
          </w:tcPr>
          <w:p>
            <w:pPr>
              <w:pStyle w:val="147"/>
              <w:keepNext w:val="0"/>
              <w:adjustRightInd/>
              <w:spacing w:before="0" w:after="0" w:line="240" w:lineRule="auto"/>
              <w:textAlignment w:val="auto"/>
              <w:rPr>
                <w:rFonts w:ascii="宋体" w:hAnsi="宋体" w:cs="宋体"/>
                <w:bCs/>
                <w:snapToGrid/>
                <w:color w:val="auto"/>
                <w:spacing w:val="0"/>
                <w:kern w:val="2"/>
                <w:szCs w:val="21"/>
                <w:highlight w:val="none"/>
              </w:rPr>
            </w:pPr>
            <w:r>
              <w:rPr>
                <w:rFonts w:hint="eastAsia" w:ascii="宋体" w:hAnsi="宋体" w:cs="宋体"/>
                <w:bCs/>
                <w:snapToGrid/>
                <w:color w:val="auto"/>
                <w:spacing w:val="0"/>
                <w:kern w:val="2"/>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00" w:type="dxa"/>
            <w:vAlign w:val="center"/>
          </w:tcPr>
          <w:p>
            <w:pPr>
              <w:rPr>
                <w:rFonts w:hAnsi="宋体" w:cs="宋体"/>
                <w:bCs/>
                <w:iCs/>
                <w:color w:val="auto"/>
                <w:szCs w:val="21"/>
                <w:highlight w:val="none"/>
              </w:rPr>
            </w:pPr>
            <w:r>
              <w:rPr>
                <w:rFonts w:hint="eastAsia" w:hAnsi="宋体" w:cs="宋体"/>
                <w:b/>
                <w:bCs/>
                <w:iCs/>
                <w:color w:val="auto"/>
                <w:szCs w:val="21"/>
                <w:highlight w:val="none"/>
              </w:rPr>
              <w:t>............</w:t>
            </w:r>
          </w:p>
        </w:tc>
        <w:tc>
          <w:tcPr>
            <w:tcW w:w="4010" w:type="dxa"/>
            <w:vAlign w:val="center"/>
          </w:tcPr>
          <w:p>
            <w:pPr>
              <w:pStyle w:val="37"/>
              <w:jc w:val="center"/>
              <w:rPr>
                <w:rFonts w:ascii="宋体" w:hAnsi="宋体" w:cs="宋体"/>
                <w:bCs/>
                <w:color w:val="auto"/>
                <w:szCs w:val="21"/>
                <w:highlight w:val="none"/>
              </w:rPr>
            </w:pPr>
            <w:r>
              <w:rPr>
                <w:rFonts w:hint="eastAsia" w:ascii="宋体" w:hAnsi="宋体" w:cs="宋体"/>
                <w:bCs/>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00" w:type="dxa"/>
            <w:vAlign w:val="center"/>
          </w:tcPr>
          <w:p>
            <w:pPr>
              <w:rPr>
                <w:rFonts w:hAnsi="宋体" w:cs="宋体"/>
                <w:bCs/>
                <w:color w:val="auto"/>
                <w:szCs w:val="21"/>
                <w:highlight w:val="none"/>
              </w:rPr>
            </w:pPr>
            <w:r>
              <w:rPr>
                <w:rFonts w:hint="eastAsia" w:hAnsi="宋体" w:cs="宋体"/>
                <w:b/>
                <w:bCs/>
                <w:iCs/>
                <w:color w:val="auto"/>
                <w:szCs w:val="21"/>
                <w:highlight w:val="none"/>
              </w:rPr>
              <w:t>............</w:t>
            </w:r>
          </w:p>
        </w:tc>
        <w:tc>
          <w:tcPr>
            <w:tcW w:w="4010" w:type="dxa"/>
            <w:vAlign w:val="center"/>
          </w:tcPr>
          <w:p>
            <w:pPr>
              <w:pStyle w:val="37"/>
              <w:jc w:val="center"/>
              <w:rPr>
                <w:rFonts w:ascii="宋体" w:hAnsi="宋体" w:cs="宋体"/>
                <w:bCs/>
                <w:color w:val="auto"/>
                <w:szCs w:val="21"/>
                <w:highlight w:val="none"/>
              </w:rPr>
            </w:pPr>
            <w:r>
              <w:rPr>
                <w:rFonts w:hint="eastAsia" w:ascii="宋体" w:hAnsi="宋体" w:cs="宋体"/>
                <w:bCs/>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00" w:type="dxa"/>
            <w:vAlign w:val="center"/>
          </w:tcPr>
          <w:p>
            <w:pPr>
              <w:rPr>
                <w:rFonts w:hAnsi="宋体" w:cs="宋体"/>
                <w:bCs/>
                <w:color w:val="auto"/>
                <w:szCs w:val="21"/>
                <w:highlight w:val="none"/>
              </w:rPr>
            </w:pPr>
            <w:r>
              <w:rPr>
                <w:rFonts w:hint="eastAsia" w:hAnsi="宋体" w:cs="宋体"/>
                <w:b/>
                <w:bCs/>
                <w:iCs/>
                <w:color w:val="auto"/>
                <w:szCs w:val="21"/>
                <w:highlight w:val="none"/>
              </w:rPr>
              <w:t>............</w:t>
            </w:r>
          </w:p>
        </w:tc>
        <w:tc>
          <w:tcPr>
            <w:tcW w:w="4010" w:type="dxa"/>
            <w:vAlign w:val="center"/>
          </w:tcPr>
          <w:p>
            <w:pPr>
              <w:pStyle w:val="37"/>
              <w:jc w:val="center"/>
              <w:rPr>
                <w:rFonts w:ascii="宋体" w:hAnsi="宋体" w:cs="宋体"/>
                <w:bCs/>
                <w:color w:val="auto"/>
                <w:szCs w:val="21"/>
                <w:highlight w:val="none"/>
              </w:rPr>
            </w:pPr>
            <w:r>
              <w:rPr>
                <w:rFonts w:hint="eastAsia" w:ascii="宋体" w:hAnsi="宋体" w:cs="宋体"/>
                <w:bCs/>
                <w:color w:val="auto"/>
                <w:szCs w:val="21"/>
                <w:highlight w:val="none"/>
              </w:rPr>
              <w:t>第（）页</w:t>
            </w:r>
          </w:p>
        </w:tc>
      </w:tr>
    </w:tbl>
    <w:p>
      <w:pPr>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【备注】如因投标人在投标文件中的页码标注错误而导致评审专家漏看，所产生的一切后果由投标人自行负责。</w:t>
      </w:r>
    </w:p>
    <w:p>
      <w:pPr>
        <w:snapToGrid w:val="0"/>
        <w:spacing w:line="360" w:lineRule="auto"/>
        <w:rPr>
          <w:rFonts w:ascii="仿宋" w:hAnsi="仿宋" w:eastAsia="仿宋" w:cs="仿宋"/>
          <w:color w:val="auto"/>
          <w:szCs w:val="21"/>
          <w:highlight w:val="none"/>
          <w:u w:val="single"/>
        </w:rPr>
      </w:pPr>
      <w:r>
        <w:rPr>
          <w:rFonts w:hint="eastAsia" w:ascii="仿宋" w:hAnsi="仿宋" w:eastAsia="仿宋" w:cs="仿宋"/>
          <w:color w:val="auto"/>
          <w:szCs w:val="21"/>
          <w:highlight w:val="none"/>
        </w:rPr>
        <w:t>投标人法定代表人（或法定代表人授权代表）签字：</w:t>
      </w:r>
    </w:p>
    <w:p>
      <w:pPr>
        <w:snapToGrid w:val="0"/>
        <w:spacing w:line="360" w:lineRule="auto"/>
        <w:rPr>
          <w:rFonts w:ascii="仿宋" w:hAnsi="仿宋" w:eastAsia="仿宋" w:cs="仿宋"/>
          <w:color w:val="auto"/>
          <w:szCs w:val="21"/>
          <w:highlight w:val="none"/>
          <w:u w:val="single"/>
        </w:rPr>
      </w:pPr>
      <w:r>
        <w:rPr>
          <w:rFonts w:hint="eastAsia" w:ascii="仿宋" w:hAnsi="仿宋" w:eastAsia="仿宋" w:cs="仿宋"/>
          <w:color w:val="auto"/>
          <w:szCs w:val="21"/>
          <w:highlight w:val="none"/>
        </w:rPr>
        <w:t>投标人名称（签章）：</w:t>
      </w:r>
    </w:p>
    <w:p>
      <w:pPr>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日期：   年   月   日</w:t>
      </w:r>
    </w:p>
    <w:p>
      <w:pPr>
        <w:pStyle w:val="20"/>
        <w:spacing w:line="360" w:lineRule="exact"/>
        <w:rPr>
          <w:rFonts w:hAnsi="宋体"/>
          <w:color w:val="auto"/>
          <w:sz w:val="21"/>
          <w:szCs w:val="21"/>
          <w:highlight w:val="none"/>
          <w:lang w:val="en-US"/>
        </w:rPr>
      </w:pPr>
    </w:p>
    <w:p>
      <w:pPr>
        <w:pStyle w:val="20"/>
        <w:spacing w:line="360" w:lineRule="exact"/>
        <w:jc w:val="left"/>
        <w:rPr>
          <w:rFonts w:hAnsi="宋体"/>
          <w:color w:val="auto"/>
          <w:sz w:val="21"/>
          <w:szCs w:val="21"/>
          <w:highlight w:val="none"/>
          <w:lang w:val="en-US"/>
        </w:rPr>
      </w:pPr>
    </w:p>
    <w:p>
      <w:pPr>
        <w:pStyle w:val="20"/>
        <w:spacing w:line="360" w:lineRule="exact"/>
        <w:jc w:val="left"/>
        <w:rPr>
          <w:rFonts w:hAnsi="宋体"/>
          <w:color w:val="auto"/>
          <w:sz w:val="21"/>
          <w:szCs w:val="21"/>
          <w:highlight w:val="none"/>
        </w:rPr>
      </w:pPr>
    </w:p>
    <w:p>
      <w:pPr>
        <w:snapToGrid w:val="0"/>
        <w:spacing w:line="360" w:lineRule="auto"/>
        <w:rPr>
          <w:rFonts w:hAnsi="宋体"/>
          <w:color w:val="auto"/>
          <w:szCs w:val="21"/>
          <w:highlight w:val="none"/>
        </w:rPr>
      </w:pPr>
    </w:p>
    <w:p>
      <w:pPr>
        <w:pStyle w:val="20"/>
        <w:spacing w:line="360" w:lineRule="exact"/>
        <w:jc w:val="left"/>
        <w:rPr>
          <w:rFonts w:hAnsi="宋体" w:cs="宋体"/>
          <w:color w:val="auto"/>
          <w:sz w:val="21"/>
          <w:highlight w:val="none"/>
          <w:lang w:val="en-US"/>
        </w:rPr>
      </w:pPr>
    </w:p>
    <w:p>
      <w:pPr>
        <w:pStyle w:val="20"/>
        <w:spacing w:line="360" w:lineRule="exact"/>
        <w:jc w:val="left"/>
        <w:rPr>
          <w:rFonts w:hAnsi="宋体" w:cs="宋体"/>
          <w:color w:val="auto"/>
          <w:sz w:val="21"/>
          <w:highlight w:val="none"/>
          <w:lang w:val="en-US"/>
        </w:rPr>
      </w:pPr>
    </w:p>
    <w:p>
      <w:pPr>
        <w:pStyle w:val="20"/>
        <w:spacing w:line="360" w:lineRule="exact"/>
        <w:jc w:val="left"/>
        <w:rPr>
          <w:rFonts w:hAnsi="宋体" w:cs="宋体"/>
          <w:color w:val="auto"/>
          <w:sz w:val="21"/>
          <w:highlight w:val="none"/>
          <w:lang w:val="en-US"/>
        </w:rPr>
      </w:pPr>
    </w:p>
    <w:p>
      <w:pPr>
        <w:pStyle w:val="20"/>
        <w:spacing w:line="360" w:lineRule="exact"/>
        <w:jc w:val="left"/>
        <w:rPr>
          <w:rFonts w:hAnsi="宋体" w:cs="宋体"/>
          <w:color w:val="auto"/>
          <w:sz w:val="21"/>
          <w:highlight w:val="none"/>
          <w:lang w:val="en-US"/>
        </w:rPr>
      </w:pPr>
    </w:p>
    <w:p>
      <w:pPr>
        <w:snapToGrid w:val="0"/>
        <w:rPr>
          <w:rFonts w:hAnsi="宋体"/>
          <w:color w:val="auto"/>
          <w:szCs w:val="21"/>
          <w:highlight w:val="none"/>
        </w:rPr>
        <w:sectPr>
          <w:headerReference r:id="rId3" w:type="default"/>
          <w:footerReference r:id="rId4" w:type="default"/>
          <w:footerReference r:id="rId5" w:type="even"/>
          <w:type w:val="nextColumn"/>
          <w:pgSz w:w="11906" w:h="16838"/>
          <w:pgMar w:top="1089" w:right="1191" w:bottom="1089" w:left="1191" w:header="567" w:footer="550" w:gutter="0"/>
          <w:pgNumType w:start="0"/>
          <w:cols w:space="720" w:num="1"/>
          <w:titlePg/>
          <w:docGrid w:type="lines" w:linePitch="312" w:charSpace="0"/>
        </w:sectPr>
      </w:pPr>
    </w:p>
    <w:p>
      <w:pPr>
        <w:pStyle w:val="3"/>
        <w:spacing w:before="120" w:line="480" w:lineRule="exact"/>
        <w:jc w:val="center"/>
        <w:rPr>
          <w:rFonts w:hAnsi="宋体" w:cs="宋体"/>
          <w:b/>
          <w:color w:val="auto"/>
          <w:sz w:val="32"/>
          <w:szCs w:val="32"/>
          <w:highlight w:val="none"/>
        </w:rPr>
      </w:pPr>
      <w:r>
        <w:rPr>
          <w:rFonts w:hint="eastAsia" w:hAnsi="宋体" w:cs="宋体"/>
          <w:b/>
          <w:color w:val="auto"/>
          <w:sz w:val="32"/>
          <w:szCs w:val="32"/>
          <w:highlight w:val="none"/>
        </w:rPr>
        <w:t>二、商务部分文件</w:t>
      </w:r>
    </w:p>
    <w:p>
      <w:pPr>
        <w:pStyle w:val="3"/>
        <w:rPr>
          <w:rFonts w:hAnsi="宋体" w:cs="宋体"/>
          <w:b/>
          <w:color w:val="auto"/>
          <w:szCs w:val="20"/>
          <w:highlight w:val="none"/>
        </w:rPr>
      </w:pPr>
      <w:bookmarkStart w:id="28" w:name="_Hlt10519541"/>
      <w:bookmarkEnd w:id="28"/>
      <w:bookmarkStart w:id="29" w:name="_Hlt10456257"/>
      <w:r>
        <w:rPr>
          <w:rFonts w:hint="eastAsia" w:hAnsi="宋体" w:cs="宋体"/>
          <w:b/>
          <w:color w:val="auto"/>
          <w:szCs w:val="20"/>
          <w:highlight w:val="none"/>
        </w:rPr>
        <w:t>附表2.1 投标函格式</w:t>
      </w:r>
    </w:p>
    <w:bookmarkEnd w:id="29"/>
    <w:p>
      <w:pPr>
        <w:spacing w:line="480" w:lineRule="exact"/>
        <w:jc w:val="center"/>
        <w:rPr>
          <w:rFonts w:hAnsi="宋体" w:cs="宋体"/>
          <w:b/>
          <w:color w:val="auto"/>
          <w:sz w:val="32"/>
          <w:szCs w:val="32"/>
          <w:highlight w:val="none"/>
        </w:rPr>
      </w:pPr>
      <w:r>
        <w:rPr>
          <w:rFonts w:hint="eastAsia" w:hAnsi="宋体" w:cs="宋体"/>
          <w:b/>
          <w:color w:val="auto"/>
          <w:sz w:val="32"/>
          <w:szCs w:val="32"/>
          <w:highlight w:val="none"/>
        </w:rPr>
        <w:t>投标函</w:t>
      </w:r>
    </w:p>
    <w:p>
      <w:pPr>
        <w:spacing w:line="480" w:lineRule="exact"/>
        <w:rPr>
          <w:rFonts w:ascii="仿宋" w:hAnsi="仿宋" w:eastAsia="仿宋" w:cs="仿宋"/>
          <w:b/>
          <w:color w:val="auto"/>
          <w:szCs w:val="21"/>
          <w:highlight w:val="none"/>
        </w:rPr>
      </w:pPr>
      <w:r>
        <w:rPr>
          <w:rFonts w:hint="eastAsia" w:ascii="仿宋" w:hAnsi="仿宋" w:eastAsia="仿宋" w:cs="仿宋"/>
          <w:b/>
          <w:color w:val="auto"/>
          <w:szCs w:val="21"/>
          <w:highlight w:val="none"/>
        </w:rPr>
        <w:t>致：</w:t>
      </w:r>
      <w:r>
        <w:rPr>
          <w:rFonts w:hint="eastAsia" w:ascii="仿宋" w:hAnsi="仿宋" w:eastAsia="仿宋" w:cs="仿宋"/>
          <w:b/>
          <w:color w:val="auto"/>
          <w:szCs w:val="21"/>
          <w:highlight w:val="none"/>
          <w:u w:val="single"/>
        </w:rPr>
        <w:t>广东省气象局/（广东远东招标代理有限公司）</w:t>
      </w:r>
    </w:p>
    <w:p>
      <w:pPr>
        <w:spacing w:line="400" w:lineRule="exact"/>
        <w:ind w:firstLine="42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根据贵方“</w:t>
      </w:r>
      <w:r>
        <w:rPr>
          <w:rFonts w:hint="eastAsia" w:ascii="仿宋" w:hAnsi="仿宋" w:eastAsia="仿宋" w:cs="仿宋"/>
          <w:color w:val="auto"/>
          <w:szCs w:val="21"/>
          <w:highlight w:val="none"/>
        </w:rPr>
        <w:t>南海海洋预警信息发布和沿海恶劣天气防灾叫应系统(二期)</w:t>
      </w:r>
      <w:r>
        <w:rPr>
          <w:rFonts w:hint="eastAsia" w:ascii="仿宋" w:hAnsi="仿宋" w:eastAsia="仿宋" w:cs="仿宋"/>
          <w:color w:val="auto"/>
          <w:kern w:val="2"/>
          <w:szCs w:val="21"/>
          <w:highlight w:val="none"/>
          <w:lang w:val="zh-CN"/>
        </w:rPr>
        <w:t>”</w:t>
      </w:r>
      <w:r>
        <w:rPr>
          <w:rFonts w:hint="eastAsia" w:ascii="仿宋" w:hAnsi="仿宋" w:eastAsia="仿宋" w:cs="仿宋"/>
          <w:color w:val="auto"/>
          <w:szCs w:val="32"/>
          <w:highlight w:val="none"/>
        </w:rPr>
        <w:t>(</w:t>
      </w:r>
      <w:r>
        <w:rPr>
          <w:rFonts w:hint="eastAsia" w:ascii="仿宋" w:hAnsi="仿宋" w:eastAsia="仿宋" w:cs="仿宋"/>
          <w:color w:val="auto"/>
          <w:kern w:val="2"/>
          <w:szCs w:val="21"/>
          <w:highlight w:val="none"/>
          <w:lang w:val="zh-CN"/>
        </w:rPr>
        <w:t>采购编号：GDYD230090)的投标邀请，我方</w:t>
      </w:r>
      <w:r>
        <w:rPr>
          <w:rFonts w:hint="eastAsia" w:ascii="仿宋" w:hAnsi="仿宋" w:eastAsia="仿宋" w:cs="仿宋"/>
          <w:color w:val="auto"/>
          <w:kern w:val="2"/>
          <w:szCs w:val="21"/>
          <w:highlight w:val="none"/>
          <w:u w:val="single"/>
          <w:lang w:val="zh-CN"/>
        </w:rPr>
        <w:t xml:space="preserve">    </w:t>
      </w:r>
      <w:r>
        <w:rPr>
          <w:rFonts w:hint="eastAsia" w:ascii="仿宋" w:hAnsi="仿宋" w:eastAsia="仿宋" w:cs="仿宋"/>
          <w:color w:val="auto"/>
          <w:kern w:val="2"/>
          <w:szCs w:val="21"/>
          <w:highlight w:val="none"/>
          <w:lang w:val="zh-CN"/>
        </w:rPr>
        <w:t>（投标人名称）作为投标人正式授权</w:t>
      </w:r>
      <w:r>
        <w:rPr>
          <w:rFonts w:hint="eastAsia" w:ascii="仿宋" w:hAnsi="仿宋" w:eastAsia="仿宋" w:cs="仿宋"/>
          <w:color w:val="auto"/>
          <w:kern w:val="2"/>
          <w:szCs w:val="21"/>
          <w:highlight w:val="none"/>
          <w:u w:val="single"/>
          <w:lang w:val="zh-CN"/>
        </w:rPr>
        <w:t>　（</w:t>
      </w:r>
      <w:r>
        <w:rPr>
          <w:rFonts w:hint="eastAsia" w:ascii="仿宋" w:hAnsi="仿宋" w:eastAsia="仿宋" w:cs="仿宋"/>
          <w:color w:val="auto"/>
          <w:kern w:val="2"/>
          <w:szCs w:val="21"/>
          <w:highlight w:val="none"/>
          <w:lang w:val="zh-CN"/>
        </w:rPr>
        <w:t>授权代表全名，职务）代表我方进行有关本次投标的一切事宜。</w:t>
      </w:r>
    </w:p>
    <w:p>
      <w:pPr>
        <w:spacing w:line="400" w:lineRule="exact"/>
        <w:ind w:firstLine="42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在此提交的投标文件，已按招标文件的要求密封封装。包括但不限于如下内容：</w:t>
      </w:r>
    </w:p>
    <w:p>
      <w:pPr>
        <w:spacing w:line="400" w:lineRule="exact"/>
        <w:ind w:left="718"/>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（1）唱标信封【1份】（按招标文件要求的内容编制，含电子文件【</w:t>
      </w:r>
      <w:r>
        <w:rPr>
          <w:rFonts w:hint="eastAsia" w:ascii="仿宋" w:hAnsi="仿宋" w:eastAsia="仿宋" w:cs="仿宋"/>
          <w:color w:val="auto"/>
          <w:kern w:val="2"/>
          <w:szCs w:val="21"/>
          <w:highlight w:val="none"/>
          <w:u w:val="single"/>
          <w:lang w:val="zh-CN"/>
        </w:rPr>
        <w:t xml:space="preserve"> 1</w:t>
      </w:r>
      <w:r>
        <w:rPr>
          <w:rFonts w:hint="eastAsia" w:ascii="仿宋" w:hAnsi="仿宋" w:eastAsia="仿宋" w:cs="仿宋"/>
          <w:color w:val="auto"/>
          <w:kern w:val="2"/>
          <w:szCs w:val="21"/>
          <w:highlight w:val="none"/>
          <w:lang w:val="zh-CN"/>
        </w:rPr>
        <w:t>份】）；</w:t>
      </w:r>
    </w:p>
    <w:p>
      <w:pPr>
        <w:spacing w:line="400" w:lineRule="exact"/>
        <w:ind w:left="718"/>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（2）投标文件【含自检表、经济文件和商务技术文件，正本</w:t>
      </w:r>
      <w:r>
        <w:rPr>
          <w:rFonts w:hint="eastAsia" w:ascii="仿宋" w:hAnsi="仿宋" w:eastAsia="仿宋" w:cs="仿宋"/>
          <w:color w:val="auto"/>
          <w:kern w:val="2"/>
          <w:szCs w:val="21"/>
          <w:highlight w:val="none"/>
          <w:u w:val="single"/>
          <w:lang w:val="zh-CN"/>
        </w:rPr>
        <w:t>1</w:t>
      </w:r>
      <w:r>
        <w:rPr>
          <w:rFonts w:hint="eastAsia" w:ascii="仿宋" w:hAnsi="仿宋" w:eastAsia="仿宋" w:cs="仿宋"/>
          <w:color w:val="auto"/>
          <w:kern w:val="2"/>
          <w:szCs w:val="21"/>
          <w:highlight w:val="none"/>
          <w:lang w:val="zh-CN"/>
        </w:rPr>
        <w:t>份，副本</w:t>
      </w:r>
      <w:r>
        <w:rPr>
          <w:rFonts w:hint="eastAsia" w:ascii="仿宋" w:hAnsi="仿宋" w:eastAsia="仿宋" w:cs="仿宋"/>
          <w:color w:val="auto"/>
          <w:kern w:val="2"/>
          <w:szCs w:val="21"/>
          <w:highlight w:val="none"/>
          <w:u w:val="single"/>
        </w:rPr>
        <w:t>4</w:t>
      </w:r>
      <w:r>
        <w:rPr>
          <w:rFonts w:hint="eastAsia" w:ascii="仿宋" w:hAnsi="仿宋" w:eastAsia="仿宋" w:cs="仿宋"/>
          <w:color w:val="auto"/>
          <w:kern w:val="2"/>
          <w:szCs w:val="21"/>
          <w:highlight w:val="none"/>
          <w:lang w:val="zh-CN"/>
        </w:rPr>
        <w:t>份】。</w:t>
      </w:r>
    </w:p>
    <w:p>
      <w:pPr>
        <w:spacing w:line="400" w:lineRule="exact"/>
        <w:ind w:firstLine="42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我方己完全明白招标文件的所有条款要求，并重申以下几点：</w:t>
      </w:r>
    </w:p>
    <w:p>
      <w:pPr>
        <w:spacing w:line="400" w:lineRule="exact"/>
        <w:ind w:left="359"/>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（—）我方决定参加采购编号为GDYD230090项目的投标；</w:t>
      </w:r>
    </w:p>
    <w:p>
      <w:pPr>
        <w:spacing w:line="400" w:lineRule="exact"/>
        <w:ind w:left="359"/>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（二）本项目的投标报价（详见投标报价表）；</w:t>
      </w:r>
    </w:p>
    <w:p>
      <w:pPr>
        <w:spacing w:line="400" w:lineRule="exact"/>
        <w:ind w:left="945" w:leftChars="150" w:hanging="630" w:hangingChars="30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（三）本投标文件的有效期自递交投标文件截止日后</w:t>
      </w:r>
      <w:r>
        <w:rPr>
          <w:rFonts w:hint="eastAsia" w:ascii="仿宋" w:hAnsi="仿宋" w:eastAsia="仿宋" w:cs="仿宋"/>
          <w:color w:val="auto"/>
          <w:kern w:val="2"/>
          <w:szCs w:val="21"/>
          <w:highlight w:val="none"/>
          <w:u w:val="single"/>
          <w:lang w:val="zh-CN"/>
        </w:rPr>
        <w:t>90</w:t>
      </w:r>
      <w:r>
        <w:rPr>
          <w:rFonts w:hint="eastAsia" w:ascii="仿宋" w:hAnsi="仿宋" w:eastAsia="仿宋" w:cs="仿宋"/>
          <w:color w:val="auto"/>
          <w:kern w:val="2"/>
          <w:szCs w:val="21"/>
          <w:highlight w:val="none"/>
          <w:lang w:val="zh-CN"/>
        </w:rPr>
        <w:t>天有效，如中标，有效期延至合同终止日为止；</w:t>
      </w:r>
    </w:p>
    <w:p>
      <w:pPr>
        <w:spacing w:line="400" w:lineRule="exact"/>
        <w:ind w:left="945" w:leftChars="150" w:hanging="630" w:hangingChars="30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（四）我方已详细</w:t>
      </w:r>
      <w:r>
        <w:rPr>
          <w:rFonts w:hint="eastAsia" w:ascii="仿宋" w:hAnsi="仿宋" w:eastAsia="仿宋" w:cs="仿宋"/>
          <w:color w:val="auto"/>
          <w:szCs w:val="21"/>
          <w:highlight w:val="none"/>
        </w:rPr>
        <w:t>阅读并</w:t>
      </w:r>
      <w:r>
        <w:rPr>
          <w:rFonts w:hint="eastAsia" w:ascii="仿宋" w:hAnsi="仿宋" w:eastAsia="仿宋" w:cs="仿宋"/>
          <w:color w:val="auto"/>
          <w:kern w:val="2"/>
          <w:szCs w:val="21"/>
          <w:highlight w:val="none"/>
          <w:lang w:val="zh-CN"/>
        </w:rPr>
        <w:t>研究了招标文件的所有内容包括修正文、</w:t>
      </w:r>
      <w:r>
        <w:rPr>
          <w:rFonts w:hint="eastAsia" w:ascii="仿宋" w:hAnsi="仿宋" w:eastAsia="仿宋" w:cs="仿宋"/>
          <w:color w:val="auto"/>
          <w:szCs w:val="21"/>
          <w:highlight w:val="none"/>
        </w:rPr>
        <w:t>答疑纪要、澄清补充通知</w:t>
      </w:r>
      <w:r>
        <w:rPr>
          <w:rFonts w:hint="eastAsia" w:ascii="仿宋" w:hAnsi="仿宋" w:eastAsia="仿宋" w:cs="仿宋"/>
          <w:color w:val="auto"/>
          <w:kern w:val="2"/>
          <w:szCs w:val="21"/>
          <w:highlight w:val="none"/>
          <w:lang w:val="zh-CN"/>
        </w:rPr>
        <w:t>（如有）和所有已提供的参考资料以及有关附件，</w:t>
      </w:r>
      <w:r>
        <w:rPr>
          <w:rFonts w:hint="eastAsia" w:ascii="仿宋" w:hAnsi="仿宋" w:eastAsia="仿宋" w:cs="仿宋"/>
          <w:color w:val="auto"/>
          <w:szCs w:val="21"/>
          <w:highlight w:val="none"/>
        </w:rPr>
        <w:t>我们完全清晰理解招标文件的要求，不存在任何含糊不清和误解之处，</w:t>
      </w:r>
      <w:r>
        <w:rPr>
          <w:rFonts w:hint="eastAsia" w:ascii="仿宋" w:hAnsi="仿宋" w:eastAsia="仿宋" w:cs="仿宋"/>
          <w:color w:val="auto"/>
          <w:kern w:val="2"/>
          <w:szCs w:val="21"/>
          <w:highlight w:val="none"/>
          <w:lang w:val="zh-CN"/>
        </w:rPr>
        <w:t>我方</w:t>
      </w:r>
      <w:r>
        <w:rPr>
          <w:rFonts w:hint="eastAsia" w:ascii="仿宋" w:hAnsi="仿宋" w:eastAsia="仿宋" w:cs="仿宋"/>
          <w:color w:val="auto"/>
          <w:szCs w:val="21"/>
          <w:highlight w:val="none"/>
        </w:rPr>
        <w:t>同意</w:t>
      </w:r>
      <w:r>
        <w:rPr>
          <w:rFonts w:hint="eastAsia" w:ascii="仿宋" w:hAnsi="仿宋" w:eastAsia="仿宋" w:cs="仿宋"/>
          <w:color w:val="auto"/>
          <w:kern w:val="2"/>
          <w:szCs w:val="21"/>
          <w:highlight w:val="none"/>
          <w:lang w:val="zh-CN"/>
        </w:rPr>
        <w:t>放弃在此方面提出含糊意见或误解的一切权力；</w:t>
      </w:r>
    </w:p>
    <w:p>
      <w:pPr>
        <w:spacing w:line="400" w:lineRule="exact"/>
        <w:ind w:left="945" w:leftChars="150" w:hanging="630" w:hangingChars="30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（五）我方明白并愿意在规定的递交投标文件截止时间和日期之后，投标有效期之内不得撤回投标；</w:t>
      </w:r>
    </w:p>
    <w:p>
      <w:pPr>
        <w:spacing w:line="400" w:lineRule="exact"/>
        <w:ind w:left="359"/>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（六）我方同意按照贵方可能提出的要求而提供与投标有关的任何其它数据或信息；</w:t>
      </w:r>
    </w:p>
    <w:p>
      <w:pPr>
        <w:spacing w:line="400" w:lineRule="exact"/>
        <w:ind w:left="945" w:leftChars="150" w:hanging="630" w:hangingChars="30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（七）我方完全服从和尊重评标委员会所作的评定结果，我方理解贵方不一定接受最低报价或任何贵方可能收到的报价；</w:t>
      </w:r>
    </w:p>
    <w:p>
      <w:pPr>
        <w:spacing w:line="400" w:lineRule="exact"/>
        <w:ind w:left="945" w:leftChars="150" w:hanging="630" w:hangingChars="300"/>
        <w:jc w:val="both"/>
        <w:rPr>
          <w:rFonts w:ascii="仿宋" w:hAnsi="仿宋" w:eastAsia="仿宋" w:cs="仿宋"/>
          <w:color w:val="auto"/>
          <w:kern w:val="2"/>
          <w:szCs w:val="21"/>
          <w:highlight w:val="none"/>
          <w:u w:val="single"/>
          <w:lang w:val="zh-CN"/>
        </w:rPr>
      </w:pPr>
      <w:r>
        <w:rPr>
          <w:rFonts w:hint="eastAsia" w:ascii="仿宋" w:hAnsi="仿宋" w:eastAsia="仿宋" w:cs="仿宋"/>
          <w:color w:val="auto"/>
          <w:kern w:val="2"/>
          <w:szCs w:val="21"/>
          <w:highlight w:val="none"/>
          <w:lang w:val="zh-CN"/>
        </w:rPr>
        <w:t>（八）我方如果中标，将保证履行招标文件以及</w:t>
      </w:r>
      <w:r>
        <w:rPr>
          <w:rFonts w:hint="eastAsia" w:ascii="仿宋" w:hAnsi="仿宋" w:eastAsia="仿宋" w:cs="仿宋"/>
          <w:color w:val="auto"/>
          <w:szCs w:val="21"/>
          <w:highlight w:val="none"/>
        </w:rPr>
        <w:t>答疑纪要、澄清补充通知等</w:t>
      </w:r>
      <w:r>
        <w:rPr>
          <w:rFonts w:hint="eastAsia" w:ascii="仿宋" w:hAnsi="仿宋" w:eastAsia="仿宋" w:cs="仿宋"/>
          <w:color w:val="auto"/>
          <w:kern w:val="2"/>
          <w:szCs w:val="21"/>
          <w:highlight w:val="none"/>
          <w:lang w:val="zh-CN"/>
        </w:rPr>
        <w:t>招标文件修改书（如有）中的全部责任和义务，按质、按量、按期完成《合同书》中的全部任务；</w:t>
      </w:r>
      <w:r>
        <w:rPr>
          <w:rFonts w:hint="eastAsia" w:ascii="仿宋" w:hAnsi="仿宋" w:eastAsia="仿宋" w:cs="仿宋"/>
          <w:color w:val="auto"/>
          <w:szCs w:val="21"/>
          <w:highlight w:val="none"/>
        </w:rPr>
        <w:t>其中投标货物交货期为：</w:t>
      </w:r>
      <w:r>
        <w:rPr>
          <w:rFonts w:hint="eastAsia" w:ascii="仿宋" w:hAnsi="仿宋" w:eastAsia="仿宋" w:cs="仿宋"/>
          <w:color w:val="auto"/>
          <w:highlight w:val="none"/>
        </w:rPr>
        <w:t>按招标文件执行。</w:t>
      </w:r>
      <w:r>
        <w:rPr>
          <w:rFonts w:hint="eastAsia" w:ascii="仿宋" w:hAnsi="仿宋" w:eastAsia="仿宋" w:cs="仿宋"/>
          <w:color w:val="auto"/>
          <w:szCs w:val="21"/>
          <w:highlight w:val="none"/>
        </w:rPr>
        <w:t xml:space="preserve"> </w:t>
      </w:r>
    </w:p>
    <w:p>
      <w:pPr>
        <w:spacing w:line="400" w:lineRule="exact"/>
        <w:ind w:left="359"/>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（九）所有与本投标有关的函件请发往下列地址：</w:t>
      </w:r>
    </w:p>
    <w:p>
      <w:pPr>
        <w:pStyle w:val="2"/>
        <w:rPr>
          <w:color w:val="auto"/>
          <w:highlight w:val="none"/>
          <w:lang w:val="zh-CN"/>
        </w:rPr>
      </w:pPr>
    </w:p>
    <w:p>
      <w:pPr>
        <w:spacing w:line="400" w:lineRule="exact"/>
        <w:jc w:val="both"/>
        <w:rPr>
          <w:rFonts w:ascii="仿宋" w:hAnsi="仿宋" w:eastAsia="仿宋" w:cs="仿宋"/>
          <w:color w:val="auto"/>
          <w:kern w:val="2"/>
          <w:szCs w:val="21"/>
          <w:highlight w:val="none"/>
          <w:u w:val="single"/>
          <w:lang w:val="zh-CN"/>
        </w:rPr>
      </w:pPr>
      <w:r>
        <w:rPr>
          <w:rFonts w:hint="eastAsia" w:ascii="仿宋" w:hAnsi="仿宋" w:eastAsia="仿宋" w:cs="仿宋"/>
          <w:color w:val="auto"/>
          <w:kern w:val="2"/>
          <w:szCs w:val="21"/>
          <w:highlight w:val="none"/>
          <w:lang w:val="zh-CN"/>
        </w:rPr>
        <w:t>地  　址：</w:t>
      </w:r>
      <w:r>
        <w:rPr>
          <w:rFonts w:hint="eastAsia" w:ascii="仿宋" w:hAnsi="仿宋" w:eastAsia="仿宋" w:cs="仿宋"/>
          <w:color w:val="auto"/>
          <w:kern w:val="2"/>
          <w:szCs w:val="21"/>
          <w:highlight w:val="none"/>
          <w:u w:val="single"/>
          <w:lang w:val="zh-CN"/>
        </w:rPr>
        <w:t>　　　　　　　　　　　</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邮政编码：</w:t>
      </w:r>
      <w:r>
        <w:rPr>
          <w:rFonts w:hint="eastAsia" w:ascii="仿宋" w:hAnsi="仿宋" w:eastAsia="仿宋" w:cs="仿宋"/>
          <w:color w:val="auto"/>
          <w:kern w:val="2"/>
          <w:szCs w:val="21"/>
          <w:highlight w:val="none"/>
          <w:u w:val="single"/>
          <w:lang w:val="zh-CN"/>
        </w:rPr>
        <w:t xml:space="preserve">　　　　　　　　　　 </w:t>
      </w:r>
    </w:p>
    <w:p>
      <w:pPr>
        <w:spacing w:line="400" w:lineRule="exact"/>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电　　话：</w:t>
      </w:r>
      <w:r>
        <w:rPr>
          <w:rFonts w:hint="eastAsia" w:ascii="仿宋" w:hAnsi="仿宋" w:eastAsia="仿宋" w:cs="仿宋"/>
          <w:color w:val="auto"/>
          <w:kern w:val="2"/>
          <w:szCs w:val="21"/>
          <w:highlight w:val="none"/>
          <w:u w:val="single"/>
          <w:lang w:val="zh-CN"/>
        </w:rPr>
        <w:t>　　　　　　　　　　　</w:t>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ab/>
      </w:r>
      <w:r>
        <w:rPr>
          <w:rFonts w:hint="eastAsia" w:ascii="仿宋" w:hAnsi="仿宋" w:eastAsia="仿宋" w:cs="仿宋"/>
          <w:color w:val="auto"/>
          <w:kern w:val="2"/>
          <w:szCs w:val="21"/>
          <w:highlight w:val="none"/>
          <w:lang w:val="zh-CN"/>
        </w:rPr>
        <w:t>代表姓名：</w:t>
      </w:r>
      <w:r>
        <w:rPr>
          <w:rFonts w:hint="eastAsia" w:ascii="仿宋" w:hAnsi="仿宋" w:eastAsia="仿宋" w:cs="仿宋"/>
          <w:color w:val="auto"/>
          <w:kern w:val="2"/>
          <w:szCs w:val="21"/>
          <w:highlight w:val="none"/>
          <w:u w:val="single"/>
          <w:lang w:val="zh-CN"/>
        </w:rPr>
        <w:t>　　　　　　　　　　</w:t>
      </w:r>
    </w:p>
    <w:p>
      <w:pPr>
        <w:spacing w:line="400" w:lineRule="exact"/>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传　　真：</w:t>
      </w:r>
      <w:r>
        <w:rPr>
          <w:rFonts w:hint="eastAsia" w:ascii="仿宋" w:hAnsi="仿宋" w:eastAsia="仿宋" w:cs="仿宋"/>
          <w:color w:val="auto"/>
          <w:kern w:val="2"/>
          <w:szCs w:val="21"/>
          <w:highlight w:val="none"/>
          <w:u w:val="single"/>
          <w:lang w:val="zh-CN"/>
        </w:rPr>
        <w:t>　　　　　　　　　　　</w:t>
      </w:r>
      <w:r>
        <w:rPr>
          <w:rFonts w:hint="eastAsia" w:ascii="仿宋" w:hAnsi="仿宋" w:eastAsia="仿宋" w:cs="仿宋"/>
          <w:color w:val="auto"/>
          <w:kern w:val="2"/>
          <w:szCs w:val="21"/>
          <w:highlight w:val="none"/>
          <w:lang w:val="zh-CN"/>
        </w:rPr>
        <w:t xml:space="preserve">         职　　务：</w:t>
      </w:r>
      <w:r>
        <w:rPr>
          <w:rFonts w:hint="eastAsia" w:ascii="仿宋" w:hAnsi="仿宋" w:eastAsia="仿宋" w:cs="仿宋"/>
          <w:color w:val="auto"/>
          <w:kern w:val="2"/>
          <w:szCs w:val="21"/>
          <w:highlight w:val="none"/>
          <w:u w:val="single"/>
          <w:lang w:val="zh-CN"/>
        </w:rPr>
        <w:t xml:space="preserve">　　　　　　　　　　 </w:t>
      </w:r>
    </w:p>
    <w:p>
      <w:pPr>
        <w:snapToGrid w:val="0"/>
        <w:spacing w:line="400" w:lineRule="exact"/>
        <w:rPr>
          <w:rFonts w:ascii="仿宋" w:hAnsi="仿宋" w:eastAsia="仿宋" w:cs="仿宋"/>
          <w:color w:val="auto"/>
          <w:szCs w:val="21"/>
          <w:highlight w:val="none"/>
          <w:u w:val="single"/>
        </w:rPr>
      </w:pPr>
      <w:r>
        <w:rPr>
          <w:rFonts w:hint="eastAsia" w:ascii="仿宋" w:hAnsi="仿宋" w:eastAsia="仿宋" w:cs="仿宋"/>
          <w:color w:val="auto"/>
          <w:szCs w:val="21"/>
          <w:highlight w:val="none"/>
        </w:rPr>
        <w:t>开户银行：</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帐    号：</w:t>
      </w:r>
      <w:r>
        <w:rPr>
          <w:rFonts w:hint="eastAsia" w:ascii="仿宋" w:hAnsi="仿宋" w:eastAsia="仿宋" w:cs="仿宋"/>
          <w:color w:val="auto"/>
          <w:szCs w:val="21"/>
          <w:highlight w:val="none"/>
          <w:u w:val="single"/>
        </w:rPr>
        <w:t xml:space="preserve">                     </w:t>
      </w:r>
    </w:p>
    <w:p>
      <w:pPr>
        <w:spacing w:line="400" w:lineRule="exact"/>
        <w:jc w:val="both"/>
        <w:rPr>
          <w:rFonts w:ascii="仿宋" w:hAnsi="仿宋" w:eastAsia="仿宋" w:cs="仿宋"/>
          <w:color w:val="auto"/>
          <w:kern w:val="2"/>
          <w:szCs w:val="21"/>
          <w:highlight w:val="none"/>
        </w:rPr>
      </w:pPr>
    </w:p>
    <w:p>
      <w:pPr>
        <w:snapToGrid w:val="0"/>
        <w:spacing w:line="300" w:lineRule="auto"/>
        <w:rPr>
          <w:rFonts w:ascii="仿宋" w:hAnsi="仿宋" w:eastAsia="仿宋" w:cs="仿宋"/>
          <w:color w:val="auto"/>
          <w:szCs w:val="21"/>
          <w:highlight w:val="none"/>
          <w:u w:val="single"/>
        </w:rPr>
      </w:pPr>
      <w:r>
        <w:rPr>
          <w:rFonts w:hint="eastAsia" w:ascii="仿宋" w:hAnsi="仿宋" w:eastAsia="仿宋" w:cs="仿宋"/>
          <w:color w:val="auto"/>
          <w:szCs w:val="21"/>
          <w:highlight w:val="none"/>
        </w:rPr>
        <w:t>投标人法定代表人（或法定代表人授权代表）亲笔签字：</w:t>
      </w:r>
      <w:r>
        <w:rPr>
          <w:rFonts w:hint="eastAsia" w:ascii="仿宋" w:hAnsi="仿宋" w:eastAsia="仿宋" w:cs="仿宋"/>
          <w:color w:val="auto"/>
          <w:szCs w:val="21"/>
          <w:highlight w:val="none"/>
          <w:u w:val="single"/>
        </w:rPr>
        <w:t xml:space="preserve">                   </w:t>
      </w:r>
    </w:p>
    <w:p>
      <w:pPr>
        <w:snapToGrid w:val="0"/>
        <w:spacing w:line="300" w:lineRule="auto"/>
        <w:rPr>
          <w:rFonts w:ascii="仿宋" w:hAnsi="仿宋" w:eastAsia="仿宋" w:cs="仿宋"/>
          <w:color w:val="auto"/>
          <w:szCs w:val="21"/>
          <w:highlight w:val="none"/>
          <w:u w:val="single"/>
        </w:rPr>
      </w:pPr>
      <w:r>
        <w:rPr>
          <w:rFonts w:hint="eastAsia" w:ascii="仿宋" w:hAnsi="仿宋" w:eastAsia="仿宋" w:cs="仿宋"/>
          <w:color w:val="auto"/>
          <w:szCs w:val="21"/>
          <w:highlight w:val="none"/>
        </w:rPr>
        <w:t>投标人名称（加盖法人公章）：</w:t>
      </w:r>
      <w:r>
        <w:rPr>
          <w:rFonts w:hint="eastAsia" w:ascii="仿宋" w:hAnsi="仿宋" w:eastAsia="仿宋" w:cs="仿宋"/>
          <w:color w:val="auto"/>
          <w:szCs w:val="21"/>
          <w:highlight w:val="none"/>
          <w:u w:val="single"/>
        </w:rPr>
        <w:t xml:space="preserve">                        </w:t>
      </w:r>
    </w:p>
    <w:p>
      <w:pPr>
        <w:snapToGrid w:val="0"/>
        <w:spacing w:line="300" w:lineRule="auto"/>
        <w:rPr>
          <w:rFonts w:hAnsi="宋体" w:cs="宋体"/>
          <w:color w:val="auto"/>
          <w:szCs w:val="21"/>
          <w:highlight w:val="none"/>
        </w:rPr>
      </w:pPr>
      <w:r>
        <w:rPr>
          <w:rFonts w:hint="eastAsia" w:ascii="仿宋" w:hAnsi="仿宋" w:eastAsia="仿宋" w:cs="仿宋"/>
          <w:color w:val="auto"/>
          <w:szCs w:val="21"/>
          <w:highlight w:val="none"/>
        </w:rPr>
        <w:t>日期：   年   月   日</w:t>
      </w:r>
    </w:p>
    <w:p>
      <w:pPr>
        <w:pStyle w:val="3"/>
        <w:spacing w:after="120" w:line="480" w:lineRule="exact"/>
        <w:rPr>
          <w:rFonts w:hAnsi="宋体" w:cs="宋体"/>
          <w:b/>
          <w:color w:val="auto"/>
          <w:szCs w:val="20"/>
          <w:highlight w:val="none"/>
        </w:rPr>
      </w:pPr>
      <w:r>
        <w:rPr>
          <w:rFonts w:hint="eastAsia" w:hAnsi="宋体" w:cs="宋体"/>
          <w:b/>
          <w:color w:val="auto"/>
          <w:szCs w:val="20"/>
          <w:highlight w:val="none"/>
        </w:rPr>
        <w:br w:type="page"/>
      </w:r>
      <w:r>
        <w:rPr>
          <w:rFonts w:hint="eastAsia" w:hAnsi="宋体" w:cs="宋体"/>
          <w:b/>
          <w:color w:val="auto"/>
          <w:szCs w:val="20"/>
          <w:highlight w:val="none"/>
        </w:rPr>
        <w:t>附表2.2 投标人资格声明书格式</w:t>
      </w:r>
    </w:p>
    <w:p>
      <w:pPr>
        <w:pStyle w:val="28"/>
        <w:spacing w:line="480" w:lineRule="exact"/>
        <w:jc w:val="center"/>
        <w:rPr>
          <w:rFonts w:hAnsi="宋体" w:cs="宋体"/>
          <w:b/>
          <w:bCs/>
          <w:color w:val="auto"/>
          <w:sz w:val="32"/>
          <w:szCs w:val="32"/>
          <w:highlight w:val="none"/>
        </w:rPr>
      </w:pPr>
      <w:r>
        <w:rPr>
          <w:rFonts w:hint="eastAsia" w:hAnsi="宋体" w:cs="宋体"/>
          <w:b/>
          <w:bCs/>
          <w:color w:val="auto"/>
          <w:sz w:val="32"/>
          <w:szCs w:val="32"/>
          <w:highlight w:val="none"/>
        </w:rPr>
        <w:t>资格声明书</w:t>
      </w:r>
    </w:p>
    <w:p>
      <w:pPr>
        <w:pStyle w:val="28"/>
        <w:spacing w:line="480" w:lineRule="exact"/>
        <w:rPr>
          <w:rFonts w:ascii="仿宋" w:hAnsi="仿宋" w:eastAsia="仿宋" w:cs="仿宋"/>
          <w:color w:val="auto"/>
          <w:highlight w:val="none"/>
        </w:rPr>
      </w:pPr>
      <w:r>
        <w:rPr>
          <w:rFonts w:hint="eastAsia" w:ascii="仿宋" w:hAnsi="仿宋" w:eastAsia="仿宋" w:cs="仿宋"/>
          <w:b/>
          <w:color w:val="auto"/>
          <w:highlight w:val="none"/>
        </w:rPr>
        <w:t>致：</w:t>
      </w:r>
      <w:r>
        <w:rPr>
          <w:rFonts w:hint="eastAsia" w:ascii="仿宋" w:hAnsi="仿宋" w:eastAsia="仿宋" w:cs="仿宋"/>
          <w:b/>
          <w:color w:val="auto"/>
          <w:highlight w:val="none"/>
          <w:u w:val="single"/>
        </w:rPr>
        <w:t xml:space="preserve"> 广东省气象局/ 广东远东招标代理有限公司 </w:t>
      </w:r>
    </w:p>
    <w:p>
      <w:pPr>
        <w:pStyle w:val="28"/>
        <w:spacing w:line="360" w:lineRule="auto"/>
        <w:ind w:firstLine="420"/>
        <w:rPr>
          <w:rFonts w:ascii="仿宋" w:hAnsi="仿宋" w:eastAsia="仿宋" w:cs="仿宋"/>
          <w:color w:val="auto"/>
          <w:szCs w:val="21"/>
          <w:highlight w:val="none"/>
        </w:rPr>
      </w:pPr>
      <w:bookmarkStart w:id="30" w:name="_Hlt10549792"/>
      <w:bookmarkEnd w:id="30"/>
      <w:bookmarkStart w:id="31" w:name="_Toc10548701"/>
      <w:r>
        <w:rPr>
          <w:rFonts w:hint="eastAsia" w:ascii="仿宋" w:hAnsi="仿宋" w:eastAsia="仿宋" w:cs="仿宋"/>
          <w:color w:val="auto"/>
          <w:szCs w:val="21"/>
          <w:highlight w:val="none"/>
        </w:rPr>
        <w:t>为响应你方组织的“南海海洋预警信息发布和沿海恶劣天气防灾叫应系统(二期)”的招标[采购编号为：GDYD230090]，我方愿参与投标并作出如下声明：</w:t>
      </w:r>
    </w:p>
    <w:p>
      <w:pPr>
        <w:pStyle w:val="28"/>
        <w:spacing w:line="360" w:lineRule="auto"/>
        <w:ind w:firstLine="420"/>
        <w:rPr>
          <w:rFonts w:ascii="仿宋" w:hAnsi="仿宋" w:eastAsia="仿宋" w:cs="仿宋"/>
          <w:color w:val="auto"/>
          <w:szCs w:val="21"/>
          <w:highlight w:val="none"/>
        </w:rPr>
      </w:pPr>
      <w:r>
        <w:rPr>
          <w:rFonts w:hint="eastAsia" w:ascii="仿宋" w:hAnsi="仿宋" w:eastAsia="仿宋" w:cs="仿宋"/>
          <w:color w:val="auto"/>
          <w:szCs w:val="21"/>
          <w:highlight w:val="none"/>
        </w:rPr>
        <w:t>一、我方作为</w:t>
      </w:r>
      <w:r>
        <w:rPr>
          <w:rFonts w:hint="eastAsia" w:ascii="仿宋" w:hAnsi="仿宋" w:eastAsia="仿宋" w:cs="仿宋"/>
          <w:color w:val="auto"/>
          <w:szCs w:val="21"/>
          <w:highlight w:val="none"/>
          <w:u w:val="single"/>
        </w:rPr>
        <w:t xml:space="preserve">   （投标人名称）   </w:t>
      </w:r>
      <w:r>
        <w:rPr>
          <w:rFonts w:hint="eastAsia" w:ascii="仿宋" w:hAnsi="仿宋" w:eastAsia="仿宋" w:cs="仿宋"/>
          <w:color w:val="auto"/>
          <w:szCs w:val="21"/>
          <w:highlight w:val="none"/>
        </w:rPr>
        <w:t>是在法律、财务和运作上独立于采购人、采购代理机构的投标人，提交所有文件和全部说明是真实的和正确的。</w:t>
      </w:r>
    </w:p>
    <w:p>
      <w:pPr>
        <w:pStyle w:val="28"/>
        <w:spacing w:line="360" w:lineRule="auto"/>
        <w:ind w:firstLine="420"/>
        <w:rPr>
          <w:rFonts w:ascii="仿宋" w:hAnsi="仿宋" w:eastAsia="仿宋" w:cs="仿宋"/>
          <w:color w:val="auto"/>
          <w:szCs w:val="21"/>
          <w:highlight w:val="none"/>
        </w:rPr>
      </w:pPr>
      <w:r>
        <w:rPr>
          <w:rFonts w:hint="eastAsia" w:ascii="仿宋" w:hAnsi="仿宋" w:eastAsia="仿宋" w:cs="仿宋"/>
          <w:color w:val="auto"/>
          <w:szCs w:val="21"/>
          <w:highlight w:val="none"/>
        </w:rPr>
        <w:t>二、本公司（企业）具备《中华人民共和国政府采购法》第二十二条规定的条件：</w:t>
      </w:r>
    </w:p>
    <w:p>
      <w:pPr>
        <w:pStyle w:val="28"/>
        <w:spacing w:line="360" w:lineRule="auto"/>
        <w:ind w:firstLine="420"/>
        <w:rPr>
          <w:rFonts w:ascii="仿宋" w:hAnsi="仿宋" w:eastAsia="仿宋" w:cs="仿宋"/>
          <w:color w:val="auto"/>
          <w:szCs w:val="21"/>
          <w:highlight w:val="none"/>
        </w:rPr>
      </w:pPr>
      <w:r>
        <w:rPr>
          <w:rFonts w:hint="eastAsia" w:ascii="仿宋" w:hAnsi="仿宋" w:eastAsia="仿宋" w:cs="仿宋"/>
          <w:color w:val="auto"/>
          <w:szCs w:val="21"/>
          <w:highlight w:val="none"/>
        </w:rPr>
        <w:t>（一）具有独立承担民事责任的能力；</w:t>
      </w:r>
    </w:p>
    <w:p>
      <w:pPr>
        <w:pStyle w:val="28"/>
        <w:spacing w:line="360" w:lineRule="auto"/>
        <w:ind w:firstLine="420"/>
        <w:rPr>
          <w:rFonts w:ascii="仿宋" w:hAnsi="仿宋" w:eastAsia="仿宋" w:cs="仿宋"/>
          <w:color w:val="auto"/>
          <w:szCs w:val="21"/>
          <w:highlight w:val="none"/>
        </w:rPr>
      </w:pPr>
      <w:r>
        <w:rPr>
          <w:rFonts w:hint="eastAsia" w:ascii="仿宋" w:hAnsi="仿宋" w:eastAsia="仿宋" w:cs="仿宋"/>
          <w:color w:val="auto"/>
          <w:szCs w:val="21"/>
          <w:highlight w:val="none"/>
        </w:rPr>
        <w:t>（二）具有良好的商业信誉和健全的财务会计制度；</w:t>
      </w:r>
    </w:p>
    <w:p>
      <w:pPr>
        <w:pStyle w:val="28"/>
        <w:spacing w:line="360" w:lineRule="auto"/>
        <w:ind w:firstLine="420"/>
        <w:rPr>
          <w:rFonts w:ascii="仿宋" w:hAnsi="仿宋" w:eastAsia="仿宋" w:cs="仿宋"/>
          <w:color w:val="auto"/>
          <w:szCs w:val="21"/>
          <w:highlight w:val="none"/>
        </w:rPr>
      </w:pPr>
      <w:r>
        <w:rPr>
          <w:rFonts w:hint="eastAsia" w:ascii="仿宋" w:hAnsi="仿宋" w:eastAsia="仿宋" w:cs="仿宋"/>
          <w:color w:val="auto"/>
          <w:szCs w:val="21"/>
          <w:highlight w:val="none"/>
        </w:rPr>
        <w:t>（三）具有履行合同所必需的设备和专业技术能力；</w:t>
      </w:r>
    </w:p>
    <w:p>
      <w:pPr>
        <w:pStyle w:val="28"/>
        <w:spacing w:line="360" w:lineRule="auto"/>
        <w:ind w:firstLine="420"/>
        <w:rPr>
          <w:rFonts w:ascii="仿宋" w:hAnsi="仿宋" w:eastAsia="仿宋" w:cs="仿宋"/>
          <w:color w:val="auto"/>
          <w:szCs w:val="21"/>
          <w:highlight w:val="none"/>
        </w:rPr>
      </w:pPr>
      <w:r>
        <w:rPr>
          <w:rFonts w:hint="eastAsia" w:ascii="仿宋" w:hAnsi="仿宋" w:eastAsia="仿宋" w:cs="仿宋"/>
          <w:color w:val="auto"/>
          <w:szCs w:val="21"/>
          <w:highlight w:val="none"/>
        </w:rPr>
        <w:t>（四）有依法缴纳税收和社会保障资金的良好记录；</w:t>
      </w:r>
    </w:p>
    <w:p>
      <w:pPr>
        <w:pStyle w:val="28"/>
        <w:spacing w:line="360" w:lineRule="auto"/>
        <w:ind w:firstLine="420"/>
        <w:rPr>
          <w:rFonts w:ascii="仿宋" w:hAnsi="仿宋" w:eastAsia="仿宋" w:cs="仿宋"/>
          <w:color w:val="auto"/>
          <w:szCs w:val="21"/>
          <w:highlight w:val="none"/>
        </w:rPr>
      </w:pPr>
      <w:r>
        <w:rPr>
          <w:rFonts w:hint="eastAsia" w:ascii="仿宋" w:hAnsi="仿宋" w:eastAsia="仿宋" w:cs="仿宋"/>
          <w:color w:val="auto"/>
          <w:szCs w:val="21"/>
          <w:highlight w:val="none"/>
        </w:rPr>
        <w:t>（五）参加政府采购活动前三年内，在经营活动中没有重大违法记录；</w:t>
      </w:r>
    </w:p>
    <w:p>
      <w:pPr>
        <w:pStyle w:val="28"/>
        <w:spacing w:line="360" w:lineRule="auto"/>
        <w:ind w:firstLine="420"/>
        <w:rPr>
          <w:rFonts w:ascii="仿宋" w:hAnsi="仿宋" w:eastAsia="仿宋" w:cs="仿宋"/>
          <w:color w:val="auto"/>
          <w:szCs w:val="21"/>
          <w:highlight w:val="none"/>
        </w:rPr>
      </w:pPr>
      <w:r>
        <w:rPr>
          <w:rFonts w:hint="eastAsia" w:ascii="仿宋" w:hAnsi="仿宋" w:eastAsia="仿宋" w:cs="仿宋"/>
          <w:color w:val="auto"/>
          <w:szCs w:val="21"/>
          <w:highlight w:val="none"/>
        </w:rPr>
        <w:t>（六）法律、行政法规规定的其他条件。</w:t>
      </w:r>
    </w:p>
    <w:p>
      <w:pPr>
        <w:pStyle w:val="28"/>
        <w:spacing w:line="360" w:lineRule="auto"/>
        <w:ind w:firstLine="420"/>
        <w:rPr>
          <w:rFonts w:ascii="仿宋" w:hAnsi="仿宋" w:eastAsia="仿宋" w:cs="仿宋"/>
          <w:color w:val="auto"/>
          <w:szCs w:val="21"/>
          <w:highlight w:val="none"/>
        </w:rPr>
      </w:pPr>
      <w:r>
        <w:rPr>
          <w:rFonts w:hint="eastAsia" w:ascii="仿宋" w:hAnsi="仿宋" w:eastAsia="仿宋" w:cs="仿宋"/>
          <w:color w:val="auto"/>
          <w:szCs w:val="21"/>
          <w:highlight w:val="none"/>
        </w:rPr>
        <w:t>三、本公司（企业）的单位负责人与所参投的本采购项目的其他投标人的单位负责人不为同一人且与其他投标人之间不存在直接控股、管理关系。</w:t>
      </w:r>
    </w:p>
    <w:p>
      <w:pPr>
        <w:pStyle w:val="28"/>
        <w:spacing w:line="360" w:lineRule="auto"/>
        <w:ind w:firstLine="420"/>
        <w:rPr>
          <w:rFonts w:ascii="仿宋" w:hAnsi="仿宋" w:eastAsia="仿宋" w:cs="仿宋"/>
          <w:color w:val="auto"/>
          <w:szCs w:val="21"/>
          <w:highlight w:val="none"/>
        </w:rPr>
      </w:pPr>
      <w:r>
        <w:rPr>
          <w:rFonts w:hint="eastAsia" w:ascii="仿宋" w:hAnsi="仿宋" w:eastAsia="仿宋" w:cs="仿宋"/>
          <w:color w:val="auto"/>
          <w:szCs w:val="21"/>
          <w:highlight w:val="none"/>
        </w:rPr>
        <w:t>四、根据《中华人民共和国政府采购法实施条例》的规定，本公司（企业）如为本采购项目提供整体设计、规范编制或者项目管理、监理、检测等服务的供应商，不得再参加该采购项目的其他采购活动。否则，由此所造成的损失、不良后果及法律责任，一律由我公司（企业）承担。</w:t>
      </w:r>
    </w:p>
    <w:p>
      <w:pPr>
        <w:pStyle w:val="28"/>
        <w:spacing w:line="360" w:lineRule="auto"/>
        <w:ind w:firstLine="420"/>
        <w:rPr>
          <w:rFonts w:ascii="仿宋" w:hAnsi="仿宋" w:eastAsia="仿宋" w:cs="仿宋"/>
          <w:color w:val="auto"/>
          <w:szCs w:val="21"/>
          <w:highlight w:val="none"/>
        </w:rPr>
      </w:pPr>
      <w:r>
        <w:rPr>
          <w:rFonts w:hint="eastAsia" w:ascii="仿宋" w:hAnsi="仿宋" w:eastAsia="仿宋" w:cs="仿宋"/>
          <w:color w:val="auto"/>
          <w:szCs w:val="21"/>
          <w:highlight w:val="none"/>
        </w:rPr>
        <w:t>五、本公司（企业）承诺在本次招标采购活动中，如有违法、违规、弄虚作假行为，所造成的损失、不良后果及法律责任，一律由我公司（企业）承担。</w:t>
      </w:r>
    </w:p>
    <w:p>
      <w:pPr>
        <w:pStyle w:val="28"/>
        <w:spacing w:line="360" w:lineRule="auto"/>
        <w:ind w:firstLine="420"/>
        <w:rPr>
          <w:rFonts w:ascii="仿宋" w:hAnsi="仿宋" w:eastAsia="仿宋" w:cs="仿宋"/>
          <w:color w:val="auto"/>
          <w:szCs w:val="21"/>
          <w:highlight w:val="none"/>
        </w:rPr>
      </w:pPr>
      <w:r>
        <w:rPr>
          <w:rFonts w:hint="eastAsia" w:ascii="仿宋" w:hAnsi="仿宋" w:eastAsia="仿宋" w:cs="仿宋"/>
          <w:color w:val="auto"/>
          <w:szCs w:val="21"/>
          <w:highlight w:val="none"/>
        </w:rPr>
        <w:t>六、我方理解你方可能还要求提供更进一步的资格资料，并愿意应你方的要求提交。</w:t>
      </w:r>
    </w:p>
    <w:p>
      <w:pPr>
        <w:pStyle w:val="28"/>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投标人：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zh-CN"/>
        </w:rPr>
        <w:t>加盖法人公章</w:t>
      </w:r>
      <w:r>
        <w:rPr>
          <w:rFonts w:hint="eastAsia" w:ascii="仿宋" w:hAnsi="仿宋" w:eastAsia="仿宋" w:cs="仿宋"/>
          <w:color w:val="auto"/>
          <w:szCs w:val="21"/>
          <w:highlight w:val="none"/>
        </w:rPr>
        <w:t>）</w:t>
      </w:r>
    </w:p>
    <w:p>
      <w:pPr>
        <w:pStyle w:val="28"/>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法 定 地 址：</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pStyle w:val="28"/>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邮       编：</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pPr>
        <w:pStyle w:val="28"/>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授权代表（亲笔签字）：</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签字人姓名（印刷体）</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pPr>
        <w:pStyle w:val="28"/>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电       话：</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pStyle w:val="28"/>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传       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pPr>
        <w:pStyle w:val="3"/>
        <w:spacing w:after="120" w:line="480" w:lineRule="exact"/>
        <w:rPr>
          <w:rFonts w:hAnsi="宋体" w:cs="宋体"/>
          <w:b/>
          <w:color w:val="auto"/>
          <w:szCs w:val="20"/>
          <w:highlight w:val="none"/>
        </w:rPr>
      </w:pPr>
      <w:r>
        <w:rPr>
          <w:rFonts w:hint="eastAsia" w:hAnsi="宋体" w:cs="宋体"/>
          <w:b/>
          <w:color w:val="auto"/>
          <w:szCs w:val="20"/>
          <w:highlight w:val="none"/>
        </w:rPr>
        <w:br w:type="page"/>
      </w:r>
      <w:r>
        <w:rPr>
          <w:rFonts w:hint="eastAsia" w:hAnsi="宋体" w:cs="宋体"/>
          <w:b/>
          <w:color w:val="auto"/>
          <w:szCs w:val="20"/>
          <w:highlight w:val="none"/>
        </w:rPr>
        <w:t>附表2.3 法定代表人证明书格式</w:t>
      </w:r>
    </w:p>
    <w:p>
      <w:pPr>
        <w:spacing w:line="480" w:lineRule="exact"/>
        <w:jc w:val="center"/>
        <w:rPr>
          <w:rFonts w:hAnsi="宋体" w:cs="宋体"/>
          <w:b/>
          <w:color w:val="auto"/>
          <w:sz w:val="28"/>
          <w:szCs w:val="28"/>
          <w:highlight w:val="none"/>
        </w:rPr>
      </w:pPr>
    </w:p>
    <w:p>
      <w:pPr>
        <w:spacing w:line="480" w:lineRule="exact"/>
        <w:jc w:val="center"/>
        <w:rPr>
          <w:rFonts w:hAnsi="宋体" w:cs="宋体"/>
          <w:b/>
          <w:color w:val="auto"/>
          <w:sz w:val="32"/>
          <w:szCs w:val="32"/>
          <w:highlight w:val="none"/>
        </w:rPr>
      </w:pPr>
      <w:r>
        <w:rPr>
          <w:rFonts w:hint="eastAsia" w:hAnsi="宋体" w:cs="宋体"/>
          <w:b/>
          <w:color w:val="auto"/>
          <w:sz w:val="32"/>
          <w:szCs w:val="32"/>
          <w:highlight w:val="none"/>
        </w:rPr>
        <w:t>法定代表人/负责人资格证明书</w:t>
      </w:r>
    </w:p>
    <w:p>
      <w:pPr>
        <w:spacing w:line="480" w:lineRule="exact"/>
        <w:rPr>
          <w:rFonts w:hAnsi="宋体" w:cs="宋体"/>
          <w:color w:val="auto"/>
          <w:szCs w:val="21"/>
          <w:highlight w:val="none"/>
        </w:rPr>
      </w:pPr>
    </w:p>
    <w:p>
      <w:pPr>
        <w:spacing w:line="480" w:lineRule="exact"/>
        <w:rPr>
          <w:rFonts w:ascii="仿宋" w:hAnsi="仿宋" w:eastAsia="仿宋" w:cs="仿宋"/>
          <w:color w:val="auto"/>
          <w:szCs w:val="21"/>
          <w:highlight w:val="none"/>
        </w:rPr>
      </w:pPr>
      <w:r>
        <w:rPr>
          <w:rFonts w:hint="eastAsia" w:ascii="仿宋" w:hAnsi="仿宋" w:eastAsia="仿宋" w:cs="仿宋"/>
          <w:color w:val="auto"/>
          <w:szCs w:val="21"/>
          <w:highlight w:val="none"/>
        </w:rPr>
        <w:t>致：广东省气象局/ 广东远东招标代理有限公司</w:t>
      </w:r>
    </w:p>
    <w:p>
      <w:pPr>
        <w:rPr>
          <w:rFonts w:ascii="仿宋" w:hAnsi="仿宋" w:eastAsia="仿宋" w:cs="仿宋"/>
          <w:color w:val="auto"/>
          <w:szCs w:val="21"/>
          <w:highlight w:val="none"/>
        </w:rPr>
      </w:pPr>
    </w:p>
    <w:p>
      <w:pPr>
        <w:spacing w:line="4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同志，现任我单位</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职务，为法定代表人，特此证明。</w:t>
      </w:r>
    </w:p>
    <w:p>
      <w:pPr>
        <w:spacing w:line="440" w:lineRule="exact"/>
        <w:ind w:firstLine="210" w:firstLineChars="100"/>
        <w:rPr>
          <w:rFonts w:ascii="仿宋" w:hAnsi="仿宋" w:eastAsia="仿宋" w:cs="仿宋"/>
          <w:color w:val="auto"/>
          <w:szCs w:val="21"/>
          <w:highlight w:val="none"/>
        </w:rPr>
      </w:pPr>
      <w:r>
        <w:rPr>
          <w:rFonts w:hint="eastAsia" w:ascii="仿宋" w:hAnsi="仿宋" w:eastAsia="仿宋" w:cs="仿宋"/>
          <w:color w:val="auto"/>
          <w:szCs w:val="21"/>
          <w:highlight w:val="none"/>
        </w:rPr>
        <w:t>签发日期：           单位：           （</w:t>
      </w:r>
      <w:r>
        <w:rPr>
          <w:rFonts w:hint="eastAsia" w:ascii="仿宋" w:hAnsi="仿宋" w:eastAsia="仿宋" w:cs="仿宋"/>
          <w:color w:val="auto"/>
          <w:kern w:val="2"/>
          <w:szCs w:val="21"/>
          <w:highlight w:val="none"/>
          <w:lang w:val="zh-CN"/>
        </w:rPr>
        <w:t>加盖法人公章</w:t>
      </w:r>
      <w:r>
        <w:rPr>
          <w:rFonts w:hint="eastAsia" w:ascii="仿宋" w:hAnsi="仿宋" w:eastAsia="仿宋" w:cs="仿宋"/>
          <w:color w:val="auto"/>
          <w:szCs w:val="21"/>
          <w:highlight w:val="none"/>
        </w:rPr>
        <w:t>）</w:t>
      </w:r>
    </w:p>
    <w:p>
      <w:pPr>
        <w:spacing w:line="440" w:lineRule="exact"/>
        <w:ind w:firstLine="210" w:firstLineChars="100"/>
        <w:rPr>
          <w:rFonts w:ascii="仿宋" w:hAnsi="仿宋" w:eastAsia="仿宋" w:cs="仿宋"/>
          <w:color w:val="auto"/>
          <w:szCs w:val="21"/>
          <w:highlight w:val="none"/>
        </w:rPr>
      </w:pPr>
      <w:r>
        <w:rPr>
          <w:rFonts w:hint="eastAsia" w:ascii="仿宋" w:hAnsi="仿宋" w:eastAsia="仿宋" w:cs="仿宋"/>
          <w:color w:val="auto"/>
          <w:szCs w:val="21"/>
          <w:highlight w:val="none"/>
        </w:rPr>
        <w:t>附：代表人性别：            年龄：           身份证号码：</w:t>
      </w:r>
    </w:p>
    <w:p>
      <w:pPr>
        <w:spacing w:line="440" w:lineRule="exact"/>
        <w:ind w:firstLine="210" w:firstLineChars="100"/>
        <w:rPr>
          <w:rFonts w:ascii="仿宋" w:hAnsi="仿宋" w:eastAsia="仿宋" w:cs="仿宋"/>
          <w:color w:val="auto"/>
          <w:szCs w:val="21"/>
          <w:highlight w:val="none"/>
        </w:rPr>
      </w:pPr>
      <w:r>
        <w:rPr>
          <w:rFonts w:hint="eastAsia" w:ascii="仿宋" w:hAnsi="仿宋" w:eastAsia="仿宋" w:cs="仿宋"/>
          <w:color w:val="auto"/>
          <w:szCs w:val="21"/>
          <w:highlight w:val="none"/>
        </w:rPr>
        <w:t>联系电话：</w:t>
      </w:r>
    </w:p>
    <w:p>
      <w:pPr>
        <w:spacing w:line="440" w:lineRule="exact"/>
        <w:ind w:firstLine="210" w:firstLineChars="100"/>
        <w:rPr>
          <w:rFonts w:ascii="仿宋" w:hAnsi="仿宋" w:eastAsia="仿宋" w:cs="仿宋"/>
          <w:color w:val="auto"/>
          <w:szCs w:val="21"/>
          <w:highlight w:val="none"/>
        </w:rPr>
      </w:pPr>
      <w:r>
        <w:rPr>
          <w:rFonts w:hint="eastAsia" w:ascii="仿宋" w:hAnsi="仿宋" w:eastAsia="仿宋" w:cs="仿宋"/>
          <w:color w:val="auto"/>
          <w:szCs w:val="21"/>
          <w:highlight w:val="none"/>
        </w:rPr>
        <w:t>营业执照号码：                       经济性质：</w:t>
      </w:r>
    </w:p>
    <w:p>
      <w:pPr>
        <w:spacing w:line="440" w:lineRule="exact"/>
        <w:ind w:firstLine="210" w:firstLineChars="100"/>
        <w:rPr>
          <w:rFonts w:ascii="仿宋" w:hAnsi="仿宋" w:eastAsia="仿宋" w:cs="仿宋"/>
          <w:color w:val="auto"/>
          <w:szCs w:val="21"/>
          <w:highlight w:val="none"/>
        </w:rPr>
      </w:pPr>
      <w:r>
        <w:rPr>
          <w:rFonts w:hint="eastAsia" w:ascii="仿宋" w:hAnsi="仿宋" w:eastAsia="仿宋" w:cs="仿宋"/>
          <w:color w:val="auto"/>
          <w:szCs w:val="21"/>
          <w:highlight w:val="none"/>
        </w:rPr>
        <w:t>主营（产）：</w:t>
      </w:r>
    </w:p>
    <w:p>
      <w:pPr>
        <w:spacing w:line="440" w:lineRule="exact"/>
        <w:ind w:firstLine="210" w:firstLineChars="100"/>
        <w:rPr>
          <w:rFonts w:ascii="仿宋" w:hAnsi="仿宋" w:eastAsia="仿宋" w:cs="仿宋"/>
          <w:color w:val="auto"/>
          <w:szCs w:val="21"/>
          <w:highlight w:val="none"/>
        </w:rPr>
      </w:pPr>
      <w:r>
        <w:rPr>
          <w:rFonts w:hint="eastAsia" w:ascii="仿宋" w:hAnsi="仿宋" w:eastAsia="仿宋" w:cs="仿宋"/>
          <w:color w:val="auto"/>
          <w:szCs w:val="21"/>
          <w:highlight w:val="none"/>
        </w:rPr>
        <w:t>兼营（产）：</w:t>
      </w:r>
    </w:p>
    <w:p>
      <w:pPr>
        <w:spacing w:line="440" w:lineRule="exact"/>
        <w:ind w:firstLine="210" w:firstLineChars="100"/>
        <w:rPr>
          <w:rFonts w:ascii="仿宋" w:hAnsi="仿宋" w:eastAsia="仿宋" w:cs="仿宋"/>
          <w:color w:val="auto"/>
          <w:szCs w:val="21"/>
          <w:highlight w:val="none"/>
        </w:rPr>
      </w:pPr>
      <w:r>
        <w:rPr>
          <w:rFonts w:hint="eastAsia" w:ascii="仿宋" w:hAnsi="仿宋" w:eastAsia="仿宋" w:cs="仿宋"/>
          <w:color w:val="auto"/>
          <w:szCs w:val="21"/>
          <w:highlight w:val="none"/>
        </w:rPr>
        <w:t>进口物品经营许可证号码：</w:t>
      </w:r>
    </w:p>
    <w:p>
      <w:pPr>
        <w:spacing w:line="440" w:lineRule="exact"/>
        <w:ind w:firstLine="210" w:firstLineChars="100"/>
        <w:rPr>
          <w:rFonts w:ascii="仿宋" w:hAnsi="仿宋" w:eastAsia="仿宋" w:cs="仿宋"/>
          <w:color w:val="auto"/>
          <w:szCs w:val="21"/>
          <w:highlight w:val="none"/>
        </w:rPr>
      </w:pPr>
      <w:r>
        <w:rPr>
          <w:rFonts w:hint="eastAsia" w:ascii="仿宋" w:hAnsi="仿宋" w:eastAsia="仿宋" w:cs="仿宋"/>
          <w:color w:val="auto"/>
          <w:szCs w:val="21"/>
          <w:highlight w:val="none"/>
        </w:rPr>
        <w:t>主营：</w:t>
      </w:r>
    </w:p>
    <w:p>
      <w:pPr>
        <w:spacing w:line="440" w:lineRule="exact"/>
        <w:ind w:firstLine="210" w:firstLineChars="100"/>
        <w:rPr>
          <w:rFonts w:ascii="仿宋" w:hAnsi="仿宋" w:eastAsia="仿宋" w:cs="仿宋"/>
          <w:color w:val="auto"/>
          <w:szCs w:val="21"/>
          <w:highlight w:val="none"/>
        </w:rPr>
      </w:pPr>
      <w:r>
        <w:rPr>
          <w:rFonts w:hint="eastAsia" w:ascii="仿宋" w:hAnsi="仿宋" w:eastAsia="仿宋" w:cs="仿宋"/>
          <w:color w:val="auto"/>
          <w:szCs w:val="21"/>
          <w:highlight w:val="none"/>
        </w:rPr>
        <w:t>兼营：</w:t>
      </w:r>
    </w:p>
    <w:p>
      <w:pPr>
        <w:spacing w:line="4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说明：1.法定代表人为企业事业单位、国家机关、社会团体的主要行政负责人。</w:t>
      </w:r>
    </w:p>
    <w:p>
      <w:pPr>
        <w:spacing w:line="4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2.内容必须填写真实、清楚、涂改无效，不得转让、买卖。</w:t>
      </w:r>
    </w:p>
    <w:p>
      <w:pPr>
        <w:spacing w:line="440" w:lineRule="exact"/>
        <w:ind w:firstLine="630" w:firstLineChars="300"/>
        <w:rPr>
          <w:rFonts w:hAnsi="宋体" w:cs="宋体"/>
          <w:color w:val="auto"/>
          <w:szCs w:val="21"/>
          <w:highlight w:val="none"/>
        </w:rPr>
      </w:pPr>
      <w:r>
        <w:rPr>
          <w:rFonts w:hint="eastAsia" w:ascii="仿宋" w:hAnsi="仿宋" w:eastAsia="仿宋" w:cs="仿宋"/>
          <w:color w:val="auto"/>
          <w:szCs w:val="21"/>
          <w:highlight w:val="none"/>
        </w:rPr>
        <w:t>3.将此证明书提交对方作为合同附件</w:t>
      </w:r>
      <w:r>
        <w:rPr>
          <w:rFonts w:hint="eastAsia" w:ascii="仿宋" w:hAnsi="仿宋" w:eastAsia="仿宋" w:cs="仿宋"/>
          <w:b/>
          <w:color w:val="auto"/>
          <w:szCs w:val="21"/>
          <w:highlight w:val="none"/>
        </w:rPr>
        <w:t>。</w:t>
      </w:r>
    </w:p>
    <w:p>
      <w:pPr>
        <w:rPr>
          <w:rFonts w:hAnsi="宋体" w:cs="宋体"/>
          <w:color w:val="auto"/>
          <w:szCs w:val="21"/>
          <w:highlight w:val="none"/>
        </w:rPr>
      </w:pPr>
    </w:p>
    <w:p>
      <w:pPr>
        <w:rPr>
          <w:rFonts w:hAnsi="宋体" w:cs="宋体"/>
          <w:color w:val="auto"/>
          <w:szCs w:val="21"/>
          <w:highlight w:val="none"/>
        </w:rPr>
      </w:pPr>
    </w:p>
    <w:p>
      <w:pPr>
        <w:rPr>
          <w:rFonts w:hAnsi="宋体" w:cs="宋体"/>
          <w:color w:val="auto"/>
          <w:szCs w:val="21"/>
          <w:highlight w:val="none"/>
        </w:rPr>
      </w:pPr>
    </w:p>
    <w:p>
      <w:pPr>
        <w:rPr>
          <w:rFonts w:hAnsi="宋体" w:cs="宋体"/>
          <w:b/>
          <w:color w:val="auto"/>
          <w:szCs w:val="21"/>
          <w:highlight w:val="none"/>
        </w:rPr>
      </w:pPr>
      <w:r>
        <w:rPr>
          <w:rFonts w:hint="eastAsia" w:hAnsi="宋体" w:cs="宋体"/>
          <w:color w:val="auto"/>
          <w:szCs w:val="21"/>
          <w:highlight w:val="none"/>
        </w:rPr>
        <w:t xml:space="preserve"> </w:t>
      </w:r>
      <w:r>
        <w:rPr>
          <w:rFonts w:hint="eastAsia" w:hAnsi="宋体" w:cs="宋体"/>
          <w:b/>
          <w:color w:val="auto"/>
          <w:szCs w:val="21"/>
          <w:highlight w:val="none"/>
        </w:rPr>
        <w:t xml:space="preserve"> (为避免废标，请投标人务必提供下列附件)</w:t>
      </w:r>
    </w:p>
    <w:p>
      <w:pPr>
        <w:rPr>
          <w:rFonts w:hAnsi="宋体" w:cs="宋体"/>
          <w:b/>
          <w:color w:val="auto"/>
          <w:szCs w:val="21"/>
          <w:highlight w:val="none"/>
        </w:rPr>
      </w:pPr>
    </w:p>
    <w:p>
      <w:pPr>
        <w:rPr>
          <w:rFonts w:hAnsi="宋体" w:cs="宋体"/>
          <w:b/>
          <w:color w:val="auto"/>
          <w:szCs w:val="21"/>
          <w:highlight w:val="none"/>
        </w:rPr>
      </w:pPr>
      <w:r>
        <w:rPr>
          <w:rFonts w:hint="eastAsia" w:hAnsi="宋体" w:cs="宋体"/>
          <w:b/>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2990850</wp:posOffset>
                </wp:positionH>
                <wp:positionV relativeFrom="paragraph">
                  <wp:posOffset>74930</wp:posOffset>
                </wp:positionV>
                <wp:extent cx="2333625" cy="1584325"/>
                <wp:effectExtent l="13335" t="6985" r="5715" b="8890"/>
                <wp:wrapNone/>
                <wp:docPr id="9" name="自选图形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szCs w:val="21"/>
                              </w:rPr>
                            </w:pPr>
                            <w:r>
                              <w:rPr>
                                <w:rFonts w:hint="eastAsia"/>
                                <w:szCs w:val="21"/>
                              </w:rPr>
                              <w:t>法人身份证复印件反面</w:t>
                            </w:r>
                          </w:p>
                        </w:txbxContent>
                      </wps:txbx>
                      <wps:bodyPr rot="0" vert="horz" wrap="square" lIns="91440" tIns="45720" rIns="91440" bIns="45720" anchor="t" anchorCtr="0" upright="1">
                        <a:noAutofit/>
                      </wps:bodyPr>
                    </wps:wsp>
                  </a:graphicData>
                </a:graphic>
              </wp:anchor>
            </w:drawing>
          </mc:Choice>
          <mc:Fallback>
            <w:pict>
              <v:shape id="自选图形 8" o:spid="_x0000_s1026" o:spt="176" type="#_x0000_t176" style="position:absolute;left:0pt;margin-left:235.5pt;margin-top:5.9pt;height:124.75pt;width:183.75pt;z-index:251661312;mso-width-relative:page;mso-height-relative:page;" fillcolor="#FFFFFF" filled="t" stroked="t" coordsize="21600,21600" o:gfxdata="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p8cDtgAAAAKAQAADwAAAAAA&#10;AAABACAAAAAiAAAAZHJzL2Rvd25yZXYueG1sUEsBAhQAFAAAAAgAh07iQCXZNOtMAgAAlgQAAA4A&#10;AAAAAAAAAQAgAAAAJwEAAGRycy9lMm9Eb2MueG1sUEsFBgAAAAAGAAYAWQEAAOUFAAAAAA==&#10;">
                <v:fill on="t" focussize="0,0"/>
                <v:stroke color="#000000" miterlimit="8" joinstyle="miter"/>
                <v:imagedata o:title=""/>
                <o:lock v:ext="edit" aspectratio="f"/>
                <v:textbox>
                  <w:txbxContent>
                    <w:p>
                      <w:pPr>
                        <w:jc w:val="center"/>
                        <w:rPr>
                          <w:szCs w:val="21"/>
                        </w:rPr>
                      </w:pPr>
                      <w:r>
                        <w:rPr>
                          <w:rFonts w:hint="eastAsia"/>
                          <w:szCs w:val="21"/>
                        </w:rPr>
                        <w:t>法人身份证复印件反面</w:t>
                      </w:r>
                    </w:p>
                  </w:txbxContent>
                </v:textbox>
              </v:shape>
            </w:pict>
          </mc:Fallback>
        </mc:AlternateContent>
      </w:r>
      <w:r>
        <w:rPr>
          <w:rFonts w:hint="eastAsia" w:hAnsi="宋体" w:cs="宋体"/>
          <w:b/>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447675</wp:posOffset>
                </wp:positionH>
                <wp:positionV relativeFrom="paragraph">
                  <wp:posOffset>74930</wp:posOffset>
                </wp:positionV>
                <wp:extent cx="2333625" cy="1584325"/>
                <wp:effectExtent l="13335" t="6985" r="5715" b="8890"/>
                <wp:wrapNone/>
                <wp:docPr id="8" name="自选图形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szCs w:val="21"/>
                              </w:rPr>
                            </w:pPr>
                            <w:r>
                              <w:rPr>
                                <w:rFonts w:hint="eastAsia"/>
                                <w:szCs w:val="21"/>
                              </w:rPr>
                              <w:t>法人身份证复印件正面</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35.25pt;margin-top:5.9pt;height:124.75pt;width:183.75pt;z-index:251659264;mso-width-relative:page;mso-height-relative:page;" fillcolor="#FFFFFF" filled="t" stroked="t" coordsize="21600,21600" o:gfxdata="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WVehh1wAAAAkBAAAPAAAAAAAA&#10;AAEAIAAAACIAAABkcnMvZG93bnJldi54bWxQSwECFAAUAAAACACHTuJA1AbZgkwCAACWBAAADgAA&#10;AAAAAAABACAAAAAmAQAAZHJzL2Uyb0RvYy54bWxQSwUGAAAAAAYABgBZAQAA5AUAAAAA&#10;">
                <v:fill on="t" focussize="0,0"/>
                <v:stroke color="#000000" miterlimit="8" joinstyle="miter"/>
                <v:imagedata o:title=""/>
                <o:lock v:ext="edit" aspectratio="f"/>
                <v:textbox>
                  <w:txbxContent>
                    <w:p>
                      <w:pPr>
                        <w:jc w:val="center"/>
                        <w:rPr>
                          <w:szCs w:val="21"/>
                        </w:rPr>
                      </w:pPr>
                      <w:r>
                        <w:rPr>
                          <w:rFonts w:hint="eastAsia"/>
                          <w:szCs w:val="21"/>
                        </w:rPr>
                        <w:t>法人身份证复印件正面</w:t>
                      </w:r>
                    </w:p>
                  </w:txbxContent>
                </v:textbox>
              </v:shape>
            </w:pict>
          </mc:Fallback>
        </mc:AlternateContent>
      </w:r>
    </w:p>
    <w:p>
      <w:pPr>
        <w:rPr>
          <w:rFonts w:hAnsi="宋体" w:cs="宋体"/>
          <w:b/>
          <w:color w:val="auto"/>
          <w:szCs w:val="21"/>
          <w:highlight w:val="none"/>
        </w:rPr>
      </w:pPr>
    </w:p>
    <w:p>
      <w:pPr>
        <w:rPr>
          <w:rFonts w:hAnsi="宋体" w:cs="宋体"/>
          <w:b/>
          <w:color w:val="auto"/>
          <w:szCs w:val="21"/>
          <w:highlight w:val="none"/>
        </w:rPr>
      </w:pPr>
    </w:p>
    <w:p>
      <w:pPr>
        <w:rPr>
          <w:rFonts w:hAnsi="宋体" w:cs="宋体"/>
          <w:b/>
          <w:color w:val="auto"/>
          <w:szCs w:val="21"/>
          <w:highlight w:val="none"/>
        </w:rPr>
      </w:pPr>
    </w:p>
    <w:p>
      <w:pPr>
        <w:tabs>
          <w:tab w:val="left" w:pos="654"/>
          <w:tab w:val="left" w:pos="1734"/>
          <w:tab w:val="left" w:pos="2814"/>
          <w:tab w:val="left" w:pos="3894"/>
          <w:tab w:val="left" w:pos="5334"/>
          <w:tab w:val="left" w:pos="6414"/>
          <w:tab w:val="left" w:pos="7254"/>
          <w:tab w:val="left" w:pos="8574"/>
          <w:tab w:val="left" w:pos="9654"/>
        </w:tabs>
        <w:rPr>
          <w:rFonts w:hAnsi="宋体" w:cs="宋体"/>
          <w:color w:val="auto"/>
          <w:szCs w:val="21"/>
          <w:highlight w:val="none"/>
        </w:rPr>
      </w:pPr>
    </w:p>
    <w:p>
      <w:pPr>
        <w:rPr>
          <w:rFonts w:hAnsi="宋体" w:cs="宋体"/>
          <w:color w:val="auto"/>
          <w:highlight w:val="none"/>
        </w:rPr>
      </w:pPr>
    </w:p>
    <w:p>
      <w:pPr>
        <w:rPr>
          <w:rFonts w:hAnsi="宋体" w:cs="宋体"/>
          <w:color w:val="auto"/>
          <w:highlight w:val="none"/>
        </w:rPr>
      </w:pPr>
    </w:p>
    <w:p>
      <w:pPr>
        <w:rPr>
          <w:rFonts w:hAnsi="宋体" w:cs="宋体"/>
          <w:color w:val="auto"/>
          <w:highlight w:val="none"/>
        </w:rPr>
      </w:pPr>
    </w:p>
    <w:bookmarkEnd w:id="31"/>
    <w:p>
      <w:pPr>
        <w:pStyle w:val="3"/>
        <w:spacing w:after="120" w:line="480" w:lineRule="exact"/>
        <w:rPr>
          <w:rFonts w:hAnsi="宋体" w:cs="宋体"/>
          <w:b/>
          <w:color w:val="auto"/>
          <w:szCs w:val="20"/>
          <w:highlight w:val="none"/>
        </w:rPr>
      </w:pPr>
      <w:r>
        <w:rPr>
          <w:rFonts w:hint="eastAsia" w:hAnsi="宋体" w:cs="宋体"/>
          <w:b/>
          <w:color w:val="auto"/>
          <w:szCs w:val="20"/>
          <w:highlight w:val="none"/>
        </w:rPr>
        <w:br w:type="page"/>
      </w:r>
      <w:r>
        <w:rPr>
          <w:rFonts w:hint="eastAsia" w:hAnsi="宋体" w:cs="宋体"/>
          <w:b/>
          <w:color w:val="auto"/>
          <w:szCs w:val="20"/>
          <w:highlight w:val="none"/>
        </w:rPr>
        <w:t>附表2.4 法定代表人授权书格式（有被授权人时适用）</w:t>
      </w:r>
    </w:p>
    <w:p>
      <w:pPr>
        <w:spacing w:line="360" w:lineRule="auto"/>
        <w:jc w:val="center"/>
        <w:rPr>
          <w:rFonts w:hAnsi="宋体" w:cs="宋体"/>
          <w:b/>
          <w:color w:val="auto"/>
          <w:szCs w:val="21"/>
          <w:highlight w:val="none"/>
        </w:rPr>
      </w:pPr>
    </w:p>
    <w:p>
      <w:pPr>
        <w:spacing w:line="360" w:lineRule="auto"/>
        <w:jc w:val="center"/>
        <w:rPr>
          <w:rFonts w:hAnsi="宋体" w:cs="宋体"/>
          <w:b/>
          <w:color w:val="auto"/>
          <w:szCs w:val="21"/>
          <w:highlight w:val="none"/>
        </w:rPr>
      </w:pPr>
      <w:r>
        <w:rPr>
          <w:rFonts w:hint="eastAsia" w:hAnsi="宋体" w:cs="宋体"/>
          <w:b/>
          <w:color w:val="auto"/>
          <w:szCs w:val="21"/>
          <w:highlight w:val="none"/>
        </w:rPr>
        <w:t>法定代表人授权书格式</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致：广东省气象局/ 广东远东招标代理有限公司</w:t>
      </w:r>
    </w:p>
    <w:p>
      <w:pPr>
        <w:spacing w:line="48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兹授权</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同志，为我方签订经济合同及办理其他事务代理人，其权限是：</w:t>
      </w:r>
    </w:p>
    <w:p>
      <w:pPr>
        <w:spacing w:line="480" w:lineRule="exact"/>
        <w:rPr>
          <w:rFonts w:ascii="仿宋" w:hAnsi="仿宋" w:eastAsia="仿宋" w:cs="仿宋"/>
          <w:color w:val="auto"/>
          <w:szCs w:val="21"/>
          <w:highlight w:val="non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pPr>
        <w:spacing w:line="480" w:lineRule="exact"/>
        <w:rPr>
          <w:rFonts w:ascii="仿宋" w:hAnsi="仿宋" w:eastAsia="仿宋" w:cs="仿宋"/>
          <w:color w:val="auto"/>
          <w:szCs w:val="21"/>
          <w:highlight w:val="none"/>
        </w:rPr>
      </w:pPr>
      <w:r>
        <w:rPr>
          <w:rFonts w:hint="eastAsia" w:ascii="仿宋" w:hAnsi="仿宋" w:eastAsia="仿宋" w:cs="仿宋"/>
          <w:color w:val="auto"/>
          <w:szCs w:val="21"/>
          <w:highlight w:val="none"/>
        </w:rPr>
        <w:t>授权单位：          （</w:t>
      </w:r>
      <w:r>
        <w:rPr>
          <w:rFonts w:hint="eastAsia" w:ascii="仿宋" w:hAnsi="仿宋" w:eastAsia="仿宋" w:cs="仿宋"/>
          <w:color w:val="auto"/>
          <w:kern w:val="2"/>
          <w:szCs w:val="21"/>
          <w:highlight w:val="none"/>
          <w:lang w:val="zh-CN"/>
        </w:rPr>
        <w:t>加盖法人公章</w:t>
      </w:r>
      <w:r>
        <w:rPr>
          <w:rFonts w:hint="eastAsia" w:ascii="仿宋" w:hAnsi="仿宋" w:eastAsia="仿宋" w:cs="仿宋"/>
          <w:color w:val="auto"/>
          <w:szCs w:val="21"/>
          <w:highlight w:val="none"/>
        </w:rPr>
        <w:t>）     法定代表人              （签名亲笔或盖私章）</w:t>
      </w:r>
    </w:p>
    <w:p>
      <w:pPr>
        <w:spacing w:line="480" w:lineRule="exact"/>
        <w:rPr>
          <w:rFonts w:ascii="仿宋" w:hAnsi="仿宋" w:eastAsia="仿宋" w:cs="仿宋"/>
          <w:color w:val="auto"/>
          <w:szCs w:val="21"/>
          <w:highlight w:val="none"/>
        </w:rPr>
      </w:pPr>
      <w:r>
        <w:rPr>
          <w:rFonts w:hint="eastAsia" w:ascii="仿宋" w:hAnsi="仿宋" w:eastAsia="仿宋" w:cs="仿宋"/>
          <w:color w:val="auto"/>
          <w:szCs w:val="21"/>
          <w:highlight w:val="none"/>
        </w:rPr>
        <w:t>有效期限：至        年       月      日       签发日期：</w:t>
      </w:r>
    </w:p>
    <w:p>
      <w:pPr>
        <w:spacing w:line="480" w:lineRule="exact"/>
        <w:rPr>
          <w:rFonts w:ascii="仿宋" w:hAnsi="仿宋" w:eastAsia="仿宋" w:cs="仿宋"/>
          <w:color w:val="auto"/>
          <w:szCs w:val="21"/>
          <w:highlight w:val="none"/>
        </w:rPr>
      </w:pPr>
      <w:r>
        <w:rPr>
          <w:rFonts w:hint="eastAsia" w:ascii="仿宋" w:hAnsi="仿宋" w:eastAsia="仿宋" w:cs="仿宋"/>
          <w:color w:val="auto"/>
          <w:szCs w:val="21"/>
          <w:highlight w:val="none"/>
        </w:rPr>
        <w:t>附：代理人性别：        年龄：       职务：         身份证号码：</w:t>
      </w:r>
    </w:p>
    <w:p>
      <w:pPr>
        <w:spacing w:line="480" w:lineRule="exac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联系电话：</w:t>
      </w:r>
    </w:p>
    <w:p>
      <w:pPr>
        <w:spacing w:line="480" w:lineRule="exact"/>
        <w:ind w:firstLine="210" w:firstLineChars="100"/>
        <w:rPr>
          <w:rFonts w:ascii="仿宋" w:hAnsi="仿宋" w:eastAsia="仿宋" w:cs="仿宋"/>
          <w:color w:val="auto"/>
          <w:szCs w:val="21"/>
          <w:highlight w:val="none"/>
        </w:rPr>
      </w:pPr>
      <w:r>
        <w:rPr>
          <w:rFonts w:hint="eastAsia" w:ascii="仿宋" w:hAnsi="仿宋" w:eastAsia="仿宋" w:cs="仿宋"/>
          <w:color w:val="auto"/>
          <w:szCs w:val="21"/>
          <w:highlight w:val="none"/>
        </w:rPr>
        <w:t>营业执照号码：                         经济性质：</w:t>
      </w:r>
    </w:p>
    <w:p>
      <w:pPr>
        <w:spacing w:line="480" w:lineRule="exact"/>
        <w:ind w:firstLine="210" w:firstLineChars="100"/>
        <w:rPr>
          <w:rFonts w:ascii="仿宋" w:hAnsi="仿宋" w:eastAsia="仿宋" w:cs="仿宋"/>
          <w:color w:val="auto"/>
          <w:szCs w:val="21"/>
          <w:highlight w:val="none"/>
        </w:rPr>
      </w:pPr>
      <w:r>
        <w:rPr>
          <w:rFonts w:hint="eastAsia" w:ascii="仿宋" w:hAnsi="仿宋" w:eastAsia="仿宋" w:cs="仿宋"/>
          <w:color w:val="auto"/>
          <w:szCs w:val="21"/>
          <w:highlight w:val="none"/>
        </w:rPr>
        <w:t>主营（产）：</w:t>
      </w:r>
    </w:p>
    <w:p>
      <w:pPr>
        <w:spacing w:line="480" w:lineRule="exact"/>
        <w:ind w:firstLine="210" w:firstLineChars="100"/>
        <w:rPr>
          <w:rFonts w:ascii="仿宋" w:hAnsi="仿宋" w:eastAsia="仿宋" w:cs="仿宋"/>
          <w:color w:val="auto"/>
          <w:szCs w:val="21"/>
          <w:highlight w:val="none"/>
        </w:rPr>
      </w:pPr>
      <w:r>
        <w:rPr>
          <w:rFonts w:hint="eastAsia" w:ascii="仿宋" w:hAnsi="仿宋" w:eastAsia="仿宋" w:cs="仿宋"/>
          <w:color w:val="auto"/>
          <w:szCs w:val="21"/>
          <w:highlight w:val="none"/>
        </w:rPr>
        <w:t>兼营（产）：</w:t>
      </w:r>
    </w:p>
    <w:p>
      <w:pPr>
        <w:spacing w:line="480" w:lineRule="exact"/>
        <w:rPr>
          <w:rFonts w:ascii="仿宋" w:hAnsi="仿宋" w:eastAsia="仿宋" w:cs="仿宋"/>
          <w:color w:val="auto"/>
          <w:szCs w:val="21"/>
          <w:highlight w:val="none"/>
        </w:rPr>
      </w:pPr>
      <w:r>
        <w:rPr>
          <w:rFonts w:hint="eastAsia" w:ascii="仿宋" w:hAnsi="仿宋" w:eastAsia="仿宋" w:cs="仿宋"/>
          <w:color w:val="auto"/>
          <w:szCs w:val="21"/>
          <w:highlight w:val="none"/>
        </w:rPr>
        <w:t>说明：1.法定代表人为企业事业单位、国家机关、社会团体的主要行政负责人。</w:t>
      </w:r>
    </w:p>
    <w:p>
      <w:pPr>
        <w:spacing w:line="480" w:lineRule="exac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2.内容必须填写真实、清楚、涂改无效，不得转让、买卖。</w:t>
      </w:r>
    </w:p>
    <w:p>
      <w:pPr>
        <w:spacing w:line="480" w:lineRule="exact"/>
        <w:ind w:firstLine="630" w:firstLineChars="300"/>
        <w:rPr>
          <w:rFonts w:ascii="仿宋" w:hAnsi="仿宋" w:eastAsia="仿宋" w:cs="仿宋"/>
          <w:b/>
          <w:color w:val="auto"/>
          <w:szCs w:val="21"/>
          <w:highlight w:val="none"/>
        </w:rPr>
      </w:pPr>
      <w:r>
        <w:rPr>
          <w:rFonts w:hint="eastAsia" w:ascii="仿宋" w:hAnsi="仿宋" w:eastAsia="仿宋" w:cs="仿宋"/>
          <w:color w:val="auto"/>
          <w:szCs w:val="21"/>
          <w:highlight w:val="none"/>
        </w:rPr>
        <w:t>3.将此证明书提交对方作为合同附件</w:t>
      </w:r>
      <w:r>
        <w:rPr>
          <w:rFonts w:hint="eastAsia" w:ascii="仿宋" w:hAnsi="仿宋" w:eastAsia="仿宋" w:cs="仿宋"/>
          <w:b/>
          <w:color w:val="auto"/>
          <w:szCs w:val="21"/>
          <w:highlight w:val="none"/>
        </w:rPr>
        <w:t>。</w:t>
      </w:r>
    </w:p>
    <w:p>
      <w:pPr>
        <w:spacing w:line="480" w:lineRule="exact"/>
        <w:ind w:firstLine="630" w:firstLineChars="300"/>
        <w:rPr>
          <w:rFonts w:ascii="仿宋" w:hAnsi="仿宋" w:eastAsia="仿宋" w:cs="仿宋"/>
          <w:color w:val="auto"/>
          <w:szCs w:val="21"/>
          <w:highlight w:val="none"/>
        </w:rPr>
      </w:pPr>
      <w:r>
        <w:rPr>
          <w:rFonts w:hint="eastAsia" w:ascii="仿宋" w:hAnsi="仿宋" w:eastAsia="仿宋" w:cs="仿宋"/>
          <w:color w:val="auto"/>
          <w:szCs w:val="21"/>
          <w:highlight w:val="none"/>
        </w:rPr>
        <w:t>4.授权权限：全权代表本公司参与上述采购项目的投标，负责提供与签署确认一切文书资料，以及向贵方递交的任何补充承诺。</w:t>
      </w:r>
    </w:p>
    <w:p>
      <w:pPr>
        <w:spacing w:line="440" w:lineRule="exact"/>
        <w:ind w:firstLine="644" w:firstLineChars="307"/>
        <w:rPr>
          <w:rFonts w:ascii="仿宋" w:hAnsi="仿宋" w:eastAsia="仿宋" w:cs="仿宋"/>
          <w:color w:val="auto"/>
          <w:szCs w:val="21"/>
          <w:highlight w:val="none"/>
        </w:rPr>
      </w:pPr>
      <w:r>
        <w:rPr>
          <w:rFonts w:hint="eastAsia" w:ascii="仿宋" w:hAnsi="仿宋" w:eastAsia="仿宋" w:cs="仿宋"/>
          <w:color w:val="auto"/>
          <w:szCs w:val="21"/>
          <w:highlight w:val="none"/>
        </w:rPr>
        <w:t>5.有效期限：与本公司投标文件中标注的投标有效期相同，自本单位盖公章之日起生效。</w:t>
      </w:r>
    </w:p>
    <w:p>
      <w:pPr>
        <w:spacing w:line="440" w:lineRule="exact"/>
        <w:ind w:firstLine="644" w:firstLineChars="307"/>
        <w:rPr>
          <w:rFonts w:ascii="仿宋" w:hAnsi="仿宋" w:eastAsia="仿宋" w:cs="仿宋"/>
          <w:color w:val="auto"/>
          <w:szCs w:val="21"/>
          <w:highlight w:val="none"/>
        </w:rPr>
      </w:pPr>
      <w:r>
        <w:rPr>
          <w:rFonts w:hint="eastAsia" w:ascii="仿宋" w:hAnsi="仿宋" w:eastAsia="仿宋" w:cs="仿宋"/>
          <w:color w:val="auto"/>
          <w:szCs w:val="21"/>
          <w:highlight w:val="none"/>
        </w:rPr>
        <w:t>6.投标签字代表为法定代表人，则本表不适用。</w:t>
      </w:r>
    </w:p>
    <w:p>
      <w:pPr>
        <w:spacing w:line="360" w:lineRule="auto"/>
        <w:ind w:firstLine="420"/>
        <w:rPr>
          <w:rFonts w:hAnsi="宋体" w:cs="宋体"/>
          <w:color w:val="auto"/>
          <w:szCs w:val="21"/>
          <w:highlight w:val="none"/>
          <w:u w:val="single"/>
        </w:rPr>
      </w:pPr>
      <w:r>
        <w:rPr>
          <w:rFonts w:hint="eastAsia" w:hAnsi="宋体" w:cs="宋体"/>
          <w:color w:val="auto"/>
          <w:szCs w:val="21"/>
          <w:highlight w:val="none"/>
          <w:u w:val="single"/>
        </w:rPr>
        <mc:AlternateContent>
          <mc:Choice Requires="wps">
            <w:drawing>
              <wp:anchor distT="0" distB="0" distL="114300" distR="114300" simplePos="0" relativeHeight="251662336" behindDoc="0" locked="0" layoutInCell="1" allowOverlap="1">
                <wp:simplePos x="0" y="0"/>
                <wp:positionH relativeFrom="column">
                  <wp:posOffset>2828925</wp:posOffset>
                </wp:positionH>
                <wp:positionV relativeFrom="paragraph">
                  <wp:posOffset>33020</wp:posOffset>
                </wp:positionV>
                <wp:extent cx="2333625" cy="1584325"/>
                <wp:effectExtent l="13335" t="13970" r="5715" b="11430"/>
                <wp:wrapNone/>
                <wp:docPr id="7" name="自选图形 9"/>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szCs w:val="21"/>
                              </w:rPr>
                            </w:pPr>
                            <w:r>
                              <w:rPr>
                                <w:rFonts w:hint="eastAsia"/>
                                <w:szCs w:val="21"/>
                              </w:rPr>
                              <w:t>授权代表身份证复印件反面</w:t>
                            </w:r>
                          </w:p>
                        </w:txbxContent>
                      </wps:txbx>
                      <wps:bodyPr rot="0" vert="horz" wrap="square" lIns="91440" tIns="45720" rIns="91440" bIns="45720" anchor="t" anchorCtr="0" upright="1">
                        <a:noAutofit/>
                      </wps:bodyPr>
                    </wps:wsp>
                  </a:graphicData>
                </a:graphic>
              </wp:anchor>
            </w:drawing>
          </mc:Choice>
          <mc:Fallback>
            <w:pict>
              <v:shape id="自选图形 9" o:spid="_x0000_s1026" o:spt="176" type="#_x0000_t176" style="position:absolute;left:0pt;margin-left:222.75pt;margin-top:2.6pt;height:124.75pt;width:183.75pt;z-index:251662336;mso-width-relative:page;mso-height-relative:page;" fillcolor="#FFFFFF" filled="t" stroked="t" coordsize="21600,21600" o:gfxdata="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O/0eXYAAAACQEAAA8AAAAA&#10;AAAAAQAgAAAAIgAAAGRycy9kb3ducmV2LnhtbFBLAQIUABQAAAAIAIdO4kBAcocwTQIAAJYEAAAO&#10;AAAAAAAAAAEAIAAAACcBAABkcnMvZTJvRG9jLnhtbFBLBQYAAAAABgAGAFkBAADmBQAAAAA=&#10;">
                <v:fill on="t" focussize="0,0"/>
                <v:stroke color="#000000" miterlimit="8" joinstyle="miter"/>
                <v:imagedata o:title=""/>
                <o:lock v:ext="edit" aspectratio="f"/>
                <v:textbox>
                  <w:txbxContent>
                    <w:p>
                      <w:pPr>
                        <w:jc w:val="center"/>
                        <w:rPr>
                          <w:szCs w:val="21"/>
                        </w:rPr>
                      </w:pPr>
                      <w:r>
                        <w:rPr>
                          <w:rFonts w:hint="eastAsia"/>
                          <w:szCs w:val="21"/>
                        </w:rPr>
                        <w:t>授权代表身份证复印件反面</w:t>
                      </w:r>
                    </w:p>
                  </w:txbxContent>
                </v:textbox>
              </v:shape>
            </w:pict>
          </mc:Fallback>
        </mc:AlternateContent>
      </w:r>
      <w:r>
        <w:rPr>
          <w:rFonts w:hint="eastAsia" w:hAnsi="宋体" w:cs="宋体"/>
          <w:color w:val="auto"/>
          <w:szCs w:val="21"/>
          <w:highlight w:val="none"/>
          <w:u w:val="single"/>
        </w:rPr>
        <mc:AlternateContent>
          <mc:Choice Requires="wps">
            <w:drawing>
              <wp:anchor distT="0" distB="0" distL="114300" distR="114300" simplePos="0" relativeHeight="251660288" behindDoc="0" locked="0" layoutInCell="1" allowOverlap="1">
                <wp:simplePos x="0" y="0"/>
                <wp:positionH relativeFrom="column">
                  <wp:posOffset>400050</wp:posOffset>
                </wp:positionH>
                <wp:positionV relativeFrom="paragraph">
                  <wp:posOffset>33020</wp:posOffset>
                </wp:positionV>
                <wp:extent cx="2333625" cy="1584325"/>
                <wp:effectExtent l="13335" t="13970" r="5715" b="11430"/>
                <wp:wrapNone/>
                <wp:docPr id="6" name="自选图形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szCs w:val="21"/>
                              </w:rPr>
                            </w:pPr>
                            <w:r>
                              <w:rPr>
                                <w:rFonts w:hint="eastAsia"/>
                                <w:szCs w:val="21"/>
                              </w:rPr>
                              <w:t>授权代表身份证复印件正面</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31.5pt;margin-top:2.6pt;height:124.75pt;width:183.75pt;z-index:251660288;mso-width-relative:page;mso-height-relative:page;" fillcolor="#FFFFFF" filled="t" stroked="t" coordsize="21600,21600" o:gfxdata="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5N8zS1wAAAAgBAAAPAAAAAAAA&#10;AAEAIAAAACIAAABkcnMvZG93bnJldi54bWxQSwECFAAUAAAACACHTuJAsa1qWUwCAACWBAAADgAA&#10;AAAAAAABACAAAAAmAQAAZHJzL2Uyb0RvYy54bWxQSwUGAAAAAAYABgBZAQAA5AUAAAAA&#10;">
                <v:fill on="t" focussize="0,0"/>
                <v:stroke color="#000000" miterlimit="8" joinstyle="miter"/>
                <v:imagedata o:title=""/>
                <o:lock v:ext="edit" aspectratio="f"/>
                <v:textbox>
                  <w:txbxContent>
                    <w:p>
                      <w:pPr>
                        <w:jc w:val="center"/>
                        <w:rPr>
                          <w:szCs w:val="21"/>
                        </w:rPr>
                      </w:pPr>
                      <w:r>
                        <w:rPr>
                          <w:rFonts w:hint="eastAsia"/>
                          <w:szCs w:val="21"/>
                        </w:rPr>
                        <w:t>授权代表身份证复印件正面</w:t>
                      </w:r>
                    </w:p>
                  </w:txbxContent>
                </v:textbox>
              </v:shape>
            </w:pict>
          </mc:Fallback>
        </mc:AlternateContent>
      </w:r>
    </w:p>
    <w:p>
      <w:pPr>
        <w:spacing w:line="360" w:lineRule="auto"/>
        <w:ind w:firstLine="420"/>
        <w:rPr>
          <w:rFonts w:hAnsi="宋体" w:cs="宋体"/>
          <w:color w:val="auto"/>
          <w:szCs w:val="21"/>
          <w:highlight w:val="none"/>
          <w:u w:val="single"/>
        </w:rPr>
      </w:pPr>
    </w:p>
    <w:p>
      <w:pPr>
        <w:pStyle w:val="3"/>
        <w:spacing w:after="120" w:line="480" w:lineRule="exact"/>
        <w:rPr>
          <w:rFonts w:hAnsi="宋体" w:cs="宋体"/>
          <w:b/>
          <w:color w:val="auto"/>
          <w:szCs w:val="21"/>
          <w:highlight w:val="none"/>
        </w:rPr>
      </w:pPr>
      <w:bookmarkStart w:id="32" w:name="_Toc10548704"/>
      <w:r>
        <w:rPr>
          <w:rFonts w:hint="eastAsia" w:hAnsi="宋体" w:cs="宋体"/>
          <w:b/>
          <w:color w:val="auto"/>
          <w:szCs w:val="20"/>
          <w:highlight w:val="none"/>
        </w:rPr>
        <w:br w:type="page"/>
      </w:r>
      <w:r>
        <w:rPr>
          <w:rFonts w:hint="eastAsia" w:hAnsi="宋体" w:cs="宋体"/>
          <w:b/>
          <w:color w:val="auto"/>
          <w:szCs w:val="21"/>
          <w:highlight w:val="none"/>
        </w:rPr>
        <w:t>附表2.5 证明投标人的合格性的证明文件格式</w:t>
      </w:r>
    </w:p>
    <w:p>
      <w:pPr>
        <w:spacing w:line="360" w:lineRule="auto"/>
        <w:ind w:right="-34"/>
        <w:jc w:val="both"/>
        <w:rPr>
          <w:rFonts w:ascii="仿宋" w:hAnsi="仿宋" w:eastAsia="仿宋" w:cs="仿宋"/>
          <w:color w:val="auto"/>
          <w:szCs w:val="21"/>
          <w:highlight w:val="none"/>
        </w:rPr>
      </w:pPr>
      <w:r>
        <w:rPr>
          <w:rFonts w:hint="eastAsia" w:ascii="仿宋" w:hAnsi="仿宋" w:eastAsia="仿宋" w:cs="仿宋"/>
          <w:color w:val="auto"/>
          <w:szCs w:val="21"/>
          <w:highlight w:val="none"/>
        </w:rPr>
        <w:t>1.投标供应商应具备《政府采购法》第二十二条规定的条件，提供下列材料：</w:t>
      </w:r>
    </w:p>
    <w:p>
      <w:pPr>
        <w:spacing w:line="360" w:lineRule="auto"/>
        <w:ind w:right="-34"/>
        <w:jc w:val="both"/>
        <w:rPr>
          <w:rFonts w:hint="eastAsia" w:ascii="仿宋" w:hAnsi="仿宋" w:eastAsia="仿宋" w:cs="仿宋"/>
          <w:b/>
          <w:color w:val="auto"/>
          <w:szCs w:val="21"/>
          <w:highlight w:val="none"/>
          <w:lang w:eastAsia="zh-CN"/>
        </w:rPr>
      </w:pPr>
      <w:r>
        <w:rPr>
          <w:rFonts w:hint="eastAsia" w:ascii="仿宋" w:hAnsi="仿宋" w:eastAsia="仿宋" w:cs="仿宋"/>
          <w:b/>
          <w:color w:val="auto"/>
          <w:szCs w:val="21"/>
          <w:highlight w:val="none"/>
        </w:rPr>
        <w:t>1）具有独立承担民事责任的能力：</w:t>
      </w:r>
      <w:r>
        <w:rPr>
          <w:rFonts w:hint="eastAsia" w:ascii="仿宋" w:hAnsi="仿宋" w:eastAsia="仿宋" w:cs="仿宋"/>
          <w:b w:val="0"/>
          <w:bCs/>
          <w:color w:val="000000"/>
          <w:szCs w:val="21"/>
          <w:highlight w:val="none"/>
        </w:rP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r>
        <w:rPr>
          <w:rFonts w:hint="eastAsia" w:ascii="仿宋" w:hAnsi="仿宋" w:eastAsia="仿宋" w:cs="仿宋"/>
          <w:bCs/>
          <w:color w:val="auto"/>
          <w:szCs w:val="21"/>
          <w:highlight w:val="none"/>
          <w:lang w:eastAsia="zh-CN"/>
        </w:rPr>
        <w:t>。</w:t>
      </w:r>
    </w:p>
    <w:p>
      <w:pPr>
        <w:pStyle w:val="45"/>
        <w:shd w:val="clear" w:color="auto" w:fill="FFFFFF"/>
        <w:spacing w:before="0" w:beforeAutospacing="0" w:after="0" w:afterAutospacing="0" w:line="360" w:lineRule="auto"/>
        <w:textAlignment w:val="baseline"/>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2）有依法缴纳税收和社会保障资金的良好记录：</w:t>
      </w:r>
      <w:r>
        <w:rPr>
          <w:rFonts w:hint="eastAsia" w:ascii="仿宋" w:hAnsi="仿宋" w:eastAsia="仿宋" w:cs="仿宋"/>
          <w:b w:val="0"/>
          <w:bCs/>
          <w:color w:val="000000"/>
          <w:sz w:val="21"/>
          <w:szCs w:val="21"/>
          <w:highlight w:val="none"/>
          <w:lang w:val="en-US" w:eastAsia="zh-CN" w:bidi="ar-SA"/>
        </w:rPr>
        <w:t>提供投标截止日前6个月内任意1个月依法缴纳税收和社会保障资金的相关材料。如依法免税或不需要缴纳社会保障资金的，提供相应证明材料</w:t>
      </w:r>
      <w:r>
        <w:rPr>
          <w:rFonts w:hint="eastAsia" w:ascii="仿宋" w:hAnsi="仿宋" w:eastAsia="仿宋" w:cs="仿宋"/>
          <w:bCs/>
          <w:color w:val="auto"/>
          <w:sz w:val="21"/>
          <w:szCs w:val="21"/>
          <w:highlight w:val="none"/>
        </w:rPr>
        <w:t>。</w:t>
      </w:r>
    </w:p>
    <w:p>
      <w:pPr>
        <w:pStyle w:val="45"/>
        <w:shd w:val="clear" w:color="auto" w:fill="FFFFFF"/>
        <w:spacing w:before="0" w:beforeAutospacing="0" w:after="0" w:afterAutospacing="0" w:line="360" w:lineRule="auto"/>
        <w:textAlignment w:val="baseline"/>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rPr>
        <w:t>3）具有良好的商业信誉和健全的财务会计制度：</w:t>
      </w:r>
      <w:r>
        <w:rPr>
          <w:rFonts w:hint="eastAsia" w:ascii="仿宋" w:hAnsi="仿宋" w:eastAsia="仿宋" w:cs="仿宋"/>
          <w:b w:val="0"/>
          <w:bCs/>
          <w:color w:val="000000"/>
          <w:sz w:val="21"/>
          <w:szCs w:val="21"/>
          <w:highlight w:val="none"/>
          <w:lang w:val="en-US" w:eastAsia="zh-CN" w:bidi="ar-SA"/>
        </w:rPr>
        <w:t>供应商必须具有良好的商业信誉和健全的财务会计制度（提供2021年度财务状况报告或基本开户行出具的资信证明）</w:t>
      </w:r>
      <w:r>
        <w:rPr>
          <w:rFonts w:hint="eastAsia" w:ascii="仿宋" w:hAnsi="仿宋" w:eastAsia="仿宋" w:cs="仿宋"/>
          <w:bCs/>
          <w:color w:val="auto"/>
          <w:sz w:val="21"/>
          <w:szCs w:val="21"/>
          <w:highlight w:val="none"/>
          <w:lang w:eastAsia="zh-CN"/>
        </w:rPr>
        <w:t>。</w:t>
      </w:r>
    </w:p>
    <w:p>
      <w:pPr>
        <w:pStyle w:val="45"/>
        <w:shd w:val="clear" w:color="auto" w:fill="FFFFFF"/>
        <w:spacing w:before="0" w:beforeAutospacing="0" w:after="0" w:afterAutospacing="0" w:line="360" w:lineRule="auto"/>
        <w:textAlignment w:val="baseline"/>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rPr>
        <w:t>4）履行合同所必需的设备和专业技术能力：</w:t>
      </w:r>
      <w:r>
        <w:rPr>
          <w:rFonts w:hint="eastAsia" w:ascii="仿宋" w:hAnsi="仿宋" w:eastAsia="仿宋" w:cs="仿宋"/>
          <w:bCs/>
          <w:color w:val="auto"/>
          <w:sz w:val="21"/>
          <w:szCs w:val="21"/>
          <w:highlight w:val="none"/>
          <w:lang w:eastAsia="zh-CN"/>
        </w:rPr>
        <w:t>填报所必需的设备及专业技术能力情况。（格式自拟）</w:t>
      </w:r>
    </w:p>
    <w:p>
      <w:pPr>
        <w:pStyle w:val="45"/>
        <w:shd w:val="clear" w:color="auto" w:fill="FFFFFF"/>
        <w:spacing w:before="0" w:beforeAutospacing="0" w:after="0" w:afterAutospacing="0" w:line="360" w:lineRule="auto"/>
        <w:textAlignment w:val="baseline"/>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5）参加采购活动前3年内，在经营活动中没有重大违法记录：</w:t>
      </w:r>
      <w:r>
        <w:rPr>
          <w:rFonts w:hint="eastAsia" w:ascii="仿宋" w:hAnsi="仿宋" w:eastAsia="仿宋" w:cs="仿宋"/>
          <w:b w:val="0"/>
          <w:bCs/>
          <w:color w:val="000000"/>
          <w:sz w:val="21"/>
          <w:szCs w:val="21"/>
          <w:highlight w:val="none"/>
          <w:lang w:val="en-US" w:eastAsia="zh-CN" w:bidi="ar-SA"/>
        </w:rPr>
        <w:t>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spacing w:line="360" w:lineRule="auto"/>
        <w:ind w:right="-34"/>
        <w:jc w:val="both"/>
        <w:rPr>
          <w:rFonts w:ascii="仿宋" w:hAnsi="仿宋" w:eastAsia="仿宋" w:cs="仿宋"/>
          <w:b/>
          <w:color w:val="auto"/>
          <w:szCs w:val="21"/>
          <w:highlight w:val="none"/>
        </w:rPr>
      </w:pPr>
      <w:r>
        <w:rPr>
          <w:rFonts w:hint="eastAsia" w:ascii="仿宋" w:hAnsi="仿宋" w:eastAsia="仿宋" w:cs="仿宋"/>
          <w:b/>
          <w:color w:val="auto"/>
          <w:szCs w:val="21"/>
          <w:highlight w:val="none"/>
        </w:rPr>
        <w:t>2.落实政府采购政策需满足的资格要求：</w:t>
      </w:r>
      <w:r>
        <w:rPr>
          <w:rFonts w:hint="eastAsia" w:ascii="仿宋" w:hAnsi="仿宋" w:eastAsia="仿宋" w:cs="仿宋"/>
          <w:color w:val="auto"/>
          <w:szCs w:val="21"/>
          <w:highlight w:val="none"/>
        </w:rPr>
        <w:t>无</w:t>
      </w:r>
    </w:p>
    <w:p>
      <w:pPr>
        <w:spacing w:line="360" w:lineRule="auto"/>
        <w:ind w:right="-34"/>
        <w:jc w:val="both"/>
        <w:rPr>
          <w:rFonts w:ascii="仿宋" w:hAnsi="仿宋" w:eastAsia="仿宋" w:cs="仿宋"/>
          <w:b/>
          <w:color w:val="auto"/>
          <w:szCs w:val="21"/>
          <w:highlight w:val="none"/>
        </w:rPr>
      </w:pPr>
      <w:r>
        <w:rPr>
          <w:rFonts w:hint="eastAsia" w:ascii="仿宋" w:hAnsi="仿宋" w:eastAsia="仿宋" w:cs="仿宋"/>
          <w:b/>
          <w:color w:val="auto"/>
          <w:szCs w:val="21"/>
          <w:highlight w:val="none"/>
        </w:rPr>
        <w:t>3.本项目的特定资格要求：</w:t>
      </w:r>
    </w:p>
    <w:p>
      <w:pPr>
        <w:spacing w:line="360" w:lineRule="auto"/>
        <w:jc w:val="both"/>
        <w:rPr>
          <w:rFonts w:ascii="仿宋" w:hAnsi="仿宋" w:eastAsia="仿宋" w:cs="仿宋"/>
          <w:b/>
          <w:color w:val="auto"/>
          <w:szCs w:val="21"/>
          <w:highlight w:val="none"/>
        </w:rPr>
      </w:pPr>
      <w:r>
        <w:rPr>
          <w:rFonts w:hint="eastAsia" w:ascii="仿宋" w:hAnsi="仿宋" w:eastAsia="仿宋" w:cs="仿宋"/>
          <w:b/>
          <w:color w:val="auto"/>
          <w:szCs w:val="21"/>
          <w:highlight w:val="none"/>
        </w:rPr>
        <w:t>1）信用记录：</w:t>
      </w:r>
      <w:r>
        <w:rPr>
          <w:rFonts w:hint="eastAsia" w:ascii="仿宋" w:hAnsi="仿宋" w:eastAsia="仿宋" w:cs="仿宋"/>
          <w:color w:val="auto"/>
          <w:szCs w:val="21"/>
          <w:highlight w:val="none"/>
        </w:rPr>
        <w:t>供应商未被列入“信用中国”网站(www.creditchina.gov.cn)“记录失信被执行人或重大税收违法案件当事人名单”记录名单； 不处于中国政府采购网(www.ccgp.gov.cn)“政府采购严重违法失信行为信息记录”中的禁止参加政府采购活动期间。 （以采购代理机构于投标（响应） 截止时间当天在“信用中国”网站（www.creditchina.gov.cn）及中国政府采购网（http://www.ccgp.gov.cn/） 查询结果为准， 如相关失信记录已失效，供应商需提供相关证明资料） 。</w:t>
      </w:r>
    </w:p>
    <w:p>
      <w:pPr>
        <w:pStyle w:val="23"/>
        <w:spacing w:line="360" w:lineRule="auto"/>
        <w:ind w:left="0" w:leftChars="0" w:firstLineChars="0"/>
        <w:rPr>
          <w:rFonts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2）</w:t>
      </w:r>
      <w:r>
        <w:rPr>
          <w:rFonts w:hint="eastAsia" w:ascii="仿宋" w:hAnsi="仿宋" w:eastAsia="仿宋" w:cs="仿宋"/>
          <w:color w:val="auto"/>
          <w:kern w:val="0"/>
          <w:sz w:val="21"/>
          <w:szCs w:val="21"/>
          <w:highlight w:val="none"/>
        </w:rPr>
        <w:t>单位负责人为同一人或者存在直接控股、管理关系的不同供应商，不得同时参加本采购项目（或采购包）投标（响应）。为本项目提供整体设计、规范编制或者项目管理、 监理、检测等服务的供应商，不得再参与本项目投标（响应）。投标（报价） 函相关承诺要求内容。</w:t>
      </w:r>
    </w:p>
    <w:p>
      <w:pPr>
        <w:spacing w:line="360" w:lineRule="auto"/>
        <w:ind w:right="-34"/>
        <w:jc w:val="both"/>
        <w:rPr>
          <w:rFonts w:hAnsi="宋体" w:cs="宋体"/>
          <w:b/>
          <w:color w:val="auto"/>
          <w:szCs w:val="21"/>
          <w:highlight w:val="none"/>
        </w:rPr>
      </w:pPr>
      <w:r>
        <w:rPr>
          <w:rFonts w:hint="eastAsia" w:ascii="仿宋" w:hAnsi="仿宋" w:eastAsia="仿宋" w:cs="仿宋"/>
          <w:b/>
          <w:bCs/>
          <w:color w:val="auto"/>
          <w:szCs w:val="21"/>
          <w:highlight w:val="none"/>
        </w:rPr>
        <w:t>3）</w:t>
      </w:r>
      <w:r>
        <w:rPr>
          <w:rFonts w:hint="eastAsia" w:ascii="仿宋" w:hAnsi="仿宋" w:eastAsia="仿宋" w:cs="仿宋"/>
          <w:color w:val="auto"/>
          <w:szCs w:val="21"/>
          <w:highlight w:val="none"/>
        </w:rPr>
        <w:t>已办理报名并成功购买本招标文件的供应商。</w:t>
      </w:r>
      <w:r>
        <w:rPr>
          <w:rFonts w:hint="eastAsia" w:hAnsi="宋体" w:cs="宋体"/>
          <w:b/>
          <w:color w:val="auto"/>
          <w:szCs w:val="21"/>
          <w:highlight w:val="none"/>
        </w:rPr>
        <w:br w:type="page"/>
      </w:r>
      <w:r>
        <w:rPr>
          <w:rFonts w:hint="eastAsia" w:hAnsi="宋体" w:cs="宋体"/>
          <w:b/>
          <w:color w:val="auto"/>
          <w:szCs w:val="21"/>
          <w:highlight w:val="none"/>
        </w:rPr>
        <w:t>附表2.6 投标人基本情况表格式</w:t>
      </w:r>
    </w:p>
    <w:p>
      <w:pPr>
        <w:spacing w:line="360" w:lineRule="auto"/>
        <w:jc w:val="center"/>
        <w:rPr>
          <w:rFonts w:hAnsi="宋体" w:cs="宋体"/>
          <w:b/>
          <w:color w:val="auto"/>
          <w:szCs w:val="21"/>
          <w:highlight w:val="none"/>
        </w:rPr>
      </w:pPr>
    </w:p>
    <w:p>
      <w:pPr>
        <w:spacing w:line="360" w:lineRule="auto"/>
        <w:jc w:val="center"/>
        <w:rPr>
          <w:rFonts w:hAnsi="宋体" w:cs="宋体"/>
          <w:b/>
          <w:color w:val="auto"/>
          <w:szCs w:val="21"/>
          <w:highlight w:val="none"/>
        </w:rPr>
      </w:pPr>
      <w:r>
        <w:rPr>
          <w:rFonts w:hint="eastAsia" w:hAnsi="宋体" w:cs="宋体"/>
          <w:b/>
          <w:color w:val="auto"/>
          <w:szCs w:val="21"/>
          <w:highlight w:val="none"/>
        </w:rPr>
        <w:t>投标人基本情况表</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963"/>
        <w:gridCol w:w="1114"/>
        <w:gridCol w:w="891"/>
        <w:gridCol w:w="989"/>
        <w:gridCol w:w="1221"/>
        <w:gridCol w:w="1321"/>
        <w:gridCol w:w="989"/>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0" w:type="dxa"/>
            <w:tcBorders>
              <w:top w:val="double" w:color="auto" w:sz="4" w:space="0"/>
              <w:left w:val="double" w:color="auto" w:sz="4" w:space="0"/>
            </w:tcBorders>
            <w:vAlign w:val="center"/>
          </w:tcPr>
          <w:p>
            <w:pPr>
              <w:tabs>
                <w:tab w:val="left" w:pos="4320"/>
              </w:tabs>
              <w:jc w:val="center"/>
              <w:rPr>
                <w:rFonts w:ascii="仿宋" w:hAnsi="仿宋" w:eastAsia="仿宋" w:cs="仿宋"/>
                <w:color w:val="auto"/>
                <w:szCs w:val="21"/>
                <w:highlight w:val="none"/>
              </w:rPr>
            </w:pPr>
            <w:r>
              <w:rPr>
                <w:rFonts w:hint="eastAsia" w:ascii="仿宋" w:hAnsi="仿宋" w:eastAsia="仿宋" w:cs="仿宋"/>
                <w:color w:val="auto"/>
                <w:szCs w:val="21"/>
                <w:highlight w:val="none"/>
              </w:rPr>
              <w:t>单位名称</w:t>
            </w:r>
          </w:p>
        </w:tc>
        <w:tc>
          <w:tcPr>
            <w:tcW w:w="2077" w:type="dxa"/>
            <w:gridSpan w:val="2"/>
            <w:tcBorders>
              <w:top w:val="double" w:color="auto" w:sz="4" w:space="0"/>
            </w:tcBorders>
            <w:vAlign w:val="center"/>
          </w:tcPr>
          <w:p>
            <w:pPr>
              <w:tabs>
                <w:tab w:val="left" w:pos="4320"/>
              </w:tabs>
              <w:rPr>
                <w:rFonts w:ascii="仿宋" w:hAnsi="仿宋" w:eastAsia="仿宋" w:cs="仿宋"/>
                <w:color w:val="auto"/>
                <w:szCs w:val="21"/>
                <w:highlight w:val="none"/>
              </w:rPr>
            </w:pPr>
          </w:p>
        </w:tc>
        <w:tc>
          <w:tcPr>
            <w:tcW w:w="891" w:type="dxa"/>
            <w:tcBorders>
              <w:top w:val="double" w:color="auto" w:sz="4" w:space="0"/>
            </w:tcBorders>
            <w:vAlign w:val="center"/>
          </w:tcPr>
          <w:p>
            <w:pPr>
              <w:tabs>
                <w:tab w:val="left" w:pos="4320"/>
              </w:tabs>
              <w:jc w:val="center"/>
              <w:rPr>
                <w:rFonts w:ascii="仿宋" w:hAnsi="仿宋" w:eastAsia="仿宋" w:cs="仿宋"/>
                <w:color w:val="auto"/>
                <w:szCs w:val="21"/>
                <w:highlight w:val="none"/>
              </w:rPr>
            </w:pPr>
            <w:r>
              <w:rPr>
                <w:rFonts w:hint="eastAsia" w:ascii="仿宋" w:hAnsi="仿宋" w:eastAsia="仿宋" w:cs="仿宋"/>
                <w:color w:val="auto"/>
                <w:szCs w:val="21"/>
                <w:highlight w:val="none"/>
              </w:rPr>
              <w:t>电话</w:t>
            </w:r>
          </w:p>
        </w:tc>
        <w:tc>
          <w:tcPr>
            <w:tcW w:w="989" w:type="dxa"/>
            <w:tcBorders>
              <w:top w:val="double" w:color="auto" w:sz="4" w:space="0"/>
            </w:tcBorders>
            <w:vAlign w:val="center"/>
          </w:tcPr>
          <w:p>
            <w:pPr>
              <w:tabs>
                <w:tab w:val="left" w:pos="4320"/>
              </w:tabs>
              <w:rPr>
                <w:rFonts w:ascii="仿宋" w:hAnsi="仿宋" w:eastAsia="仿宋" w:cs="仿宋"/>
                <w:color w:val="auto"/>
                <w:szCs w:val="21"/>
                <w:highlight w:val="none"/>
              </w:rPr>
            </w:pPr>
          </w:p>
        </w:tc>
        <w:tc>
          <w:tcPr>
            <w:tcW w:w="1221" w:type="dxa"/>
            <w:tcBorders>
              <w:top w:val="double" w:color="auto" w:sz="4" w:space="0"/>
            </w:tcBorders>
            <w:vAlign w:val="center"/>
          </w:tcPr>
          <w:p>
            <w:pPr>
              <w:tabs>
                <w:tab w:val="left" w:pos="4320"/>
              </w:tabs>
              <w:jc w:val="center"/>
              <w:rPr>
                <w:rFonts w:ascii="仿宋" w:hAnsi="仿宋" w:eastAsia="仿宋" w:cs="仿宋"/>
                <w:color w:val="auto"/>
                <w:szCs w:val="21"/>
                <w:highlight w:val="none"/>
              </w:rPr>
            </w:pPr>
            <w:r>
              <w:rPr>
                <w:rFonts w:hint="eastAsia" w:ascii="仿宋" w:hAnsi="仿宋" w:eastAsia="仿宋" w:cs="仿宋"/>
                <w:color w:val="auto"/>
                <w:szCs w:val="21"/>
                <w:highlight w:val="none"/>
              </w:rPr>
              <w:t>法定代表人</w:t>
            </w:r>
          </w:p>
        </w:tc>
        <w:tc>
          <w:tcPr>
            <w:tcW w:w="1321" w:type="dxa"/>
            <w:tcBorders>
              <w:top w:val="double" w:color="auto" w:sz="4" w:space="0"/>
            </w:tcBorders>
            <w:vAlign w:val="center"/>
          </w:tcPr>
          <w:p>
            <w:pPr>
              <w:tabs>
                <w:tab w:val="left" w:pos="4320"/>
              </w:tabs>
              <w:rPr>
                <w:rFonts w:ascii="仿宋" w:hAnsi="仿宋" w:eastAsia="仿宋" w:cs="仿宋"/>
                <w:color w:val="auto"/>
                <w:szCs w:val="21"/>
                <w:highlight w:val="none"/>
              </w:rPr>
            </w:pPr>
          </w:p>
        </w:tc>
        <w:tc>
          <w:tcPr>
            <w:tcW w:w="989" w:type="dxa"/>
            <w:tcBorders>
              <w:top w:val="double" w:color="auto" w:sz="4" w:space="0"/>
            </w:tcBorders>
            <w:vAlign w:val="center"/>
          </w:tcPr>
          <w:p>
            <w:pPr>
              <w:tabs>
                <w:tab w:val="left" w:pos="4320"/>
              </w:tabs>
              <w:jc w:val="center"/>
              <w:rPr>
                <w:rFonts w:ascii="仿宋" w:hAnsi="仿宋" w:eastAsia="仿宋" w:cs="仿宋"/>
                <w:color w:val="auto"/>
                <w:szCs w:val="21"/>
                <w:highlight w:val="none"/>
              </w:rPr>
            </w:pPr>
            <w:r>
              <w:rPr>
                <w:rFonts w:hint="eastAsia" w:ascii="仿宋" w:hAnsi="仿宋" w:eastAsia="仿宋" w:cs="仿宋"/>
                <w:color w:val="auto"/>
                <w:szCs w:val="21"/>
                <w:highlight w:val="none"/>
              </w:rPr>
              <w:t>职务</w:t>
            </w:r>
          </w:p>
        </w:tc>
        <w:tc>
          <w:tcPr>
            <w:tcW w:w="1129" w:type="dxa"/>
            <w:tcBorders>
              <w:top w:val="double" w:color="auto" w:sz="4" w:space="0"/>
              <w:right w:val="double" w:color="auto" w:sz="4" w:space="0"/>
            </w:tcBorders>
            <w:vAlign w:val="center"/>
          </w:tcPr>
          <w:p>
            <w:pPr>
              <w:tabs>
                <w:tab w:val="left" w:pos="4320"/>
              </w:tabs>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0" w:type="dxa"/>
            <w:tcBorders>
              <w:left w:val="double" w:color="auto" w:sz="4" w:space="0"/>
            </w:tcBorders>
            <w:vAlign w:val="center"/>
          </w:tcPr>
          <w:p>
            <w:pPr>
              <w:tabs>
                <w:tab w:val="left" w:pos="4320"/>
              </w:tabs>
              <w:jc w:val="center"/>
              <w:rPr>
                <w:rFonts w:ascii="仿宋" w:hAnsi="仿宋" w:eastAsia="仿宋" w:cs="仿宋"/>
                <w:color w:val="auto"/>
                <w:szCs w:val="21"/>
                <w:highlight w:val="none"/>
              </w:rPr>
            </w:pPr>
            <w:r>
              <w:rPr>
                <w:rFonts w:hint="eastAsia" w:ascii="仿宋" w:hAnsi="仿宋" w:eastAsia="仿宋" w:cs="仿宋"/>
                <w:color w:val="auto"/>
                <w:szCs w:val="21"/>
                <w:highlight w:val="none"/>
              </w:rPr>
              <w:t>地址</w:t>
            </w:r>
          </w:p>
        </w:tc>
        <w:tc>
          <w:tcPr>
            <w:tcW w:w="2077" w:type="dxa"/>
            <w:gridSpan w:val="2"/>
            <w:vAlign w:val="center"/>
          </w:tcPr>
          <w:p>
            <w:pPr>
              <w:tabs>
                <w:tab w:val="left" w:pos="4320"/>
              </w:tabs>
              <w:rPr>
                <w:rFonts w:ascii="仿宋" w:hAnsi="仿宋" w:eastAsia="仿宋" w:cs="仿宋"/>
                <w:color w:val="auto"/>
                <w:szCs w:val="21"/>
                <w:highlight w:val="none"/>
              </w:rPr>
            </w:pPr>
          </w:p>
        </w:tc>
        <w:tc>
          <w:tcPr>
            <w:tcW w:w="891" w:type="dxa"/>
            <w:vAlign w:val="center"/>
          </w:tcPr>
          <w:p>
            <w:pPr>
              <w:tabs>
                <w:tab w:val="left" w:pos="4320"/>
              </w:tabs>
              <w:jc w:val="center"/>
              <w:rPr>
                <w:rFonts w:ascii="仿宋" w:hAnsi="仿宋" w:eastAsia="仿宋" w:cs="仿宋"/>
                <w:color w:val="auto"/>
                <w:szCs w:val="21"/>
                <w:highlight w:val="none"/>
              </w:rPr>
            </w:pPr>
            <w:r>
              <w:rPr>
                <w:rFonts w:hint="eastAsia" w:ascii="仿宋" w:hAnsi="仿宋" w:eastAsia="仿宋" w:cs="仿宋"/>
                <w:color w:val="auto"/>
                <w:szCs w:val="21"/>
                <w:highlight w:val="none"/>
              </w:rPr>
              <w:t>传真</w:t>
            </w:r>
          </w:p>
        </w:tc>
        <w:tc>
          <w:tcPr>
            <w:tcW w:w="989" w:type="dxa"/>
            <w:vAlign w:val="center"/>
          </w:tcPr>
          <w:p>
            <w:pPr>
              <w:tabs>
                <w:tab w:val="left" w:pos="4320"/>
              </w:tabs>
              <w:rPr>
                <w:rFonts w:ascii="仿宋" w:hAnsi="仿宋" w:eastAsia="仿宋" w:cs="仿宋"/>
                <w:color w:val="auto"/>
                <w:szCs w:val="21"/>
                <w:highlight w:val="none"/>
              </w:rPr>
            </w:pPr>
          </w:p>
        </w:tc>
        <w:tc>
          <w:tcPr>
            <w:tcW w:w="1221" w:type="dxa"/>
            <w:vAlign w:val="center"/>
          </w:tcPr>
          <w:p>
            <w:pPr>
              <w:tabs>
                <w:tab w:val="left" w:pos="4320"/>
              </w:tabs>
              <w:jc w:val="center"/>
              <w:rPr>
                <w:rFonts w:ascii="仿宋" w:hAnsi="仿宋" w:eastAsia="仿宋" w:cs="仿宋"/>
                <w:color w:val="auto"/>
                <w:szCs w:val="21"/>
                <w:highlight w:val="none"/>
              </w:rPr>
            </w:pPr>
            <w:r>
              <w:rPr>
                <w:rFonts w:hint="eastAsia" w:ascii="仿宋" w:hAnsi="仿宋" w:eastAsia="仿宋" w:cs="仿宋"/>
                <w:color w:val="auto"/>
                <w:szCs w:val="21"/>
                <w:highlight w:val="none"/>
              </w:rPr>
              <w:t>被授权人</w:t>
            </w:r>
          </w:p>
        </w:tc>
        <w:tc>
          <w:tcPr>
            <w:tcW w:w="1321" w:type="dxa"/>
            <w:vAlign w:val="center"/>
          </w:tcPr>
          <w:p>
            <w:pPr>
              <w:tabs>
                <w:tab w:val="left" w:pos="4320"/>
              </w:tabs>
              <w:rPr>
                <w:rFonts w:ascii="仿宋" w:hAnsi="仿宋" w:eastAsia="仿宋" w:cs="仿宋"/>
                <w:color w:val="auto"/>
                <w:szCs w:val="21"/>
                <w:highlight w:val="none"/>
              </w:rPr>
            </w:pPr>
          </w:p>
        </w:tc>
        <w:tc>
          <w:tcPr>
            <w:tcW w:w="989" w:type="dxa"/>
            <w:vAlign w:val="center"/>
          </w:tcPr>
          <w:p>
            <w:pPr>
              <w:tabs>
                <w:tab w:val="left" w:pos="4320"/>
              </w:tabs>
              <w:jc w:val="center"/>
              <w:rPr>
                <w:rFonts w:ascii="仿宋" w:hAnsi="仿宋" w:eastAsia="仿宋" w:cs="仿宋"/>
                <w:color w:val="auto"/>
                <w:szCs w:val="21"/>
                <w:highlight w:val="none"/>
              </w:rPr>
            </w:pPr>
            <w:r>
              <w:rPr>
                <w:rFonts w:hint="eastAsia" w:ascii="仿宋" w:hAnsi="仿宋" w:eastAsia="仿宋" w:cs="仿宋"/>
                <w:color w:val="auto"/>
                <w:szCs w:val="21"/>
                <w:highlight w:val="none"/>
              </w:rPr>
              <w:t>职务</w:t>
            </w:r>
          </w:p>
        </w:tc>
        <w:tc>
          <w:tcPr>
            <w:tcW w:w="1129" w:type="dxa"/>
            <w:tcBorders>
              <w:right w:val="double" w:color="auto" w:sz="4" w:space="0"/>
            </w:tcBorders>
            <w:vAlign w:val="center"/>
          </w:tcPr>
          <w:p>
            <w:pPr>
              <w:tabs>
                <w:tab w:val="left" w:pos="4320"/>
              </w:tabs>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0" w:type="dxa"/>
            <w:tcBorders>
              <w:left w:val="double" w:color="auto" w:sz="4" w:space="0"/>
            </w:tcBorders>
            <w:vAlign w:val="center"/>
          </w:tcPr>
          <w:p>
            <w:pPr>
              <w:tabs>
                <w:tab w:val="left" w:pos="4320"/>
              </w:tabs>
              <w:ind w:left="210" w:hanging="210" w:hangingChars="100"/>
              <w:rPr>
                <w:rFonts w:ascii="仿宋" w:hAnsi="仿宋" w:eastAsia="仿宋" w:cs="仿宋"/>
                <w:color w:val="auto"/>
                <w:szCs w:val="21"/>
                <w:highlight w:val="none"/>
              </w:rPr>
            </w:pPr>
            <w:r>
              <w:rPr>
                <w:rFonts w:hint="eastAsia" w:ascii="仿宋" w:hAnsi="仿宋" w:eastAsia="仿宋" w:cs="仿宋"/>
                <w:color w:val="auto"/>
                <w:szCs w:val="21"/>
                <w:highlight w:val="none"/>
              </w:rPr>
              <w:t>一、单位简历及隶属关系</w:t>
            </w:r>
          </w:p>
        </w:tc>
        <w:tc>
          <w:tcPr>
            <w:tcW w:w="2968" w:type="dxa"/>
            <w:gridSpan w:val="3"/>
            <w:vAlign w:val="center"/>
          </w:tcPr>
          <w:p>
            <w:pPr>
              <w:tabs>
                <w:tab w:val="left" w:pos="4320"/>
              </w:tabs>
              <w:rPr>
                <w:rFonts w:ascii="仿宋" w:hAnsi="仿宋" w:eastAsia="仿宋" w:cs="仿宋"/>
                <w:color w:val="auto"/>
                <w:szCs w:val="21"/>
                <w:highlight w:val="none"/>
              </w:rPr>
            </w:pPr>
          </w:p>
        </w:tc>
        <w:tc>
          <w:tcPr>
            <w:tcW w:w="989" w:type="dxa"/>
            <w:vAlign w:val="center"/>
          </w:tcPr>
          <w:p>
            <w:pPr>
              <w:tabs>
                <w:tab w:val="left" w:pos="4320"/>
              </w:tabs>
              <w:jc w:val="center"/>
              <w:rPr>
                <w:rFonts w:ascii="仿宋" w:hAnsi="仿宋" w:eastAsia="仿宋" w:cs="仿宋"/>
                <w:color w:val="auto"/>
                <w:szCs w:val="21"/>
                <w:highlight w:val="none"/>
              </w:rPr>
            </w:pPr>
            <w:r>
              <w:rPr>
                <w:rFonts w:hint="eastAsia" w:ascii="仿宋" w:hAnsi="仿宋" w:eastAsia="仿宋" w:cs="仿宋"/>
                <w:color w:val="auto"/>
                <w:szCs w:val="21"/>
                <w:highlight w:val="none"/>
              </w:rPr>
              <w:t>单位优势及特长</w:t>
            </w:r>
          </w:p>
        </w:tc>
        <w:tc>
          <w:tcPr>
            <w:tcW w:w="4660" w:type="dxa"/>
            <w:gridSpan w:val="4"/>
            <w:tcBorders>
              <w:right w:val="double" w:color="auto" w:sz="4" w:space="0"/>
            </w:tcBorders>
            <w:vAlign w:val="center"/>
          </w:tcPr>
          <w:p>
            <w:pPr>
              <w:tabs>
                <w:tab w:val="left" w:pos="4320"/>
              </w:tabs>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30" w:type="dxa"/>
            <w:vMerge w:val="restart"/>
            <w:tcBorders>
              <w:left w:val="double" w:color="auto" w:sz="4" w:space="0"/>
            </w:tcBorders>
            <w:vAlign w:val="center"/>
          </w:tcPr>
          <w:p>
            <w:pPr>
              <w:tabs>
                <w:tab w:val="left" w:pos="4320"/>
              </w:tabs>
              <w:ind w:left="233" w:hanging="233" w:hangingChars="111"/>
              <w:rPr>
                <w:rFonts w:ascii="仿宋" w:hAnsi="仿宋" w:eastAsia="仿宋" w:cs="仿宋"/>
                <w:color w:val="auto"/>
                <w:szCs w:val="21"/>
                <w:highlight w:val="none"/>
              </w:rPr>
            </w:pPr>
            <w:r>
              <w:rPr>
                <w:rFonts w:hint="eastAsia" w:ascii="仿宋" w:hAnsi="仿宋" w:eastAsia="仿宋" w:cs="仿宋"/>
                <w:color w:val="auto"/>
                <w:szCs w:val="21"/>
                <w:highlight w:val="none"/>
              </w:rPr>
              <w:t>二、单位概况</w:t>
            </w:r>
          </w:p>
        </w:tc>
        <w:tc>
          <w:tcPr>
            <w:tcW w:w="963" w:type="dxa"/>
            <w:vAlign w:val="center"/>
          </w:tcPr>
          <w:p>
            <w:pPr>
              <w:tabs>
                <w:tab w:val="left" w:pos="4320"/>
              </w:tabs>
              <w:jc w:val="center"/>
              <w:rPr>
                <w:rFonts w:ascii="仿宋" w:hAnsi="仿宋" w:eastAsia="仿宋" w:cs="仿宋"/>
                <w:color w:val="auto"/>
                <w:szCs w:val="21"/>
                <w:highlight w:val="none"/>
              </w:rPr>
            </w:pPr>
            <w:r>
              <w:rPr>
                <w:rFonts w:hint="eastAsia" w:ascii="仿宋" w:hAnsi="仿宋" w:eastAsia="仿宋" w:cs="仿宋"/>
                <w:color w:val="auto"/>
                <w:szCs w:val="21"/>
                <w:highlight w:val="none"/>
              </w:rPr>
              <w:t>职工总数</w:t>
            </w:r>
          </w:p>
        </w:tc>
        <w:tc>
          <w:tcPr>
            <w:tcW w:w="1114" w:type="dxa"/>
            <w:vAlign w:val="center"/>
          </w:tcPr>
          <w:p>
            <w:pPr>
              <w:tabs>
                <w:tab w:val="left" w:pos="4320"/>
              </w:tabs>
              <w:jc w:val="right"/>
              <w:rPr>
                <w:rFonts w:ascii="仿宋" w:hAnsi="仿宋" w:eastAsia="仿宋" w:cs="仿宋"/>
                <w:color w:val="auto"/>
                <w:szCs w:val="21"/>
                <w:highlight w:val="none"/>
              </w:rPr>
            </w:pPr>
            <w:r>
              <w:rPr>
                <w:rFonts w:hint="eastAsia" w:ascii="仿宋" w:hAnsi="仿宋" w:eastAsia="仿宋" w:cs="仿宋"/>
                <w:color w:val="auto"/>
                <w:szCs w:val="21"/>
                <w:highlight w:val="none"/>
              </w:rPr>
              <w:t>人</w:t>
            </w:r>
          </w:p>
        </w:tc>
        <w:tc>
          <w:tcPr>
            <w:tcW w:w="891" w:type="dxa"/>
            <w:vMerge w:val="restart"/>
            <w:vAlign w:val="center"/>
          </w:tcPr>
          <w:p>
            <w:pPr>
              <w:tabs>
                <w:tab w:val="left" w:pos="4320"/>
              </w:tabs>
              <w:rPr>
                <w:rFonts w:ascii="仿宋" w:hAnsi="仿宋" w:eastAsia="仿宋" w:cs="仿宋"/>
                <w:color w:val="auto"/>
                <w:szCs w:val="21"/>
                <w:highlight w:val="none"/>
              </w:rPr>
            </w:pPr>
            <w:r>
              <w:rPr>
                <w:rFonts w:hint="eastAsia" w:ascii="仿宋" w:hAnsi="仿宋" w:eastAsia="仿宋" w:cs="仿宋"/>
                <w:color w:val="auto"/>
                <w:szCs w:val="21"/>
                <w:highlight w:val="none"/>
              </w:rPr>
              <w:t>上一年主要经济指标</w:t>
            </w:r>
          </w:p>
        </w:tc>
        <w:tc>
          <w:tcPr>
            <w:tcW w:w="989" w:type="dxa"/>
            <w:vAlign w:val="center"/>
          </w:tcPr>
          <w:p>
            <w:pPr>
              <w:tabs>
                <w:tab w:val="left" w:pos="4320"/>
              </w:tabs>
              <w:jc w:val="center"/>
              <w:rPr>
                <w:rFonts w:ascii="仿宋" w:hAnsi="仿宋" w:eastAsia="仿宋" w:cs="仿宋"/>
                <w:color w:val="auto"/>
                <w:szCs w:val="21"/>
                <w:highlight w:val="none"/>
              </w:rPr>
            </w:pPr>
            <w:r>
              <w:rPr>
                <w:rFonts w:hint="eastAsia" w:ascii="仿宋" w:hAnsi="仿宋" w:eastAsia="仿宋" w:cs="仿宋"/>
                <w:color w:val="auto"/>
                <w:szCs w:val="21"/>
                <w:highlight w:val="none"/>
              </w:rPr>
              <w:t>营业额</w:t>
            </w:r>
          </w:p>
        </w:tc>
        <w:tc>
          <w:tcPr>
            <w:tcW w:w="1221" w:type="dxa"/>
            <w:vAlign w:val="center"/>
          </w:tcPr>
          <w:p>
            <w:pPr>
              <w:tabs>
                <w:tab w:val="left" w:pos="4320"/>
              </w:tabs>
              <w:rPr>
                <w:rFonts w:ascii="仿宋" w:hAnsi="仿宋" w:eastAsia="仿宋" w:cs="仿宋"/>
                <w:color w:val="auto"/>
                <w:szCs w:val="21"/>
                <w:highlight w:val="none"/>
              </w:rPr>
            </w:pPr>
          </w:p>
        </w:tc>
        <w:tc>
          <w:tcPr>
            <w:tcW w:w="1321" w:type="dxa"/>
            <w:vAlign w:val="center"/>
          </w:tcPr>
          <w:p>
            <w:pPr>
              <w:tabs>
                <w:tab w:val="left" w:pos="4320"/>
              </w:tabs>
              <w:jc w:val="center"/>
              <w:rPr>
                <w:rFonts w:ascii="仿宋" w:hAnsi="仿宋" w:eastAsia="仿宋" w:cs="仿宋"/>
                <w:color w:val="auto"/>
                <w:szCs w:val="21"/>
                <w:highlight w:val="none"/>
              </w:rPr>
            </w:pPr>
            <w:r>
              <w:rPr>
                <w:rFonts w:hint="eastAsia" w:ascii="仿宋" w:hAnsi="仿宋" w:eastAsia="仿宋" w:cs="仿宋"/>
                <w:color w:val="auto"/>
                <w:szCs w:val="21"/>
                <w:highlight w:val="none"/>
              </w:rPr>
              <w:t>实现利润</w:t>
            </w:r>
          </w:p>
        </w:tc>
        <w:tc>
          <w:tcPr>
            <w:tcW w:w="2118" w:type="dxa"/>
            <w:gridSpan w:val="2"/>
            <w:tcBorders>
              <w:right w:val="double" w:color="auto" w:sz="4" w:space="0"/>
            </w:tcBorders>
            <w:vAlign w:val="center"/>
          </w:tcPr>
          <w:p>
            <w:pPr>
              <w:tabs>
                <w:tab w:val="left" w:pos="4320"/>
              </w:tabs>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30" w:type="dxa"/>
            <w:vMerge w:val="continue"/>
            <w:tcBorders>
              <w:left w:val="double" w:color="auto" w:sz="4" w:space="0"/>
            </w:tcBorders>
            <w:vAlign w:val="center"/>
          </w:tcPr>
          <w:p>
            <w:pPr>
              <w:tabs>
                <w:tab w:val="left" w:pos="4320"/>
              </w:tabs>
              <w:ind w:left="233" w:hanging="233" w:hangingChars="111"/>
              <w:rPr>
                <w:rFonts w:ascii="仿宋" w:hAnsi="仿宋" w:eastAsia="仿宋" w:cs="仿宋"/>
                <w:color w:val="auto"/>
                <w:szCs w:val="21"/>
                <w:highlight w:val="none"/>
              </w:rPr>
            </w:pPr>
          </w:p>
        </w:tc>
        <w:tc>
          <w:tcPr>
            <w:tcW w:w="963" w:type="dxa"/>
            <w:vAlign w:val="center"/>
          </w:tcPr>
          <w:p>
            <w:pPr>
              <w:tabs>
                <w:tab w:val="left" w:pos="4320"/>
              </w:tabs>
              <w:jc w:val="center"/>
              <w:rPr>
                <w:rFonts w:ascii="仿宋" w:hAnsi="仿宋" w:eastAsia="仿宋" w:cs="仿宋"/>
                <w:color w:val="auto"/>
                <w:szCs w:val="21"/>
                <w:highlight w:val="none"/>
              </w:rPr>
            </w:pPr>
            <w:r>
              <w:rPr>
                <w:rFonts w:hint="eastAsia" w:ascii="仿宋" w:hAnsi="仿宋" w:eastAsia="仿宋" w:cs="仿宋"/>
                <w:color w:val="auto"/>
                <w:szCs w:val="21"/>
                <w:highlight w:val="none"/>
              </w:rPr>
              <w:t>流动资金</w:t>
            </w:r>
          </w:p>
        </w:tc>
        <w:tc>
          <w:tcPr>
            <w:tcW w:w="1114" w:type="dxa"/>
            <w:vAlign w:val="center"/>
          </w:tcPr>
          <w:p>
            <w:pPr>
              <w:tabs>
                <w:tab w:val="left" w:pos="4320"/>
              </w:tabs>
              <w:jc w:val="right"/>
              <w:rPr>
                <w:rFonts w:ascii="仿宋" w:hAnsi="仿宋" w:eastAsia="仿宋" w:cs="仿宋"/>
                <w:color w:val="auto"/>
                <w:szCs w:val="21"/>
                <w:highlight w:val="none"/>
              </w:rPr>
            </w:pPr>
            <w:r>
              <w:rPr>
                <w:rFonts w:hint="eastAsia" w:ascii="仿宋" w:hAnsi="仿宋" w:eastAsia="仿宋" w:cs="仿宋"/>
                <w:color w:val="auto"/>
                <w:szCs w:val="21"/>
                <w:highlight w:val="none"/>
              </w:rPr>
              <w:t>万元</w:t>
            </w:r>
          </w:p>
        </w:tc>
        <w:tc>
          <w:tcPr>
            <w:tcW w:w="891" w:type="dxa"/>
            <w:vMerge w:val="continue"/>
            <w:vAlign w:val="center"/>
          </w:tcPr>
          <w:p>
            <w:pPr>
              <w:tabs>
                <w:tab w:val="left" w:pos="4320"/>
              </w:tabs>
              <w:rPr>
                <w:rFonts w:ascii="仿宋" w:hAnsi="仿宋" w:eastAsia="仿宋" w:cs="仿宋"/>
                <w:color w:val="auto"/>
                <w:szCs w:val="21"/>
                <w:highlight w:val="none"/>
              </w:rPr>
            </w:pPr>
          </w:p>
        </w:tc>
        <w:tc>
          <w:tcPr>
            <w:tcW w:w="989" w:type="dxa"/>
            <w:vMerge w:val="restart"/>
            <w:vAlign w:val="center"/>
          </w:tcPr>
          <w:p>
            <w:pPr>
              <w:tabs>
                <w:tab w:val="left" w:pos="4320"/>
              </w:tabs>
              <w:jc w:val="center"/>
              <w:rPr>
                <w:rFonts w:ascii="仿宋" w:hAnsi="仿宋" w:eastAsia="仿宋" w:cs="仿宋"/>
                <w:color w:val="auto"/>
                <w:szCs w:val="21"/>
                <w:highlight w:val="none"/>
              </w:rPr>
            </w:pPr>
            <w:r>
              <w:rPr>
                <w:rFonts w:hint="eastAsia" w:ascii="仿宋" w:hAnsi="仿宋" w:eastAsia="仿宋" w:cs="仿宋"/>
                <w:color w:val="auto"/>
                <w:szCs w:val="21"/>
                <w:highlight w:val="none"/>
              </w:rPr>
              <w:t>主要项目</w:t>
            </w:r>
          </w:p>
        </w:tc>
        <w:tc>
          <w:tcPr>
            <w:tcW w:w="4660" w:type="dxa"/>
            <w:gridSpan w:val="4"/>
            <w:tcBorders>
              <w:right w:val="double" w:color="auto" w:sz="4" w:space="0"/>
            </w:tcBorders>
            <w:vAlign w:val="center"/>
          </w:tcPr>
          <w:p>
            <w:pPr>
              <w:tabs>
                <w:tab w:val="left" w:pos="4320"/>
              </w:tabs>
              <w:spacing w:before="120" w:after="120"/>
              <w:rPr>
                <w:rFonts w:ascii="仿宋" w:hAnsi="仿宋" w:eastAsia="仿宋" w:cs="仿宋"/>
                <w:color w:val="auto"/>
                <w:szCs w:val="21"/>
                <w:highlight w:val="none"/>
              </w:rPr>
            </w:pPr>
            <w:r>
              <w:rPr>
                <w:rFonts w:hint="eastAsia" w:ascii="仿宋" w:hAnsi="仿宋" w:eastAsia="仿宋" w:cs="仿宋"/>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30" w:type="dxa"/>
            <w:vMerge w:val="continue"/>
            <w:tcBorders>
              <w:left w:val="double" w:color="auto" w:sz="4" w:space="0"/>
            </w:tcBorders>
            <w:vAlign w:val="center"/>
          </w:tcPr>
          <w:p>
            <w:pPr>
              <w:tabs>
                <w:tab w:val="left" w:pos="4320"/>
              </w:tabs>
              <w:ind w:left="233" w:hanging="233" w:hangingChars="111"/>
              <w:rPr>
                <w:rFonts w:ascii="仿宋" w:hAnsi="仿宋" w:eastAsia="仿宋" w:cs="仿宋"/>
                <w:color w:val="auto"/>
                <w:szCs w:val="21"/>
                <w:highlight w:val="none"/>
              </w:rPr>
            </w:pPr>
          </w:p>
        </w:tc>
        <w:tc>
          <w:tcPr>
            <w:tcW w:w="963" w:type="dxa"/>
            <w:vAlign w:val="center"/>
          </w:tcPr>
          <w:p>
            <w:pPr>
              <w:tabs>
                <w:tab w:val="left" w:pos="4320"/>
              </w:tabs>
              <w:jc w:val="center"/>
              <w:rPr>
                <w:rFonts w:ascii="仿宋" w:hAnsi="仿宋" w:eastAsia="仿宋" w:cs="仿宋"/>
                <w:color w:val="auto"/>
                <w:szCs w:val="21"/>
                <w:highlight w:val="none"/>
              </w:rPr>
            </w:pPr>
            <w:r>
              <w:rPr>
                <w:rFonts w:hint="eastAsia" w:ascii="仿宋" w:hAnsi="仿宋" w:eastAsia="仿宋" w:cs="仿宋"/>
                <w:color w:val="auto"/>
                <w:szCs w:val="21"/>
                <w:highlight w:val="none"/>
              </w:rPr>
              <w:t>固定资产</w:t>
            </w:r>
          </w:p>
          <w:p>
            <w:pPr>
              <w:tabs>
                <w:tab w:val="left" w:pos="4320"/>
              </w:tabs>
              <w:jc w:val="center"/>
              <w:rPr>
                <w:rFonts w:ascii="仿宋" w:hAnsi="仿宋" w:eastAsia="仿宋" w:cs="仿宋"/>
                <w:color w:val="auto"/>
                <w:szCs w:val="21"/>
                <w:highlight w:val="none"/>
              </w:rPr>
            </w:pPr>
            <w:r>
              <w:rPr>
                <w:rFonts w:hint="eastAsia" w:ascii="仿宋" w:hAnsi="仿宋" w:eastAsia="仿宋" w:cs="仿宋"/>
                <w:color w:val="auto"/>
                <w:szCs w:val="21"/>
                <w:highlight w:val="none"/>
              </w:rPr>
              <w:t>（万元）</w:t>
            </w:r>
          </w:p>
        </w:tc>
        <w:tc>
          <w:tcPr>
            <w:tcW w:w="1114" w:type="dxa"/>
            <w:vAlign w:val="center"/>
          </w:tcPr>
          <w:p>
            <w:pPr>
              <w:tabs>
                <w:tab w:val="left" w:pos="-48"/>
                <w:tab w:val="left" w:pos="4320"/>
              </w:tabs>
              <w:ind w:right="-133" w:hanging="48"/>
              <w:rPr>
                <w:rFonts w:ascii="仿宋" w:hAnsi="仿宋" w:eastAsia="仿宋" w:cs="仿宋"/>
                <w:color w:val="auto"/>
                <w:szCs w:val="21"/>
                <w:highlight w:val="none"/>
              </w:rPr>
            </w:pPr>
            <w:r>
              <w:rPr>
                <w:rFonts w:hint="eastAsia" w:ascii="仿宋" w:hAnsi="仿宋" w:eastAsia="仿宋" w:cs="仿宋"/>
                <w:color w:val="auto"/>
                <w:szCs w:val="21"/>
                <w:highlight w:val="none"/>
              </w:rPr>
              <w:t>原值：</w:t>
            </w:r>
          </w:p>
          <w:p>
            <w:pPr>
              <w:tabs>
                <w:tab w:val="left" w:pos="-48"/>
                <w:tab w:val="left" w:pos="4320"/>
              </w:tabs>
              <w:ind w:hanging="48"/>
              <w:jc w:val="right"/>
              <w:rPr>
                <w:rFonts w:ascii="仿宋" w:hAnsi="仿宋" w:eastAsia="仿宋" w:cs="仿宋"/>
                <w:color w:val="auto"/>
                <w:szCs w:val="21"/>
                <w:highlight w:val="none"/>
              </w:rPr>
            </w:pPr>
          </w:p>
          <w:p>
            <w:pPr>
              <w:tabs>
                <w:tab w:val="left" w:pos="-48"/>
                <w:tab w:val="left" w:pos="4320"/>
              </w:tabs>
              <w:ind w:right="-133" w:hanging="48"/>
              <w:rPr>
                <w:rFonts w:ascii="仿宋" w:hAnsi="仿宋" w:eastAsia="仿宋" w:cs="仿宋"/>
                <w:color w:val="auto"/>
                <w:szCs w:val="21"/>
                <w:highlight w:val="none"/>
              </w:rPr>
            </w:pPr>
            <w:r>
              <w:rPr>
                <w:rFonts w:hint="eastAsia" w:ascii="仿宋" w:hAnsi="仿宋" w:eastAsia="仿宋" w:cs="仿宋"/>
                <w:color w:val="auto"/>
                <w:szCs w:val="21"/>
                <w:highlight w:val="none"/>
              </w:rPr>
              <w:t>净值：</w:t>
            </w:r>
          </w:p>
          <w:p>
            <w:pPr>
              <w:tabs>
                <w:tab w:val="left" w:pos="-48"/>
                <w:tab w:val="left" w:pos="4320"/>
              </w:tabs>
              <w:ind w:hanging="48"/>
              <w:jc w:val="right"/>
              <w:rPr>
                <w:rFonts w:ascii="仿宋" w:hAnsi="仿宋" w:eastAsia="仿宋" w:cs="仿宋"/>
                <w:color w:val="auto"/>
                <w:szCs w:val="21"/>
                <w:highlight w:val="none"/>
              </w:rPr>
            </w:pPr>
          </w:p>
        </w:tc>
        <w:tc>
          <w:tcPr>
            <w:tcW w:w="891" w:type="dxa"/>
            <w:vMerge w:val="continue"/>
            <w:vAlign w:val="center"/>
          </w:tcPr>
          <w:p>
            <w:pPr>
              <w:tabs>
                <w:tab w:val="left" w:pos="4320"/>
              </w:tabs>
              <w:rPr>
                <w:rFonts w:ascii="仿宋" w:hAnsi="仿宋" w:eastAsia="仿宋" w:cs="仿宋"/>
                <w:color w:val="auto"/>
                <w:szCs w:val="21"/>
                <w:highlight w:val="none"/>
              </w:rPr>
            </w:pPr>
          </w:p>
        </w:tc>
        <w:tc>
          <w:tcPr>
            <w:tcW w:w="989" w:type="dxa"/>
            <w:vMerge w:val="continue"/>
            <w:vAlign w:val="center"/>
          </w:tcPr>
          <w:p>
            <w:pPr>
              <w:tabs>
                <w:tab w:val="left" w:pos="4320"/>
              </w:tabs>
              <w:jc w:val="center"/>
              <w:rPr>
                <w:rFonts w:ascii="仿宋" w:hAnsi="仿宋" w:eastAsia="仿宋" w:cs="仿宋"/>
                <w:color w:val="auto"/>
                <w:szCs w:val="21"/>
                <w:highlight w:val="none"/>
              </w:rPr>
            </w:pPr>
          </w:p>
        </w:tc>
        <w:tc>
          <w:tcPr>
            <w:tcW w:w="4660" w:type="dxa"/>
            <w:gridSpan w:val="4"/>
            <w:tcBorders>
              <w:right w:val="double" w:color="auto" w:sz="4" w:space="0"/>
            </w:tcBorders>
            <w:vAlign w:val="center"/>
          </w:tcPr>
          <w:p>
            <w:pPr>
              <w:tabs>
                <w:tab w:val="left" w:pos="4320"/>
              </w:tabs>
              <w:rPr>
                <w:rFonts w:ascii="仿宋" w:hAnsi="仿宋" w:eastAsia="仿宋" w:cs="仿宋"/>
                <w:color w:val="auto"/>
                <w:szCs w:val="21"/>
                <w:highlight w:val="none"/>
              </w:rPr>
            </w:pPr>
            <w:r>
              <w:rPr>
                <w:rFonts w:hint="eastAsia" w:ascii="仿宋" w:hAnsi="仿宋" w:eastAsia="仿宋" w:cs="仿宋"/>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30" w:type="dxa"/>
            <w:vMerge w:val="continue"/>
            <w:tcBorders>
              <w:left w:val="double" w:color="auto" w:sz="4" w:space="0"/>
            </w:tcBorders>
            <w:vAlign w:val="center"/>
          </w:tcPr>
          <w:p>
            <w:pPr>
              <w:tabs>
                <w:tab w:val="left" w:pos="4320"/>
              </w:tabs>
              <w:ind w:left="233" w:hanging="233" w:hangingChars="111"/>
              <w:rPr>
                <w:rFonts w:ascii="仿宋" w:hAnsi="仿宋" w:eastAsia="仿宋" w:cs="仿宋"/>
                <w:color w:val="auto"/>
                <w:szCs w:val="21"/>
                <w:highlight w:val="none"/>
              </w:rPr>
            </w:pPr>
          </w:p>
        </w:tc>
        <w:tc>
          <w:tcPr>
            <w:tcW w:w="963" w:type="dxa"/>
            <w:vAlign w:val="center"/>
          </w:tcPr>
          <w:p>
            <w:pPr>
              <w:tabs>
                <w:tab w:val="left" w:pos="4320"/>
              </w:tabs>
              <w:jc w:val="center"/>
              <w:rPr>
                <w:rFonts w:ascii="仿宋" w:hAnsi="仿宋" w:eastAsia="仿宋" w:cs="仿宋"/>
                <w:color w:val="auto"/>
                <w:szCs w:val="21"/>
                <w:highlight w:val="none"/>
              </w:rPr>
            </w:pPr>
            <w:r>
              <w:rPr>
                <w:rFonts w:hint="eastAsia" w:ascii="仿宋" w:hAnsi="仿宋" w:eastAsia="仿宋" w:cs="仿宋"/>
                <w:color w:val="auto"/>
                <w:szCs w:val="21"/>
                <w:highlight w:val="none"/>
              </w:rPr>
              <w:t>占地面积</w:t>
            </w:r>
          </w:p>
        </w:tc>
        <w:tc>
          <w:tcPr>
            <w:tcW w:w="1114" w:type="dxa"/>
            <w:vAlign w:val="center"/>
          </w:tcPr>
          <w:p>
            <w:pPr>
              <w:tabs>
                <w:tab w:val="left" w:pos="4320"/>
              </w:tabs>
              <w:jc w:val="right"/>
              <w:rPr>
                <w:rFonts w:ascii="仿宋" w:hAnsi="仿宋" w:eastAsia="仿宋" w:cs="仿宋"/>
                <w:color w:val="auto"/>
                <w:szCs w:val="21"/>
                <w:highlight w:val="none"/>
              </w:rPr>
            </w:pPr>
            <w:r>
              <w:rPr>
                <w:rFonts w:hint="eastAsia" w:ascii="仿宋" w:hAnsi="仿宋" w:eastAsia="仿宋" w:cs="仿宋"/>
                <w:color w:val="auto"/>
                <w:szCs w:val="21"/>
                <w:highlight w:val="none"/>
              </w:rPr>
              <w:t>M</w:t>
            </w:r>
            <w:r>
              <w:rPr>
                <w:rFonts w:hint="eastAsia" w:ascii="仿宋" w:hAnsi="仿宋" w:eastAsia="仿宋" w:cs="仿宋"/>
                <w:color w:val="auto"/>
                <w:szCs w:val="21"/>
                <w:highlight w:val="none"/>
                <w:vertAlign w:val="superscript"/>
              </w:rPr>
              <w:t>2</w:t>
            </w:r>
          </w:p>
        </w:tc>
        <w:tc>
          <w:tcPr>
            <w:tcW w:w="891" w:type="dxa"/>
            <w:vMerge w:val="continue"/>
            <w:vAlign w:val="center"/>
          </w:tcPr>
          <w:p>
            <w:pPr>
              <w:tabs>
                <w:tab w:val="left" w:pos="4320"/>
              </w:tabs>
              <w:rPr>
                <w:rFonts w:ascii="仿宋" w:hAnsi="仿宋" w:eastAsia="仿宋" w:cs="仿宋"/>
                <w:color w:val="auto"/>
                <w:szCs w:val="21"/>
                <w:highlight w:val="none"/>
              </w:rPr>
            </w:pPr>
          </w:p>
        </w:tc>
        <w:tc>
          <w:tcPr>
            <w:tcW w:w="989" w:type="dxa"/>
            <w:vMerge w:val="continue"/>
            <w:vAlign w:val="center"/>
          </w:tcPr>
          <w:p>
            <w:pPr>
              <w:tabs>
                <w:tab w:val="left" w:pos="4320"/>
              </w:tabs>
              <w:jc w:val="center"/>
              <w:rPr>
                <w:rFonts w:ascii="仿宋" w:hAnsi="仿宋" w:eastAsia="仿宋" w:cs="仿宋"/>
                <w:color w:val="auto"/>
                <w:szCs w:val="21"/>
                <w:highlight w:val="none"/>
              </w:rPr>
            </w:pPr>
          </w:p>
        </w:tc>
        <w:tc>
          <w:tcPr>
            <w:tcW w:w="4660" w:type="dxa"/>
            <w:gridSpan w:val="4"/>
            <w:tcBorders>
              <w:right w:val="double" w:color="auto" w:sz="4" w:space="0"/>
            </w:tcBorders>
            <w:vAlign w:val="center"/>
          </w:tcPr>
          <w:p>
            <w:pPr>
              <w:tabs>
                <w:tab w:val="left" w:pos="4320"/>
              </w:tabs>
              <w:spacing w:before="120" w:after="120"/>
              <w:rPr>
                <w:rFonts w:ascii="仿宋" w:hAnsi="仿宋" w:eastAsia="仿宋" w:cs="仿宋"/>
                <w:color w:val="auto"/>
                <w:szCs w:val="21"/>
                <w:highlight w:val="none"/>
              </w:rPr>
            </w:pPr>
            <w:r>
              <w:rPr>
                <w:rFonts w:hint="eastAsia" w:ascii="仿宋" w:hAnsi="仿宋" w:eastAsia="仿宋" w:cs="仿宋"/>
                <w:color w:val="auto"/>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30" w:type="dxa"/>
            <w:vMerge w:val="restart"/>
            <w:tcBorders>
              <w:left w:val="double" w:color="auto" w:sz="4" w:space="0"/>
            </w:tcBorders>
            <w:vAlign w:val="center"/>
          </w:tcPr>
          <w:p>
            <w:pPr>
              <w:tabs>
                <w:tab w:val="left" w:pos="4320"/>
              </w:tabs>
              <w:rPr>
                <w:rFonts w:ascii="仿宋" w:hAnsi="仿宋" w:eastAsia="仿宋" w:cs="仿宋"/>
                <w:color w:val="auto"/>
                <w:szCs w:val="21"/>
                <w:highlight w:val="none"/>
              </w:rPr>
            </w:pPr>
            <w:r>
              <w:rPr>
                <w:rFonts w:hint="eastAsia" w:ascii="仿宋" w:hAnsi="仿宋" w:eastAsia="仿宋" w:cs="仿宋"/>
                <w:color w:val="auto"/>
                <w:szCs w:val="21"/>
                <w:highlight w:val="none"/>
              </w:rPr>
              <w:t>四、其它</w:t>
            </w:r>
          </w:p>
        </w:tc>
        <w:tc>
          <w:tcPr>
            <w:tcW w:w="3957" w:type="dxa"/>
            <w:gridSpan w:val="4"/>
            <w:vAlign w:val="center"/>
          </w:tcPr>
          <w:p>
            <w:pPr>
              <w:tabs>
                <w:tab w:val="left" w:pos="4320"/>
              </w:tabs>
              <w:spacing w:before="60" w:after="60"/>
              <w:rPr>
                <w:rFonts w:ascii="仿宋" w:hAnsi="仿宋" w:eastAsia="仿宋" w:cs="仿宋"/>
                <w:color w:val="auto"/>
                <w:szCs w:val="21"/>
                <w:highlight w:val="none"/>
              </w:rPr>
            </w:pPr>
            <w:r>
              <w:rPr>
                <w:rFonts w:hint="eastAsia" w:ascii="仿宋" w:hAnsi="仿宋" w:eastAsia="仿宋" w:cs="仿宋"/>
                <w:color w:val="auto"/>
                <w:szCs w:val="21"/>
                <w:highlight w:val="none"/>
              </w:rPr>
              <w:t>近3年完成及正在执行的合同中发生的由于投标人违约</w:t>
            </w:r>
            <w:r>
              <w:rPr>
                <w:rFonts w:hint="eastAsia" w:ascii="仿宋" w:hAnsi="仿宋" w:eastAsia="仿宋" w:cs="仿宋"/>
                <w:color w:val="auto"/>
                <w:szCs w:val="21"/>
                <w:highlight w:val="none"/>
                <w:lang w:eastAsia="zh-CN"/>
              </w:rPr>
              <w:t>或部分</w:t>
            </w:r>
            <w:r>
              <w:rPr>
                <w:rFonts w:hint="eastAsia" w:ascii="仿宋" w:hAnsi="仿宋" w:eastAsia="仿宋" w:cs="仿宋"/>
                <w:color w:val="auto"/>
                <w:szCs w:val="21"/>
                <w:highlight w:val="none"/>
              </w:rPr>
              <w:t>违约而引起诉讼和受到索赔的案件具体情况及结果（须如实填写，若对此进行隐瞒，尔后又被采购人或采购代理机构发现，或</w:t>
            </w:r>
            <w:r>
              <w:rPr>
                <w:rFonts w:hint="eastAsia" w:ascii="仿宋" w:hAnsi="仿宋" w:eastAsia="仿宋" w:cs="仿宋"/>
                <w:color w:val="auto"/>
                <w:szCs w:val="21"/>
                <w:highlight w:val="none"/>
                <w:lang w:eastAsia="zh-CN"/>
              </w:rPr>
              <w:t>被他人</w:t>
            </w:r>
            <w:r>
              <w:rPr>
                <w:rFonts w:hint="eastAsia" w:ascii="仿宋" w:hAnsi="仿宋" w:eastAsia="仿宋" w:cs="仿宋"/>
                <w:color w:val="auto"/>
                <w:szCs w:val="21"/>
                <w:highlight w:val="none"/>
              </w:rPr>
              <w:t>举证成立，其投标资格将被取消）。</w:t>
            </w:r>
          </w:p>
        </w:tc>
        <w:tc>
          <w:tcPr>
            <w:tcW w:w="4660" w:type="dxa"/>
            <w:gridSpan w:val="4"/>
            <w:tcBorders>
              <w:right w:val="double" w:color="auto" w:sz="4" w:space="0"/>
            </w:tcBorders>
            <w:vAlign w:val="center"/>
          </w:tcPr>
          <w:p>
            <w:pPr>
              <w:tabs>
                <w:tab w:val="left" w:pos="4320"/>
              </w:tabs>
              <w:spacing w:before="60" w:after="60"/>
              <w:rPr>
                <w:rFonts w:ascii="仿宋" w:hAnsi="仿宋" w:eastAsia="仿宋" w:cs="仿宋"/>
                <w:color w:val="auto"/>
                <w:szCs w:val="21"/>
                <w:highlight w:val="none"/>
              </w:rPr>
            </w:pPr>
            <w:r>
              <w:rPr>
                <w:rFonts w:hint="eastAsia" w:ascii="仿宋" w:hAnsi="仿宋" w:eastAsia="仿宋" w:cs="仿宋"/>
                <w:color w:val="auto"/>
                <w:szCs w:val="21"/>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1130" w:type="dxa"/>
            <w:vMerge w:val="continue"/>
            <w:tcBorders>
              <w:left w:val="double" w:color="auto" w:sz="4" w:space="0"/>
              <w:bottom w:val="double" w:color="auto" w:sz="4" w:space="0"/>
            </w:tcBorders>
            <w:vAlign w:val="center"/>
          </w:tcPr>
          <w:p>
            <w:pPr>
              <w:tabs>
                <w:tab w:val="left" w:pos="4320"/>
              </w:tabs>
              <w:rPr>
                <w:rFonts w:ascii="仿宋" w:hAnsi="仿宋" w:eastAsia="仿宋" w:cs="仿宋"/>
                <w:color w:val="auto"/>
                <w:szCs w:val="21"/>
                <w:highlight w:val="none"/>
              </w:rPr>
            </w:pPr>
          </w:p>
        </w:tc>
        <w:tc>
          <w:tcPr>
            <w:tcW w:w="3957" w:type="dxa"/>
            <w:gridSpan w:val="4"/>
            <w:tcBorders>
              <w:bottom w:val="double" w:color="auto" w:sz="4" w:space="0"/>
            </w:tcBorders>
            <w:vAlign w:val="center"/>
          </w:tcPr>
          <w:p>
            <w:pPr>
              <w:tabs>
                <w:tab w:val="left" w:pos="4320"/>
              </w:tabs>
              <w:rPr>
                <w:rFonts w:ascii="仿宋" w:hAnsi="仿宋" w:eastAsia="仿宋" w:cs="仿宋"/>
                <w:color w:val="auto"/>
                <w:szCs w:val="21"/>
                <w:highlight w:val="none"/>
              </w:rPr>
            </w:pPr>
          </w:p>
        </w:tc>
        <w:tc>
          <w:tcPr>
            <w:tcW w:w="4660" w:type="dxa"/>
            <w:gridSpan w:val="4"/>
            <w:tcBorders>
              <w:bottom w:val="double" w:color="auto" w:sz="4" w:space="0"/>
              <w:right w:val="double" w:color="auto" w:sz="4" w:space="0"/>
            </w:tcBorders>
            <w:vAlign w:val="center"/>
          </w:tcPr>
          <w:p>
            <w:pPr>
              <w:tabs>
                <w:tab w:val="left" w:pos="4320"/>
              </w:tabs>
              <w:rPr>
                <w:rFonts w:ascii="仿宋" w:hAnsi="仿宋" w:eastAsia="仿宋" w:cs="仿宋"/>
                <w:color w:val="auto"/>
                <w:szCs w:val="21"/>
                <w:highlight w:val="none"/>
              </w:rPr>
            </w:pPr>
          </w:p>
        </w:tc>
      </w:tr>
    </w:tbl>
    <w:p>
      <w:pPr>
        <w:pStyle w:val="79"/>
        <w:spacing w:before="0" w:after="0" w:line="360" w:lineRule="auto"/>
        <w:ind w:left="840" w:hanging="840" w:hangingChars="400"/>
        <w:rPr>
          <w:rFonts w:ascii="宋体" w:hAnsi="宋体" w:cs="宋体"/>
          <w:bCs w:val="0"/>
          <w:color w:val="auto"/>
          <w:spacing w:val="0"/>
          <w:kern w:val="2"/>
          <w:szCs w:val="21"/>
          <w:highlight w:val="none"/>
          <w:lang w:val="en-GB"/>
        </w:rPr>
      </w:pPr>
    </w:p>
    <w:p>
      <w:pPr>
        <w:pStyle w:val="79"/>
        <w:spacing w:before="0" w:after="0" w:line="360" w:lineRule="auto"/>
        <w:ind w:left="840" w:hanging="840" w:hangingChars="400"/>
        <w:rPr>
          <w:rFonts w:ascii="仿宋" w:hAnsi="仿宋" w:eastAsia="仿宋" w:cs="仿宋"/>
          <w:bCs w:val="0"/>
          <w:color w:val="auto"/>
          <w:spacing w:val="0"/>
          <w:kern w:val="2"/>
          <w:szCs w:val="21"/>
          <w:highlight w:val="none"/>
          <w:lang w:val="en-GB"/>
        </w:rPr>
      </w:pPr>
      <w:r>
        <w:rPr>
          <w:rFonts w:hint="eastAsia" w:ascii="仿宋" w:hAnsi="仿宋" w:eastAsia="仿宋" w:cs="仿宋"/>
          <w:bCs w:val="0"/>
          <w:color w:val="auto"/>
          <w:spacing w:val="0"/>
          <w:kern w:val="2"/>
          <w:szCs w:val="21"/>
          <w:highlight w:val="none"/>
          <w:lang w:val="en-GB"/>
        </w:rPr>
        <w:t>注：1）文字描述：单位性质、发展历程、经营规模及服务理念、主营产品、技术力量等。</w:t>
      </w:r>
    </w:p>
    <w:p>
      <w:pPr>
        <w:pStyle w:val="79"/>
        <w:spacing w:before="0" w:after="0" w:line="360" w:lineRule="auto"/>
        <w:ind w:left="840" w:hanging="840" w:hangingChars="400"/>
        <w:rPr>
          <w:rFonts w:ascii="仿宋" w:hAnsi="仿宋" w:eastAsia="仿宋" w:cs="仿宋"/>
          <w:bCs w:val="0"/>
          <w:color w:val="auto"/>
          <w:spacing w:val="0"/>
          <w:kern w:val="2"/>
          <w:szCs w:val="21"/>
          <w:highlight w:val="none"/>
          <w:lang w:val="en-GB"/>
        </w:rPr>
      </w:pPr>
      <w:r>
        <w:rPr>
          <w:rFonts w:hint="eastAsia" w:ascii="仿宋" w:hAnsi="仿宋" w:eastAsia="仿宋" w:cs="仿宋"/>
          <w:bCs w:val="0"/>
          <w:color w:val="auto"/>
          <w:spacing w:val="0"/>
          <w:kern w:val="2"/>
          <w:szCs w:val="21"/>
          <w:highlight w:val="none"/>
          <w:lang w:val="en-GB"/>
        </w:rPr>
        <w:t xml:space="preserve">    2) 图片描述：经营场所、主要或关键产品介绍、生产场所及工艺流程等。</w:t>
      </w:r>
    </w:p>
    <w:p>
      <w:pPr>
        <w:spacing w:line="360" w:lineRule="auto"/>
        <w:ind w:firstLine="420" w:firstLineChars="200"/>
        <w:rPr>
          <w:rFonts w:ascii="仿宋" w:hAnsi="仿宋" w:eastAsia="仿宋" w:cs="仿宋"/>
          <w:color w:val="auto"/>
          <w:kern w:val="2"/>
          <w:szCs w:val="21"/>
          <w:highlight w:val="none"/>
          <w:lang w:val="en-GB"/>
        </w:rPr>
      </w:pPr>
      <w:r>
        <w:rPr>
          <w:rFonts w:hint="eastAsia" w:ascii="仿宋" w:hAnsi="仿宋" w:eastAsia="仿宋" w:cs="仿宋"/>
          <w:color w:val="auto"/>
          <w:kern w:val="2"/>
          <w:szCs w:val="21"/>
          <w:highlight w:val="none"/>
          <w:lang w:val="en-GB"/>
        </w:rPr>
        <w:t>3）如投标人此表数据有虚假，一经查实，自行承担相关责任。</w:t>
      </w:r>
    </w:p>
    <w:p>
      <w:pPr>
        <w:snapToGrid w:val="0"/>
        <w:spacing w:line="300" w:lineRule="auto"/>
        <w:rPr>
          <w:rFonts w:ascii="仿宋" w:hAnsi="仿宋" w:eastAsia="仿宋" w:cs="仿宋"/>
          <w:color w:val="auto"/>
          <w:szCs w:val="21"/>
          <w:highlight w:val="none"/>
        </w:rPr>
      </w:pPr>
    </w:p>
    <w:p>
      <w:pPr>
        <w:snapToGrid w:val="0"/>
        <w:spacing w:line="300" w:lineRule="auto"/>
        <w:rPr>
          <w:rFonts w:ascii="仿宋" w:hAnsi="仿宋" w:eastAsia="仿宋" w:cs="仿宋"/>
          <w:color w:val="auto"/>
          <w:szCs w:val="21"/>
          <w:highlight w:val="none"/>
        </w:rPr>
      </w:pPr>
      <w:r>
        <w:rPr>
          <w:rFonts w:hint="eastAsia" w:ascii="仿宋" w:hAnsi="仿宋" w:eastAsia="仿宋" w:cs="仿宋"/>
          <w:color w:val="auto"/>
          <w:szCs w:val="21"/>
          <w:highlight w:val="none"/>
        </w:rPr>
        <w:t>投标人法定代表人（或法定代表人授权代表）亲笔签字：</w:t>
      </w:r>
      <w:r>
        <w:rPr>
          <w:rFonts w:hint="eastAsia" w:ascii="仿宋" w:hAnsi="仿宋" w:eastAsia="仿宋" w:cs="仿宋"/>
          <w:color w:val="auto"/>
          <w:szCs w:val="21"/>
          <w:highlight w:val="none"/>
          <w:u w:val="single"/>
        </w:rPr>
        <w:t xml:space="preserve">                   </w:t>
      </w:r>
    </w:p>
    <w:p>
      <w:pPr>
        <w:snapToGrid w:val="0"/>
        <w:spacing w:line="300" w:lineRule="auto"/>
        <w:rPr>
          <w:rFonts w:ascii="仿宋" w:hAnsi="仿宋" w:eastAsia="仿宋" w:cs="仿宋"/>
          <w:color w:val="auto"/>
          <w:szCs w:val="21"/>
          <w:highlight w:val="none"/>
          <w:u w:val="single"/>
        </w:rPr>
      </w:pPr>
      <w:r>
        <w:rPr>
          <w:rFonts w:hint="eastAsia" w:ascii="仿宋" w:hAnsi="仿宋" w:eastAsia="仿宋" w:cs="仿宋"/>
          <w:color w:val="auto"/>
          <w:szCs w:val="21"/>
          <w:highlight w:val="none"/>
        </w:rPr>
        <w:t>投标人名称（加盖法人公章）：</w:t>
      </w:r>
      <w:r>
        <w:rPr>
          <w:rFonts w:hint="eastAsia" w:ascii="仿宋" w:hAnsi="仿宋" w:eastAsia="仿宋" w:cs="仿宋"/>
          <w:color w:val="auto"/>
          <w:szCs w:val="21"/>
          <w:highlight w:val="none"/>
          <w:u w:val="single"/>
        </w:rPr>
        <w:t xml:space="preserve">                        </w:t>
      </w:r>
    </w:p>
    <w:p>
      <w:pPr>
        <w:snapToGrid w:val="0"/>
        <w:spacing w:line="300" w:lineRule="auto"/>
        <w:rPr>
          <w:rFonts w:ascii="仿宋" w:hAnsi="仿宋" w:eastAsia="仿宋" w:cs="仿宋"/>
          <w:color w:val="auto"/>
          <w:szCs w:val="21"/>
          <w:highlight w:val="none"/>
        </w:rPr>
      </w:pPr>
      <w:r>
        <w:rPr>
          <w:rFonts w:hint="eastAsia" w:ascii="仿宋" w:hAnsi="仿宋" w:eastAsia="仿宋" w:cs="仿宋"/>
          <w:color w:val="auto"/>
          <w:szCs w:val="21"/>
          <w:highlight w:val="none"/>
        </w:rPr>
        <w:t>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日</w:t>
      </w:r>
    </w:p>
    <w:p>
      <w:pPr>
        <w:pStyle w:val="3"/>
        <w:spacing w:after="120" w:line="480" w:lineRule="exact"/>
        <w:rPr>
          <w:rFonts w:hAnsi="宋体" w:cs="宋体"/>
          <w:b/>
          <w:color w:val="auto"/>
          <w:szCs w:val="20"/>
          <w:highlight w:val="none"/>
        </w:rPr>
      </w:pPr>
      <w:r>
        <w:rPr>
          <w:rFonts w:hint="eastAsia" w:hAnsi="宋体" w:cs="宋体"/>
          <w:b/>
          <w:color w:val="auto"/>
          <w:szCs w:val="20"/>
          <w:highlight w:val="none"/>
        </w:rPr>
        <w:br w:type="page"/>
      </w:r>
      <w:r>
        <w:rPr>
          <w:rFonts w:hint="eastAsia" w:hAnsi="宋体" w:cs="宋体"/>
          <w:b/>
          <w:color w:val="auto"/>
          <w:szCs w:val="20"/>
          <w:highlight w:val="none"/>
        </w:rPr>
        <w:t>附表2.7 202</w:t>
      </w:r>
      <w:r>
        <w:rPr>
          <w:rFonts w:hint="eastAsia" w:hAnsi="宋体" w:cs="宋体"/>
          <w:b/>
          <w:color w:val="auto"/>
          <w:szCs w:val="20"/>
          <w:highlight w:val="none"/>
          <w:lang w:val="en-US" w:eastAsia="zh-CN"/>
        </w:rPr>
        <w:t>1</w:t>
      </w:r>
      <w:r>
        <w:rPr>
          <w:rFonts w:hint="eastAsia" w:hAnsi="宋体" w:cs="宋体"/>
          <w:b/>
          <w:color w:val="auto"/>
          <w:szCs w:val="20"/>
          <w:highlight w:val="none"/>
        </w:rPr>
        <w:t>年投标人财务状况表格式</w:t>
      </w:r>
    </w:p>
    <w:p>
      <w:pPr>
        <w:spacing w:line="360" w:lineRule="auto"/>
        <w:ind w:firstLine="420"/>
        <w:rPr>
          <w:rFonts w:hAnsi="宋体" w:cs="宋体"/>
          <w:color w:val="auto"/>
          <w:szCs w:val="20"/>
          <w:highlight w:val="none"/>
        </w:rPr>
      </w:pPr>
    </w:p>
    <w:p>
      <w:pPr>
        <w:spacing w:line="360" w:lineRule="auto"/>
        <w:jc w:val="center"/>
        <w:rPr>
          <w:rFonts w:hAnsi="宋体" w:cs="宋体"/>
          <w:b/>
          <w:color w:val="auto"/>
          <w:szCs w:val="21"/>
          <w:highlight w:val="none"/>
        </w:rPr>
      </w:pPr>
      <w:r>
        <w:rPr>
          <w:rFonts w:hint="eastAsia" w:hAnsi="宋体" w:cs="宋体"/>
          <w:b/>
          <w:color w:val="auto"/>
          <w:szCs w:val="21"/>
          <w:highlight w:val="none"/>
        </w:rPr>
        <w:t>2021年投标人财务状况表</w:t>
      </w:r>
    </w:p>
    <w:tbl>
      <w:tblPr>
        <w:tblStyle w:val="4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21"/>
        <w:gridCol w:w="2137"/>
        <w:gridCol w:w="2137"/>
        <w:gridCol w:w="2137"/>
        <w:gridCol w:w="21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321" w:type="dxa"/>
            <w:vAlign w:val="center"/>
          </w:tcPr>
          <w:p>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年  度</w:t>
            </w:r>
          </w:p>
        </w:tc>
        <w:tc>
          <w:tcPr>
            <w:tcW w:w="2137" w:type="dxa"/>
            <w:vAlign w:val="center"/>
          </w:tcPr>
          <w:p>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总资产（元）</w:t>
            </w:r>
          </w:p>
        </w:tc>
        <w:tc>
          <w:tcPr>
            <w:tcW w:w="2137" w:type="dxa"/>
            <w:vAlign w:val="center"/>
          </w:tcPr>
          <w:p>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净资产（元）</w:t>
            </w:r>
          </w:p>
        </w:tc>
        <w:tc>
          <w:tcPr>
            <w:tcW w:w="2137" w:type="dxa"/>
            <w:vAlign w:val="center"/>
          </w:tcPr>
          <w:p>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年营业额（元）</w:t>
            </w:r>
          </w:p>
        </w:tc>
        <w:tc>
          <w:tcPr>
            <w:tcW w:w="2137" w:type="dxa"/>
            <w:vAlign w:val="center"/>
          </w:tcPr>
          <w:p>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321" w:type="dxa"/>
            <w:vAlign w:val="center"/>
          </w:tcPr>
          <w:p>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2021</w:t>
            </w:r>
          </w:p>
        </w:tc>
        <w:tc>
          <w:tcPr>
            <w:tcW w:w="2137" w:type="dxa"/>
            <w:vAlign w:val="center"/>
          </w:tcPr>
          <w:p>
            <w:pPr>
              <w:spacing w:line="360" w:lineRule="auto"/>
              <w:jc w:val="center"/>
              <w:rPr>
                <w:rFonts w:ascii="仿宋" w:hAnsi="仿宋" w:eastAsia="仿宋" w:cs="仿宋"/>
                <w:color w:val="auto"/>
                <w:szCs w:val="21"/>
                <w:highlight w:val="none"/>
              </w:rPr>
            </w:pPr>
          </w:p>
        </w:tc>
        <w:tc>
          <w:tcPr>
            <w:tcW w:w="2137" w:type="dxa"/>
            <w:vAlign w:val="center"/>
          </w:tcPr>
          <w:p>
            <w:pPr>
              <w:spacing w:line="360" w:lineRule="auto"/>
              <w:jc w:val="center"/>
              <w:rPr>
                <w:rFonts w:ascii="仿宋" w:hAnsi="仿宋" w:eastAsia="仿宋" w:cs="仿宋"/>
                <w:color w:val="auto"/>
                <w:szCs w:val="21"/>
                <w:highlight w:val="none"/>
              </w:rPr>
            </w:pPr>
          </w:p>
        </w:tc>
        <w:tc>
          <w:tcPr>
            <w:tcW w:w="2137" w:type="dxa"/>
            <w:vAlign w:val="center"/>
          </w:tcPr>
          <w:p>
            <w:pPr>
              <w:spacing w:line="360" w:lineRule="auto"/>
              <w:jc w:val="center"/>
              <w:rPr>
                <w:rFonts w:ascii="仿宋" w:hAnsi="仿宋" w:eastAsia="仿宋" w:cs="仿宋"/>
                <w:color w:val="auto"/>
                <w:szCs w:val="21"/>
                <w:highlight w:val="none"/>
              </w:rPr>
            </w:pPr>
          </w:p>
        </w:tc>
        <w:tc>
          <w:tcPr>
            <w:tcW w:w="2137" w:type="dxa"/>
            <w:vAlign w:val="center"/>
          </w:tcPr>
          <w:p>
            <w:pPr>
              <w:spacing w:line="360" w:lineRule="auto"/>
              <w:jc w:val="center"/>
              <w:rPr>
                <w:rFonts w:ascii="仿宋" w:hAnsi="仿宋" w:eastAsia="仿宋" w:cs="仿宋"/>
                <w:color w:val="auto"/>
                <w:szCs w:val="21"/>
                <w:highlight w:val="none"/>
              </w:rPr>
            </w:pPr>
          </w:p>
        </w:tc>
      </w:tr>
    </w:tbl>
    <w:p>
      <w:pPr>
        <w:spacing w:line="360" w:lineRule="auto"/>
        <w:rPr>
          <w:rFonts w:hAnsi="宋体" w:cs="宋体"/>
          <w:color w:val="auto"/>
          <w:szCs w:val="21"/>
          <w:highlight w:val="none"/>
        </w:rPr>
      </w:pPr>
      <w:r>
        <w:rPr>
          <w:rFonts w:hint="eastAsia" w:hAnsi="宋体" w:cs="宋体"/>
          <w:color w:val="auto"/>
          <w:szCs w:val="21"/>
          <w:highlight w:val="none"/>
        </w:rPr>
        <w:t xml:space="preserve">        </w:t>
      </w:r>
    </w:p>
    <w:p>
      <w:pPr>
        <w:spacing w:line="360" w:lineRule="auto"/>
        <w:rPr>
          <w:rFonts w:ascii="仿宋" w:hAnsi="仿宋" w:eastAsia="仿宋" w:cs="仿宋"/>
          <w:b/>
          <w:color w:val="auto"/>
          <w:szCs w:val="21"/>
          <w:highlight w:val="none"/>
        </w:rPr>
      </w:pPr>
      <w:r>
        <w:rPr>
          <w:rFonts w:hint="eastAsia" w:ascii="仿宋" w:hAnsi="仿宋" w:eastAsia="仿宋" w:cs="仿宋"/>
          <w:color w:val="auto"/>
          <w:szCs w:val="21"/>
          <w:highlight w:val="none"/>
        </w:rPr>
        <w:t>【备注】2022年度成立的公司无需提供此表。</w:t>
      </w:r>
    </w:p>
    <w:p>
      <w:pPr>
        <w:spacing w:line="360" w:lineRule="auto"/>
        <w:rPr>
          <w:rFonts w:hAnsi="宋体" w:cs="宋体"/>
          <w:b/>
          <w:color w:val="auto"/>
          <w:szCs w:val="21"/>
          <w:highlight w:val="none"/>
        </w:rPr>
      </w:pPr>
    </w:p>
    <w:p>
      <w:pPr>
        <w:spacing w:line="360" w:lineRule="auto"/>
        <w:rPr>
          <w:rFonts w:hAnsi="宋体" w:cs="宋体"/>
          <w:b/>
          <w:color w:val="auto"/>
          <w:szCs w:val="21"/>
          <w:highlight w:val="none"/>
        </w:rPr>
      </w:pPr>
    </w:p>
    <w:p>
      <w:pPr>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投标人法定代表人（或法定代表人授权代表）亲笔签字：                   </w:t>
      </w:r>
    </w:p>
    <w:p>
      <w:pPr>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投标人名称（加盖法人公章）：                        </w:t>
      </w:r>
    </w:p>
    <w:p>
      <w:pPr>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日期：          年      月     日</w:t>
      </w:r>
    </w:p>
    <w:p>
      <w:pPr>
        <w:spacing w:line="480" w:lineRule="exact"/>
        <w:rPr>
          <w:rFonts w:hAnsi="宋体" w:cs="宋体"/>
          <w:b/>
          <w:color w:val="auto"/>
          <w:highlight w:val="none"/>
        </w:rPr>
      </w:pPr>
    </w:p>
    <w:p>
      <w:pPr>
        <w:pStyle w:val="3"/>
        <w:spacing w:after="120" w:line="480" w:lineRule="exact"/>
        <w:rPr>
          <w:rFonts w:hAnsi="宋体" w:cs="宋体"/>
          <w:b/>
          <w:color w:val="auto"/>
          <w:szCs w:val="21"/>
          <w:highlight w:val="none"/>
        </w:rPr>
      </w:pPr>
      <w:r>
        <w:rPr>
          <w:rFonts w:hint="eastAsia" w:hAnsi="宋体" w:cs="宋体"/>
          <w:color w:val="auto"/>
          <w:szCs w:val="21"/>
          <w:highlight w:val="none"/>
        </w:rPr>
        <w:br w:type="page"/>
      </w:r>
      <w:r>
        <w:rPr>
          <w:rFonts w:hint="eastAsia" w:hAnsi="宋体" w:cs="宋体"/>
          <w:b/>
          <w:color w:val="auto"/>
          <w:szCs w:val="20"/>
          <w:highlight w:val="none"/>
        </w:rPr>
        <w:t>附表2.8 中标服务费承诺书格式</w:t>
      </w:r>
    </w:p>
    <w:p>
      <w:pPr>
        <w:spacing w:line="360" w:lineRule="auto"/>
        <w:ind w:right="893" w:firstLine="420"/>
        <w:jc w:val="both"/>
        <w:rPr>
          <w:rFonts w:hAnsi="宋体" w:cs="宋体"/>
          <w:color w:val="auto"/>
          <w:kern w:val="2"/>
          <w:szCs w:val="21"/>
          <w:highlight w:val="none"/>
          <w:lang w:val="zh-CN"/>
        </w:rPr>
      </w:pPr>
      <w:r>
        <w:rPr>
          <w:rFonts w:hint="eastAsia" w:hAnsi="宋体" w:cs="宋体"/>
          <w:color w:val="auto"/>
          <w:kern w:val="2"/>
          <w:szCs w:val="21"/>
          <w:highlight w:val="none"/>
          <w:lang w:val="zh-CN"/>
        </w:rPr>
        <w:t xml:space="preserve">                </w:t>
      </w:r>
    </w:p>
    <w:p>
      <w:pPr>
        <w:spacing w:line="360" w:lineRule="auto"/>
        <w:jc w:val="center"/>
        <w:rPr>
          <w:rFonts w:hAnsi="宋体" w:cs="宋体"/>
          <w:b/>
          <w:color w:val="auto"/>
          <w:sz w:val="28"/>
          <w:szCs w:val="28"/>
          <w:highlight w:val="none"/>
        </w:rPr>
      </w:pPr>
      <w:r>
        <w:rPr>
          <w:rFonts w:hint="eastAsia" w:hAnsi="宋体" w:cs="宋体"/>
          <w:b/>
          <w:color w:val="auto"/>
          <w:sz w:val="28"/>
          <w:szCs w:val="28"/>
          <w:highlight w:val="none"/>
        </w:rPr>
        <w:t>中标服务费承诺书</w:t>
      </w:r>
    </w:p>
    <w:p>
      <w:pPr>
        <w:spacing w:line="360" w:lineRule="auto"/>
        <w:ind w:right="893" w:firstLine="420"/>
        <w:jc w:val="both"/>
        <w:rPr>
          <w:rFonts w:hAnsi="宋体" w:cs="宋体"/>
          <w:color w:val="auto"/>
          <w:kern w:val="2"/>
          <w:szCs w:val="21"/>
          <w:highlight w:val="none"/>
          <w:lang w:val="zh-CN"/>
        </w:rPr>
      </w:pPr>
    </w:p>
    <w:p>
      <w:pPr>
        <w:spacing w:line="360" w:lineRule="auto"/>
        <w:ind w:right="893"/>
        <w:jc w:val="both"/>
        <w:rPr>
          <w:rFonts w:ascii="仿宋" w:hAnsi="仿宋" w:eastAsia="仿宋" w:cs="仿宋"/>
          <w:b/>
          <w:bCs/>
          <w:color w:val="auto"/>
          <w:kern w:val="2"/>
          <w:szCs w:val="21"/>
          <w:highlight w:val="none"/>
          <w:lang w:val="zh-CN"/>
        </w:rPr>
      </w:pPr>
      <w:r>
        <w:rPr>
          <w:rFonts w:hint="eastAsia" w:ascii="仿宋" w:hAnsi="仿宋" w:eastAsia="仿宋" w:cs="仿宋"/>
          <w:b/>
          <w:bCs/>
          <w:color w:val="auto"/>
          <w:kern w:val="2"/>
          <w:szCs w:val="21"/>
          <w:highlight w:val="none"/>
          <w:lang w:val="zh-CN"/>
        </w:rPr>
        <w:t>致：</w:t>
      </w:r>
      <w:r>
        <w:rPr>
          <w:rFonts w:hint="eastAsia" w:ascii="仿宋" w:hAnsi="仿宋" w:eastAsia="仿宋" w:cs="仿宋"/>
          <w:b/>
          <w:color w:val="auto"/>
          <w:szCs w:val="21"/>
          <w:highlight w:val="none"/>
          <w:u w:val="single"/>
        </w:rPr>
        <w:t>广东远东招标代理有限公司</w:t>
      </w:r>
    </w:p>
    <w:p>
      <w:pPr>
        <w:spacing w:line="360" w:lineRule="auto"/>
        <w:ind w:right="893" w:firstLine="420"/>
        <w:jc w:val="both"/>
        <w:rPr>
          <w:rFonts w:ascii="仿宋" w:hAnsi="仿宋" w:eastAsia="仿宋" w:cs="仿宋"/>
          <w:color w:val="auto"/>
          <w:kern w:val="2"/>
          <w:szCs w:val="21"/>
          <w:highlight w:val="none"/>
          <w:lang w:val="zh-CN"/>
        </w:rPr>
      </w:pPr>
    </w:p>
    <w:p>
      <w:pPr>
        <w:tabs>
          <w:tab w:val="left" w:pos="-142"/>
        </w:tabs>
        <w:spacing w:line="360" w:lineRule="auto"/>
        <w:ind w:left="-31" w:leftChars="-15" w:right="18" w:firstLine="457" w:firstLineChars="218"/>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我单位在贵司代理的</w:t>
      </w:r>
      <w:r>
        <w:rPr>
          <w:rFonts w:hint="eastAsia" w:ascii="仿宋" w:hAnsi="仿宋" w:eastAsia="仿宋" w:cs="仿宋"/>
          <w:color w:val="auto"/>
          <w:szCs w:val="21"/>
          <w:highlight w:val="none"/>
          <w:u w:val="single"/>
        </w:rPr>
        <w:t xml:space="preserve"> 南海海洋预警信息发布和沿海恶劣天气防灾叫应系统(二期) </w:t>
      </w:r>
      <w:r>
        <w:rPr>
          <w:rFonts w:hint="eastAsia" w:ascii="仿宋" w:hAnsi="仿宋" w:eastAsia="仿宋" w:cs="仿宋"/>
          <w:color w:val="auto"/>
          <w:szCs w:val="21"/>
          <w:highlight w:val="none"/>
        </w:rPr>
        <w:t>(</w:t>
      </w:r>
      <w:r>
        <w:rPr>
          <w:rFonts w:hint="eastAsia" w:ascii="仿宋" w:hAnsi="仿宋" w:eastAsia="仿宋" w:cs="仿宋"/>
          <w:color w:val="auto"/>
          <w:kern w:val="2"/>
          <w:szCs w:val="21"/>
          <w:highlight w:val="none"/>
          <w:lang w:val="zh-CN"/>
        </w:rPr>
        <w:t>采购编号：GDYD230090</w:t>
      </w:r>
      <w:r>
        <w:rPr>
          <w:rFonts w:hint="eastAsia" w:ascii="仿宋" w:hAnsi="仿宋" w:eastAsia="仿宋" w:cs="仿宋"/>
          <w:color w:val="auto"/>
          <w:szCs w:val="21"/>
          <w:highlight w:val="none"/>
        </w:rPr>
        <w:t xml:space="preserve"> </w:t>
      </w:r>
      <w:r>
        <w:rPr>
          <w:rFonts w:hint="eastAsia" w:ascii="仿宋" w:hAnsi="仿宋" w:eastAsia="仿宋" w:cs="仿宋"/>
          <w:color w:val="auto"/>
          <w:kern w:val="2"/>
          <w:szCs w:val="21"/>
          <w:highlight w:val="none"/>
          <w:lang w:val="zh-CN"/>
        </w:rPr>
        <w:t>)招标中若获中标，我们保证在领取中标通知书原件的同时按招标文件的规定，以电汇、现金或经贵公司认可的一种方式，向贵公司即</w:t>
      </w:r>
      <w:r>
        <w:rPr>
          <w:rFonts w:hint="eastAsia" w:ascii="仿宋" w:hAnsi="仿宋" w:eastAsia="仿宋" w:cs="仿宋"/>
          <w:color w:val="auto"/>
          <w:kern w:val="2"/>
          <w:szCs w:val="21"/>
          <w:highlight w:val="none"/>
          <w:u w:val="single"/>
          <w:lang w:val="zh-CN"/>
        </w:rPr>
        <w:t>广东远东招标代理有限公司</w:t>
      </w:r>
      <w:r>
        <w:rPr>
          <w:rFonts w:hint="eastAsia" w:ascii="仿宋" w:hAnsi="仿宋" w:eastAsia="仿宋" w:cs="仿宋"/>
          <w:color w:val="auto"/>
          <w:kern w:val="2"/>
          <w:szCs w:val="21"/>
          <w:highlight w:val="none"/>
          <w:lang w:val="zh-CN"/>
        </w:rPr>
        <w:t>指定的银行账号，一次性支付中标服务费（详见本招标文件投标人须知第37款）。</w:t>
      </w:r>
    </w:p>
    <w:p>
      <w:pPr>
        <w:spacing w:line="360" w:lineRule="auto"/>
        <w:ind w:right="893"/>
        <w:jc w:val="both"/>
        <w:rPr>
          <w:rFonts w:ascii="仿宋" w:hAnsi="仿宋" w:eastAsia="仿宋" w:cs="仿宋"/>
          <w:color w:val="auto"/>
          <w:kern w:val="2"/>
          <w:szCs w:val="21"/>
          <w:highlight w:val="none"/>
          <w:lang w:val="zh-CN"/>
        </w:rPr>
      </w:pPr>
    </w:p>
    <w:p>
      <w:pPr>
        <w:spacing w:line="360" w:lineRule="auto"/>
        <w:ind w:right="893" w:firstLine="480"/>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特此承诺。</w:t>
      </w:r>
    </w:p>
    <w:p>
      <w:pPr>
        <w:spacing w:line="360" w:lineRule="auto"/>
        <w:ind w:right="893"/>
        <w:jc w:val="both"/>
        <w:rPr>
          <w:rFonts w:ascii="仿宋" w:hAnsi="仿宋" w:eastAsia="仿宋" w:cs="仿宋"/>
          <w:color w:val="auto"/>
          <w:kern w:val="2"/>
          <w:szCs w:val="21"/>
          <w:highlight w:val="none"/>
          <w:lang w:val="zh-CN"/>
        </w:rPr>
      </w:pPr>
    </w:p>
    <w:p>
      <w:pPr>
        <w:spacing w:line="360" w:lineRule="auto"/>
        <w:ind w:right="893"/>
        <w:jc w:val="both"/>
        <w:rPr>
          <w:rFonts w:ascii="仿宋" w:hAnsi="仿宋" w:eastAsia="仿宋" w:cs="仿宋"/>
          <w:color w:val="auto"/>
          <w:kern w:val="2"/>
          <w:szCs w:val="21"/>
          <w:highlight w:val="none"/>
          <w:lang w:val="zh-CN"/>
        </w:rPr>
      </w:pPr>
    </w:p>
    <w:p>
      <w:pPr>
        <w:spacing w:line="360" w:lineRule="auto"/>
        <w:ind w:right="893"/>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 xml:space="preserve">投标人名称： </w:t>
      </w:r>
      <w:r>
        <w:rPr>
          <w:rFonts w:hint="eastAsia" w:ascii="仿宋" w:hAnsi="仿宋" w:eastAsia="仿宋" w:cs="仿宋"/>
          <w:color w:val="auto"/>
          <w:kern w:val="2"/>
          <w:szCs w:val="21"/>
          <w:highlight w:val="none"/>
          <w:u w:val="single"/>
          <w:lang w:val="zh-CN"/>
        </w:rPr>
        <w:t xml:space="preserve">               </w:t>
      </w:r>
      <w:r>
        <w:rPr>
          <w:rFonts w:hint="eastAsia" w:ascii="仿宋" w:hAnsi="仿宋" w:eastAsia="仿宋" w:cs="仿宋"/>
          <w:color w:val="auto"/>
          <w:kern w:val="2"/>
          <w:szCs w:val="21"/>
          <w:highlight w:val="none"/>
          <w:lang w:val="zh-CN"/>
        </w:rPr>
        <w:t>（加盖法人公章）</w:t>
      </w:r>
    </w:p>
    <w:p>
      <w:pPr>
        <w:spacing w:line="360" w:lineRule="auto"/>
        <w:ind w:right="893"/>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地址：</w:t>
      </w:r>
      <w:r>
        <w:rPr>
          <w:rFonts w:hint="eastAsia" w:ascii="仿宋" w:hAnsi="仿宋" w:eastAsia="仿宋" w:cs="仿宋"/>
          <w:color w:val="auto"/>
          <w:kern w:val="2"/>
          <w:szCs w:val="21"/>
          <w:highlight w:val="none"/>
          <w:u w:val="single"/>
          <w:lang w:val="zh-CN"/>
        </w:rPr>
        <w:t xml:space="preserve">                      </w:t>
      </w:r>
    </w:p>
    <w:p>
      <w:pPr>
        <w:spacing w:line="360" w:lineRule="auto"/>
        <w:ind w:right="893"/>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电话：</w:t>
      </w:r>
      <w:r>
        <w:rPr>
          <w:rFonts w:hint="eastAsia" w:ascii="仿宋" w:hAnsi="仿宋" w:eastAsia="仿宋" w:cs="仿宋"/>
          <w:color w:val="auto"/>
          <w:kern w:val="2"/>
          <w:szCs w:val="21"/>
          <w:highlight w:val="none"/>
          <w:u w:val="single"/>
          <w:lang w:val="zh-CN"/>
        </w:rPr>
        <w:t xml:space="preserve">                      </w:t>
      </w:r>
      <w:r>
        <w:rPr>
          <w:rFonts w:hint="eastAsia" w:ascii="仿宋" w:hAnsi="仿宋" w:eastAsia="仿宋" w:cs="仿宋"/>
          <w:color w:val="auto"/>
          <w:kern w:val="2"/>
          <w:szCs w:val="21"/>
          <w:highlight w:val="none"/>
          <w:lang w:val="zh-CN"/>
        </w:rPr>
        <w:t xml:space="preserve">        传真：</w:t>
      </w:r>
      <w:r>
        <w:rPr>
          <w:rFonts w:hint="eastAsia" w:ascii="仿宋" w:hAnsi="仿宋" w:eastAsia="仿宋" w:cs="仿宋"/>
          <w:color w:val="auto"/>
          <w:kern w:val="2"/>
          <w:szCs w:val="21"/>
          <w:highlight w:val="none"/>
          <w:u w:val="single"/>
          <w:lang w:val="zh-CN"/>
        </w:rPr>
        <w:t xml:space="preserve">                     </w:t>
      </w:r>
    </w:p>
    <w:p>
      <w:pPr>
        <w:spacing w:line="360" w:lineRule="auto"/>
        <w:ind w:right="893"/>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邮箱：</w:t>
      </w:r>
      <w:r>
        <w:rPr>
          <w:rFonts w:hint="eastAsia" w:ascii="仿宋" w:hAnsi="仿宋" w:eastAsia="仿宋" w:cs="仿宋"/>
          <w:color w:val="auto"/>
          <w:kern w:val="2"/>
          <w:szCs w:val="21"/>
          <w:highlight w:val="none"/>
          <w:u w:val="single"/>
          <w:lang w:val="zh-CN"/>
        </w:rPr>
        <w:t xml:space="preserve">                      </w:t>
      </w:r>
      <w:r>
        <w:rPr>
          <w:rFonts w:hint="eastAsia" w:ascii="仿宋" w:hAnsi="仿宋" w:eastAsia="仿宋" w:cs="仿宋"/>
          <w:color w:val="auto"/>
          <w:kern w:val="2"/>
          <w:szCs w:val="21"/>
          <w:highlight w:val="none"/>
          <w:lang w:val="zh-CN"/>
        </w:rPr>
        <w:t xml:space="preserve">          邮编：</w:t>
      </w:r>
      <w:r>
        <w:rPr>
          <w:rFonts w:hint="eastAsia" w:ascii="仿宋" w:hAnsi="仿宋" w:eastAsia="仿宋" w:cs="仿宋"/>
          <w:color w:val="auto"/>
          <w:kern w:val="2"/>
          <w:szCs w:val="21"/>
          <w:highlight w:val="none"/>
          <w:u w:val="single"/>
          <w:lang w:val="zh-CN"/>
        </w:rPr>
        <w:t xml:space="preserve">                   </w:t>
      </w:r>
    </w:p>
    <w:p>
      <w:pPr>
        <w:spacing w:line="360" w:lineRule="auto"/>
        <w:ind w:right="893"/>
        <w:jc w:val="both"/>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法定代表人或其授权代表（亲笔签字）：</w:t>
      </w:r>
      <w:r>
        <w:rPr>
          <w:rFonts w:hint="eastAsia" w:ascii="仿宋" w:hAnsi="仿宋" w:eastAsia="仿宋" w:cs="仿宋"/>
          <w:color w:val="auto"/>
          <w:kern w:val="2"/>
          <w:szCs w:val="21"/>
          <w:highlight w:val="none"/>
          <w:u w:val="single"/>
          <w:lang w:val="zh-CN"/>
        </w:rPr>
        <w:t xml:space="preserve">                           </w:t>
      </w:r>
    </w:p>
    <w:p>
      <w:pPr>
        <w:spacing w:line="360" w:lineRule="auto"/>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承诺日期：</w:t>
      </w:r>
      <w:r>
        <w:rPr>
          <w:rFonts w:hint="eastAsia" w:ascii="仿宋" w:hAnsi="仿宋" w:eastAsia="仿宋" w:cs="仿宋"/>
          <w:color w:val="auto"/>
          <w:kern w:val="2"/>
          <w:szCs w:val="21"/>
          <w:highlight w:val="none"/>
          <w:u w:val="single"/>
          <w:lang w:val="zh-CN"/>
        </w:rPr>
        <w:t xml:space="preserve">                    </w:t>
      </w:r>
    </w:p>
    <w:p>
      <w:pPr>
        <w:spacing w:line="360" w:lineRule="auto"/>
        <w:rPr>
          <w:rFonts w:hAnsi="宋体" w:cs="宋体"/>
          <w:b/>
          <w:color w:val="auto"/>
          <w:szCs w:val="21"/>
          <w:highlight w:val="none"/>
        </w:rPr>
      </w:pPr>
    </w:p>
    <w:p>
      <w:pPr>
        <w:pStyle w:val="3"/>
        <w:spacing w:after="120" w:line="480" w:lineRule="exact"/>
        <w:rPr>
          <w:rFonts w:hAnsi="宋体" w:cs="宋体"/>
          <w:b/>
          <w:color w:val="auto"/>
          <w:szCs w:val="21"/>
          <w:highlight w:val="none"/>
        </w:rPr>
      </w:pPr>
      <w:r>
        <w:rPr>
          <w:rFonts w:hint="eastAsia" w:hAnsi="宋体" w:cs="宋体"/>
          <w:b/>
          <w:color w:val="auto"/>
          <w:szCs w:val="20"/>
          <w:highlight w:val="none"/>
        </w:rPr>
        <w:br w:type="page"/>
      </w:r>
      <w:r>
        <w:rPr>
          <w:rFonts w:hint="eastAsia" w:hAnsi="宋体" w:cs="宋体"/>
          <w:b/>
          <w:color w:val="auto"/>
          <w:szCs w:val="20"/>
          <w:highlight w:val="none"/>
        </w:rPr>
        <w:t>附表2.9 项目管理架构格式</w:t>
      </w:r>
    </w:p>
    <w:p>
      <w:pPr>
        <w:jc w:val="center"/>
        <w:rPr>
          <w:rFonts w:hAnsi="宋体" w:cs="宋体"/>
          <w:b/>
          <w:color w:val="auto"/>
          <w:sz w:val="32"/>
          <w:szCs w:val="32"/>
          <w:highlight w:val="none"/>
        </w:rPr>
      </w:pPr>
    </w:p>
    <w:p>
      <w:pPr>
        <w:jc w:val="center"/>
        <w:rPr>
          <w:rFonts w:hAnsi="宋体" w:cs="宋体"/>
          <w:b/>
          <w:color w:val="auto"/>
          <w:sz w:val="32"/>
          <w:szCs w:val="32"/>
          <w:highlight w:val="none"/>
        </w:rPr>
      </w:pPr>
      <w:r>
        <w:rPr>
          <w:rFonts w:hint="eastAsia" w:hAnsi="宋体" w:cs="宋体"/>
          <w:b/>
          <w:color w:val="auto"/>
          <w:sz w:val="32"/>
          <w:szCs w:val="32"/>
          <w:highlight w:val="none"/>
        </w:rPr>
        <w:t>项目管理架构</w:t>
      </w:r>
    </w:p>
    <w:p>
      <w:pPr>
        <w:rPr>
          <w:rFonts w:hAnsi="宋体" w:cs="宋体"/>
          <w:color w:val="auto"/>
          <w:highlight w:val="none"/>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524"/>
        <w:gridCol w:w="952"/>
        <w:gridCol w:w="2966"/>
        <w:gridCol w:w="763"/>
        <w:gridCol w:w="763"/>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72" w:type="dxa"/>
            <w:tcBorders>
              <w:top w:val="single" w:color="auto" w:sz="4" w:space="0"/>
              <w:left w:val="single" w:color="auto" w:sz="4" w:space="0"/>
              <w:bottom w:val="nil"/>
              <w:right w:val="single" w:color="auto" w:sz="4" w:space="0"/>
            </w:tcBorders>
            <w:shd w:val="clear" w:color="auto" w:fill="F3F3F3"/>
            <w:vAlign w:val="center"/>
          </w:tcPr>
          <w:p>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职责分工</w:t>
            </w:r>
          </w:p>
        </w:tc>
        <w:tc>
          <w:tcPr>
            <w:tcW w:w="1524" w:type="dxa"/>
            <w:tcBorders>
              <w:top w:val="single" w:color="auto" w:sz="4" w:space="0"/>
              <w:left w:val="single" w:color="auto" w:sz="4" w:space="0"/>
              <w:bottom w:val="nil"/>
              <w:right w:val="single" w:color="auto" w:sz="4" w:space="0"/>
            </w:tcBorders>
            <w:shd w:val="clear" w:color="auto" w:fill="F3F3F3"/>
            <w:vAlign w:val="center"/>
          </w:tcPr>
          <w:p>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姓名</w:t>
            </w:r>
          </w:p>
        </w:tc>
        <w:tc>
          <w:tcPr>
            <w:tcW w:w="952" w:type="dxa"/>
            <w:tcBorders>
              <w:top w:val="single" w:color="auto" w:sz="4" w:space="0"/>
              <w:left w:val="single" w:color="auto" w:sz="4" w:space="0"/>
              <w:bottom w:val="nil"/>
            </w:tcBorders>
            <w:shd w:val="clear" w:color="auto" w:fill="F3F3F3"/>
            <w:vAlign w:val="center"/>
          </w:tcPr>
          <w:p>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现职务</w:t>
            </w:r>
          </w:p>
        </w:tc>
        <w:tc>
          <w:tcPr>
            <w:tcW w:w="2966" w:type="dxa"/>
            <w:tcBorders>
              <w:top w:val="single" w:color="auto" w:sz="4" w:space="0"/>
              <w:bottom w:val="nil"/>
            </w:tcBorders>
            <w:shd w:val="clear" w:color="auto" w:fill="F3F3F3"/>
            <w:vAlign w:val="center"/>
          </w:tcPr>
          <w:p>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曾主持/参与的同类项目经历</w:t>
            </w:r>
          </w:p>
        </w:tc>
        <w:tc>
          <w:tcPr>
            <w:tcW w:w="763" w:type="dxa"/>
            <w:tcBorders>
              <w:top w:val="single" w:color="auto" w:sz="4" w:space="0"/>
              <w:bottom w:val="nil"/>
            </w:tcBorders>
            <w:shd w:val="clear" w:color="auto" w:fill="F3F3F3"/>
            <w:vAlign w:val="center"/>
          </w:tcPr>
          <w:p>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职称</w:t>
            </w:r>
          </w:p>
        </w:tc>
        <w:tc>
          <w:tcPr>
            <w:tcW w:w="763" w:type="dxa"/>
            <w:tcBorders>
              <w:top w:val="single" w:color="auto" w:sz="4" w:space="0"/>
              <w:bottom w:val="nil"/>
              <w:right w:val="single" w:color="auto" w:sz="4" w:space="0"/>
            </w:tcBorders>
            <w:shd w:val="clear" w:color="auto" w:fill="F3F3F3"/>
            <w:vAlign w:val="center"/>
          </w:tcPr>
          <w:p>
            <w:pPr>
              <w:ind w:firstLine="12"/>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专业工龄</w:t>
            </w:r>
          </w:p>
        </w:tc>
        <w:tc>
          <w:tcPr>
            <w:tcW w:w="1715" w:type="dxa"/>
            <w:tcBorders>
              <w:top w:val="single" w:color="auto" w:sz="4" w:space="0"/>
              <w:bottom w:val="nil"/>
              <w:right w:val="single" w:color="auto" w:sz="4" w:space="0"/>
            </w:tcBorders>
            <w:shd w:val="clear" w:color="auto" w:fill="F3F3F3"/>
            <w:vAlign w:val="center"/>
          </w:tcPr>
          <w:p>
            <w:pPr>
              <w:ind w:firstLine="12"/>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72" w:type="dxa"/>
            <w:tcBorders>
              <w:top w:val="single" w:color="auto" w:sz="4" w:space="0"/>
              <w:left w:val="single" w:color="auto" w:sz="4" w:space="0"/>
              <w:bottom w:val="nil"/>
              <w:right w:val="single" w:color="auto" w:sz="4" w:space="0"/>
            </w:tcBorders>
            <w:vAlign w:val="center"/>
          </w:tcPr>
          <w:p>
            <w:pPr>
              <w:rPr>
                <w:rFonts w:ascii="仿宋" w:hAnsi="仿宋" w:eastAsia="仿宋" w:cs="仿宋"/>
                <w:color w:val="auto"/>
                <w:szCs w:val="21"/>
                <w:highlight w:val="none"/>
              </w:rPr>
            </w:pPr>
            <w:r>
              <w:rPr>
                <w:rFonts w:hint="eastAsia" w:ascii="仿宋" w:hAnsi="仿宋" w:eastAsia="仿宋" w:cs="仿宋"/>
                <w:color w:val="auto"/>
                <w:szCs w:val="21"/>
                <w:highlight w:val="none"/>
              </w:rPr>
              <w:t>总负责人</w:t>
            </w:r>
          </w:p>
        </w:tc>
        <w:tc>
          <w:tcPr>
            <w:tcW w:w="1524" w:type="dxa"/>
            <w:tcBorders>
              <w:top w:val="single" w:color="auto" w:sz="4" w:space="0"/>
              <w:left w:val="single" w:color="auto" w:sz="4" w:space="0"/>
              <w:bottom w:val="nil"/>
              <w:right w:val="single" w:color="auto" w:sz="4" w:space="0"/>
            </w:tcBorders>
            <w:vAlign w:val="center"/>
          </w:tcPr>
          <w:p>
            <w:pPr>
              <w:jc w:val="center"/>
              <w:rPr>
                <w:rFonts w:ascii="仿宋" w:hAnsi="仿宋" w:eastAsia="仿宋" w:cs="仿宋"/>
                <w:color w:val="auto"/>
                <w:szCs w:val="21"/>
                <w:highlight w:val="none"/>
              </w:rPr>
            </w:pPr>
          </w:p>
        </w:tc>
        <w:tc>
          <w:tcPr>
            <w:tcW w:w="952" w:type="dxa"/>
            <w:tcBorders>
              <w:top w:val="single" w:color="auto" w:sz="4" w:space="0"/>
              <w:left w:val="single" w:color="auto" w:sz="4" w:space="0"/>
              <w:bottom w:val="nil"/>
            </w:tcBorders>
            <w:vAlign w:val="center"/>
          </w:tcPr>
          <w:p>
            <w:pPr>
              <w:jc w:val="center"/>
              <w:rPr>
                <w:rFonts w:ascii="仿宋" w:hAnsi="仿宋" w:eastAsia="仿宋" w:cs="仿宋"/>
                <w:color w:val="auto"/>
                <w:szCs w:val="21"/>
                <w:highlight w:val="none"/>
              </w:rPr>
            </w:pPr>
          </w:p>
        </w:tc>
        <w:tc>
          <w:tcPr>
            <w:tcW w:w="2966" w:type="dxa"/>
            <w:tcBorders>
              <w:top w:val="single" w:color="auto" w:sz="4" w:space="0"/>
              <w:bottom w:val="nil"/>
            </w:tcBorders>
            <w:vAlign w:val="center"/>
          </w:tcPr>
          <w:p>
            <w:pPr>
              <w:pStyle w:val="147"/>
              <w:keepNext w:val="0"/>
              <w:adjustRightInd/>
              <w:spacing w:before="0" w:after="0" w:line="240" w:lineRule="auto"/>
              <w:textAlignment w:val="auto"/>
              <w:rPr>
                <w:rFonts w:ascii="仿宋" w:hAnsi="仿宋" w:eastAsia="仿宋" w:cs="仿宋"/>
                <w:snapToGrid/>
                <w:color w:val="auto"/>
                <w:spacing w:val="0"/>
                <w:kern w:val="2"/>
                <w:szCs w:val="21"/>
                <w:highlight w:val="none"/>
              </w:rPr>
            </w:pPr>
          </w:p>
        </w:tc>
        <w:tc>
          <w:tcPr>
            <w:tcW w:w="763" w:type="dxa"/>
            <w:tcBorders>
              <w:top w:val="single" w:color="auto" w:sz="4" w:space="0"/>
              <w:bottom w:val="nil"/>
            </w:tcBorders>
            <w:vAlign w:val="center"/>
          </w:tcPr>
          <w:p>
            <w:pPr>
              <w:jc w:val="center"/>
              <w:rPr>
                <w:rFonts w:ascii="仿宋" w:hAnsi="仿宋" w:eastAsia="仿宋" w:cs="仿宋"/>
                <w:color w:val="auto"/>
                <w:szCs w:val="21"/>
                <w:highlight w:val="none"/>
              </w:rPr>
            </w:pPr>
          </w:p>
        </w:tc>
        <w:tc>
          <w:tcPr>
            <w:tcW w:w="763" w:type="dxa"/>
            <w:tcBorders>
              <w:top w:val="single" w:color="auto" w:sz="4" w:space="0"/>
              <w:bottom w:val="nil"/>
              <w:right w:val="single" w:color="auto" w:sz="4" w:space="0"/>
            </w:tcBorders>
            <w:vAlign w:val="center"/>
          </w:tcPr>
          <w:p>
            <w:pPr>
              <w:ind w:firstLine="12"/>
              <w:jc w:val="center"/>
              <w:rPr>
                <w:rFonts w:ascii="仿宋" w:hAnsi="仿宋" w:eastAsia="仿宋" w:cs="仿宋"/>
                <w:color w:val="auto"/>
                <w:szCs w:val="21"/>
                <w:highlight w:val="none"/>
              </w:rPr>
            </w:pPr>
          </w:p>
        </w:tc>
        <w:tc>
          <w:tcPr>
            <w:tcW w:w="1715" w:type="dxa"/>
            <w:tcBorders>
              <w:top w:val="single" w:color="auto" w:sz="4" w:space="0"/>
              <w:bottom w:val="nil"/>
              <w:right w:val="single" w:color="auto" w:sz="4" w:space="0"/>
            </w:tcBorders>
            <w:vAlign w:val="center"/>
          </w:tcPr>
          <w:p>
            <w:pPr>
              <w:ind w:firstLine="12"/>
              <w:jc w:val="center"/>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72" w:type="dxa"/>
            <w:vMerge w:val="restart"/>
            <w:tcBorders>
              <w:left w:val="single" w:color="auto" w:sz="4" w:space="0"/>
              <w:right w:val="single" w:color="auto" w:sz="4" w:space="0"/>
            </w:tcBorders>
            <w:vAlign w:val="center"/>
          </w:tcPr>
          <w:p>
            <w:pPr>
              <w:rPr>
                <w:rFonts w:ascii="仿宋" w:hAnsi="仿宋" w:eastAsia="仿宋" w:cs="仿宋"/>
                <w:color w:val="auto"/>
                <w:szCs w:val="21"/>
                <w:highlight w:val="none"/>
              </w:rPr>
            </w:pPr>
            <w:r>
              <w:rPr>
                <w:rFonts w:hint="eastAsia" w:ascii="仿宋" w:hAnsi="仿宋" w:eastAsia="仿宋" w:cs="仿宋"/>
                <w:color w:val="auto"/>
                <w:szCs w:val="21"/>
                <w:highlight w:val="none"/>
              </w:rPr>
              <w:t>其他主要技术人员</w:t>
            </w:r>
          </w:p>
        </w:tc>
        <w:tc>
          <w:tcPr>
            <w:tcW w:w="1524" w:type="dxa"/>
            <w:tcBorders>
              <w:left w:val="single" w:color="auto" w:sz="4" w:space="0"/>
              <w:right w:val="single" w:color="auto" w:sz="4" w:space="0"/>
            </w:tcBorders>
            <w:vAlign w:val="center"/>
          </w:tcPr>
          <w:p>
            <w:pPr>
              <w:jc w:val="center"/>
              <w:rPr>
                <w:rFonts w:ascii="仿宋" w:hAnsi="仿宋" w:eastAsia="仿宋" w:cs="仿宋"/>
                <w:color w:val="auto"/>
                <w:szCs w:val="21"/>
                <w:highlight w:val="none"/>
              </w:rPr>
            </w:pPr>
          </w:p>
        </w:tc>
        <w:tc>
          <w:tcPr>
            <w:tcW w:w="952" w:type="dxa"/>
            <w:tcBorders>
              <w:left w:val="single" w:color="auto" w:sz="4" w:space="0"/>
            </w:tcBorders>
            <w:vAlign w:val="center"/>
          </w:tcPr>
          <w:p>
            <w:pPr>
              <w:jc w:val="center"/>
              <w:rPr>
                <w:rFonts w:ascii="仿宋" w:hAnsi="仿宋" w:eastAsia="仿宋" w:cs="仿宋"/>
                <w:color w:val="auto"/>
                <w:szCs w:val="21"/>
                <w:highlight w:val="none"/>
              </w:rPr>
            </w:pPr>
          </w:p>
        </w:tc>
        <w:tc>
          <w:tcPr>
            <w:tcW w:w="2966" w:type="dxa"/>
            <w:vAlign w:val="center"/>
          </w:tcPr>
          <w:p>
            <w:pPr>
              <w:jc w:val="center"/>
              <w:rPr>
                <w:rFonts w:ascii="仿宋" w:hAnsi="仿宋" w:eastAsia="仿宋" w:cs="仿宋"/>
                <w:color w:val="auto"/>
                <w:szCs w:val="21"/>
                <w:highlight w:val="none"/>
              </w:rPr>
            </w:pPr>
          </w:p>
        </w:tc>
        <w:tc>
          <w:tcPr>
            <w:tcW w:w="763" w:type="dxa"/>
            <w:vAlign w:val="center"/>
          </w:tcPr>
          <w:p>
            <w:pPr>
              <w:jc w:val="center"/>
              <w:rPr>
                <w:rFonts w:ascii="仿宋" w:hAnsi="仿宋" w:eastAsia="仿宋" w:cs="仿宋"/>
                <w:color w:val="auto"/>
                <w:szCs w:val="21"/>
                <w:highlight w:val="none"/>
              </w:rPr>
            </w:pPr>
          </w:p>
        </w:tc>
        <w:tc>
          <w:tcPr>
            <w:tcW w:w="763" w:type="dxa"/>
            <w:tcBorders>
              <w:right w:val="single" w:color="auto" w:sz="4" w:space="0"/>
            </w:tcBorders>
            <w:vAlign w:val="center"/>
          </w:tcPr>
          <w:p>
            <w:pPr>
              <w:jc w:val="center"/>
              <w:rPr>
                <w:rFonts w:ascii="仿宋" w:hAnsi="仿宋" w:eastAsia="仿宋" w:cs="仿宋"/>
                <w:color w:val="auto"/>
                <w:szCs w:val="21"/>
                <w:highlight w:val="none"/>
              </w:rPr>
            </w:pPr>
          </w:p>
        </w:tc>
        <w:tc>
          <w:tcPr>
            <w:tcW w:w="1715" w:type="dxa"/>
            <w:tcBorders>
              <w:right w:val="single" w:color="auto" w:sz="4" w:space="0"/>
            </w:tcBorders>
            <w:vAlign w:val="center"/>
          </w:tcPr>
          <w:p>
            <w:pPr>
              <w:jc w:val="center"/>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72" w:type="dxa"/>
            <w:vMerge w:val="continue"/>
            <w:tcBorders>
              <w:left w:val="single" w:color="auto" w:sz="4" w:space="0"/>
              <w:right w:val="single" w:color="auto" w:sz="4" w:space="0"/>
            </w:tcBorders>
            <w:vAlign w:val="center"/>
          </w:tcPr>
          <w:p>
            <w:pPr>
              <w:rPr>
                <w:rFonts w:ascii="仿宋" w:hAnsi="仿宋" w:eastAsia="仿宋" w:cs="仿宋"/>
                <w:color w:val="auto"/>
                <w:szCs w:val="21"/>
                <w:highlight w:val="none"/>
              </w:rPr>
            </w:pPr>
          </w:p>
        </w:tc>
        <w:tc>
          <w:tcPr>
            <w:tcW w:w="1524" w:type="dxa"/>
            <w:tcBorders>
              <w:left w:val="single" w:color="auto" w:sz="4" w:space="0"/>
              <w:right w:val="single" w:color="auto" w:sz="4" w:space="0"/>
            </w:tcBorders>
            <w:vAlign w:val="center"/>
          </w:tcPr>
          <w:p>
            <w:pPr>
              <w:jc w:val="center"/>
              <w:rPr>
                <w:rFonts w:ascii="仿宋" w:hAnsi="仿宋" w:eastAsia="仿宋" w:cs="仿宋"/>
                <w:color w:val="auto"/>
                <w:szCs w:val="21"/>
                <w:highlight w:val="none"/>
              </w:rPr>
            </w:pPr>
          </w:p>
        </w:tc>
        <w:tc>
          <w:tcPr>
            <w:tcW w:w="952" w:type="dxa"/>
            <w:tcBorders>
              <w:left w:val="single" w:color="auto" w:sz="4" w:space="0"/>
            </w:tcBorders>
            <w:vAlign w:val="center"/>
          </w:tcPr>
          <w:p>
            <w:pPr>
              <w:jc w:val="center"/>
              <w:rPr>
                <w:rFonts w:ascii="仿宋" w:hAnsi="仿宋" w:eastAsia="仿宋" w:cs="仿宋"/>
                <w:color w:val="auto"/>
                <w:szCs w:val="21"/>
                <w:highlight w:val="none"/>
              </w:rPr>
            </w:pPr>
          </w:p>
        </w:tc>
        <w:tc>
          <w:tcPr>
            <w:tcW w:w="2966" w:type="dxa"/>
            <w:vAlign w:val="center"/>
          </w:tcPr>
          <w:p>
            <w:pPr>
              <w:jc w:val="center"/>
              <w:rPr>
                <w:rFonts w:ascii="仿宋" w:hAnsi="仿宋" w:eastAsia="仿宋" w:cs="仿宋"/>
                <w:color w:val="auto"/>
                <w:szCs w:val="21"/>
                <w:highlight w:val="none"/>
              </w:rPr>
            </w:pPr>
          </w:p>
        </w:tc>
        <w:tc>
          <w:tcPr>
            <w:tcW w:w="763" w:type="dxa"/>
            <w:vAlign w:val="center"/>
          </w:tcPr>
          <w:p>
            <w:pPr>
              <w:jc w:val="center"/>
              <w:rPr>
                <w:rFonts w:ascii="仿宋" w:hAnsi="仿宋" w:eastAsia="仿宋" w:cs="仿宋"/>
                <w:color w:val="auto"/>
                <w:szCs w:val="21"/>
                <w:highlight w:val="none"/>
              </w:rPr>
            </w:pPr>
          </w:p>
        </w:tc>
        <w:tc>
          <w:tcPr>
            <w:tcW w:w="763" w:type="dxa"/>
            <w:tcBorders>
              <w:right w:val="single" w:color="auto" w:sz="4" w:space="0"/>
            </w:tcBorders>
            <w:vAlign w:val="center"/>
          </w:tcPr>
          <w:p>
            <w:pPr>
              <w:jc w:val="center"/>
              <w:rPr>
                <w:rFonts w:ascii="仿宋" w:hAnsi="仿宋" w:eastAsia="仿宋" w:cs="仿宋"/>
                <w:color w:val="auto"/>
                <w:szCs w:val="21"/>
                <w:highlight w:val="none"/>
              </w:rPr>
            </w:pPr>
          </w:p>
        </w:tc>
        <w:tc>
          <w:tcPr>
            <w:tcW w:w="1715" w:type="dxa"/>
            <w:tcBorders>
              <w:right w:val="single" w:color="auto" w:sz="4" w:space="0"/>
            </w:tcBorders>
            <w:vAlign w:val="center"/>
          </w:tcPr>
          <w:p>
            <w:pPr>
              <w:jc w:val="center"/>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72" w:type="dxa"/>
            <w:vMerge w:val="continue"/>
            <w:tcBorders>
              <w:left w:val="single" w:color="auto" w:sz="4" w:space="0"/>
              <w:right w:val="single" w:color="auto" w:sz="4" w:space="0"/>
            </w:tcBorders>
            <w:vAlign w:val="center"/>
          </w:tcPr>
          <w:p>
            <w:pPr>
              <w:rPr>
                <w:rFonts w:ascii="仿宋" w:hAnsi="仿宋" w:eastAsia="仿宋" w:cs="仿宋"/>
                <w:color w:val="auto"/>
                <w:szCs w:val="21"/>
                <w:highlight w:val="none"/>
              </w:rPr>
            </w:pPr>
          </w:p>
        </w:tc>
        <w:tc>
          <w:tcPr>
            <w:tcW w:w="1524" w:type="dxa"/>
            <w:tcBorders>
              <w:left w:val="single" w:color="auto" w:sz="4" w:space="0"/>
              <w:right w:val="single" w:color="auto" w:sz="4" w:space="0"/>
            </w:tcBorders>
            <w:vAlign w:val="center"/>
          </w:tcPr>
          <w:p>
            <w:pPr>
              <w:jc w:val="center"/>
              <w:rPr>
                <w:rFonts w:ascii="仿宋" w:hAnsi="仿宋" w:eastAsia="仿宋" w:cs="仿宋"/>
                <w:color w:val="auto"/>
                <w:szCs w:val="21"/>
                <w:highlight w:val="none"/>
              </w:rPr>
            </w:pPr>
          </w:p>
        </w:tc>
        <w:tc>
          <w:tcPr>
            <w:tcW w:w="952" w:type="dxa"/>
            <w:tcBorders>
              <w:left w:val="single" w:color="auto" w:sz="4" w:space="0"/>
            </w:tcBorders>
            <w:vAlign w:val="center"/>
          </w:tcPr>
          <w:p>
            <w:pPr>
              <w:jc w:val="center"/>
              <w:rPr>
                <w:rFonts w:ascii="仿宋" w:hAnsi="仿宋" w:eastAsia="仿宋" w:cs="仿宋"/>
                <w:color w:val="auto"/>
                <w:szCs w:val="21"/>
                <w:highlight w:val="none"/>
              </w:rPr>
            </w:pPr>
          </w:p>
        </w:tc>
        <w:tc>
          <w:tcPr>
            <w:tcW w:w="2966" w:type="dxa"/>
            <w:vAlign w:val="center"/>
          </w:tcPr>
          <w:p>
            <w:pPr>
              <w:jc w:val="center"/>
              <w:rPr>
                <w:rFonts w:ascii="仿宋" w:hAnsi="仿宋" w:eastAsia="仿宋" w:cs="仿宋"/>
                <w:color w:val="auto"/>
                <w:szCs w:val="21"/>
                <w:highlight w:val="none"/>
              </w:rPr>
            </w:pPr>
          </w:p>
        </w:tc>
        <w:tc>
          <w:tcPr>
            <w:tcW w:w="763" w:type="dxa"/>
            <w:vAlign w:val="center"/>
          </w:tcPr>
          <w:p>
            <w:pPr>
              <w:jc w:val="center"/>
              <w:rPr>
                <w:rFonts w:ascii="仿宋" w:hAnsi="仿宋" w:eastAsia="仿宋" w:cs="仿宋"/>
                <w:color w:val="auto"/>
                <w:szCs w:val="21"/>
                <w:highlight w:val="none"/>
              </w:rPr>
            </w:pPr>
          </w:p>
        </w:tc>
        <w:tc>
          <w:tcPr>
            <w:tcW w:w="763" w:type="dxa"/>
            <w:tcBorders>
              <w:right w:val="single" w:color="auto" w:sz="4" w:space="0"/>
            </w:tcBorders>
            <w:vAlign w:val="center"/>
          </w:tcPr>
          <w:p>
            <w:pPr>
              <w:jc w:val="center"/>
              <w:rPr>
                <w:rFonts w:ascii="仿宋" w:hAnsi="仿宋" w:eastAsia="仿宋" w:cs="仿宋"/>
                <w:color w:val="auto"/>
                <w:szCs w:val="21"/>
                <w:highlight w:val="none"/>
              </w:rPr>
            </w:pPr>
          </w:p>
        </w:tc>
        <w:tc>
          <w:tcPr>
            <w:tcW w:w="1715" w:type="dxa"/>
            <w:tcBorders>
              <w:right w:val="single" w:color="auto" w:sz="4" w:space="0"/>
            </w:tcBorders>
            <w:vAlign w:val="center"/>
          </w:tcPr>
          <w:p>
            <w:pPr>
              <w:jc w:val="center"/>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72" w:type="dxa"/>
            <w:vMerge w:val="continue"/>
            <w:tcBorders>
              <w:left w:val="single" w:color="auto" w:sz="4" w:space="0"/>
              <w:right w:val="single" w:color="auto" w:sz="4" w:space="0"/>
            </w:tcBorders>
            <w:vAlign w:val="center"/>
          </w:tcPr>
          <w:p>
            <w:pPr>
              <w:jc w:val="center"/>
              <w:rPr>
                <w:rFonts w:ascii="仿宋" w:hAnsi="仿宋" w:eastAsia="仿宋" w:cs="仿宋"/>
                <w:color w:val="auto"/>
                <w:szCs w:val="21"/>
                <w:highlight w:val="none"/>
              </w:rPr>
            </w:pPr>
          </w:p>
        </w:tc>
        <w:tc>
          <w:tcPr>
            <w:tcW w:w="1524" w:type="dxa"/>
            <w:tcBorders>
              <w:left w:val="single" w:color="auto" w:sz="4" w:space="0"/>
              <w:right w:val="single" w:color="auto" w:sz="4" w:space="0"/>
            </w:tcBorders>
            <w:vAlign w:val="center"/>
          </w:tcPr>
          <w:p>
            <w:pPr>
              <w:jc w:val="center"/>
              <w:rPr>
                <w:rFonts w:ascii="仿宋" w:hAnsi="仿宋" w:eastAsia="仿宋" w:cs="仿宋"/>
                <w:color w:val="auto"/>
                <w:szCs w:val="21"/>
                <w:highlight w:val="none"/>
              </w:rPr>
            </w:pPr>
          </w:p>
        </w:tc>
        <w:tc>
          <w:tcPr>
            <w:tcW w:w="952" w:type="dxa"/>
            <w:tcBorders>
              <w:left w:val="single" w:color="auto" w:sz="4" w:space="0"/>
            </w:tcBorders>
            <w:vAlign w:val="center"/>
          </w:tcPr>
          <w:p>
            <w:pPr>
              <w:jc w:val="center"/>
              <w:rPr>
                <w:rFonts w:ascii="仿宋" w:hAnsi="仿宋" w:eastAsia="仿宋" w:cs="仿宋"/>
                <w:color w:val="auto"/>
                <w:szCs w:val="21"/>
                <w:highlight w:val="none"/>
              </w:rPr>
            </w:pPr>
          </w:p>
        </w:tc>
        <w:tc>
          <w:tcPr>
            <w:tcW w:w="2966" w:type="dxa"/>
            <w:vAlign w:val="center"/>
          </w:tcPr>
          <w:p>
            <w:pPr>
              <w:jc w:val="center"/>
              <w:rPr>
                <w:rFonts w:ascii="仿宋" w:hAnsi="仿宋" w:eastAsia="仿宋" w:cs="仿宋"/>
                <w:color w:val="auto"/>
                <w:szCs w:val="21"/>
                <w:highlight w:val="none"/>
              </w:rPr>
            </w:pPr>
          </w:p>
        </w:tc>
        <w:tc>
          <w:tcPr>
            <w:tcW w:w="763" w:type="dxa"/>
            <w:vAlign w:val="center"/>
          </w:tcPr>
          <w:p>
            <w:pPr>
              <w:jc w:val="center"/>
              <w:rPr>
                <w:rFonts w:ascii="仿宋" w:hAnsi="仿宋" w:eastAsia="仿宋" w:cs="仿宋"/>
                <w:color w:val="auto"/>
                <w:szCs w:val="21"/>
                <w:highlight w:val="none"/>
              </w:rPr>
            </w:pPr>
          </w:p>
        </w:tc>
        <w:tc>
          <w:tcPr>
            <w:tcW w:w="763" w:type="dxa"/>
            <w:tcBorders>
              <w:right w:val="single" w:color="auto" w:sz="4" w:space="0"/>
            </w:tcBorders>
            <w:vAlign w:val="center"/>
          </w:tcPr>
          <w:p>
            <w:pPr>
              <w:jc w:val="center"/>
              <w:rPr>
                <w:rFonts w:ascii="仿宋" w:hAnsi="仿宋" w:eastAsia="仿宋" w:cs="仿宋"/>
                <w:color w:val="auto"/>
                <w:szCs w:val="21"/>
                <w:highlight w:val="none"/>
              </w:rPr>
            </w:pPr>
          </w:p>
        </w:tc>
        <w:tc>
          <w:tcPr>
            <w:tcW w:w="1715" w:type="dxa"/>
            <w:tcBorders>
              <w:right w:val="single" w:color="auto" w:sz="4" w:space="0"/>
            </w:tcBorders>
            <w:vAlign w:val="center"/>
          </w:tcPr>
          <w:p>
            <w:pPr>
              <w:jc w:val="center"/>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72" w:type="dxa"/>
            <w:vMerge w:val="continue"/>
            <w:tcBorders>
              <w:left w:val="single" w:color="auto" w:sz="4" w:space="0"/>
              <w:right w:val="single" w:color="auto" w:sz="4" w:space="0"/>
            </w:tcBorders>
            <w:vAlign w:val="center"/>
          </w:tcPr>
          <w:p>
            <w:pPr>
              <w:jc w:val="center"/>
              <w:rPr>
                <w:rFonts w:ascii="仿宋" w:hAnsi="仿宋" w:eastAsia="仿宋" w:cs="仿宋"/>
                <w:color w:val="auto"/>
                <w:szCs w:val="21"/>
                <w:highlight w:val="none"/>
              </w:rPr>
            </w:pPr>
          </w:p>
        </w:tc>
        <w:tc>
          <w:tcPr>
            <w:tcW w:w="1524" w:type="dxa"/>
            <w:tcBorders>
              <w:left w:val="single" w:color="auto" w:sz="4" w:space="0"/>
              <w:right w:val="single" w:color="auto" w:sz="4" w:space="0"/>
            </w:tcBorders>
            <w:vAlign w:val="center"/>
          </w:tcPr>
          <w:p>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952" w:type="dxa"/>
            <w:tcBorders>
              <w:left w:val="single" w:color="auto" w:sz="4" w:space="0"/>
            </w:tcBorders>
            <w:vAlign w:val="center"/>
          </w:tcPr>
          <w:p>
            <w:pPr>
              <w:jc w:val="center"/>
              <w:rPr>
                <w:rFonts w:ascii="仿宋" w:hAnsi="仿宋" w:eastAsia="仿宋" w:cs="仿宋"/>
                <w:color w:val="auto"/>
                <w:szCs w:val="21"/>
                <w:highlight w:val="none"/>
              </w:rPr>
            </w:pPr>
          </w:p>
        </w:tc>
        <w:tc>
          <w:tcPr>
            <w:tcW w:w="2966" w:type="dxa"/>
            <w:vAlign w:val="center"/>
          </w:tcPr>
          <w:p>
            <w:pPr>
              <w:jc w:val="center"/>
              <w:rPr>
                <w:rFonts w:ascii="仿宋" w:hAnsi="仿宋" w:eastAsia="仿宋" w:cs="仿宋"/>
                <w:color w:val="auto"/>
                <w:szCs w:val="21"/>
                <w:highlight w:val="none"/>
              </w:rPr>
            </w:pPr>
          </w:p>
        </w:tc>
        <w:tc>
          <w:tcPr>
            <w:tcW w:w="763" w:type="dxa"/>
            <w:vAlign w:val="center"/>
          </w:tcPr>
          <w:p>
            <w:pPr>
              <w:jc w:val="center"/>
              <w:rPr>
                <w:rFonts w:ascii="仿宋" w:hAnsi="仿宋" w:eastAsia="仿宋" w:cs="仿宋"/>
                <w:color w:val="auto"/>
                <w:szCs w:val="21"/>
                <w:highlight w:val="none"/>
              </w:rPr>
            </w:pPr>
          </w:p>
        </w:tc>
        <w:tc>
          <w:tcPr>
            <w:tcW w:w="763" w:type="dxa"/>
            <w:tcBorders>
              <w:right w:val="single" w:color="auto" w:sz="4" w:space="0"/>
            </w:tcBorders>
            <w:vAlign w:val="center"/>
          </w:tcPr>
          <w:p>
            <w:pPr>
              <w:jc w:val="center"/>
              <w:rPr>
                <w:rFonts w:ascii="仿宋" w:hAnsi="仿宋" w:eastAsia="仿宋" w:cs="仿宋"/>
                <w:color w:val="auto"/>
                <w:szCs w:val="21"/>
                <w:highlight w:val="none"/>
              </w:rPr>
            </w:pPr>
          </w:p>
        </w:tc>
        <w:tc>
          <w:tcPr>
            <w:tcW w:w="1715" w:type="dxa"/>
            <w:tcBorders>
              <w:right w:val="single" w:color="auto" w:sz="4" w:space="0"/>
            </w:tcBorders>
            <w:vAlign w:val="center"/>
          </w:tcPr>
          <w:p>
            <w:pPr>
              <w:jc w:val="center"/>
              <w:rPr>
                <w:rFonts w:ascii="仿宋" w:hAnsi="仿宋" w:eastAsia="仿宋" w:cs="仿宋"/>
                <w:color w:val="auto"/>
                <w:szCs w:val="21"/>
                <w:highlight w:val="none"/>
              </w:rPr>
            </w:pPr>
          </w:p>
        </w:tc>
      </w:tr>
    </w:tbl>
    <w:p>
      <w:pPr>
        <w:snapToGrid w:val="0"/>
        <w:spacing w:before="156" w:beforeLines="50" w:line="300" w:lineRule="auto"/>
        <w:rPr>
          <w:rFonts w:hAnsi="宋体" w:cs="宋体"/>
          <w:color w:val="auto"/>
          <w:szCs w:val="21"/>
          <w:highlight w:val="none"/>
        </w:rPr>
      </w:pPr>
    </w:p>
    <w:p>
      <w:pPr>
        <w:pStyle w:val="79"/>
        <w:rPr>
          <w:rFonts w:ascii="宋体" w:hAnsi="宋体" w:cs="宋体"/>
          <w:color w:val="auto"/>
          <w:sz w:val="28"/>
          <w:szCs w:val="28"/>
          <w:highlight w:val="none"/>
        </w:rPr>
      </w:pPr>
    </w:p>
    <w:p>
      <w:pPr>
        <w:snapToGrid w:val="0"/>
        <w:spacing w:line="300" w:lineRule="auto"/>
        <w:rPr>
          <w:rFonts w:ascii="仿宋" w:hAnsi="仿宋" w:eastAsia="仿宋" w:cs="仿宋"/>
          <w:color w:val="auto"/>
          <w:szCs w:val="21"/>
          <w:highlight w:val="none"/>
        </w:rPr>
      </w:pPr>
      <w:r>
        <w:rPr>
          <w:rFonts w:hint="eastAsia" w:ascii="仿宋" w:hAnsi="仿宋" w:eastAsia="仿宋" w:cs="仿宋"/>
          <w:color w:val="auto"/>
          <w:szCs w:val="21"/>
          <w:highlight w:val="none"/>
        </w:rPr>
        <w:t>投标人法定代表人（或法定代表人授权代表）签字：</w:t>
      </w:r>
      <w:r>
        <w:rPr>
          <w:rFonts w:hint="eastAsia" w:ascii="仿宋" w:hAnsi="仿宋" w:eastAsia="仿宋" w:cs="仿宋"/>
          <w:color w:val="auto"/>
          <w:szCs w:val="21"/>
          <w:highlight w:val="none"/>
          <w:u w:val="single"/>
        </w:rPr>
        <w:t xml:space="preserve">                   </w:t>
      </w:r>
    </w:p>
    <w:p>
      <w:pPr>
        <w:snapToGrid w:val="0"/>
        <w:spacing w:line="300" w:lineRule="auto"/>
        <w:rPr>
          <w:rFonts w:ascii="仿宋" w:hAnsi="仿宋" w:eastAsia="仿宋" w:cs="仿宋"/>
          <w:color w:val="auto"/>
          <w:szCs w:val="21"/>
          <w:highlight w:val="none"/>
          <w:u w:val="single"/>
        </w:rPr>
      </w:pPr>
      <w:r>
        <w:rPr>
          <w:rFonts w:hint="eastAsia" w:ascii="仿宋" w:hAnsi="仿宋" w:eastAsia="仿宋" w:cs="仿宋"/>
          <w:color w:val="auto"/>
          <w:szCs w:val="21"/>
          <w:highlight w:val="none"/>
        </w:rPr>
        <w:t>投标人名称（加盖法人公章）：</w:t>
      </w:r>
      <w:r>
        <w:rPr>
          <w:rFonts w:hint="eastAsia" w:ascii="仿宋" w:hAnsi="仿宋" w:eastAsia="仿宋" w:cs="仿宋"/>
          <w:color w:val="auto"/>
          <w:szCs w:val="21"/>
          <w:highlight w:val="none"/>
          <w:u w:val="single"/>
        </w:rPr>
        <w:t xml:space="preserve">                        </w:t>
      </w:r>
    </w:p>
    <w:p>
      <w:pPr>
        <w:spacing w:line="360" w:lineRule="auto"/>
        <w:ind w:right="893"/>
        <w:jc w:val="both"/>
        <w:rPr>
          <w:rFonts w:ascii="仿宋" w:hAnsi="仿宋" w:eastAsia="仿宋" w:cs="仿宋"/>
          <w:color w:val="auto"/>
          <w:kern w:val="2"/>
          <w:highlight w:val="none"/>
          <w:lang w:val="zh-CN"/>
        </w:rPr>
      </w:pPr>
      <w:r>
        <w:rPr>
          <w:rFonts w:hint="eastAsia" w:ascii="仿宋" w:hAnsi="仿宋" w:eastAsia="仿宋" w:cs="仿宋"/>
          <w:color w:val="auto"/>
          <w:kern w:val="2"/>
          <w:highlight w:val="none"/>
          <w:lang w:val="zh-CN"/>
        </w:rPr>
        <w:t>日期：          年      月     日</w:t>
      </w:r>
    </w:p>
    <w:p>
      <w:pPr>
        <w:rPr>
          <w:rFonts w:hAnsi="宋体" w:cs="宋体"/>
          <w:color w:val="auto"/>
          <w:highlight w:val="none"/>
        </w:rPr>
      </w:pPr>
    </w:p>
    <w:p>
      <w:pPr>
        <w:pStyle w:val="3"/>
        <w:spacing w:after="120" w:line="480" w:lineRule="exact"/>
        <w:rPr>
          <w:rFonts w:hAnsi="宋体" w:cs="宋体"/>
          <w:b/>
          <w:color w:val="auto"/>
          <w:szCs w:val="21"/>
          <w:highlight w:val="none"/>
        </w:rPr>
      </w:pPr>
      <w:r>
        <w:rPr>
          <w:rFonts w:hint="eastAsia" w:hAnsi="宋体" w:cs="宋体"/>
          <w:b/>
          <w:color w:val="auto"/>
          <w:szCs w:val="21"/>
          <w:highlight w:val="none"/>
        </w:rPr>
        <w:br w:type="page"/>
      </w:r>
      <w:r>
        <w:rPr>
          <w:rFonts w:hint="eastAsia" w:hAnsi="宋体" w:cs="宋体"/>
          <w:b/>
          <w:color w:val="auto"/>
          <w:szCs w:val="20"/>
          <w:highlight w:val="none"/>
        </w:rPr>
        <w:t>附表2.10商务条款响应表格式</w:t>
      </w:r>
    </w:p>
    <w:p>
      <w:pPr>
        <w:pStyle w:val="164"/>
        <w:ind w:firstLine="442"/>
        <w:jc w:val="both"/>
        <w:rPr>
          <w:b/>
          <w:bCs/>
          <w:color w:val="auto"/>
          <w:sz w:val="22"/>
          <w:szCs w:val="32"/>
          <w:highlight w:val="none"/>
        </w:rPr>
      </w:pPr>
      <w:r>
        <w:rPr>
          <w:rFonts w:hint="eastAsia"/>
          <w:b/>
          <w:bCs/>
          <w:color w:val="auto"/>
          <w:sz w:val="22"/>
          <w:szCs w:val="32"/>
          <w:highlight w:val="none"/>
        </w:rPr>
        <w:t>（1）实质性商务条款（“★”项）响应表格式</w:t>
      </w:r>
    </w:p>
    <w:p>
      <w:pPr>
        <w:pStyle w:val="79"/>
        <w:jc w:val="center"/>
        <w:rPr>
          <w:rFonts w:ascii="宋体" w:hAnsi="宋体" w:cs="宋体"/>
          <w:b/>
          <w:color w:val="auto"/>
          <w:sz w:val="32"/>
          <w:szCs w:val="32"/>
          <w:highlight w:val="none"/>
        </w:rPr>
      </w:pPr>
      <w:bookmarkStart w:id="33" w:name="_Hlk495872607"/>
      <w:r>
        <w:rPr>
          <w:rFonts w:hint="eastAsia" w:ascii="宋体" w:hAnsi="宋体" w:cs="宋体"/>
          <w:b/>
          <w:color w:val="auto"/>
          <w:sz w:val="32"/>
          <w:szCs w:val="32"/>
          <w:highlight w:val="none"/>
        </w:rPr>
        <w:t>实质性商务条款（“★”项）响应表</w:t>
      </w:r>
      <w:bookmarkEnd w:id="33"/>
    </w:p>
    <w:p>
      <w:pPr>
        <w:spacing w:line="360" w:lineRule="auto"/>
        <w:rPr>
          <w:rFonts w:ascii="仿宋" w:hAnsi="仿宋" w:eastAsia="仿宋" w:cs="仿宋"/>
          <w:color w:val="auto"/>
          <w:szCs w:val="21"/>
          <w:highlight w:val="none"/>
          <w:u w:val="single"/>
        </w:rPr>
      </w:pPr>
      <w:r>
        <w:rPr>
          <w:rFonts w:hint="eastAsia" w:ascii="仿宋" w:hAnsi="仿宋" w:eastAsia="仿宋" w:cs="仿宋"/>
          <w:color w:val="auto"/>
          <w:szCs w:val="21"/>
          <w:highlight w:val="none"/>
        </w:rPr>
        <w:t>投标人名称：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采购编号：GDYD230090    </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项目名称：南海海洋预警信息发布和沿海恶劣天气防灾叫应系统(二期)</w:t>
      </w:r>
    </w:p>
    <w:p>
      <w:pPr>
        <w:spacing w:line="360" w:lineRule="auto"/>
        <w:rPr>
          <w:rFonts w:ascii="仿宋" w:hAnsi="仿宋" w:eastAsia="仿宋" w:cs="仿宋"/>
          <w:color w:val="auto"/>
          <w:szCs w:val="21"/>
          <w:highlight w:val="none"/>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5"/>
        <w:gridCol w:w="804"/>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25" w:type="dxa"/>
            <w:shd w:val="clear" w:color="auto" w:fill="F3F3F3"/>
            <w:vAlign w:val="center"/>
          </w:tcPr>
          <w:p>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6185" w:type="dxa"/>
            <w:shd w:val="clear" w:color="auto" w:fill="F3F3F3"/>
            <w:vAlign w:val="center"/>
          </w:tcPr>
          <w:p>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实质性响应条款要求</w:t>
            </w:r>
          </w:p>
        </w:tc>
        <w:tc>
          <w:tcPr>
            <w:tcW w:w="804" w:type="dxa"/>
            <w:shd w:val="clear" w:color="auto" w:fill="F3F3F3"/>
            <w:vAlign w:val="center"/>
          </w:tcPr>
          <w:p>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是否响应</w:t>
            </w:r>
          </w:p>
        </w:tc>
        <w:tc>
          <w:tcPr>
            <w:tcW w:w="2141" w:type="dxa"/>
            <w:shd w:val="clear" w:color="auto" w:fill="F3F3F3"/>
            <w:vAlign w:val="center"/>
          </w:tcPr>
          <w:p>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jc w:val="center"/>
        </w:trPr>
        <w:tc>
          <w:tcPr>
            <w:tcW w:w="725" w:type="dxa"/>
            <w:vAlign w:val="center"/>
          </w:tcPr>
          <w:p>
            <w:pPr>
              <w:numPr>
                <w:ilvl w:val="1"/>
                <w:numId w:val="19"/>
              </w:numPr>
              <w:autoSpaceDE/>
              <w:autoSpaceDN/>
              <w:adjustRightInd/>
              <w:jc w:val="center"/>
              <w:rPr>
                <w:rFonts w:ascii="仿宋" w:hAnsi="仿宋" w:eastAsia="仿宋" w:cs="仿宋"/>
                <w:color w:val="auto"/>
                <w:szCs w:val="21"/>
                <w:highlight w:val="none"/>
              </w:rPr>
            </w:pPr>
          </w:p>
        </w:tc>
        <w:tc>
          <w:tcPr>
            <w:tcW w:w="6185" w:type="dxa"/>
            <w:vAlign w:val="center"/>
          </w:tcPr>
          <w:p>
            <w:pPr>
              <w:rPr>
                <w:rFonts w:ascii="仿宋" w:hAnsi="仿宋" w:eastAsia="仿宋" w:cs="仿宋"/>
                <w:color w:val="auto"/>
                <w:szCs w:val="21"/>
                <w:highlight w:val="none"/>
              </w:rPr>
            </w:pPr>
            <w:r>
              <w:rPr>
                <w:rFonts w:hint="eastAsia" w:ascii="仿宋" w:hAnsi="仿宋" w:eastAsia="仿宋" w:cs="仿宋"/>
                <w:color w:val="auto"/>
                <w:szCs w:val="21"/>
                <w:highlight w:val="none"/>
              </w:rPr>
              <w:t>招标文件用户需求书中的所有实质性商务条款（“★”项）均完全响应，无任何偏离</w:t>
            </w:r>
          </w:p>
        </w:tc>
        <w:tc>
          <w:tcPr>
            <w:tcW w:w="804" w:type="dxa"/>
            <w:vAlign w:val="center"/>
          </w:tcPr>
          <w:p>
            <w:pPr>
              <w:pStyle w:val="147"/>
              <w:keepNext w:val="0"/>
              <w:adjustRightInd/>
              <w:spacing w:before="0" w:after="0" w:line="240" w:lineRule="auto"/>
              <w:textAlignment w:val="auto"/>
              <w:rPr>
                <w:rFonts w:ascii="仿宋" w:hAnsi="仿宋" w:eastAsia="仿宋" w:cs="仿宋"/>
                <w:snapToGrid/>
                <w:color w:val="auto"/>
                <w:spacing w:val="0"/>
                <w:kern w:val="2"/>
                <w:szCs w:val="21"/>
                <w:highlight w:val="none"/>
              </w:rPr>
            </w:pPr>
            <w:r>
              <w:rPr>
                <w:rFonts w:hint="eastAsia" w:ascii="仿宋" w:hAnsi="仿宋" w:eastAsia="仿宋" w:cs="仿宋"/>
                <w:snapToGrid/>
                <w:color w:val="auto"/>
                <w:spacing w:val="0"/>
                <w:kern w:val="2"/>
                <w:szCs w:val="21"/>
                <w:highlight w:val="none"/>
              </w:rPr>
              <w:t>是</w:t>
            </w:r>
          </w:p>
        </w:tc>
        <w:tc>
          <w:tcPr>
            <w:tcW w:w="2141" w:type="dxa"/>
            <w:vAlign w:val="center"/>
          </w:tcPr>
          <w:p>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无偏离</w:t>
            </w:r>
          </w:p>
        </w:tc>
      </w:tr>
    </w:tbl>
    <w:p>
      <w:pPr>
        <w:ind w:left="735" w:leftChars="150" w:hanging="420" w:hangingChars="200"/>
        <w:rPr>
          <w:rFonts w:ascii="仿宋" w:hAnsi="仿宋" w:eastAsia="仿宋" w:cs="仿宋"/>
          <w:color w:val="auto"/>
          <w:szCs w:val="21"/>
          <w:highlight w:val="none"/>
          <w:lang w:val="en-GB"/>
        </w:rPr>
      </w:pPr>
    </w:p>
    <w:p>
      <w:pPr>
        <w:spacing w:line="360" w:lineRule="auto"/>
        <w:ind w:left="851" w:hanging="851"/>
        <w:rPr>
          <w:rFonts w:ascii="仿宋" w:hAnsi="仿宋" w:eastAsia="仿宋" w:cs="仿宋"/>
          <w:color w:val="auto"/>
          <w:szCs w:val="21"/>
          <w:highlight w:val="none"/>
        </w:rPr>
      </w:pPr>
      <w:r>
        <w:rPr>
          <w:rFonts w:hint="eastAsia" w:ascii="仿宋" w:hAnsi="仿宋" w:eastAsia="仿宋" w:cs="仿宋"/>
          <w:color w:val="auto"/>
          <w:szCs w:val="21"/>
          <w:highlight w:val="none"/>
        </w:rPr>
        <w:t>说明：</w:t>
      </w:r>
    </w:p>
    <w:p>
      <w:pPr>
        <w:spacing w:line="360" w:lineRule="auto"/>
        <w:ind w:left="851" w:hanging="851"/>
        <w:rPr>
          <w:rFonts w:ascii="仿宋" w:hAnsi="仿宋" w:eastAsia="仿宋" w:cs="仿宋"/>
          <w:color w:val="auto"/>
          <w:szCs w:val="21"/>
          <w:highlight w:val="none"/>
        </w:rPr>
      </w:pPr>
      <w:r>
        <w:rPr>
          <w:rFonts w:hint="eastAsia" w:ascii="仿宋" w:hAnsi="仿宋" w:eastAsia="仿宋" w:cs="仿宋"/>
          <w:color w:val="auto"/>
          <w:szCs w:val="21"/>
          <w:highlight w:val="none"/>
        </w:rPr>
        <w:t>1.投标人必须对应招标文件的商务条款要求带“★”号的内容逐条响应。如有缺漏，缺漏项</w:t>
      </w:r>
    </w:p>
    <w:p>
      <w:pPr>
        <w:spacing w:line="360" w:lineRule="auto"/>
        <w:ind w:left="851" w:hanging="851"/>
        <w:rPr>
          <w:rFonts w:ascii="仿宋" w:hAnsi="仿宋" w:eastAsia="仿宋" w:cs="仿宋"/>
          <w:color w:val="auto"/>
          <w:szCs w:val="21"/>
          <w:highlight w:val="none"/>
        </w:rPr>
      </w:pPr>
      <w:r>
        <w:rPr>
          <w:rFonts w:hint="eastAsia" w:ascii="仿宋" w:hAnsi="仿宋" w:eastAsia="仿宋" w:cs="仿宋"/>
          <w:color w:val="auto"/>
          <w:szCs w:val="21"/>
          <w:highlight w:val="none"/>
        </w:rPr>
        <w:t>视同不符合招标要求。投标人如响应所有的“★”商务条款，也可在表格中以“招标文件用</w:t>
      </w:r>
    </w:p>
    <w:p>
      <w:pPr>
        <w:spacing w:line="360" w:lineRule="auto"/>
        <w:ind w:left="851" w:hanging="851"/>
        <w:rPr>
          <w:rFonts w:ascii="仿宋" w:hAnsi="仿宋" w:eastAsia="仿宋" w:cs="仿宋"/>
          <w:color w:val="auto"/>
          <w:szCs w:val="21"/>
          <w:highlight w:val="none"/>
          <w:lang w:val="en-GB"/>
        </w:rPr>
      </w:pPr>
      <w:r>
        <w:rPr>
          <w:rFonts w:hint="eastAsia" w:ascii="仿宋" w:hAnsi="仿宋" w:eastAsia="仿宋" w:cs="仿宋"/>
          <w:color w:val="auto"/>
          <w:szCs w:val="21"/>
          <w:highlight w:val="none"/>
        </w:rPr>
        <w:t>户需求书中的所有实质性商务条款（“★”项）均完全响应，无任何偏离”的表述方式表述。</w:t>
      </w:r>
    </w:p>
    <w:p>
      <w:pPr>
        <w:numPr>
          <w:ilvl w:val="0"/>
          <w:numId w:val="20"/>
        </w:num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投标人响应采购需求应具体、明确，含糊不清、不确切或伪造、变造证明材料的，按照不完全响应或者完全不响应处理。构成提供虚假材料的，移送监管部门查处。</w:t>
      </w:r>
    </w:p>
    <w:p>
      <w:pPr>
        <w:numPr>
          <w:ilvl w:val="0"/>
          <w:numId w:val="20"/>
        </w:numPr>
        <w:spacing w:line="360" w:lineRule="auto"/>
        <w:rPr>
          <w:rFonts w:ascii="仿宋" w:hAnsi="仿宋" w:eastAsia="仿宋" w:cs="仿宋"/>
          <w:color w:val="auto"/>
          <w:szCs w:val="21"/>
          <w:highlight w:val="none"/>
          <w:lang w:val="en-GB"/>
        </w:rPr>
      </w:pPr>
      <w:r>
        <w:rPr>
          <w:rFonts w:hint="eastAsia" w:ascii="仿宋" w:hAnsi="仿宋" w:eastAsia="仿宋" w:cs="仿宋"/>
          <w:color w:val="auto"/>
          <w:szCs w:val="21"/>
          <w:highlight w:val="none"/>
          <w:lang w:val="en-GB"/>
        </w:rPr>
        <w:t>本表内容按各自对应所投子包的内容自行更改。</w:t>
      </w:r>
    </w:p>
    <w:p>
      <w:pPr>
        <w:rPr>
          <w:rFonts w:ascii="仿宋" w:hAnsi="仿宋" w:eastAsia="仿宋" w:cs="仿宋"/>
          <w:color w:val="auto"/>
          <w:szCs w:val="21"/>
          <w:highlight w:val="none"/>
          <w:lang w:val="en-GB"/>
        </w:rPr>
      </w:pPr>
    </w:p>
    <w:p>
      <w:pPr>
        <w:rPr>
          <w:rFonts w:ascii="仿宋" w:hAnsi="仿宋" w:eastAsia="仿宋" w:cs="仿宋"/>
          <w:color w:val="auto"/>
          <w:highlight w:val="none"/>
        </w:rPr>
      </w:pPr>
    </w:p>
    <w:p>
      <w:pPr>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投标人法定代表人（或法定代表人授权代表）亲笔签字：</w:t>
      </w:r>
      <w:r>
        <w:rPr>
          <w:rFonts w:hint="eastAsia" w:ascii="仿宋" w:hAnsi="仿宋" w:eastAsia="仿宋" w:cs="仿宋"/>
          <w:color w:val="auto"/>
          <w:szCs w:val="21"/>
          <w:highlight w:val="none"/>
          <w:u w:val="single"/>
        </w:rPr>
        <w:t xml:space="preserve">                   </w:t>
      </w:r>
    </w:p>
    <w:p>
      <w:pPr>
        <w:snapToGrid w:val="0"/>
        <w:spacing w:line="360" w:lineRule="auto"/>
        <w:rPr>
          <w:rFonts w:ascii="仿宋" w:hAnsi="仿宋" w:eastAsia="仿宋" w:cs="仿宋"/>
          <w:color w:val="auto"/>
          <w:szCs w:val="21"/>
          <w:highlight w:val="none"/>
          <w:u w:val="single"/>
        </w:rPr>
      </w:pPr>
      <w:r>
        <w:rPr>
          <w:rFonts w:hint="eastAsia" w:ascii="仿宋" w:hAnsi="仿宋" w:eastAsia="仿宋" w:cs="仿宋"/>
          <w:color w:val="auto"/>
          <w:szCs w:val="21"/>
          <w:highlight w:val="none"/>
        </w:rPr>
        <w:t>投标人名称（加盖法人公章）：</w:t>
      </w:r>
      <w:r>
        <w:rPr>
          <w:rFonts w:hint="eastAsia" w:ascii="仿宋" w:hAnsi="仿宋" w:eastAsia="仿宋" w:cs="仿宋"/>
          <w:color w:val="auto"/>
          <w:szCs w:val="21"/>
          <w:highlight w:val="none"/>
          <w:u w:val="single"/>
        </w:rPr>
        <w:t xml:space="preserve">                        </w:t>
      </w:r>
    </w:p>
    <w:p>
      <w:pPr>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日</w:t>
      </w:r>
    </w:p>
    <w:p>
      <w:pPr>
        <w:pStyle w:val="164"/>
        <w:ind w:firstLine="422"/>
        <w:jc w:val="both"/>
        <w:rPr>
          <w:rFonts w:hAnsi="宋体" w:cs="宋体"/>
          <w:b/>
          <w:color w:val="auto"/>
          <w:szCs w:val="20"/>
          <w:highlight w:val="none"/>
        </w:rPr>
      </w:pPr>
      <w:r>
        <w:rPr>
          <w:rFonts w:hint="eastAsia" w:hAnsi="宋体" w:cs="宋体"/>
          <w:b/>
          <w:color w:val="auto"/>
          <w:szCs w:val="20"/>
          <w:highlight w:val="none"/>
        </w:rPr>
        <w:br w:type="page"/>
      </w:r>
      <w:r>
        <w:rPr>
          <w:rFonts w:hint="eastAsia"/>
          <w:b/>
          <w:bCs/>
          <w:color w:val="auto"/>
          <w:sz w:val="22"/>
          <w:szCs w:val="32"/>
          <w:highlight w:val="none"/>
        </w:rPr>
        <w:t>（2）一般</w:t>
      </w:r>
      <w:r>
        <w:rPr>
          <w:rFonts w:hint="eastAsia"/>
          <w:b/>
          <w:bCs/>
          <w:color w:val="auto"/>
          <w:sz w:val="22"/>
          <w:szCs w:val="32"/>
          <w:highlight w:val="none"/>
        </w:rPr>
        <w:fldChar w:fldCharType="begin"/>
      </w:r>
      <w:r>
        <w:rPr>
          <w:rFonts w:hint="eastAsia"/>
          <w:b/>
          <w:bCs/>
          <w:color w:val="auto"/>
          <w:sz w:val="22"/>
          <w:szCs w:val="32"/>
          <w:highlight w:val="none"/>
        </w:rPr>
        <w:instrText xml:space="preserve"> DOCVARIABLE  商务条款响应表开始  \* MERGEFORMAT </w:instrText>
      </w:r>
      <w:r>
        <w:rPr>
          <w:rFonts w:hint="eastAsia"/>
          <w:b/>
          <w:bCs/>
          <w:color w:val="auto"/>
          <w:sz w:val="22"/>
          <w:szCs w:val="32"/>
          <w:highlight w:val="none"/>
        </w:rPr>
        <w:fldChar w:fldCharType="end"/>
      </w:r>
      <w:r>
        <w:rPr>
          <w:rFonts w:hint="eastAsia"/>
          <w:b/>
          <w:bCs/>
          <w:color w:val="auto"/>
          <w:sz w:val="22"/>
          <w:szCs w:val="32"/>
          <w:highlight w:val="none"/>
        </w:rPr>
        <w:fldChar w:fldCharType="begin"/>
      </w:r>
      <w:r>
        <w:rPr>
          <w:rFonts w:hint="eastAsia"/>
          <w:b/>
          <w:bCs/>
          <w:color w:val="auto"/>
          <w:sz w:val="22"/>
          <w:szCs w:val="32"/>
          <w:highlight w:val="none"/>
        </w:rPr>
        <w:instrText xml:space="preserve"> DOCVARIABLE  商务条款响应表开始  \* MERGEFORMAT </w:instrText>
      </w:r>
      <w:r>
        <w:rPr>
          <w:rFonts w:hint="eastAsia"/>
          <w:b/>
          <w:bCs/>
          <w:color w:val="auto"/>
          <w:sz w:val="22"/>
          <w:szCs w:val="32"/>
          <w:highlight w:val="none"/>
        </w:rPr>
        <w:fldChar w:fldCharType="end"/>
      </w:r>
      <w:r>
        <w:rPr>
          <w:rFonts w:hint="eastAsia"/>
          <w:b/>
          <w:bCs/>
          <w:color w:val="auto"/>
          <w:sz w:val="22"/>
          <w:szCs w:val="32"/>
          <w:highlight w:val="none"/>
        </w:rPr>
        <w:t>商务条款响应表格式</w:t>
      </w:r>
    </w:p>
    <w:p>
      <w:pPr>
        <w:pStyle w:val="79"/>
        <w:jc w:val="center"/>
        <w:rPr>
          <w:rFonts w:ascii="宋体" w:hAnsi="宋体" w:cs="宋体"/>
          <w:b/>
          <w:color w:val="auto"/>
          <w:sz w:val="28"/>
          <w:szCs w:val="28"/>
          <w:highlight w:val="none"/>
        </w:rPr>
      </w:pPr>
      <w:bookmarkStart w:id="34" w:name="_Hlk495872628"/>
      <w:r>
        <w:rPr>
          <w:rFonts w:hint="eastAsia" w:ascii="宋体" w:hAnsi="宋体" w:cs="宋体"/>
          <w:b/>
          <w:color w:val="auto"/>
          <w:sz w:val="28"/>
          <w:szCs w:val="28"/>
          <w:highlight w:val="none"/>
        </w:rPr>
        <w:t>一般商务条款响应表</w:t>
      </w:r>
    </w:p>
    <w:bookmarkEnd w:id="34"/>
    <w:p>
      <w:pPr>
        <w:spacing w:line="360" w:lineRule="auto"/>
        <w:rPr>
          <w:rFonts w:ascii="仿宋" w:hAnsi="仿宋" w:eastAsia="仿宋" w:cs="仿宋"/>
          <w:color w:val="auto"/>
          <w:szCs w:val="21"/>
          <w:highlight w:val="none"/>
          <w:u w:val="single"/>
        </w:rPr>
      </w:pPr>
      <w:r>
        <w:rPr>
          <w:rFonts w:hint="eastAsia" w:ascii="仿宋" w:hAnsi="仿宋" w:eastAsia="仿宋" w:cs="仿宋"/>
          <w:color w:val="auto"/>
          <w:szCs w:val="21"/>
          <w:highlight w:val="none"/>
        </w:rPr>
        <w:t>投标人名称：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采购编号：GDYD230090                 </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项目名称：南海海洋预警信息发布和沿海恶劣天气防灾叫应系统(二期)</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5348"/>
        <w:gridCol w:w="112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1" w:type="dxa"/>
            <w:shd w:val="clear" w:color="auto" w:fill="F3F3F3"/>
            <w:vAlign w:val="center"/>
          </w:tcPr>
          <w:p>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5348" w:type="dxa"/>
            <w:shd w:val="clear" w:color="auto" w:fill="F3F3F3"/>
            <w:vAlign w:val="center"/>
          </w:tcPr>
          <w:p>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一般商务条款要求</w:t>
            </w:r>
          </w:p>
        </w:tc>
        <w:tc>
          <w:tcPr>
            <w:tcW w:w="1124" w:type="dxa"/>
            <w:shd w:val="clear" w:color="auto" w:fill="F3F3F3"/>
            <w:vAlign w:val="center"/>
          </w:tcPr>
          <w:p>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是否响应</w:t>
            </w:r>
          </w:p>
        </w:tc>
        <w:tc>
          <w:tcPr>
            <w:tcW w:w="1423" w:type="dxa"/>
            <w:shd w:val="clear" w:color="auto" w:fill="F3F3F3"/>
            <w:vAlign w:val="center"/>
          </w:tcPr>
          <w:p>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1" w:type="dxa"/>
            <w:vAlign w:val="center"/>
          </w:tcPr>
          <w:p>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5348" w:type="dxa"/>
            <w:vAlign w:val="center"/>
          </w:tcPr>
          <w:p>
            <w:pPr>
              <w:rPr>
                <w:rFonts w:ascii="仿宋" w:hAnsi="仿宋" w:eastAsia="仿宋" w:cs="仿宋"/>
                <w:color w:val="auto"/>
                <w:szCs w:val="21"/>
                <w:highlight w:val="none"/>
              </w:rPr>
            </w:pPr>
            <w:r>
              <w:rPr>
                <w:rFonts w:hint="eastAsia" w:ascii="仿宋" w:hAnsi="仿宋" w:eastAsia="仿宋" w:cs="仿宋"/>
                <w:color w:val="auto"/>
                <w:szCs w:val="21"/>
                <w:highlight w:val="none"/>
              </w:rPr>
              <w:t>完全理解并接受合同条款要求</w:t>
            </w:r>
          </w:p>
        </w:tc>
        <w:tc>
          <w:tcPr>
            <w:tcW w:w="1124" w:type="dxa"/>
            <w:vAlign w:val="center"/>
          </w:tcPr>
          <w:p>
            <w:pPr>
              <w:pStyle w:val="147"/>
              <w:keepNext w:val="0"/>
              <w:adjustRightInd/>
              <w:spacing w:before="0" w:after="0" w:line="240" w:lineRule="auto"/>
              <w:textAlignment w:val="auto"/>
              <w:rPr>
                <w:rFonts w:ascii="仿宋" w:hAnsi="仿宋" w:eastAsia="仿宋" w:cs="仿宋"/>
                <w:snapToGrid/>
                <w:color w:val="auto"/>
                <w:spacing w:val="0"/>
                <w:kern w:val="2"/>
                <w:szCs w:val="21"/>
                <w:highlight w:val="none"/>
              </w:rPr>
            </w:pPr>
          </w:p>
        </w:tc>
        <w:tc>
          <w:tcPr>
            <w:tcW w:w="1423" w:type="dxa"/>
            <w:vAlign w:val="center"/>
          </w:tcPr>
          <w:p>
            <w:pPr>
              <w:jc w:val="center"/>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1" w:type="dxa"/>
            <w:vAlign w:val="center"/>
          </w:tcPr>
          <w:p>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5348" w:type="dxa"/>
            <w:vAlign w:val="center"/>
          </w:tcPr>
          <w:p>
            <w:pPr>
              <w:rPr>
                <w:rFonts w:ascii="仿宋" w:hAnsi="仿宋" w:eastAsia="仿宋" w:cs="仿宋"/>
                <w:color w:val="auto"/>
                <w:szCs w:val="21"/>
                <w:highlight w:val="none"/>
              </w:rPr>
            </w:pPr>
            <w:r>
              <w:rPr>
                <w:rFonts w:hint="eastAsia" w:ascii="仿宋" w:hAnsi="仿宋" w:eastAsia="仿宋" w:cs="仿宋"/>
                <w:color w:val="auto"/>
                <w:szCs w:val="21"/>
                <w:highlight w:val="none"/>
              </w:rPr>
              <w:t>完全理解并接受对合格投标人、合格的货物、工程和服务要求</w:t>
            </w:r>
          </w:p>
        </w:tc>
        <w:tc>
          <w:tcPr>
            <w:tcW w:w="1124" w:type="dxa"/>
            <w:vAlign w:val="center"/>
          </w:tcPr>
          <w:p>
            <w:pPr>
              <w:pStyle w:val="147"/>
              <w:keepNext w:val="0"/>
              <w:adjustRightInd/>
              <w:spacing w:before="0" w:after="0" w:line="240" w:lineRule="auto"/>
              <w:textAlignment w:val="auto"/>
              <w:rPr>
                <w:rFonts w:ascii="仿宋" w:hAnsi="仿宋" w:eastAsia="仿宋" w:cs="仿宋"/>
                <w:snapToGrid/>
                <w:color w:val="auto"/>
                <w:spacing w:val="0"/>
                <w:kern w:val="2"/>
                <w:szCs w:val="21"/>
                <w:highlight w:val="none"/>
              </w:rPr>
            </w:pPr>
          </w:p>
        </w:tc>
        <w:tc>
          <w:tcPr>
            <w:tcW w:w="1423" w:type="dxa"/>
            <w:vAlign w:val="center"/>
          </w:tcPr>
          <w:p>
            <w:pPr>
              <w:jc w:val="center"/>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1" w:type="dxa"/>
            <w:vAlign w:val="center"/>
          </w:tcPr>
          <w:p>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5348" w:type="dxa"/>
            <w:vAlign w:val="center"/>
          </w:tcPr>
          <w:p>
            <w:pPr>
              <w:rPr>
                <w:rFonts w:ascii="仿宋" w:hAnsi="仿宋" w:eastAsia="仿宋" w:cs="仿宋"/>
                <w:color w:val="auto"/>
                <w:szCs w:val="21"/>
                <w:highlight w:val="none"/>
              </w:rPr>
            </w:pPr>
            <w:r>
              <w:rPr>
                <w:rFonts w:hint="eastAsia" w:ascii="仿宋" w:hAnsi="仿宋" w:eastAsia="仿宋" w:cs="仿宋"/>
                <w:color w:val="auto"/>
                <w:szCs w:val="21"/>
                <w:highlight w:val="none"/>
              </w:rPr>
              <w:t>完全理解并接受对投标人的各项须知、规约要求和责任义务</w:t>
            </w:r>
          </w:p>
        </w:tc>
        <w:tc>
          <w:tcPr>
            <w:tcW w:w="1124" w:type="dxa"/>
            <w:vAlign w:val="center"/>
          </w:tcPr>
          <w:p>
            <w:pPr>
              <w:jc w:val="center"/>
              <w:rPr>
                <w:rFonts w:ascii="仿宋" w:hAnsi="仿宋" w:eastAsia="仿宋" w:cs="仿宋"/>
                <w:color w:val="auto"/>
                <w:szCs w:val="21"/>
                <w:highlight w:val="none"/>
              </w:rPr>
            </w:pPr>
          </w:p>
        </w:tc>
        <w:tc>
          <w:tcPr>
            <w:tcW w:w="1423" w:type="dxa"/>
            <w:vAlign w:val="center"/>
          </w:tcPr>
          <w:p>
            <w:pPr>
              <w:ind w:right="-35"/>
              <w:jc w:val="center"/>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1" w:type="dxa"/>
            <w:vAlign w:val="center"/>
          </w:tcPr>
          <w:p>
            <w:pPr>
              <w:jc w:val="center"/>
              <w:rPr>
                <w:rFonts w:ascii="仿宋" w:hAnsi="仿宋" w:eastAsia="仿宋" w:cs="仿宋"/>
                <w:color w:val="auto"/>
                <w:szCs w:val="21"/>
                <w:highlight w:val="none"/>
              </w:rPr>
            </w:pPr>
            <w:r>
              <w:rPr>
                <w:rFonts w:ascii="仿宋" w:hAnsi="仿宋" w:eastAsia="仿宋" w:cs="仿宋"/>
                <w:color w:val="auto"/>
                <w:szCs w:val="21"/>
                <w:highlight w:val="none"/>
              </w:rPr>
              <w:t>4</w:t>
            </w:r>
          </w:p>
        </w:tc>
        <w:tc>
          <w:tcPr>
            <w:tcW w:w="5348" w:type="dxa"/>
            <w:vAlign w:val="center"/>
          </w:tcPr>
          <w:p>
            <w:pPr>
              <w:pStyle w:val="5"/>
              <w:spacing w:line="240" w:lineRule="auto"/>
              <w:rPr>
                <w:rFonts w:ascii="仿宋" w:hAnsi="仿宋" w:eastAsia="仿宋" w:cs="仿宋"/>
                <w:color w:val="auto"/>
                <w:sz w:val="21"/>
                <w:szCs w:val="21"/>
                <w:highlight w:val="none"/>
              </w:rPr>
            </w:pPr>
            <w:r>
              <w:rPr>
                <w:rFonts w:hint="eastAsia" w:ascii="仿宋" w:hAnsi="仿宋" w:eastAsia="仿宋" w:cs="仿宋"/>
                <w:b w:val="0"/>
                <w:color w:val="auto"/>
                <w:sz w:val="21"/>
                <w:szCs w:val="21"/>
                <w:highlight w:val="none"/>
              </w:rPr>
              <w:t>投标有效期：投标有效期为自递交投标文件起不少于 90 天，如确定为正式中标人，则有效期将延至本项目《政府采购合同》执行期满日为止。</w:t>
            </w:r>
          </w:p>
        </w:tc>
        <w:tc>
          <w:tcPr>
            <w:tcW w:w="1124" w:type="dxa"/>
            <w:vAlign w:val="center"/>
          </w:tcPr>
          <w:p>
            <w:pPr>
              <w:jc w:val="center"/>
              <w:rPr>
                <w:rFonts w:ascii="仿宋" w:hAnsi="仿宋" w:eastAsia="仿宋" w:cs="仿宋"/>
                <w:color w:val="auto"/>
                <w:szCs w:val="21"/>
                <w:highlight w:val="none"/>
              </w:rPr>
            </w:pPr>
          </w:p>
        </w:tc>
        <w:tc>
          <w:tcPr>
            <w:tcW w:w="1423" w:type="dxa"/>
            <w:vAlign w:val="center"/>
          </w:tcPr>
          <w:p>
            <w:pPr>
              <w:ind w:right="-35"/>
              <w:jc w:val="center"/>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1" w:type="dxa"/>
            <w:vAlign w:val="center"/>
          </w:tcPr>
          <w:p>
            <w:pPr>
              <w:jc w:val="center"/>
              <w:rPr>
                <w:rFonts w:ascii="仿宋" w:hAnsi="仿宋" w:eastAsia="仿宋" w:cs="仿宋"/>
                <w:color w:val="auto"/>
                <w:szCs w:val="21"/>
                <w:highlight w:val="none"/>
              </w:rPr>
            </w:pPr>
            <w:r>
              <w:rPr>
                <w:rFonts w:ascii="仿宋" w:hAnsi="仿宋" w:eastAsia="仿宋" w:cs="仿宋"/>
                <w:color w:val="auto"/>
                <w:szCs w:val="21"/>
                <w:highlight w:val="none"/>
              </w:rPr>
              <w:t>5</w:t>
            </w:r>
          </w:p>
        </w:tc>
        <w:tc>
          <w:tcPr>
            <w:tcW w:w="5348" w:type="dxa"/>
            <w:vAlign w:val="center"/>
          </w:tcPr>
          <w:p>
            <w:pPr>
              <w:rPr>
                <w:rFonts w:ascii="仿宋" w:hAnsi="仿宋" w:eastAsia="仿宋" w:cs="仿宋"/>
                <w:color w:val="auto"/>
                <w:szCs w:val="21"/>
                <w:highlight w:val="none"/>
              </w:rPr>
            </w:pPr>
            <w:r>
              <w:rPr>
                <w:rFonts w:hint="eastAsia" w:ascii="仿宋" w:hAnsi="仿宋" w:eastAsia="仿宋" w:cs="仿宋"/>
                <w:color w:val="auto"/>
                <w:szCs w:val="21"/>
                <w:highlight w:val="none"/>
              </w:rPr>
              <w:t>报价内容均涵盖报价要求之一切费用和伴随服务</w:t>
            </w:r>
          </w:p>
        </w:tc>
        <w:tc>
          <w:tcPr>
            <w:tcW w:w="1124" w:type="dxa"/>
            <w:vAlign w:val="center"/>
          </w:tcPr>
          <w:p>
            <w:pPr>
              <w:jc w:val="center"/>
              <w:rPr>
                <w:rFonts w:ascii="仿宋" w:hAnsi="仿宋" w:eastAsia="仿宋" w:cs="仿宋"/>
                <w:color w:val="auto"/>
                <w:szCs w:val="21"/>
                <w:highlight w:val="none"/>
              </w:rPr>
            </w:pPr>
          </w:p>
        </w:tc>
        <w:tc>
          <w:tcPr>
            <w:tcW w:w="1423" w:type="dxa"/>
            <w:vAlign w:val="center"/>
          </w:tcPr>
          <w:p>
            <w:pPr>
              <w:pStyle w:val="147"/>
              <w:keepNext w:val="0"/>
              <w:adjustRightInd/>
              <w:spacing w:before="0" w:after="0" w:line="240" w:lineRule="auto"/>
              <w:textAlignment w:val="auto"/>
              <w:rPr>
                <w:rFonts w:ascii="仿宋" w:hAnsi="仿宋" w:eastAsia="仿宋" w:cs="仿宋"/>
                <w:snapToGrid/>
                <w:color w:val="auto"/>
                <w:spacing w:val="0"/>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1" w:type="dxa"/>
            <w:vAlign w:val="center"/>
          </w:tcPr>
          <w:p>
            <w:pPr>
              <w:jc w:val="center"/>
              <w:rPr>
                <w:rFonts w:ascii="仿宋" w:hAnsi="仿宋" w:eastAsia="仿宋" w:cs="仿宋"/>
                <w:color w:val="auto"/>
                <w:szCs w:val="21"/>
                <w:highlight w:val="none"/>
              </w:rPr>
            </w:pPr>
            <w:r>
              <w:rPr>
                <w:rFonts w:ascii="仿宋" w:hAnsi="仿宋" w:eastAsia="仿宋" w:cs="仿宋"/>
                <w:color w:val="auto"/>
                <w:szCs w:val="21"/>
                <w:highlight w:val="none"/>
              </w:rPr>
              <w:t>6</w:t>
            </w:r>
          </w:p>
        </w:tc>
        <w:tc>
          <w:tcPr>
            <w:tcW w:w="5348" w:type="dxa"/>
            <w:vAlign w:val="center"/>
          </w:tcPr>
          <w:p>
            <w:pPr>
              <w:rPr>
                <w:rFonts w:ascii="仿宋" w:hAnsi="仿宋" w:eastAsia="仿宋" w:cs="仿宋"/>
                <w:color w:val="auto"/>
                <w:szCs w:val="21"/>
                <w:highlight w:val="none"/>
              </w:rPr>
            </w:pPr>
            <w:r>
              <w:rPr>
                <w:rFonts w:hint="eastAsia" w:ascii="仿宋" w:hAnsi="仿宋" w:eastAsia="仿宋" w:cs="仿宋"/>
                <w:color w:val="auto"/>
                <w:szCs w:val="21"/>
                <w:highlight w:val="none"/>
              </w:rPr>
              <w:t>所提供的报价不高于产品制造商权威网站目前的报价水平和广东省现市场零售价</w:t>
            </w:r>
          </w:p>
        </w:tc>
        <w:tc>
          <w:tcPr>
            <w:tcW w:w="1124" w:type="dxa"/>
            <w:vAlign w:val="center"/>
          </w:tcPr>
          <w:p>
            <w:pPr>
              <w:jc w:val="center"/>
              <w:rPr>
                <w:rFonts w:ascii="仿宋" w:hAnsi="仿宋" w:eastAsia="仿宋" w:cs="仿宋"/>
                <w:color w:val="auto"/>
                <w:szCs w:val="21"/>
                <w:highlight w:val="none"/>
              </w:rPr>
            </w:pPr>
          </w:p>
        </w:tc>
        <w:tc>
          <w:tcPr>
            <w:tcW w:w="1423" w:type="dxa"/>
            <w:vAlign w:val="center"/>
          </w:tcPr>
          <w:p>
            <w:pPr>
              <w:jc w:val="center"/>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1" w:type="dxa"/>
            <w:vAlign w:val="center"/>
          </w:tcPr>
          <w:p>
            <w:pPr>
              <w:jc w:val="center"/>
              <w:rPr>
                <w:rFonts w:ascii="仿宋" w:hAnsi="仿宋" w:eastAsia="仿宋" w:cs="仿宋"/>
                <w:color w:val="auto"/>
                <w:szCs w:val="21"/>
                <w:highlight w:val="none"/>
              </w:rPr>
            </w:pPr>
            <w:r>
              <w:rPr>
                <w:rFonts w:ascii="仿宋" w:hAnsi="仿宋" w:eastAsia="仿宋" w:cs="仿宋"/>
                <w:color w:val="auto"/>
                <w:szCs w:val="21"/>
                <w:highlight w:val="none"/>
              </w:rPr>
              <w:t>7</w:t>
            </w:r>
          </w:p>
        </w:tc>
        <w:tc>
          <w:tcPr>
            <w:tcW w:w="5348" w:type="dxa"/>
            <w:vAlign w:val="center"/>
          </w:tcPr>
          <w:p>
            <w:pPr>
              <w:rPr>
                <w:rFonts w:ascii="仿宋" w:hAnsi="仿宋" w:eastAsia="仿宋" w:cs="仿宋"/>
                <w:color w:val="auto"/>
                <w:szCs w:val="21"/>
                <w:highlight w:val="none"/>
              </w:rPr>
            </w:pPr>
            <w:r>
              <w:rPr>
                <w:rFonts w:hint="eastAsia" w:ascii="仿宋" w:hAnsi="仿宋" w:eastAsia="仿宋" w:cs="仿宋"/>
                <w:color w:val="auto"/>
                <w:szCs w:val="21"/>
                <w:highlight w:val="none"/>
              </w:rPr>
              <w:t>主要关键设备均为近</w:t>
            </w:r>
            <w:r>
              <w:rPr>
                <w:rFonts w:hint="eastAsia" w:ascii="仿宋" w:hAnsi="仿宋" w:eastAsia="仿宋" w:cs="仿宋"/>
                <w:color w:val="auto"/>
                <w:szCs w:val="21"/>
                <w:highlight w:val="none"/>
                <w:u w:val="single"/>
              </w:rPr>
              <w:t xml:space="preserve"> 6 </w:t>
            </w:r>
            <w:r>
              <w:rPr>
                <w:rFonts w:hint="eastAsia" w:ascii="仿宋" w:hAnsi="仿宋" w:eastAsia="仿宋" w:cs="仿宋"/>
                <w:color w:val="auto"/>
                <w:szCs w:val="21"/>
                <w:highlight w:val="none"/>
              </w:rPr>
              <w:t>个月内原厂生产的非淘汰类全新产品</w:t>
            </w:r>
          </w:p>
        </w:tc>
        <w:tc>
          <w:tcPr>
            <w:tcW w:w="1124" w:type="dxa"/>
            <w:vAlign w:val="center"/>
          </w:tcPr>
          <w:p>
            <w:pPr>
              <w:jc w:val="center"/>
              <w:rPr>
                <w:rFonts w:ascii="仿宋" w:hAnsi="仿宋" w:eastAsia="仿宋" w:cs="仿宋"/>
                <w:color w:val="auto"/>
                <w:szCs w:val="21"/>
                <w:highlight w:val="none"/>
              </w:rPr>
            </w:pPr>
          </w:p>
        </w:tc>
        <w:tc>
          <w:tcPr>
            <w:tcW w:w="1423" w:type="dxa"/>
            <w:vAlign w:val="center"/>
          </w:tcPr>
          <w:p>
            <w:pPr>
              <w:jc w:val="center"/>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1" w:type="dxa"/>
            <w:vAlign w:val="center"/>
          </w:tcPr>
          <w:p>
            <w:pPr>
              <w:jc w:val="center"/>
              <w:rPr>
                <w:rFonts w:ascii="仿宋" w:hAnsi="仿宋" w:eastAsia="仿宋" w:cs="仿宋"/>
                <w:color w:val="auto"/>
                <w:szCs w:val="21"/>
                <w:highlight w:val="none"/>
              </w:rPr>
            </w:pPr>
            <w:r>
              <w:rPr>
                <w:rFonts w:ascii="仿宋" w:hAnsi="仿宋" w:eastAsia="仿宋" w:cs="仿宋"/>
                <w:color w:val="auto"/>
                <w:szCs w:val="21"/>
                <w:highlight w:val="none"/>
              </w:rPr>
              <w:t>8</w:t>
            </w:r>
          </w:p>
        </w:tc>
        <w:tc>
          <w:tcPr>
            <w:tcW w:w="5348" w:type="dxa"/>
            <w:vAlign w:val="center"/>
          </w:tcPr>
          <w:p>
            <w:pPr>
              <w:rPr>
                <w:rFonts w:ascii="仿宋" w:hAnsi="仿宋" w:eastAsia="仿宋" w:cs="仿宋"/>
                <w:color w:val="auto"/>
                <w:szCs w:val="21"/>
                <w:highlight w:val="none"/>
              </w:rPr>
            </w:pPr>
            <w:r>
              <w:rPr>
                <w:rFonts w:hint="eastAsia" w:ascii="仿宋" w:hAnsi="仿宋" w:eastAsia="仿宋" w:cs="仿宋"/>
                <w:color w:val="auto"/>
                <w:szCs w:val="21"/>
                <w:highlight w:val="none"/>
              </w:rPr>
              <w:t>交货期</w:t>
            </w:r>
          </w:p>
        </w:tc>
        <w:tc>
          <w:tcPr>
            <w:tcW w:w="1124" w:type="dxa"/>
            <w:vAlign w:val="center"/>
          </w:tcPr>
          <w:p>
            <w:pPr>
              <w:jc w:val="center"/>
              <w:rPr>
                <w:rFonts w:ascii="仿宋" w:hAnsi="仿宋" w:eastAsia="仿宋" w:cs="仿宋"/>
                <w:color w:val="auto"/>
                <w:szCs w:val="21"/>
                <w:highlight w:val="none"/>
              </w:rPr>
            </w:pPr>
          </w:p>
        </w:tc>
        <w:tc>
          <w:tcPr>
            <w:tcW w:w="1423" w:type="dxa"/>
            <w:vAlign w:val="center"/>
          </w:tcPr>
          <w:p>
            <w:pPr>
              <w:jc w:val="center"/>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1" w:type="dxa"/>
            <w:vAlign w:val="center"/>
          </w:tcPr>
          <w:p>
            <w:pPr>
              <w:jc w:val="center"/>
              <w:rPr>
                <w:rFonts w:ascii="仿宋" w:hAnsi="仿宋" w:eastAsia="仿宋" w:cs="仿宋"/>
                <w:color w:val="auto"/>
                <w:szCs w:val="21"/>
                <w:highlight w:val="none"/>
              </w:rPr>
            </w:pPr>
            <w:r>
              <w:rPr>
                <w:rFonts w:ascii="仿宋" w:hAnsi="仿宋" w:eastAsia="仿宋" w:cs="仿宋"/>
                <w:color w:val="auto"/>
                <w:szCs w:val="21"/>
                <w:highlight w:val="none"/>
              </w:rPr>
              <w:t>9</w:t>
            </w:r>
          </w:p>
        </w:tc>
        <w:tc>
          <w:tcPr>
            <w:tcW w:w="5348" w:type="dxa"/>
            <w:vAlign w:val="center"/>
          </w:tcPr>
          <w:p>
            <w:pPr>
              <w:rPr>
                <w:rFonts w:ascii="仿宋" w:hAnsi="仿宋" w:eastAsia="仿宋" w:cs="仿宋"/>
                <w:color w:val="auto"/>
                <w:szCs w:val="21"/>
                <w:highlight w:val="none"/>
              </w:rPr>
            </w:pPr>
            <w:r>
              <w:rPr>
                <w:rFonts w:hint="eastAsia" w:ascii="仿宋" w:hAnsi="仿宋" w:eastAsia="仿宋" w:cs="仿宋"/>
                <w:color w:val="auto"/>
                <w:szCs w:val="21"/>
                <w:highlight w:val="none"/>
              </w:rPr>
              <w:t>质保期：通过系统验收次日起，8年的免费质保期</w:t>
            </w:r>
            <w:r>
              <w:rPr>
                <w:rFonts w:hint="eastAsia" w:ascii="仿宋" w:hAnsi="仿宋" w:eastAsia="仿宋" w:cs="仿宋"/>
                <w:color w:val="auto"/>
                <w:highlight w:val="none"/>
              </w:rPr>
              <w:t>（探空耗材除外）</w:t>
            </w:r>
            <w:r>
              <w:rPr>
                <w:rFonts w:hint="eastAsia" w:ascii="仿宋" w:hAnsi="仿宋" w:eastAsia="仿宋" w:cs="仿宋"/>
                <w:color w:val="auto"/>
                <w:szCs w:val="21"/>
                <w:highlight w:val="none"/>
              </w:rPr>
              <w:t>。</w:t>
            </w:r>
          </w:p>
        </w:tc>
        <w:tc>
          <w:tcPr>
            <w:tcW w:w="1124" w:type="dxa"/>
            <w:vAlign w:val="center"/>
          </w:tcPr>
          <w:p>
            <w:pPr>
              <w:jc w:val="center"/>
              <w:rPr>
                <w:rFonts w:ascii="仿宋" w:hAnsi="仿宋" w:eastAsia="仿宋" w:cs="仿宋"/>
                <w:color w:val="auto"/>
                <w:szCs w:val="21"/>
                <w:highlight w:val="none"/>
              </w:rPr>
            </w:pPr>
          </w:p>
        </w:tc>
        <w:tc>
          <w:tcPr>
            <w:tcW w:w="1423" w:type="dxa"/>
            <w:vAlign w:val="center"/>
          </w:tcPr>
          <w:p>
            <w:pPr>
              <w:jc w:val="center"/>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1" w:type="dxa"/>
            <w:vAlign w:val="center"/>
          </w:tcPr>
          <w:p>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1</w:t>
            </w:r>
            <w:r>
              <w:rPr>
                <w:rFonts w:ascii="仿宋" w:hAnsi="仿宋" w:eastAsia="仿宋" w:cs="仿宋"/>
                <w:color w:val="auto"/>
                <w:szCs w:val="21"/>
                <w:highlight w:val="none"/>
              </w:rPr>
              <w:t>0</w:t>
            </w:r>
          </w:p>
        </w:tc>
        <w:tc>
          <w:tcPr>
            <w:tcW w:w="5348" w:type="dxa"/>
            <w:vAlign w:val="center"/>
          </w:tcPr>
          <w:p>
            <w:pPr>
              <w:ind w:left="-4" w:leftChars="-2"/>
              <w:rPr>
                <w:rFonts w:ascii="仿宋" w:hAnsi="仿宋" w:eastAsia="仿宋" w:cs="仿宋"/>
                <w:color w:val="auto"/>
                <w:szCs w:val="21"/>
                <w:highlight w:val="none"/>
                <w:lang w:val="zh-CN"/>
              </w:rPr>
            </w:pPr>
            <w:r>
              <w:rPr>
                <w:rFonts w:hint="eastAsia" w:ascii="仿宋" w:hAnsi="仿宋" w:eastAsia="仿宋" w:cs="仿宋"/>
                <w:color w:val="auto"/>
                <w:szCs w:val="21"/>
                <w:highlight w:val="none"/>
              </w:rPr>
              <w:t>在广东省内有良好的、可靠的后续技术支持、有注册的或工商登记的售后服务机构</w:t>
            </w:r>
            <w:r>
              <w:rPr>
                <w:rFonts w:hint="eastAsia" w:ascii="仿宋" w:hAnsi="仿宋" w:eastAsia="仿宋" w:cs="仿宋"/>
                <w:color w:val="auto"/>
                <w:szCs w:val="21"/>
                <w:highlight w:val="none"/>
                <w:lang w:val="hr-HR"/>
              </w:rPr>
              <w:t>（</w:t>
            </w:r>
            <w:r>
              <w:rPr>
                <w:rFonts w:hint="eastAsia" w:ascii="仿宋" w:hAnsi="仿宋" w:eastAsia="仿宋" w:cs="仿宋"/>
                <w:color w:val="auto"/>
                <w:szCs w:val="21"/>
                <w:highlight w:val="none"/>
              </w:rPr>
              <w:t>相关证明文件）</w:t>
            </w:r>
          </w:p>
        </w:tc>
        <w:tc>
          <w:tcPr>
            <w:tcW w:w="1124" w:type="dxa"/>
            <w:vAlign w:val="center"/>
          </w:tcPr>
          <w:p>
            <w:pPr>
              <w:jc w:val="center"/>
              <w:rPr>
                <w:rFonts w:ascii="仿宋" w:hAnsi="仿宋" w:eastAsia="仿宋" w:cs="仿宋"/>
                <w:color w:val="auto"/>
                <w:szCs w:val="21"/>
                <w:highlight w:val="none"/>
                <w:lang w:val="en-GB"/>
              </w:rPr>
            </w:pPr>
          </w:p>
        </w:tc>
        <w:tc>
          <w:tcPr>
            <w:tcW w:w="1423" w:type="dxa"/>
            <w:vAlign w:val="center"/>
          </w:tcPr>
          <w:p>
            <w:pPr>
              <w:jc w:val="center"/>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1" w:type="dxa"/>
            <w:vAlign w:val="center"/>
          </w:tcPr>
          <w:p>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1</w:t>
            </w:r>
            <w:r>
              <w:rPr>
                <w:rFonts w:ascii="仿宋" w:hAnsi="仿宋" w:eastAsia="仿宋" w:cs="仿宋"/>
                <w:color w:val="auto"/>
                <w:szCs w:val="21"/>
                <w:highlight w:val="none"/>
              </w:rPr>
              <w:t>1</w:t>
            </w:r>
          </w:p>
        </w:tc>
        <w:tc>
          <w:tcPr>
            <w:tcW w:w="5348" w:type="dxa"/>
            <w:vAlign w:val="center"/>
          </w:tcPr>
          <w:p>
            <w:pPr>
              <w:rPr>
                <w:rFonts w:ascii="仿宋" w:hAnsi="仿宋" w:eastAsia="仿宋" w:cs="仿宋"/>
                <w:color w:val="auto"/>
                <w:szCs w:val="21"/>
                <w:highlight w:val="none"/>
              </w:rPr>
            </w:pPr>
            <w:r>
              <w:rPr>
                <w:rFonts w:hint="eastAsia" w:ascii="仿宋" w:hAnsi="仿宋" w:eastAsia="仿宋" w:cs="仿宋"/>
                <w:color w:val="auto"/>
                <w:szCs w:val="21"/>
                <w:highlight w:val="none"/>
                <w:lang w:val="en-GB"/>
              </w:rPr>
              <w:t>同意接受合同范本所列述的各项条款</w:t>
            </w:r>
          </w:p>
        </w:tc>
        <w:tc>
          <w:tcPr>
            <w:tcW w:w="1124" w:type="dxa"/>
            <w:vAlign w:val="center"/>
          </w:tcPr>
          <w:p>
            <w:pPr>
              <w:jc w:val="center"/>
              <w:rPr>
                <w:rFonts w:ascii="仿宋" w:hAnsi="仿宋" w:eastAsia="仿宋" w:cs="仿宋"/>
                <w:color w:val="auto"/>
                <w:szCs w:val="21"/>
                <w:highlight w:val="none"/>
              </w:rPr>
            </w:pPr>
          </w:p>
        </w:tc>
        <w:tc>
          <w:tcPr>
            <w:tcW w:w="1423" w:type="dxa"/>
            <w:vAlign w:val="center"/>
          </w:tcPr>
          <w:p>
            <w:pPr>
              <w:pStyle w:val="147"/>
              <w:keepNext w:val="0"/>
              <w:adjustRightInd/>
              <w:spacing w:before="0" w:after="0" w:line="240" w:lineRule="auto"/>
              <w:textAlignment w:val="auto"/>
              <w:rPr>
                <w:rFonts w:ascii="仿宋" w:hAnsi="仿宋" w:eastAsia="仿宋" w:cs="仿宋"/>
                <w:snapToGrid/>
                <w:color w:val="auto"/>
                <w:spacing w:val="0"/>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1" w:type="dxa"/>
            <w:vAlign w:val="center"/>
          </w:tcPr>
          <w:p>
            <w:pPr>
              <w:autoSpaceDE/>
              <w:autoSpaceDN/>
              <w:adjustRightInd/>
              <w:jc w:val="center"/>
              <w:rPr>
                <w:rFonts w:ascii="仿宋" w:hAnsi="仿宋" w:eastAsia="仿宋" w:cs="仿宋"/>
                <w:color w:val="auto"/>
                <w:szCs w:val="21"/>
                <w:highlight w:val="none"/>
              </w:rPr>
            </w:pPr>
            <w:r>
              <w:rPr>
                <w:rFonts w:hint="eastAsia" w:ascii="仿宋" w:hAnsi="仿宋" w:eastAsia="仿宋" w:cs="仿宋"/>
                <w:color w:val="auto"/>
                <w:szCs w:val="21"/>
                <w:highlight w:val="none"/>
              </w:rPr>
              <w:t>1</w:t>
            </w:r>
            <w:r>
              <w:rPr>
                <w:rFonts w:ascii="仿宋" w:hAnsi="仿宋" w:eastAsia="仿宋" w:cs="仿宋"/>
                <w:color w:val="auto"/>
                <w:szCs w:val="21"/>
                <w:highlight w:val="none"/>
              </w:rPr>
              <w:t>2</w:t>
            </w:r>
          </w:p>
        </w:tc>
        <w:tc>
          <w:tcPr>
            <w:tcW w:w="5348" w:type="dxa"/>
            <w:vAlign w:val="center"/>
          </w:tcPr>
          <w:p>
            <w:pPr>
              <w:rPr>
                <w:rFonts w:ascii="仿宋" w:hAnsi="仿宋" w:eastAsia="仿宋" w:cs="仿宋"/>
                <w:color w:val="auto"/>
                <w:szCs w:val="21"/>
                <w:highlight w:val="none"/>
              </w:rPr>
            </w:pPr>
            <w:r>
              <w:rPr>
                <w:rFonts w:hint="eastAsia" w:ascii="仿宋" w:hAnsi="仿宋" w:eastAsia="仿宋" w:cs="仿宋"/>
                <w:color w:val="auto"/>
                <w:szCs w:val="21"/>
                <w:highlight w:val="none"/>
              </w:rPr>
              <w:t>同意按本项目要求缴付相关款项</w:t>
            </w:r>
          </w:p>
        </w:tc>
        <w:tc>
          <w:tcPr>
            <w:tcW w:w="1124" w:type="dxa"/>
            <w:vAlign w:val="center"/>
          </w:tcPr>
          <w:p>
            <w:pPr>
              <w:jc w:val="center"/>
              <w:rPr>
                <w:rFonts w:ascii="仿宋" w:hAnsi="仿宋" w:eastAsia="仿宋" w:cs="仿宋"/>
                <w:color w:val="auto"/>
                <w:szCs w:val="21"/>
                <w:highlight w:val="none"/>
              </w:rPr>
            </w:pPr>
          </w:p>
        </w:tc>
        <w:tc>
          <w:tcPr>
            <w:tcW w:w="1423" w:type="dxa"/>
            <w:vAlign w:val="center"/>
          </w:tcPr>
          <w:p>
            <w:pPr>
              <w:pStyle w:val="147"/>
              <w:keepNext w:val="0"/>
              <w:adjustRightInd/>
              <w:spacing w:before="0" w:after="0" w:line="240" w:lineRule="auto"/>
              <w:textAlignment w:val="auto"/>
              <w:rPr>
                <w:rFonts w:ascii="仿宋" w:hAnsi="仿宋" w:eastAsia="仿宋" w:cs="仿宋"/>
                <w:snapToGrid/>
                <w:color w:val="auto"/>
                <w:spacing w:val="0"/>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1" w:type="dxa"/>
            <w:vAlign w:val="center"/>
          </w:tcPr>
          <w:p>
            <w:pPr>
              <w:autoSpaceDE/>
              <w:autoSpaceDN/>
              <w:adjustRightInd/>
              <w:jc w:val="center"/>
              <w:rPr>
                <w:rFonts w:ascii="仿宋" w:hAnsi="仿宋" w:eastAsia="仿宋" w:cs="仿宋"/>
                <w:color w:val="auto"/>
                <w:szCs w:val="21"/>
                <w:highlight w:val="none"/>
              </w:rPr>
            </w:pPr>
            <w:r>
              <w:rPr>
                <w:rFonts w:hint="eastAsia" w:ascii="仿宋" w:hAnsi="仿宋" w:eastAsia="仿宋" w:cs="仿宋"/>
                <w:color w:val="auto"/>
                <w:szCs w:val="21"/>
                <w:highlight w:val="none"/>
              </w:rPr>
              <w:t>1</w:t>
            </w:r>
            <w:r>
              <w:rPr>
                <w:rFonts w:ascii="仿宋" w:hAnsi="仿宋" w:eastAsia="仿宋" w:cs="仿宋"/>
                <w:color w:val="auto"/>
                <w:szCs w:val="21"/>
                <w:highlight w:val="none"/>
              </w:rPr>
              <w:t>3</w:t>
            </w:r>
          </w:p>
        </w:tc>
        <w:tc>
          <w:tcPr>
            <w:tcW w:w="5348" w:type="dxa"/>
            <w:vAlign w:val="center"/>
          </w:tcPr>
          <w:p>
            <w:pPr>
              <w:pStyle w:val="37"/>
              <w:rPr>
                <w:rFonts w:ascii="仿宋" w:hAnsi="仿宋" w:eastAsia="仿宋" w:cs="仿宋"/>
                <w:color w:val="auto"/>
                <w:szCs w:val="21"/>
                <w:highlight w:val="none"/>
              </w:rPr>
            </w:pPr>
            <w:r>
              <w:rPr>
                <w:rFonts w:hint="eastAsia" w:ascii="仿宋" w:hAnsi="仿宋" w:eastAsia="仿宋" w:cs="仿宋"/>
                <w:color w:val="auto"/>
                <w:szCs w:val="21"/>
                <w:highlight w:val="none"/>
              </w:rPr>
              <w:t>同意采购方以任何形式对我方投标文件内容的真实性和有效性进行审查、验证</w:t>
            </w:r>
          </w:p>
        </w:tc>
        <w:tc>
          <w:tcPr>
            <w:tcW w:w="1124" w:type="dxa"/>
            <w:vAlign w:val="center"/>
          </w:tcPr>
          <w:p>
            <w:pPr>
              <w:pStyle w:val="128"/>
              <w:rPr>
                <w:rFonts w:ascii="仿宋" w:hAnsi="仿宋" w:eastAsia="仿宋" w:cs="仿宋"/>
                <w:color w:val="auto"/>
                <w:highlight w:val="none"/>
              </w:rPr>
            </w:pPr>
          </w:p>
        </w:tc>
        <w:tc>
          <w:tcPr>
            <w:tcW w:w="1423" w:type="dxa"/>
            <w:vAlign w:val="center"/>
          </w:tcPr>
          <w:p>
            <w:pPr>
              <w:pStyle w:val="147"/>
              <w:keepNext w:val="0"/>
              <w:adjustRightInd/>
              <w:spacing w:before="0" w:after="0" w:line="240" w:lineRule="auto"/>
              <w:jc w:val="both"/>
              <w:textAlignment w:val="auto"/>
              <w:rPr>
                <w:rFonts w:ascii="仿宋" w:hAnsi="仿宋" w:eastAsia="仿宋" w:cs="仿宋"/>
                <w:snapToGrid/>
                <w:color w:val="auto"/>
                <w:spacing w:val="0"/>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1" w:type="dxa"/>
            <w:vAlign w:val="center"/>
          </w:tcPr>
          <w:p>
            <w:pPr>
              <w:autoSpaceDE/>
              <w:autoSpaceDN/>
              <w:adjustRightInd/>
              <w:jc w:val="center"/>
              <w:rPr>
                <w:rFonts w:ascii="仿宋" w:hAnsi="仿宋" w:eastAsia="仿宋" w:cs="仿宋"/>
                <w:color w:val="auto"/>
                <w:szCs w:val="21"/>
                <w:highlight w:val="none"/>
              </w:rPr>
            </w:pPr>
            <w:r>
              <w:rPr>
                <w:rFonts w:hint="eastAsia" w:ascii="仿宋" w:hAnsi="仿宋" w:eastAsia="仿宋" w:cs="仿宋"/>
                <w:color w:val="auto"/>
                <w:szCs w:val="21"/>
                <w:highlight w:val="none"/>
              </w:rPr>
              <w:t>1</w:t>
            </w:r>
            <w:r>
              <w:rPr>
                <w:rFonts w:ascii="仿宋" w:hAnsi="仿宋" w:eastAsia="仿宋" w:cs="仿宋"/>
                <w:color w:val="auto"/>
                <w:szCs w:val="21"/>
                <w:highlight w:val="none"/>
              </w:rPr>
              <w:t>4</w:t>
            </w:r>
          </w:p>
        </w:tc>
        <w:tc>
          <w:tcPr>
            <w:tcW w:w="7895" w:type="dxa"/>
            <w:gridSpan w:val="3"/>
            <w:vAlign w:val="center"/>
          </w:tcPr>
          <w:p>
            <w:pPr>
              <w:rPr>
                <w:rFonts w:ascii="仿宋" w:hAnsi="仿宋" w:eastAsia="仿宋" w:cs="仿宋"/>
                <w:color w:val="auto"/>
                <w:szCs w:val="21"/>
                <w:highlight w:val="none"/>
              </w:rPr>
            </w:pPr>
            <w:r>
              <w:rPr>
                <w:rFonts w:hint="eastAsia" w:ascii="仿宋" w:hAnsi="仿宋" w:eastAsia="仿宋" w:cs="仿宋"/>
                <w:color w:val="auto"/>
                <w:szCs w:val="21"/>
                <w:highlight w:val="none"/>
              </w:rPr>
              <w:t>其它商务条款偏离说明：</w:t>
            </w:r>
          </w:p>
        </w:tc>
      </w:tr>
    </w:tbl>
    <w:p>
      <w:pPr>
        <w:pStyle w:val="28"/>
        <w:rPr>
          <w:color w:val="auto"/>
          <w:highlight w:val="none"/>
        </w:rPr>
      </w:pPr>
    </w:p>
    <w:p>
      <w:pPr>
        <w:rPr>
          <w:rFonts w:ascii="仿宋" w:hAnsi="仿宋" w:eastAsia="仿宋" w:cs="仿宋"/>
          <w:color w:val="auto"/>
          <w:szCs w:val="21"/>
          <w:highlight w:val="none"/>
          <w:lang w:val="en-GB"/>
        </w:rPr>
      </w:pPr>
      <w:r>
        <w:rPr>
          <w:rFonts w:hint="eastAsia" w:ascii="仿宋" w:hAnsi="仿宋" w:eastAsia="仿宋" w:cs="仿宋"/>
          <w:color w:val="auto"/>
          <w:szCs w:val="21"/>
          <w:highlight w:val="none"/>
          <w:lang w:val="en-GB"/>
        </w:rPr>
        <w:t>注： 1.</w:t>
      </w:r>
      <w:r>
        <w:rPr>
          <w:rFonts w:hint="eastAsia" w:ascii="仿宋" w:hAnsi="仿宋" w:eastAsia="仿宋" w:cs="仿宋"/>
          <w:color w:val="auto"/>
          <w:szCs w:val="21"/>
          <w:highlight w:val="none"/>
        </w:rPr>
        <w:t>对</w:t>
      </w:r>
      <w:r>
        <w:rPr>
          <w:rFonts w:hint="eastAsia" w:ascii="仿宋" w:hAnsi="仿宋" w:eastAsia="仿宋" w:cs="仿宋"/>
          <w:color w:val="auto"/>
          <w:szCs w:val="21"/>
          <w:highlight w:val="none"/>
          <w:lang w:val="en-GB"/>
        </w:rPr>
        <w:t>于上述要求，如投标人完全响应，则请在“是否响应”栏内打“√”，对空白或打“×”视为偏离，请在“偏离说明”栏内扼要说明偏离情况。</w:t>
      </w:r>
    </w:p>
    <w:p>
      <w:pPr>
        <w:snapToGrid w:val="0"/>
        <w:spacing w:line="360" w:lineRule="auto"/>
        <w:ind w:firstLine="420" w:firstLineChars="200"/>
        <w:rPr>
          <w:rFonts w:ascii="仿宋" w:hAnsi="仿宋" w:eastAsia="仿宋" w:cs="仿宋"/>
          <w:color w:val="auto"/>
          <w:szCs w:val="21"/>
          <w:highlight w:val="none"/>
          <w:lang w:val="en-GB"/>
        </w:rPr>
      </w:pPr>
      <w:r>
        <w:rPr>
          <w:rFonts w:hint="eastAsia" w:ascii="仿宋" w:hAnsi="仿宋" w:eastAsia="仿宋" w:cs="仿宋"/>
          <w:color w:val="auto"/>
          <w:szCs w:val="21"/>
          <w:highlight w:val="none"/>
          <w:lang w:val="en-GB"/>
        </w:rPr>
        <w:t xml:space="preserve"> 3.本表内容按各自对应所投子包的内容自行更改。</w:t>
      </w:r>
    </w:p>
    <w:p>
      <w:pPr>
        <w:rPr>
          <w:rFonts w:ascii="仿宋" w:hAnsi="仿宋" w:eastAsia="仿宋" w:cs="仿宋"/>
          <w:color w:val="auto"/>
          <w:highlight w:val="none"/>
          <w:lang w:val="en-GB"/>
        </w:rPr>
      </w:pPr>
    </w:p>
    <w:p>
      <w:pPr>
        <w:snapToGrid w:val="0"/>
        <w:spacing w:line="300" w:lineRule="auto"/>
        <w:rPr>
          <w:rFonts w:ascii="仿宋" w:hAnsi="仿宋" w:eastAsia="仿宋" w:cs="仿宋"/>
          <w:color w:val="auto"/>
          <w:szCs w:val="21"/>
          <w:highlight w:val="none"/>
        </w:rPr>
      </w:pPr>
      <w:r>
        <w:rPr>
          <w:rFonts w:hint="eastAsia" w:ascii="仿宋" w:hAnsi="仿宋" w:eastAsia="仿宋" w:cs="仿宋"/>
          <w:color w:val="auto"/>
          <w:szCs w:val="21"/>
          <w:highlight w:val="none"/>
        </w:rPr>
        <w:t>投标人法定代表人（或法定代表人授权代表）亲笔签字：</w:t>
      </w:r>
      <w:r>
        <w:rPr>
          <w:rFonts w:hint="eastAsia" w:ascii="仿宋" w:hAnsi="仿宋" w:eastAsia="仿宋" w:cs="仿宋"/>
          <w:color w:val="auto"/>
          <w:szCs w:val="21"/>
          <w:highlight w:val="none"/>
          <w:u w:val="single"/>
        </w:rPr>
        <w:t xml:space="preserve">                   </w:t>
      </w:r>
    </w:p>
    <w:p>
      <w:pPr>
        <w:snapToGrid w:val="0"/>
        <w:spacing w:line="300" w:lineRule="auto"/>
        <w:rPr>
          <w:rFonts w:ascii="仿宋" w:hAnsi="仿宋" w:eastAsia="仿宋" w:cs="仿宋"/>
          <w:color w:val="auto"/>
          <w:szCs w:val="21"/>
          <w:highlight w:val="none"/>
          <w:u w:val="single"/>
        </w:rPr>
      </w:pPr>
      <w:r>
        <w:rPr>
          <w:rFonts w:hint="eastAsia" w:ascii="仿宋" w:hAnsi="仿宋" w:eastAsia="仿宋" w:cs="仿宋"/>
          <w:color w:val="auto"/>
          <w:szCs w:val="21"/>
          <w:highlight w:val="none"/>
        </w:rPr>
        <w:t>投标人名称（加盖法人公章）：</w:t>
      </w:r>
      <w:r>
        <w:rPr>
          <w:rFonts w:hint="eastAsia" w:ascii="仿宋" w:hAnsi="仿宋" w:eastAsia="仿宋" w:cs="仿宋"/>
          <w:color w:val="auto"/>
          <w:szCs w:val="21"/>
          <w:highlight w:val="none"/>
          <w:u w:val="single"/>
        </w:rPr>
        <w:t xml:space="preserve">                        </w:t>
      </w:r>
    </w:p>
    <w:p>
      <w:pPr>
        <w:spacing w:line="360" w:lineRule="auto"/>
        <w:rPr>
          <w:rFonts w:hAnsi="宋体" w:cs="宋体"/>
          <w:color w:val="auto"/>
          <w:szCs w:val="21"/>
          <w:highlight w:val="none"/>
        </w:rPr>
      </w:pPr>
      <w:r>
        <w:rPr>
          <w:rFonts w:hint="eastAsia" w:ascii="仿宋" w:hAnsi="仿宋" w:eastAsia="仿宋" w:cs="仿宋"/>
          <w:color w:val="auto"/>
          <w:szCs w:val="21"/>
          <w:highlight w:val="none"/>
        </w:rPr>
        <w:t>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日</w:t>
      </w:r>
    </w:p>
    <w:p>
      <w:pPr>
        <w:pStyle w:val="3"/>
        <w:spacing w:after="120" w:line="480" w:lineRule="exact"/>
        <w:rPr>
          <w:rFonts w:hAnsi="宋体" w:cs="宋体"/>
          <w:b/>
          <w:color w:val="auto"/>
          <w:szCs w:val="21"/>
          <w:highlight w:val="none"/>
        </w:rPr>
      </w:pPr>
      <w:r>
        <w:rPr>
          <w:rFonts w:hAnsi="宋体" w:cs="宋体"/>
          <w:b/>
          <w:color w:val="auto"/>
          <w:szCs w:val="20"/>
          <w:highlight w:val="none"/>
        </w:rPr>
        <w:br w:type="page"/>
      </w:r>
      <w:r>
        <w:rPr>
          <w:rFonts w:hint="eastAsia" w:hAnsi="宋体" w:cs="宋体"/>
          <w:b/>
          <w:color w:val="auto"/>
          <w:szCs w:val="20"/>
          <w:highlight w:val="none"/>
        </w:rPr>
        <w:t>附表2.</w:t>
      </w:r>
      <w:bookmarkStart w:id="35" w:name="_Hlk495872671"/>
      <w:r>
        <w:rPr>
          <w:rFonts w:hint="eastAsia" w:hAnsi="宋体" w:cs="宋体"/>
          <w:b/>
          <w:color w:val="auto"/>
          <w:szCs w:val="20"/>
          <w:highlight w:val="none"/>
        </w:rPr>
        <w:t>1</w:t>
      </w:r>
      <w:r>
        <w:rPr>
          <w:rFonts w:hint="eastAsia" w:hAnsi="宋体" w:cs="宋体"/>
          <w:color w:val="auto"/>
          <w:szCs w:val="20"/>
          <w:highlight w:val="none"/>
        </w:rPr>
        <w:t xml:space="preserve">1 </w:t>
      </w:r>
      <w:r>
        <w:rPr>
          <w:rFonts w:hint="eastAsia" w:hAnsi="宋体" w:cs="宋体"/>
          <w:b/>
          <w:color w:val="auto"/>
          <w:szCs w:val="20"/>
          <w:highlight w:val="none"/>
        </w:rPr>
        <w:t>各项声明函（落实政府采购政策时所需）</w:t>
      </w:r>
      <w:bookmarkEnd w:id="35"/>
    </w:p>
    <w:p>
      <w:pPr>
        <w:pStyle w:val="3"/>
        <w:spacing w:after="120" w:line="480" w:lineRule="exact"/>
        <w:rPr>
          <w:rFonts w:hAnsi="宋体" w:cs="宋体"/>
          <w:b/>
          <w:color w:val="auto"/>
          <w:szCs w:val="20"/>
          <w:highlight w:val="none"/>
        </w:rPr>
      </w:pPr>
      <w:r>
        <w:rPr>
          <w:rFonts w:hint="eastAsia" w:hAnsi="宋体" w:cs="宋体"/>
          <w:b/>
          <w:color w:val="auto"/>
          <w:szCs w:val="20"/>
          <w:highlight w:val="none"/>
        </w:rPr>
        <w:t>附表2.1</w:t>
      </w:r>
      <w:r>
        <w:rPr>
          <w:rFonts w:hint="eastAsia" w:hAnsi="宋体" w:cs="宋体"/>
          <w:color w:val="auto"/>
          <w:szCs w:val="20"/>
          <w:highlight w:val="none"/>
        </w:rPr>
        <w:t>1</w:t>
      </w:r>
      <w:r>
        <w:rPr>
          <w:rFonts w:hint="eastAsia" w:hAnsi="宋体" w:cs="宋体"/>
          <w:b/>
          <w:color w:val="auto"/>
          <w:szCs w:val="20"/>
          <w:highlight w:val="none"/>
        </w:rPr>
        <w:t>-1</w:t>
      </w:r>
      <w:bookmarkStart w:id="36" w:name="_Hlk495872698"/>
      <w:r>
        <w:rPr>
          <w:rFonts w:hint="eastAsia" w:hAnsi="宋体" w:cs="宋体"/>
          <w:b/>
          <w:color w:val="auto"/>
          <w:szCs w:val="20"/>
          <w:highlight w:val="none"/>
        </w:rPr>
        <w:t xml:space="preserve"> 中小企业声明函格式</w:t>
      </w:r>
      <w:bookmarkEnd w:id="36"/>
    </w:p>
    <w:p>
      <w:pPr>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（以下格式文件由供应商根据需要选用）</w:t>
      </w:r>
    </w:p>
    <w:p>
      <w:pPr>
        <w:spacing w:line="360" w:lineRule="auto"/>
        <w:ind w:firstLine="480"/>
        <w:rPr>
          <w:rFonts w:ascii="仿宋" w:hAnsi="仿宋" w:eastAsia="仿宋" w:cs="仿宋"/>
          <w:b/>
          <w:color w:val="auto"/>
          <w:sz w:val="24"/>
          <w:highlight w:val="none"/>
        </w:rPr>
      </w:pPr>
      <w:r>
        <w:rPr>
          <w:rFonts w:hint="eastAsia" w:ascii="仿宋" w:hAnsi="仿宋" w:eastAsia="仿宋" w:cs="仿宋"/>
          <w:color w:val="auto"/>
          <w:highlight w:val="none"/>
        </w:rPr>
        <w:t>中小企业声明函（所投产品制造商为中小企业时提交本函，所属行业应符合采购文件中明确的本项目所属行业）</w:t>
      </w:r>
    </w:p>
    <w:p>
      <w:pPr>
        <w:spacing w:line="360" w:lineRule="auto"/>
        <w:jc w:val="center"/>
        <w:rPr>
          <w:rFonts w:ascii="仿宋" w:hAnsi="仿宋" w:eastAsia="仿宋" w:cs="仿宋"/>
          <w:color w:val="auto"/>
          <w:highlight w:val="none"/>
        </w:rPr>
      </w:pPr>
      <w:r>
        <w:rPr>
          <w:rFonts w:hint="eastAsia" w:ascii="仿宋" w:hAnsi="仿宋" w:eastAsia="仿宋" w:cs="仿宋"/>
          <w:b/>
          <w:color w:val="auto"/>
          <w:sz w:val="24"/>
          <w:highlight w:val="none"/>
        </w:rPr>
        <w:t>中小企业声明函（服务）</w:t>
      </w:r>
    </w:p>
    <w:p>
      <w:pPr>
        <w:spacing w:line="360" w:lineRule="auto"/>
        <w:ind w:firstLine="480"/>
        <w:rPr>
          <w:rFonts w:ascii="仿宋" w:hAnsi="仿宋" w:eastAsia="仿宋" w:cs="仿宋"/>
          <w:color w:val="auto"/>
          <w:highlight w:val="none"/>
        </w:rPr>
      </w:pPr>
    </w:p>
    <w:p>
      <w:pPr>
        <w:spacing w:line="360" w:lineRule="auto"/>
        <w:ind w:firstLine="480"/>
        <w:rPr>
          <w:rFonts w:ascii="仿宋" w:hAnsi="仿宋" w:eastAsia="仿宋"/>
          <w:color w:val="auto"/>
          <w:highlight w:val="none"/>
        </w:rPr>
      </w:pPr>
      <w:r>
        <w:rPr>
          <w:rFonts w:ascii="仿宋" w:hAnsi="仿宋" w:eastAsia="仿宋"/>
          <w:color w:val="auto"/>
          <w:highlight w:val="none"/>
        </w:rPr>
        <w:t>本公司（联合体）郑重声明，根据《政府采购促进中小企业发展管理办法》（财库﹝2020﹞46</w:t>
      </w:r>
      <w:r>
        <w:rPr>
          <w:rFonts w:ascii="仿宋" w:hAnsi="仿宋" w:eastAsia="仿宋"/>
          <w:color w:val="auto"/>
          <w:highlight w:val="none"/>
        </w:rPr>
        <w:tab/>
      </w:r>
      <w:r>
        <w:rPr>
          <w:rFonts w:ascii="仿宋" w:hAnsi="仿宋" w:eastAsia="仿宋"/>
          <w:color w:val="auto"/>
          <w:highlight w:val="none"/>
        </w:rPr>
        <w:tab/>
      </w:r>
      <w:r>
        <w:rPr>
          <w:rFonts w:ascii="仿宋" w:hAnsi="仿宋" w:eastAsia="仿宋"/>
          <w:color w:val="auto"/>
          <w:highlight w:val="none"/>
        </w:rPr>
        <w:t xml:space="preserve"> 号）的规定，本公司（联合体）参加</w:t>
      </w:r>
      <w:r>
        <w:rPr>
          <w:rFonts w:ascii="仿宋" w:hAnsi="仿宋" w:eastAsia="仿宋"/>
          <w:color w:val="auto"/>
          <w:highlight w:val="none"/>
          <w:u w:val="single"/>
        </w:rPr>
        <w:t>（单位名称）</w:t>
      </w:r>
      <w:r>
        <w:rPr>
          <w:rFonts w:ascii="仿宋" w:hAnsi="仿宋" w:eastAsia="仿宋"/>
          <w:color w:val="auto"/>
          <w:highlight w:val="none"/>
        </w:rPr>
        <w:t>的</w:t>
      </w:r>
      <w:r>
        <w:rPr>
          <w:rFonts w:ascii="仿宋" w:hAnsi="仿宋" w:eastAsia="仿宋"/>
          <w:color w:val="auto"/>
          <w:highlight w:val="none"/>
          <w:u w:val="single"/>
        </w:rPr>
        <w:t>（项目名称）</w:t>
      </w:r>
      <w:r>
        <w:rPr>
          <w:rFonts w:ascii="仿宋" w:hAnsi="仿宋" w:eastAsia="仿宋"/>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rPr>
          <w:rFonts w:ascii="仿宋" w:hAnsi="仿宋" w:eastAsia="仿宋"/>
          <w:color w:val="auto"/>
          <w:highlight w:val="none"/>
        </w:rPr>
      </w:pPr>
      <w:r>
        <w:rPr>
          <w:rFonts w:ascii="仿宋" w:hAnsi="仿宋" w:eastAsia="仿宋"/>
          <w:color w:val="auto"/>
          <w:highlight w:val="none"/>
        </w:rPr>
        <w:t>1.（标的名称），属于（磋商文件中明确的所属行业）行业；承建（承接）企业为（企业名称），从业人员__________________人，营业收入为__________________万元，资产总额为__________________万元</w:t>
      </w:r>
      <w:r>
        <w:rPr>
          <w:rFonts w:ascii="仿宋" w:hAnsi="仿宋" w:eastAsia="仿宋"/>
          <w:color w:val="auto"/>
          <w:sz w:val="7"/>
          <w:highlight w:val="none"/>
        </w:rPr>
        <w:t>1</w:t>
      </w:r>
      <w:r>
        <w:rPr>
          <w:rFonts w:ascii="仿宋" w:hAnsi="仿宋" w:eastAsia="仿宋"/>
          <w:color w:val="auto"/>
          <w:highlight w:val="none"/>
        </w:rPr>
        <w:t>，属于（中型企业、小型企业、微型企业）；</w:t>
      </w:r>
    </w:p>
    <w:p>
      <w:pPr>
        <w:spacing w:line="360" w:lineRule="auto"/>
        <w:ind w:firstLine="480"/>
        <w:rPr>
          <w:rFonts w:ascii="仿宋" w:hAnsi="仿宋" w:eastAsia="仿宋"/>
          <w:color w:val="auto"/>
          <w:highlight w:val="none"/>
        </w:rPr>
      </w:pPr>
      <w:r>
        <w:rPr>
          <w:rFonts w:ascii="仿宋" w:hAnsi="仿宋" w:eastAsia="仿宋"/>
          <w:color w:val="auto"/>
          <w:highlight w:val="none"/>
        </w:rPr>
        <w:t>2.（标的名称），属于（磋商文件中明确的所属行业）行业；承建（承接）企业为（企业名称），从业人员__________________人，营业收入为__________________万元，资产总额为__________________万元</w:t>
      </w:r>
      <w:r>
        <w:rPr>
          <w:rFonts w:ascii="仿宋" w:hAnsi="仿宋" w:eastAsia="仿宋"/>
          <w:color w:val="auto"/>
          <w:sz w:val="7"/>
          <w:highlight w:val="none"/>
        </w:rPr>
        <w:t>1</w:t>
      </w:r>
      <w:r>
        <w:rPr>
          <w:rFonts w:ascii="仿宋" w:hAnsi="仿宋" w:eastAsia="仿宋"/>
          <w:color w:val="auto"/>
          <w:highlight w:val="none"/>
        </w:rPr>
        <w:t>，属于（中型企业、小型企业、微型企业）；</w:t>
      </w:r>
    </w:p>
    <w:p>
      <w:pPr>
        <w:spacing w:line="360" w:lineRule="auto"/>
        <w:ind w:firstLine="480"/>
        <w:rPr>
          <w:rFonts w:ascii="仿宋" w:hAnsi="仿宋" w:eastAsia="仿宋"/>
          <w:color w:val="auto"/>
          <w:highlight w:val="none"/>
        </w:rPr>
      </w:pPr>
      <w:r>
        <w:rPr>
          <w:rFonts w:ascii="仿宋" w:hAnsi="仿宋" w:eastAsia="仿宋"/>
          <w:color w:val="auto"/>
          <w:highlight w:val="none"/>
        </w:rPr>
        <w:t>……</w:t>
      </w:r>
    </w:p>
    <w:p>
      <w:pPr>
        <w:spacing w:line="360" w:lineRule="auto"/>
        <w:ind w:firstLine="480"/>
        <w:rPr>
          <w:rFonts w:ascii="仿宋" w:hAnsi="仿宋" w:eastAsia="仿宋"/>
          <w:color w:val="auto"/>
          <w:highlight w:val="none"/>
        </w:rPr>
      </w:pPr>
      <w:r>
        <w:rPr>
          <w:rFonts w:ascii="仿宋" w:hAnsi="仿宋" w:eastAsia="仿宋"/>
          <w:color w:val="auto"/>
          <w:highlight w:val="none"/>
        </w:rPr>
        <w:t>以上企业，不属于大企业的分支机构，不存在控股股东为大企业的情形，也不存在与大企业的负责人为同一人的情形。</w:t>
      </w:r>
    </w:p>
    <w:p>
      <w:pPr>
        <w:spacing w:line="360" w:lineRule="auto"/>
        <w:ind w:firstLine="480"/>
        <w:rPr>
          <w:rFonts w:ascii="仿宋" w:hAnsi="仿宋" w:eastAsia="仿宋"/>
          <w:color w:val="auto"/>
          <w:highlight w:val="none"/>
        </w:rPr>
      </w:pPr>
      <w:r>
        <w:rPr>
          <w:rFonts w:ascii="仿宋" w:hAnsi="仿宋" w:eastAsia="仿宋"/>
          <w:color w:val="auto"/>
          <w:highlight w:val="none"/>
        </w:rPr>
        <w:t>本企业对上述声明内容的真实性负责。如有虚假，将依法承担相应责任。</w:t>
      </w:r>
    </w:p>
    <w:p>
      <w:pPr>
        <w:spacing w:line="360" w:lineRule="auto"/>
        <w:jc w:val="right"/>
        <w:rPr>
          <w:rFonts w:ascii="仿宋" w:hAnsi="仿宋" w:eastAsia="仿宋"/>
          <w:color w:val="auto"/>
          <w:highlight w:val="none"/>
        </w:rPr>
      </w:pPr>
      <w:r>
        <w:rPr>
          <w:rFonts w:ascii="仿宋" w:hAnsi="仿宋" w:eastAsia="仿宋"/>
          <w:color w:val="auto"/>
          <w:highlight w:val="none"/>
        </w:rPr>
        <w:t xml:space="preserve"> 企业名称（盖章）：__________________</w:t>
      </w:r>
    </w:p>
    <w:p>
      <w:pPr>
        <w:spacing w:line="360" w:lineRule="auto"/>
        <w:jc w:val="right"/>
        <w:rPr>
          <w:rFonts w:ascii="仿宋" w:hAnsi="仿宋" w:eastAsia="仿宋"/>
          <w:color w:val="auto"/>
          <w:highlight w:val="none"/>
        </w:rPr>
      </w:pPr>
      <w:r>
        <w:rPr>
          <w:rFonts w:ascii="仿宋" w:hAnsi="仿宋" w:eastAsia="仿宋"/>
          <w:color w:val="auto"/>
          <w:highlight w:val="none"/>
        </w:rPr>
        <w:t xml:space="preserve"> 日  期：__________________</w:t>
      </w:r>
    </w:p>
    <w:p>
      <w:pPr>
        <w:spacing w:line="360" w:lineRule="auto"/>
        <w:ind w:firstLine="480"/>
        <w:rPr>
          <w:rFonts w:ascii="仿宋" w:hAnsi="仿宋" w:eastAsia="仿宋"/>
          <w:color w:val="auto"/>
          <w:highlight w:val="none"/>
        </w:rPr>
      </w:pPr>
      <w:r>
        <w:rPr>
          <w:rFonts w:ascii="仿宋" w:hAnsi="仿宋" w:eastAsia="仿宋"/>
          <w:color w:val="auto"/>
          <w:highlight w:val="none"/>
        </w:rPr>
        <w:t>1：从业人员、营业收入、资产总额填报上一年度数据，无上一年度数据的新成立企业可不填报。</w:t>
      </w:r>
    </w:p>
    <w:p>
      <w:pPr>
        <w:spacing w:line="360" w:lineRule="auto"/>
        <w:ind w:firstLine="480"/>
        <w:rPr>
          <w:rFonts w:ascii="仿宋" w:hAnsi="仿宋" w:eastAsia="仿宋"/>
          <w:color w:val="auto"/>
          <w:highlight w:val="none"/>
        </w:rPr>
      </w:pPr>
      <w:r>
        <w:rPr>
          <w:rFonts w:ascii="仿宋" w:hAnsi="仿宋" w:eastAsia="仿宋"/>
          <w:color w:val="auto"/>
          <w:highlight w:val="none"/>
        </w:rPr>
        <w:t>2：供应商应当自行核实是否属于小微企业，并认真填写声明函，若有虚假将追究其责任。</w:t>
      </w:r>
    </w:p>
    <w:p>
      <w:pPr>
        <w:spacing w:line="360" w:lineRule="auto"/>
        <w:jc w:val="center"/>
        <w:rPr>
          <w:rFonts w:ascii="仿宋" w:hAnsi="仿宋" w:eastAsia="仿宋" w:cs="仿宋"/>
          <w:b/>
          <w:color w:val="auto"/>
          <w:sz w:val="24"/>
          <w:highlight w:val="none"/>
        </w:rPr>
      </w:pPr>
    </w:p>
    <w:p>
      <w:pPr>
        <w:spacing w:line="300" w:lineRule="auto"/>
        <w:jc w:val="both"/>
        <w:rPr>
          <w:rFonts w:hAnsi="宋体" w:cs="宋体"/>
          <w:color w:val="auto"/>
          <w:kern w:val="2"/>
          <w:szCs w:val="21"/>
          <w:highlight w:val="none"/>
        </w:rPr>
      </w:pPr>
    </w:p>
    <w:p>
      <w:pPr>
        <w:rPr>
          <w:color w:val="auto"/>
          <w:highlight w:val="none"/>
        </w:rPr>
      </w:pPr>
    </w:p>
    <w:p>
      <w:pPr>
        <w:spacing w:line="300" w:lineRule="auto"/>
        <w:jc w:val="both"/>
        <w:rPr>
          <w:rFonts w:hAnsi="宋体" w:cs="宋体"/>
          <w:color w:val="auto"/>
          <w:kern w:val="2"/>
          <w:szCs w:val="21"/>
          <w:highlight w:val="none"/>
        </w:rPr>
      </w:pPr>
    </w:p>
    <w:p>
      <w:pPr>
        <w:pStyle w:val="3"/>
        <w:spacing w:after="120" w:line="480" w:lineRule="exact"/>
        <w:rPr>
          <w:rFonts w:hAnsi="宋体" w:cs="宋体"/>
          <w:b/>
          <w:color w:val="auto"/>
          <w:szCs w:val="20"/>
          <w:highlight w:val="none"/>
        </w:rPr>
      </w:pPr>
      <w:r>
        <w:rPr>
          <w:rFonts w:hint="eastAsia" w:hAnsi="宋体" w:cs="宋体"/>
          <w:b/>
          <w:color w:val="auto"/>
          <w:szCs w:val="20"/>
          <w:highlight w:val="none"/>
        </w:rPr>
        <w:br w:type="page"/>
      </w:r>
      <w:r>
        <w:rPr>
          <w:rFonts w:hint="eastAsia" w:hAnsi="宋体" w:cs="宋体"/>
          <w:b/>
          <w:color w:val="auto"/>
          <w:szCs w:val="20"/>
          <w:highlight w:val="none"/>
        </w:rPr>
        <w:t>附表2.1</w:t>
      </w:r>
      <w:r>
        <w:rPr>
          <w:rFonts w:hint="eastAsia" w:hAnsi="宋体" w:cs="宋体"/>
          <w:color w:val="auto"/>
          <w:szCs w:val="20"/>
          <w:highlight w:val="none"/>
        </w:rPr>
        <w:t>1</w:t>
      </w:r>
      <w:r>
        <w:rPr>
          <w:rFonts w:hint="eastAsia" w:hAnsi="宋体" w:cs="宋体"/>
          <w:b/>
          <w:color w:val="auto"/>
          <w:szCs w:val="20"/>
          <w:highlight w:val="none"/>
        </w:rPr>
        <w:t>-2监狱企业的证明文件（如有）</w:t>
      </w:r>
    </w:p>
    <w:p>
      <w:pPr>
        <w:ind w:firstLine="480"/>
        <w:rPr>
          <w:color w:val="auto"/>
          <w:highlight w:val="none"/>
        </w:rPr>
      </w:pPr>
      <w:r>
        <w:rPr>
          <w:rFonts w:hint="eastAsia" w:ascii="仿宋" w:hAnsi="仿宋" w:eastAsia="仿宋" w:cs="仿宋"/>
          <w:color w:val="auto"/>
          <w:kern w:val="2"/>
          <w:szCs w:val="21"/>
          <w:highlight w:val="none"/>
        </w:rPr>
        <w:t>说明：监狱企业参加政府采购活动时，应当提供由监狱管理局、戒毒管理局（含新疆生产建设兵团）出具的属于监狱企业的证明文件。</w:t>
      </w:r>
    </w:p>
    <w:p>
      <w:pPr>
        <w:spacing w:line="300" w:lineRule="auto"/>
        <w:jc w:val="both"/>
        <w:rPr>
          <w:rFonts w:ascii="仿宋" w:hAnsi="仿宋" w:eastAsia="仿宋" w:cs="仿宋"/>
          <w:color w:val="auto"/>
          <w:kern w:val="2"/>
          <w:szCs w:val="21"/>
          <w:highlight w:val="none"/>
        </w:rPr>
      </w:pPr>
    </w:p>
    <w:p>
      <w:pPr>
        <w:tabs>
          <w:tab w:val="left" w:pos="360"/>
          <w:tab w:val="left" w:pos="993"/>
        </w:tabs>
        <w:spacing w:line="360" w:lineRule="auto"/>
        <w:rPr>
          <w:rFonts w:hAnsi="宋体" w:cs="宋体"/>
          <w:color w:val="auto"/>
          <w:szCs w:val="21"/>
          <w:highlight w:val="none"/>
          <w:lang w:val="en-GB"/>
        </w:rPr>
      </w:pPr>
    </w:p>
    <w:p>
      <w:pPr>
        <w:pStyle w:val="3"/>
        <w:spacing w:after="120" w:line="480" w:lineRule="exact"/>
        <w:rPr>
          <w:rFonts w:hAnsi="宋体" w:cs="宋体"/>
          <w:b/>
          <w:color w:val="auto"/>
          <w:szCs w:val="20"/>
          <w:highlight w:val="none"/>
        </w:rPr>
      </w:pPr>
      <w:bookmarkStart w:id="37" w:name="_Hlk495871330"/>
      <w:r>
        <w:rPr>
          <w:rFonts w:hint="eastAsia" w:hAnsi="宋体" w:cs="宋体"/>
          <w:b/>
          <w:color w:val="auto"/>
          <w:szCs w:val="20"/>
          <w:highlight w:val="none"/>
        </w:rPr>
        <w:br w:type="page"/>
      </w:r>
      <w:r>
        <w:rPr>
          <w:rFonts w:hint="eastAsia" w:hAnsi="宋体" w:cs="宋体"/>
          <w:b/>
          <w:color w:val="auto"/>
          <w:szCs w:val="20"/>
          <w:highlight w:val="none"/>
        </w:rPr>
        <w:t>附表2.1</w:t>
      </w:r>
      <w:r>
        <w:rPr>
          <w:rFonts w:hint="eastAsia" w:hAnsi="宋体" w:cs="宋体"/>
          <w:color w:val="auto"/>
          <w:szCs w:val="20"/>
          <w:highlight w:val="none"/>
        </w:rPr>
        <w:t>1</w:t>
      </w:r>
      <w:r>
        <w:rPr>
          <w:rFonts w:hint="eastAsia" w:hAnsi="宋体" w:cs="宋体"/>
          <w:b/>
          <w:color w:val="auto"/>
          <w:szCs w:val="20"/>
          <w:highlight w:val="none"/>
        </w:rPr>
        <w:t>-3</w:t>
      </w:r>
      <w:bookmarkEnd w:id="37"/>
      <w:r>
        <w:rPr>
          <w:rFonts w:hint="eastAsia" w:hAnsi="宋体" w:cs="宋体"/>
          <w:b/>
          <w:color w:val="auto"/>
          <w:szCs w:val="20"/>
          <w:highlight w:val="none"/>
        </w:rPr>
        <w:t xml:space="preserve"> 残疾人福利性单位的声明函及证明文件（如有）</w:t>
      </w:r>
    </w:p>
    <w:p>
      <w:pPr>
        <w:tabs>
          <w:tab w:val="left" w:pos="360"/>
          <w:tab w:val="left" w:pos="993"/>
        </w:tabs>
        <w:spacing w:line="360" w:lineRule="auto"/>
        <w:ind w:firstLine="420" w:firstLineChars="200"/>
        <w:rPr>
          <w:rFonts w:ascii="仿宋" w:hAnsi="仿宋" w:eastAsia="仿宋" w:cs="仿宋"/>
          <w:color w:val="auto"/>
          <w:szCs w:val="21"/>
          <w:highlight w:val="none"/>
          <w:lang w:val="en-GB"/>
        </w:rPr>
      </w:pPr>
    </w:p>
    <w:p>
      <w:pPr>
        <w:tabs>
          <w:tab w:val="left" w:pos="360"/>
          <w:tab w:val="left" w:pos="993"/>
        </w:tabs>
        <w:spacing w:line="360" w:lineRule="auto"/>
        <w:ind w:firstLine="420" w:firstLineChars="200"/>
        <w:rPr>
          <w:rFonts w:ascii="仿宋" w:hAnsi="仿宋" w:eastAsia="仿宋" w:cs="仿宋"/>
          <w:color w:val="auto"/>
          <w:szCs w:val="21"/>
          <w:highlight w:val="none"/>
          <w:lang w:val="en-GB"/>
        </w:rPr>
      </w:pPr>
      <w:r>
        <w:rPr>
          <w:rFonts w:hint="eastAsia" w:ascii="仿宋" w:hAnsi="仿宋" w:eastAsia="仿宋" w:cs="仿宋"/>
          <w:color w:val="auto"/>
          <w:szCs w:val="21"/>
          <w:highlight w:val="none"/>
          <w:lang w:val="en-GB"/>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360"/>
          <w:tab w:val="left" w:pos="993"/>
        </w:tabs>
        <w:spacing w:line="360" w:lineRule="auto"/>
        <w:rPr>
          <w:rFonts w:ascii="仿宋" w:hAnsi="仿宋" w:eastAsia="仿宋" w:cs="仿宋"/>
          <w:color w:val="auto"/>
          <w:szCs w:val="21"/>
          <w:highlight w:val="none"/>
          <w:lang w:val="en-GB"/>
        </w:rPr>
      </w:pPr>
      <w:r>
        <w:rPr>
          <w:rFonts w:hint="eastAsia" w:ascii="仿宋" w:hAnsi="仿宋" w:eastAsia="仿宋" w:cs="仿宋"/>
          <w:color w:val="auto"/>
          <w:szCs w:val="21"/>
          <w:highlight w:val="none"/>
          <w:lang w:val="en-GB"/>
        </w:rPr>
        <w:t>本单位对上述声明的真实性负责。如有虚假，将依法承担相应责任。</w:t>
      </w:r>
    </w:p>
    <w:p>
      <w:pPr>
        <w:tabs>
          <w:tab w:val="left" w:pos="360"/>
          <w:tab w:val="left" w:pos="993"/>
        </w:tabs>
        <w:spacing w:line="360" w:lineRule="auto"/>
        <w:rPr>
          <w:rFonts w:ascii="仿宋" w:hAnsi="仿宋" w:eastAsia="仿宋" w:cs="仿宋"/>
          <w:color w:val="auto"/>
          <w:szCs w:val="21"/>
          <w:highlight w:val="none"/>
          <w:lang w:val="en-GB"/>
        </w:rPr>
      </w:pPr>
    </w:p>
    <w:p>
      <w:pPr>
        <w:tabs>
          <w:tab w:val="left" w:pos="360"/>
          <w:tab w:val="left" w:pos="993"/>
        </w:tabs>
        <w:spacing w:line="360" w:lineRule="auto"/>
        <w:rPr>
          <w:rFonts w:ascii="仿宋" w:hAnsi="仿宋" w:eastAsia="仿宋" w:cs="仿宋"/>
          <w:color w:val="auto"/>
          <w:szCs w:val="21"/>
          <w:highlight w:val="none"/>
          <w:lang w:val="en-GB"/>
        </w:rPr>
      </w:pPr>
    </w:p>
    <w:p>
      <w:pPr>
        <w:tabs>
          <w:tab w:val="left" w:pos="360"/>
          <w:tab w:val="left" w:pos="993"/>
        </w:tabs>
        <w:spacing w:line="360" w:lineRule="auto"/>
        <w:rPr>
          <w:rFonts w:ascii="仿宋" w:hAnsi="仿宋" w:eastAsia="仿宋" w:cs="仿宋"/>
          <w:color w:val="auto"/>
          <w:szCs w:val="21"/>
          <w:highlight w:val="none"/>
          <w:lang w:val="en-GB"/>
        </w:rPr>
      </w:pPr>
      <w:r>
        <w:rPr>
          <w:rFonts w:hint="eastAsia" w:ascii="仿宋" w:hAnsi="仿宋" w:eastAsia="仿宋" w:cs="仿宋"/>
          <w:color w:val="auto"/>
          <w:szCs w:val="21"/>
          <w:highlight w:val="none"/>
          <w:lang w:val="en-GB"/>
        </w:rPr>
        <w:t>单位名称（盖章）：</w:t>
      </w:r>
    </w:p>
    <w:p>
      <w:pPr>
        <w:tabs>
          <w:tab w:val="left" w:pos="360"/>
          <w:tab w:val="left" w:pos="993"/>
        </w:tabs>
        <w:spacing w:line="360" w:lineRule="auto"/>
        <w:rPr>
          <w:rFonts w:ascii="仿宋" w:hAnsi="仿宋" w:eastAsia="仿宋" w:cs="仿宋"/>
          <w:color w:val="auto"/>
          <w:szCs w:val="21"/>
          <w:highlight w:val="none"/>
          <w:lang w:val="en-GB"/>
        </w:rPr>
      </w:pPr>
      <w:r>
        <w:rPr>
          <w:rFonts w:hint="eastAsia" w:ascii="仿宋" w:hAnsi="仿宋" w:eastAsia="仿宋" w:cs="仿宋"/>
          <w:color w:val="auto"/>
          <w:szCs w:val="21"/>
          <w:highlight w:val="none"/>
          <w:lang w:val="en-GB"/>
        </w:rPr>
        <w:t>日  期：</w:t>
      </w:r>
    </w:p>
    <w:p>
      <w:pPr>
        <w:tabs>
          <w:tab w:val="left" w:pos="360"/>
          <w:tab w:val="left" w:pos="993"/>
        </w:tabs>
        <w:spacing w:line="360" w:lineRule="auto"/>
        <w:rPr>
          <w:rFonts w:hAnsi="宋体" w:cs="宋体"/>
          <w:color w:val="auto"/>
          <w:szCs w:val="21"/>
          <w:highlight w:val="none"/>
          <w:lang w:val="en-GB"/>
        </w:rPr>
      </w:pPr>
    </w:p>
    <w:p>
      <w:pPr>
        <w:tabs>
          <w:tab w:val="left" w:pos="360"/>
          <w:tab w:val="left" w:pos="993"/>
        </w:tabs>
        <w:spacing w:line="360" w:lineRule="auto"/>
        <w:rPr>
          <w:rFonts w:hAnsi="宋体" w:cs="宋体"/>
          <w:color w:val="auto"/>
          <w:szCs w:val="21"/>
          <w:highlight w:val="none"/>
          <w:lang w:val="en-GB"/>
        </w:rPr>
      </w:pPr>
    </w:p>
    <w:p>
      <w:pPr>
        <w:tabs>
          <w:tab w:val="left" w:pos="360"/>
          <w:tab w:val="left" w:pos="993"/>
        </w:tabs>
        <w:spacing w:line="360" w:lineRule="auto"/>
        <w:rPr>
          <w:rFonts w:hAnsi="宋体" w:cs="宋体"/>
          <w:color w:val="auto"/>
          <w:szCs w:val="21"/>
          <w:highlight w:val="none"/>
          <w:lang w:val="en-GB"/>
        </w:rPr>
      </w:pPr>
    </w:p>
    <w:p>
      <w:pPr>
        <w:tabs>
          <w:tab w:val="left" w:pos="360"/>
          <w:tab w:val="left" w:pos="993"/>
        </w:tabs>
        <w:spacing w:line="360" w:lineRule="auto"/>
        <w:rPr>
          <w:rFonts w:hAnsi="宋体" w:cs="宋体"/>
          <w:color w:val="auto"/>
          <w:szCs w:val="21"/>
          <w:highlight w:val="none"/>
          <w:lang w:val="en-GB"/>
        </w:rPr>
      </w:pPr>
    </w:p>
    <w:p>
      <w:pPr>
        <w:tabs>
          <w:tab w:val="left" w:pos="360"/>
          <w:tab w:val="left" w:pos="993"/>
        </w:tabs>
        <w:spacing w:line="360" w:lineRule="auto"/>
        <w:rPr>
          <w:rFonts w:hAnsi="宋体" w:cs="宋体"/>
          <w:color w:val="auto"/>
          <w:szCs w:val="21"/>
          <w:highlight w:val="none"/>
          <w:lang w:val="en-GB"/>
        </w:rPr>
      </w:pPr>
    </w:p>
    <w:p>
      <w:pPr>
        <w:tabs>
          <w:tab w:val="left" w:pos="360"/>
          <w:tab w:val="left" w:pos="993"/>
        </w:tabs>
        <w:spacing w:line="360" w:lineRule="auto"/>
        <w:rPr>
          <w:rFonts w:hAnsi="宋体" w:cs="宋体"/>
          <w:color w:val="auto"/>
          <w:szCs w:val="21"/>
          <w:highlight w:val="none"/>
          <w:lang w:val="en-GB"/>
        </w:rPr>
      </w:pPr>
    </w:p>
    <w:p>
      <w:pPr>
        <w:tabs>
          <w:tab w:val="left" w:pos="360"/>
          <w:tab w:val="left" w:pos="993"/>
        </w:tabs>
        <w:spacing w:line="360" w:lineRule="auto"/>
        <w:rPr>
          <w:rFonts w:hAnsi="宋体" w:cs="宋体"/>
          <w:color w:val="auto"/>
          <w:szCs w:val="21"/>
          <w:highlight w:val="none"/>
          <w:lang w:val="en-GB"/>
        </w:rPr>
      </w:pPr>
    </w:p>
    <w:p>
      <w:pPr>
        <w:tabs>
          <w:tab w:val="left" w:pos="360"/>
          <w:tab w:val="left" w:pos="993"/>
        </w:tabs>
        <w:spacing w:line="360" w:lineRule="auto"/>
        <w:rPr>
          <w:rFonts w:hAnsi="宋体" w:cs="宋体"/>
          <w:color w:val="auto"/>
          <w:szCs w:val="21"/>
          <w:highlight w:val="none"/>
          <w:lang w:val="en-GB"/>
        </w:rPr>
      </w:pPr>
    </w:p>
    <w:p>
      <w:pPr>
        <w:tabs>
          <w:tab w:val="left" w:pos="360"/>
          <w:tab w:val="left" w:pos="993"/>
        </w:tabs>
        <w:spacing w:line="360" w:lineRule="auto"/>
        <w:rPr>
          <w:rFonts w:hAnsi="宋体" w:cs="宋体"/>
          <w:color w:val="auto"/>
          <w:szCs w:val="21"/>
          <w:highlight w:val="none"/>
          <w:lang w:val="en-GB"/>
        </w:rPr>
      </w:pPr>
    </w:p>
    <w:p>
      <w:pPr>
        <w:tabs>
          <w:tab w:val="left" w:pos="360"/>
          <w:tab w:val="left" w:pos="993"/>
        </w:tabs>
        <w:spacing w:line="360" w:lineRule="auto"/>
        <w:rPr>
          <w:rFonts w:hAnsi="宋体" w:cs="宋体"/>
          <w:color w:val="auto"/>
          <w:szCs w:val="21"/>
          <w:highlight w:val="none"/>
          <w:lang w:val="en-GB"/>
        </w:rPr>
      </w:pPr>
    </w:p>
    <w:p>
      <w:pPr>
        <w:tabs>
          <w:tab w:val="left" w:pos="360"/>
          <w:tab w:val="left" w:pos="993"/>
        </w:tabs>
        <w:spacing w:line="360" w:lineRule="auto"/>
        <w:rPr>
          <w:rFonts w:hAnsi="宋体" w:cs="宋体"/>
          <w:color w:val="auto"/>
          <w:szCs w:val="21"/>
          <w:highlight w:val="none"/>
          <w:lang w:val="en-GB"/>
        </w:rPr>
      </w:pPr>
    </w:p>
    <w:p>
      <w:pPr>
        <w:tabs>
          <w:tab w:val="left" w:pos="360"/>
          <w:tab w:val="left" w:pos="993"/>
        </w:tabs>
        <w:spacing w:line="360" w:lineRule="auto"/>
        <w:rPr>
          <w:rFonts w:hAnsi="宋体" w:cs="宋体"/>
          <w:color w:val="auto"/>
          <w:szCs w:val="21"/>
          <w:highlight w:val="none"/>
          <w:lang w:val="en-GB"/>
        </w:rPr>
      </w:pPr>
    </w:p>
    <w:p>
      <w:pPr>
        <w:tabs>
          <w:tab w:val="left" w:pos="360"/>
          <w:tab w:val="left" w:pos="993"/>
        </w:tabs>
        <w:spacing w:line="360" w:lineRule="auto"/>
        <w:rPr>
          <w:rFonts w:hAnsi="宋体" w:cs="宋体"/>
          <w:color w:val="auto"/>
          <w:szCs w:val="21"/>
          <w:highlight w:val="none"/>
          <w:lang w:val="en-GB"/>
        </w:rPr>
      </w:pPr>
    </w:p>
    <w:p>
      <w:pPr>
        <w:tabs>
          <w:tab w:val="left" w:pos="360"/>
          <w:tab w:val="left" w:pos="993"/>
        </w:tabs>
        <w:spacing w:line="360" w:lineRule="auto"/>
        <w:rPr>
          <w:rFonts w:hAnsi="宋体" w:cs="宋体"/>
          <w:color w:val="auto"/>
          <w:szCs w:val="21"/>
          <w:highlight w:val="none"/>
          <w:lang w:val="en-GB"/>
        </w:rPr>
      </w:pPr>
    </w:p>
    <w:p>
      <w:pPr>
        <w:tabs>
          <w:tab w:val="left" w:pos="360"/>
          <w:tab w:val="left" w:pos="993"/>
        </w:tabs>
        <w:spacing w:line="360" w:lineRule="auto"/>
        <w:rPr>
          <w:rFonts w:hAnsi="宋体" w:cs="宋体"/>
          <w:color w:val="auto"/>
          <w:szCs w:val="21"/>
          <w:highlight w:val="none"/>
          <w:lang w:val="en-GB"/>
        </w:rPr>
      </w:pPr>
    </w:p>
    <w:p>
      <w:pPr>
        <w:pStyle w:val="3"/>
        <w:spacing w:after="120" w:line="480" w:lineRule="exact"/>
        <w:rPr>
          <w:rFonts w:hAnsi="宋体"/>
          <w:b/>
          <w:color w:val="auto"/>
          <w:sz w:val="21"/>
          <w:szCs w:val="20"/>
          <w:highlight w:val="none"/>
        </w:rPr>
      </w:pPr>
      <w:r>
        <w:rPr>
          <w:rFonts w:hint="eastAsia" w:hAnsi="宋体" w:cs="宋体"/>
          <w:b/>
          <w:color w:val="auto"/>
          <w:szCs w:val="20"/>
          <w:highlight w:val="none"/>
        </w:rPr>
        <w:br w:type="page"/>
      </w:r>
      <w:r>
        <w:rPr>
          <w:rFonts w:hint="eastAsia" w:hAnsi="宋体" w:cs="宋体"/>
          <w:b/>
          <w:color w:val="auto"/>
          <w:szCs w:val="20"/>
          <w:highlight w:val="none"/>
        </w:rPr>
        <w:t xml:space="preserve">附表2.11-4 </w:t>
      </w:r>
      <w:bookmarkStart w:id="38" w:name="_Hlk495872840"/>
      <w:r>
        <w:rPr>
          <w:rFonts w:hint="eastAsia" w:hAnsi="宋体" w:cs="宋体"/>
          <w:b/>
          <w:color w:val="auto"/>
          <w:szCs w:val="20"/>
          <w:highlight w:val="none"/>
        </w:rPr>
        <w:t>节能产品或环境保护标志产品（如有）</w:t>
      </w:r>
      <w:bookmarkEnd w:id="38"/>
    </w:p>
    <w:p>
      <w:pPr>
        <w:jc w:val="center"/>
        <w:rPr>
          <w:b/>
          <w:color w:val="auto"/>
          <w:highlight w:val="none"/>
        </w:rPr>
      </w:pPr>
    </w:p>
    <w:p>
      <w:pPr>
        <w:jc w:val="center"/>
        <w:rPr>
          <w:rFonts w:ascii="仿宋" w:hAnsi="仿宋" w:eastAsia="仿宋" w:cs="仿宋"/>
          <w:b/>
          <w:color w:val="auto"/>
          <w:highlight w:val="none"/>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800"/>
        <w:gridCol w:w="1706"/>
        <w:gridCol w:w="1508"/>
        <w:gridCol w:w="2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00" w:type="dxa"/>
            <w:vAlign w:val="center"/>
          </w:tcPr>
          <w:p>
            <w:pPr>
              <w:tabs>
                <w:tab w:val="left" w:pos="1260"/>
              </w:tabs>
              <w:spacing w:line="360" w:lineRule="auto"/>
              <w:ind w:left="-86" w:leftChars="-41" w:right="-71" w:rightChars="-34"/>
              <w:jc w:val="center"/>
              <w:rPr>
                <w:rFonts w:ascii="仿宋" w:hAnsi="仿宋" w:eastAsia="仿宋" w:cs="仿宋"/>
                <w:b/>
                <w:color w:val="auto"/>
                <w:szCs w:val="21"/>
                <w:highlight w:val="none"/>
                <w:lang w:val="en-GB"/>
              </w:rPr>
            </w:pPr>
            <w:r>
              <w:rPr>
                <w:rFonts w:hint="eastAsia" w:ascii="仿宋" w:hAnsi="仿宋" w:eastAsia="仿宋" w:cs="仿宋"/>
                <w:b/>
                <w:color w:val="auto"/>
                <w:szCs w:val="21"/>
                <w:highlight w:val="none"/>
                <w:lang w:val="en-GB"/>
              </w:rPr>
              <w:t>类别</w:t>
            </w:r>
          </w:p>
        </w:tc>
        <w:tc>
          <w:tcPr>
            <w:tcW w:w="1800" w:type="dxa"/>
            <w:vAlign w:val="center"/>
          </w:tcPr>
          <w:p>
            <w:pPr>
              <w:tabs>
                <w:tab w:val="left" w:pos="1260"/>
              </w:tabs>
              <w:spacing w:line="360" w:lineRule="auto"/>
              <w:ind w:left="-86" w:leftChars="-41" w:right="-71" w:rightChars="-34"/>
              <w:jc w:val="center"/>
              <w:rPr>
                <w:rFonts w:ascii="仿宋" w:hAnsi="仿宋" w:eastAsia="仿宋" w:cs="仿宋"/>
                <w:b/>
                <w:color w:val="auto"/>
                <w:szCs w:val="21"/>
                <w:highlight w:val="none"/>
                <w:lang w:val="en-GB"/>
              </w:rPr>
            </w:pPr>
            <w:r>
              <w:rPr>
                <w:rFonts w:hint="eastAsia" w:ascii="仿宋" w:hAnsi="仿宋" w:eastAsia="仿宋" w:cs="仿宋"/>
                <w:b/>
                <w:color w:val="auto"/>
                <w:szCs w:val="21"/>
                <w:highlight w:val="none"/>
                <w:lang w:val="en-GB"/>
              </w:rPr>
              <w:t>投标产品</w:t>
            </w:r>
          </w:p>
          <w:p>
            <w:pPr>
              <w:tabs>
                <w:tab w:val="left" w:pos="1260"/>
              </w:tabs>
              <w:spacing w:line="360" w:lineRule="auto"/>
              <w:ind w:left="-86" w:leftChars="-41" w:right="-71" w:rightChars="-34"/>
              <w:jc w:val="center"/>
              <w:rPr>
                <w:rFonts w:ascii="仿宋" w:hAnsi="仿宋" w:eastAsia="仿宋" w:cs="仿宋"/>
                <w:b/>
                <w:color w:val="auto"/>
                <w:szCs w:val="21"/>
                <w:highlight w:val="none"/>
                <w:lang w:val="en-GB"/>
              </w:rPr>
            </w:pPr>
            <w:r>
              <w:rPr>
                <w:rFonts w:hint="eastAsia" w:ascii="仿宋" w:hAnsi="仿宋" w:eastAsia="仿宋" w:cs="仿宋"/>
                <w:b/>
                <w:color w:val="auto"/>
                <w:szCs w:val="21"/>
                <w:highlight w:val="none"/>
                <w:lang w:val="en-GB"/>
              </w:rPr>
              <w:t>（规格型号）</w:t>
            </w:r>
          </w:p>
        </w:tc>
        <w:tc>
          <w:tcPr>
            <w:tcW w:w="1706" w:type="dxa"/>
            <w:vAlign w:val="center"/>
          </w:tcPr>
          <w:p>
            <w:pPr>
              <w:tabs>
                <w:tab w:val="left" w:pos="1260"/>
              </w:tabs>
              <w:spacing w:line="360" w:lineRule="auto"/>
              <w:ind w:left="-86" w:leftChars="-41" w:right="-71" w:rightChars="-34"/>
              <w:jc w:val="center"/>
              <w:rPr>
                <w:rFonts w:ascii="仿宋" w:hAnsi="仿宋" w:eastAsia="仿宋" w:cs="仿宋"/>
                <w:b/>
                <w:color w:val="auto"/>
                <w:szCs w:val="21"/>
                <w:highlight w:val="none"/>
                <w:lang w:val="en-GB"/>
              </w:rPr>
            </w:pPr>
            <w:r>
              <w:rPr>
                <w:rFonts w:hint="eastAsia" w:ascii="仿宋" w:hAnsi="仿宋" w:eastAsia="仿宋" w:cs="仿宋"/>
                <w:b/>
                <w:color w:val="auto"/>
                <w:szCs w:val="21"/>
                <w:highlight w:val="none"/>
                <w:lang w:val="en-GB"/>
              </w:rPr>
              <w:t>制造商</w:t>
            </w:r>
          </w:p>
        </w:tc>
        <w:tc>
          <w:tcPr>
            <w:tcW w:w="1508" w:type="dxa"/>
            <w:vAlign w:val="center"/>
          </w:tcPr>
          <w:p>
            <w:pPr>
              <w:tabs>
                <w:tab w:val="left" w:pos="1260"/>
              </w:tabs>
              <w:spacing w:line="360" w:lineRule="auto"/>
              <w:ind w:left="-86" w:leftChars="-41" w:right="-71" w:rightChars="-34"/>
              <w:jc w:val="center"/>
              <w:rPr>
                <w:rFonts w:ascii="仿宋" w:hAnsi="仿宋" w:eastAsia="仿宋" w:cs="仿宋"/>
                <w:b/>
                <w:color w:val="auto"/>
                <w:szCs w:val="21"/>
                <w:highlight w:val="none"/>
                <w:lang w:val="en-GB"/>
              </w:rPr>
            </w:pPr>
            <w:r>
              <w:rPr>
                <w:rFonts w:hint="eastAsia" w:ascii="仿宋" w:hAnsi="仿宋" w:eastAsia="仿宋" w:cs="仿宋"/>
                <w:b/>
                <w:color w:val="auto"/>
                <w:szCs w:val="21"/>
                <w:highlight w:val="none"/>
                <w:lang w:val="en-GB"/>
              </w:rPr>
              <w:t>认证证书编号</w:t>
            </w:r>
          </w:p>
        </w:tc>
        <w:tc>
          <w:tcPr>
            <w:tcW w:w="2608" w:type="dxa"/>
            <w:vAlign w:val="center"/>
          </w:tcPr>
          <w:p>
            <w:pPr>
              <w:tabs>
                <w:tab w:val="left" w:pos="1260"/>
              </w:tabs>
              <w:spacing w:line="360" w:lineRule="auto"/>
              <w:ind w:left="-86" w:leftChars="-41" w:right="-71" w:rightChars="-34"/>
              <w:jc w:val="center"/>
              <w:rPr>
                <w:rFonts w:ascii="仿宋" w:hAnsi="仿宋" w:eastAsia="仿宋" w:cs="仿宋"/>
                <w:b/>
                <w:color w:val="auto"/>
                <w:szCs w:val="21"/>
                <w:highlight w:val="none"/>
                <w:lang w:val="en-GB"/>
              </w:rPr>
            </w:pPr>
            <w:r>
              <w:rPr>
                <w:rFonts w:hint="eastAsia" w:ascii="仿宋" w:hAnsi="仿宋" w:eastAsia="仿宋" w:cs="仿宋"/>
                <w:b/>
                <w:color w:val="auto"/>
                <w:szCs w:val="21"/>
                <w:highlight w:val="none"/>
                <w:lang w:val="en-GB"/>
              </w:rPr>
              <w:t>清 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00" w:type="dxa"/>
            <w:vMerge w:val="restart"/>
            <w:vAlign w:val="center"/>
          </w:tcPr>
          <w:p>
            <w:pPr>
              <w:tabs>
                <w:tab w:val="left" w:pos="1260"/>
              </w:tabs>
              <w:spacing w:line="360" w:lineRule="auto"/>
              <w:ind w:left="-86" w:leftChars="-41" w:right="-71" w:rightChars="-34"/>
              <w:jc w:val="center"/>
              <w:rPr>
                <w:rFonts w:ascii="仿宋" w:hAnsi="仿宋" w:eastAsia="仿宋" w:cs="仿宋"/>
                <w:b/>
                <w:color w:val="auto"/>
                <w:szCs w:val="21"/>
                <w:highlight w:val="none"/>
                <w:lang w:val="en-GB"/>
              </w:rPr>
            </w:pPr>
            <w:r>
              <w:rPr>
                <w:rFonts w:hint="eastAsia" w:ascii="仿宋" w:hAnsi="仿宋" w:eastAsia="仿宋" w:cs="仿宋"/>
                <w:b/>
                <w:color w:val="auto"/>
                <w:szCs w:val="21"/>
                <w:highlight w:val="none"/>
                <w:lang w:val="en-GB"/>
              </w:rPr>
              <w:t>节能产品</w:t>
            </w:r>
          </w:p>
        </w:tc>
        <w:tc>
          <w:tcPr>
            <w:tcW w:w="1800" w:type="dxa"/>
            <w:vAlign w:val="center"/>
          </w:tcPr>
          <w:p>
            <w:pPr>
              <w:tabs>
                <w:tab w:val="left" w:pos="1260"/>
              </w:tabs>
              <w:spacing w:line="360" w:lineRule="auto"/>
              <w:jc w:val="center"/>
              <w:rPr>
                <w:rFonts w:ascii="仿宋" w:hAnsi="仿宋" w:eastAsia="仿宋" w:cs="仿宋"/>
                <w:color w:val="auto"/>
                <w:szCs w:val="21"/>
                <w:highlight w:val="none"/>
                <w:lang w:val="en-GB"/>
              </w:rPr>
            </w:pPr>
          </w:p>
        </w:tc>
        <w:tc>
          <w:tcPr>
            <w:tcW w:w="1706" w:type="dxa"/>
            <w:vAlign w:val="center"/>
          </w:tcPr>
          <w:p>
            <w:pPr>
              <w:tabs>
                <w:tab w:val="left" w:pos="1260"/>
              </w:tabs>
              <w:spacing w:line="360" w:lineRule="auto"/>
              <w:jc w:val="center"/>
              <w:rPr>
                <w:rFonts w:ascii="仿宋" w:hAnsi="仿宋" w:eastAsia="仿宋" w:cs="仿宋"/>
                <w:color w:val="auto"/>
                <w:szCs w:val="21"/>
                <w:highlight w:val="none"/>
                <w:lang w:val="en-GB"/>
              </w:rPr>
            </w:pPr>
          </w:p>
        </w:tc>
        <w:tc>
          <w:tcPr>
            <w:tcW w:w="1508" w:type="dxa"/>
            <w:vAlign w:val="center"/>
          </w:tcPr>
          <w:p>
            <w:pPr>
              <w:tabs>
                <w:tab w:val="left" w:pos="1260"/>
              </w:tabs>
              <w:spacing w:line="360" w:lineRule="auto"/>
              <w:jc w:val="center"/>
              <w:rPr>
                <w:rFonts w:ascii="仿宋" w:hAnsi="仿宋" w:eastAsia="仿宋" w:cs="仿宋"/>
                <w:color w:val="auto"/>
                <w:szCs w:val="21"/>
                <w:highlight w:val="none"/>
                <w:lang w:val="en-GB"/>
              </w:rPr>
            </w:pPr>
          </w:p>
        </w:tc>
        <w:tc>
          <w:tcPr>
            <w:tcW w:w="2608" w:type="dxa"/>
            <w:vAlign w:val="center"/>
          </w:tcPr>
          <w:p>
            <w:pPr>
              <w:tabs>
                <w:tab w:val="left" w:pos="1260"/>
              </w:tabs>
              <w:spacing w:line="360" w:lineRule="auto"/>
              <w:jc w:val="center"/>
              <w:rPr>
                <w:rFonts w:ascii="仿宋" w:hAnsi="仿宋" w:eastAsia="仿宋" w:cs="仿宋"/>
                <w:color w:val="auto"/>
                <w:szCs w:val="21"/>
                <w:highlight w:val="none"/>
                <w:lang w:val="en-GB"/>
              </w:rPr>
            </w:pPr>
            <w:r>
              <w:rPr>
                <w:rFonts w:hint="eastAsia" w:ascii="仿宋" w:hAnsi="仿宋" w:eastAsia="仿宋" w:cs="仿宋"/>
                <w:color w:val="auto"/>
                <w:szCs w:val="21"/>
                <w:highlight w:val="none"/>
                <w:lang w:val="en-GB"/>
              </w:rPr>
              <w:t>第</w:t>
            </w:r>
            <w:r>
              <w:rPr>
                <w:rFonts w:hint="eastAsia" w:ascii="仿宋" w:hAnsi="仿宋" w:eastAsia="仿宋" w:cs="仿宋"/>
                <w:color w:val="auto"/>
                <w:szCs w:val="21"/>
                <w:highlight w:val="none"/>
                <w:u w:val="single"/>
                <w:lang w:val="en-GB"/>
              </w:rPr>
              <w:t>　</w:t>
            </w:r>
            <w:r>
              <w:rPr>
                <w:rFonts w:hint="eastAsia" w:ascii="仿宋" w:hAnsi="仿宋" w:eastAsia="仿宋" w:cs="仿宋"/>
                <w:color w:val="auto"/>
                <w:szCs w:val="21"/>
                <w:highlight w:val="none"/>
                <w:lang w:val="en-GB"/>
              </w:rPr>
              <w:t>期清单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00" w:type="dxa"/>
            <w:vMerge w:val="continue"/>
            <w:vAlign w:val="center"/>
          </w:tcPr>
          <w:p>
            <w:pPr>
              <w:tabs>
                <w:tab w:val="left" w:pos="1260"/>
              </w:tabs>
              <w:spacing w:line="360" w:lineRule="auto"/>
              <w:jc w:val="center"/>
              <w:rPr>
                <w:rFonts w:ascii="仿宋" w:hAnsi="仿宋" w:eastAsia="仿宋" w:cs="仿宋"/>
                <w:b/>
                <w:color w:val="auto"/>
                <w:szCs w:val="21"/>
                <w:highlight w:val="none"/>
                <w:lang w:val="en-GB"/>
              </w:rPr>
            </w:pPr>
          </w:p>
        </w:tc>
        <w:tc>
          <w:tcPr>
            <w:tcW w:w="1800" w:type="dxa"/>
            <w:vAlign w:val="center"/>
          </w:tcPr>
          <w:p>
            <w:pPr>
              <w:tabs>
                <w:tab w:val="left" w:pos="1260"/>
              </w:tabs>
              <w:spacing w:line="360" w:lineRule="auto"/>
              <w:jc w:val="center"/>
              <w:rPr>
                <w:rFonts w:ascii="仿宋" w:hAnsi="仿宋" w:eastAsia="仿宋" w:cs="仿宋"/>
                <w:color w:val="auto"/>
                <w:szCs w:val="21"/>
                <w:highlight w:val="none"/>
                <w:lang w:val="en-GB"/>
              </w:rPr>
            </w:pPr>
          </w:p>
        </w:tc>
        <w:tc>
          <w:tcPr>
            <w:tcW w:w="1706" w:type="dxa"/>
            <w:vAlign w:val="center"/>
          </w:tcPr>
          <w:p>
            <w:pPr>
              <w:tabs>
                <w:tab w:val="left" w:pos="1260"/>
              </w:tabs>
              <w:spacing w:line="360" w:lineRule="auto"/>
              <w:jc w:val="center"/>
              <w:rPr>
                <w:rFonts w:ascii="仿宋" w:hAnsi="仿宋" w:eastAsia="仿宋" w:cs="仿宋"/>
                <w:color w:val="auto"/>
                <w:szCs w:val="21"/>
                <w:highlight w:val="none"/>
                <w:lang w:val="en-GB"/>
              </w:rPr>
            </w:pPr>
          </w:p>
        </w:tc>
        <w:tc>
          <w:tcPr>
            <w:tcW w:w="1508" w:type="dxa"/>
            <w:vAlign w:val="center"/>
          </w:tcPr>
          <w:p>
            <w:pPr>
              <w:tabs>
                <w:tab w:val="left" w:pos="1260"/>
              </w:tabs>
              <w:spacing w:line="360" w:lineRule="auto"/>
              <w:jc w:val="center"/>
              <w:rPr>
                <w:rFonts w:ascii="仿宋" w:hAnsi="仿宋" w:eastAsia="仿宋" w:cs="仿宋"/>
                <w:color w:val="auto"/>
                <w:szCs w:val="21"/>
                <w:highlight w:val="none"/>
                <w:lang w:val="en-GB"/>
              </w:rPr>
            </w:pPr>
          </w:p>
        </w:tc>
        <w:tc>
          <w:tcPr>
            <w:tcW w:w="2608" w:type="dxa"/>
            <w:vAlign w:val="center"/>
          </w:tcPr>
          <w:p>
            <w:pPr>
              <w:tabs>
                <w:tab w:val="left" w:pos="1260"/>
              </w:tabs>
              <w:spacing w:line="360" w:lineRule="auto"/>
              <w:jc w:val="center"/>
              <w:rPr>
                <w:rFonts w:ascii="仿宋" w:hAnsi="仿宋" w:eastAsia="仿宋" w:cs="仿宋"/>
                <w:color w:val="auto"/>
                <w:szCs w:val="21"/>
                <w:highlight w:val="none"/>
                <w:lang w:val="en-GB"/>
              </w:rPr>
            </w:pPr>
            <w:r>
              <w:rPr>
                <w:rFonts w:hint="eastAsia" w:ascii="仿宋" w:hAnsi="仿宋" w:eastAsia="仿宋" w:cs="仿宋"/>
                <w:color w:val="auto"/>
                <w:szCs w:val="21"/>
                <w:highlight w:val="none"/>
                <w:lang w:val="en-GB"/>
              </w:rPr>
              <w:t>第</w:t>
            </w:r>
            <w:r>
              <w:rPr>
                <w:rFonts w:hint="eastAsia" w:ascii="仿宋" w:hAnsi="仿宋" w:eastAsia="仿宋" w:cs="仿宋"/>
                <w:color w:val="auto"/>
                <w:szCs w:val="21"/>
                <w:highlight w:val="none"/>
                <w:u w:val="single"/>
                <w:lang w:val="en-GB"/>
              </w:rPr>
              <w:t>　</w:t>
            </w:r>
            <w:r>
              <w:rPr>
                <w:rFonts w:hint="eastAsia" w:ascii="仿宋" w:hAnsi="仿宋" w:eastAsia="仿宋" w:cs="仿宋"/>
                <w:color w:val="auto"/>
                <w:szCs w:val="21"/>
                <w:highlight w:val="none"/>
                <w:lang w:val="en-GB"/>
              </w:rPr>
              <w:t>期清单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00" w:type="dxa"/>
            <w:vMerge w:val="restart"/>
            <w:vAlign w:val="center"/>
          </w:tcPr>
          <w:p>
            <w:pPr>
              <w:tabs>
                <w:tab w:val="left" w:pos="1260"/>
              </w:tabs>
              <w:spacing w:line="360" w:lineRule="auto"/>
              <w:ind w:left="-86" w:leftChars="-41" w:right="-71" w:rightChars="-34"/>
              <w:jc w:val="center"/>
              <w:rPr>
                <w:rFonts w:ascii="仿宋" w:hAnsi="仿宋" w:eastAsia="仿宋" w:cs="仿宋"/>
                <w:b/>
                <w:color w:val="auto"/>
                <w:szCs w:val="21"/>
                <w:highlight w:val="none"/>
                <w:lang w:val="en-GB"/>
              </w:rPr>
            </w:pPr>
            <w:r>
              <w:rPr>
                <w:rFonts w:hint="eastAsia" w:ascii="仿宋" w:hAnsi="仿宋" w:eastAsia="仿宋" w:cs="仿宋"/>
                <w:b/>
                <w:color w:val="auto"/>
                <w:szCs w:val="21"/>
                <w:highlight w:val="none"/>
                <w:lang w:val="en-GB"/>
              </w:rPr>
              <w:t>环保标志产品</w:t>
            </w:r>
          </w:p>
        </w:tc>
        <w:tc>
          <w:tcPr>
            <w:tcW w:w="1800" w:type="dxa"/>
            <w:vAlign w:val="center"/>
          </w:tcPr>
          <w:p>
            <w:pPr>
              <w:tabs>
                <w:tab w:val="left" w:pos="1260"/>
              </w:tabs>
              <w:spacing w:line="360" w:lineRule="auto"/>
              <w:jc w:val="center"/>
              <w:rPr>
                <w:rFonts w:ascii="仿宋" w:hAnsi="仿宋" w:eastAsia="仿宋" w:cs="仿宋"/>
                <w:color w:val="auto"/>
                <w:szCs w:val="21"/>
                <w:highlight w:val="none"/>
                <w:lang w:val="en-GB"/>
              </w:rPr>
            </w:pPr>
          </w:p>
        </w:tc>
        <w:tc>
          <w:tcPr>
            <w:tcW w:w="1706" w:type="dxa"/>
            <w:vAlign w:val="center"/>
          </w:tcPr>
          <w:p>
            <w:pPr>
              <w:tabs>
                <w:tab w:val="left" w:pos="1260"/>
              </w:tabs>
              <w:spacing w:line="360" w:lineRule="auto"/>
              <w:jc w:val="center"/>
              <w:rPr>
                <w:rFonts w:ascii="仿宋" w:hAnsi="仿宋" w:eastAsia="仿宋" w:cs="仿宋"/>
                <w:color w:val="auto"/>
                <w:szCs w:val="21"/>
                <w:highlight w:val="none"/>
                <w:lang w:val="en-GB"/>
              </w:rPr>
            </w:pPr>
          </w:p>
        </w:tc>
        <w:tc>
          <w:tcPr>
            <w:tcW w:w="1508" w:type="dxa"/>
            <w:vAlign w:val="center"/>
          </w:tcPr>
          <w:p>
            <w:pPr>
              <w:tabs>
                <w:tab w:val="left" w:pos="1260"/>
              </w:tabs>
              <w:spacing w:line="360" w:lineRule="auto"/>
              <w:jc w:val="center"/>
              <w:rPr>
                <w:rFonts w:ascii="仿宋" w:hAnsi="仿宋" w:eastAsia="仿宋" w:cs="仿宋"/>
                <w:color w:val="auto"/>
                <w:szCs w:val="21"/>
                <w:highlight w:val="none"/>
                <w:lang w:val="en-GB"/>
              </w:rPr>
            </w:pPr>
          </w:p>
        </w:tc>
        <w:tc>
          <w:tcPr>
            <w:tcW w:w="2608" w:type="dxa"/>
            <w:vAlign w:val="center"/>
          </w:tcPr>
          <w:p>
            <w:pPr>
              <w:tabs>
                <w:tab w:val="left" w:pos="1260"/>
              </w:tabs>
              <w:spacing w:line="360" w:lineRule="auto"/>
              <w:jc w:val="center"/>
              <w:rPr>
                <w:rFonts w:ascii="仿宋" w:hAnsi="仿宋" w:eastAsia="仿宋" w:cs="仿宋"/>
                <w:color w:val="auto"/>
                <w:szCs w:val="21"/>
                <w:highlight w:val="none"/>
                <w:lang w:val="en-GB"/>
              </w:rPr>
            </w:pPr>
            <w:r>
              <w:rPr>
                <w:rFonts w:hint="eastAsia" w:ascii="仿宋" w:hAnsi="仿宋" w:eastAsia="仿宋" w:cs="仿宋"/>
                <w:color w:val="auto"/>
                <w:szCs w:val="21"/>
                <w:highlight w:val="none"/>
                <w:lang w:val="en-GB"/>
              </w:rPr>
              <w:t>第</w:t>
            </w:r>
            <w:r>
              <w:rPr>
                <w:rFonts w:hint="eastAsia" w:ascii="仿宋" w:hAnsi="仿宋" w:eastAsia="仿宋" w:cs="仿宋"/>
                <w:color w:val="auto"/>
                <w:szCs w:val="21"/>
                <w:highlight w:val="none"/>
                <w:u w:val="single"/>
                <w:lang w:val="en-GB"/>
              </w:rPr>
              <w:t>　</w:t>
            </w:r>
            <w:r>
              <w:rPr>
                <w:rFonts w:hint="eastAsia" w:ascii="仿宋" w:hAnsi="仿宋" w:eastAsia="仿宋" w:cs="仿宋"/>
                <w:color w:val="auto"/>
                <w:szCs w:val="21"/>
                <w:highlight w:val="none"/>
                <w:lang w:val="en-GB"/>
              </w:rPr>
              <w:t>期清单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00" w:type="dxa"/>
            <w:vMerge w:val="continue"/>
            <w:vAlign w:val="center"/>
          </w:tcPr>
          <w:p>
            <w:pPr>
              <w:tabs>
                <w:tab w:val="left" w:pos="1260"/>
              </w:tabs>
              <w:spacing w:line="360" w:lineRule="auto"/>
              <w:ind w:left="-86" w:leftChars="-41" w:right="-71" w:rightChars="-34"/>
              <w:jc w:val="center"/>
              <w:rPr>
                <w:rFonts w:ascii="仿宋" w:hAnsi="仿宋" w:eastAsia="仿宋" w:cs="仿宋"/>
                <w:b/>
                <w:color w:val="auto"/>
                <w:szCs w:val="21"/>
                <w:highlight w:val="none"/>
                <w:lang w:val="en-GB"/>
              </w:rPr>
            </w:pPr>
          </w:p>
        </w:tc>
        <w:tc>
          <w:tcPr>
            <w:tcW w:w="1800" w:type="dxa"/>
            <w:vAlign w:val="center"/>
          </w:tcPr>
          <w:p>
            <w:pPr>
              <w:tabs>
                <w:tab w:val="left" w:pos="1260"/>
              </w:tabs>
              <w:spacing w:line="360" w:lineRule="auto"/>
              <w:jc w:val="center"/>
              <w:rPr>
                <w:rFonts w:ascii="仿宋" w:hAnsi="仿宋" w:eastAsia="仿宋" w:cs="仿宋"/>
                <w:color w:val="auto"/>
                <w:szCs w:val="21"/>
                <w:highlight w:val="none"/>
                <w:lang w:val="en-GB"/>
              </w:rPr>
            </w:pPr>
          </w:p>
        </w:tc>
        <w:tc>
          <w:tcPr>
            <w:tcW w:w="1706" w:type="dxa"/>
            <w:vAlign w:val="center"/>
          </w:tcPr>
          <w:p>
            <w:pPr>
              <w:tabs>
                <w:tab w:val="left" w:pos="1260"/>
              </w:tabs>
              <w:spacing w:line="360" w:lineRule="auto"/>
              <w:jc w:val="center"/>
              <w:rPr>
                <w:rFonts w:ascii="仿宋" w:hAnsi="仿宋" w:eastAsia="仿宋" w:cs="仿宋"/>
                <w:color w:val="auto"/>
                <w:szCs w:val="21"/>
                <w:highlight w:val="none"/>
                <w:lang w:val="en-GB"/>
              </w:rPr>
            </w:pPr>
          </w:p>
        </w:tc>
        <w:tc>
          <w:tcPr>
            <w:tcW w:w="1508" w:type="dxa"/>
            <w:vAlign w:val="center"/>
          </w:tcPr>
          <w:p>
            <w:pPr>
              <w:tabs>
                <w:tab w:val="left" w:pos="1260"/>
              </w:tabs>
              <w:spacing w:line="360" w:lineRule="auto"/>
              <w:jc w:val="center"/>
              <w:rPr>
                <w:rFonts w:ascii="仿宋" w:hAnsi="仿宋" w:eastAsia="仿宋" w:cs="仿宋"/>
                <w:color w:val="auto"/>
                <w:szCs w:val="21"/>
                <w:highlight w:val="none"/>
                <w:lang w:val="en-GB"/>
              </w:rPr>
            </w:pPr>
          </w:p>
        </w:tc>
        <w:tc>
          <w:tcPr>
            <w:tcW w:w="2608" w:type="dxa"/>
            <w:vAlign w:val="center"/>
          </w:tcPr>
          <w:p>
            <w:pPr>
              <w:tabs>
                <w:tab w:val="left" w:pos="1260"/>
              </w:tabs>
              <w:spacing w:line="360" w:lineRule="auto"/>
              <w:jc w:val="center"/>
              <w:rPr>
                <w:rFonts w:ascii="仿宋" w:hAnsi="仿宋" w:eastAsia="仿宋" w:cs="仿宋"/>
                <w:color w:val="auto"/>
                <w:szCs w:val="21"/>
                <w:highlight w:val="none"/>
                <w:lang w:val="en-GB"/>
              </w:rPr>
            </w:pPr>
            <w:r>
              <w:rPr>
                <w:rFonts w:hint="eastAsia" w:ascii="仿宋" w:hAnsi="仿宋" w:eastAsia="仿宋" w:cs="仿宋"/>
                <w:color w:val="auto"/>
                <w:szCs w:val="21"/>
                <w:highlight w:val="none"/>
                <w:lang w:val="en-GB"/>
              </w:rPr>
              <w:t>第</w:t>
            </w:r>
            <w:r>
              <w:rPr>
                <w:rFonts w:hint="eastAsia" w:ascii="仿宋" w:hAnsi="仿宋" w:eastAsia="仿宋" w:cs="仿宋"/>
                <w:color w:val="auto"/>
                <w:szCs w:val="21"/>
                <w:highlight w:val="none"/>
                <w:u w:val="single"/>
                <w:lang w:val="en-GB"/>
              </w:rPr>
              <w:t>　</w:t>
            </w:r>
            <w:r>
              <w:rPr>
                <w:rFonts w:hint="eastAsia" w:ascii="仿宋" w:hAnsi="仿宋" w:eastAsia="仿宋" w:cs="仿宋"/>
                <w:color w:val="auto"/>
                <w:szCs w:val="21"/>
                <w:highlight w:val="none"/>
                <w:lang w:val="en-GB"/>
              </w:rPr>
              <w:t>期清单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00" w:type="dxa"/>
            <w:vAlign w:val="center"/>
          </w:tcPr>
          <w:p>
            <w:pPr>
              <w:tabs>
                <w:tab w:val="left" w:pos="1260"/>
              </w:tabs>
              <w:spacing w:line="360" w:lineRule="auto"/>
              <w:ind w:left="-86" w:leftChars="-41" w:right="-71" w:rightChars="-34"/>
              <w:jc w:val="center"/>
              <w:rPr>
                <w:rFonts w:ascii="仿宋" w:hAnsi="仿宋" w:eastAsia="仿宋" w:cs="仿宋"/>
                <w:color w:val="auto"/>
                <w:szCs w:val="21"/>
                <w:highlight w:val="none"/>
                <w:lang w:val="en-GB"/>
              </w:rPr>
            </w:pPr>
            <w:r>
              <w:rPr>
                <w:rFonts w:hint="eastAsia" w:ascii="仿宋" w:hAnsi="仿宋" w:eastAsia="仿宋" w:cs="仿宋"/>
                <w:b/>
                <w:color w:val="auto"/>
                <w:szCs w:val="21"/>
                <w:highlight w:val="none"/>
                <w:lang w:val="en-GB"/>
              </w:rPr>
              <w:t>说明</w:t>
            </w:r>
          </w:p>
        </w:tc>
        <w:tc>
          <w:tcPr>
            <w:tcW w:w="7622" w:type="dxa"/>
            <w:gridSpan w:val="4"/>
            <w:vAlign w:val="center"/>
          </w:tcPr>
          <w:p>
            <w:pPr>
              <w:tabs>
                <w:tab w:val="left" w:pos="1260"/>
              </w:tabs>
              <w:spacing w:line="360" w:lineRule="auto"/>
              <w:rPr>
                <w:rFonts w:ascii="仿宋" w:hAnsi="仿宋" w:eastAsia="仿宋" w:cs="仿宋"/>
                <w:color w:val="auto"/>
                <w:szCs w:val="21"/>
                <w:highlight w:val="none"/>
                <w:lang w:val="en-GB"/>
              </w:rPr>
            </w:pPr>
          </w:p>
        </w:tc>
      </w:tr>
    </w:tbl>
    <w:p>
      <w:pPr>
        <w:tabs>
          <w:tab w:val="left" w:pos="360"/>
          <w:tab w:val="left" w:pos="993"/>
        </w:tabs>
        <w:spacing w:line="360" w:lineRule="auto"/>
        <w:rPr>
          <w:rFonts w:ascii="仿宋" w:hAnsi="仿宋" w:eastAsia="仿宋" w:cs="仿宋"/>
          <w:color w:val="auto"/>
          <w:szCs w:val="21"/>
          <w:highlight w:val="none"/>
          <w:lang w:val="en-GB"/>
        </w:rPr>
      </w:pPr>
      <w:r>
        <w:rPr>
          <w:rFonts w:hint="eastAsia" w:ascii="仿宋" w:hAnsi="仿宋" w:eastAsia="仿宋" w:cs="仿宋"/>
          <w:color w:val="auto"/>
          <w:szCs w:val="21"/>
          <w:highlight w:val="none"/>
          <w:lang w:val="en-GB"/>
        </w:rPr>
        <w:t>注： “节能产品、环保标志产品”是属于国家行业主管部门颁布的清单目录中的产品，须填写认证证书编号，并在“清单”栏中填写属于“第</w:t>
      </w:r>
      <w:r>
        <w:rPr>
          <w:rFonts w:hint="eastAsia" w:ascii="仿宋" w:hAnsi="仿宋" w:eastAsia="仿宋" w:cs="仿宋"/>
          <w:color w:val="auto"/>
          <w:szCs w:val="21"/>
          <w:highlight w:val="none"/>
          <w:u w:val="single"/>
          <w:lang w:val="en-GB"/>
        </w:rPr>
        <w:t>　</w:t>
      </w:r>
      <w:r>
        <w:rPr>
          <w:rFonts w:hint="eastAsia" w:ascii="仿宋" w:hAnsi="仿宋" w:eastAsia="仿宋" w:cs="仿宋"/>
          <w:color w:val="auto"/>
          <w:szCs w:val="21"/>
          <w:highlight w:val="none"/>
          <w:lang w:val="en-GB"/>
        </w:rPr>
        <w:t>期清单”的产品（产品被列入多期清单的，</w:t>
      </w:r>
      <w:r>
        <w:rPr>
          <w:rFonts w:hint="eastAsia" w:ascii="仿宋" w:hAnsi="仿宋" w:eastAsia="仿宋" w:cs="仿宋"/>
          <w:b/>
          <w:color w:val="auto"/>
          <w:szCs w:val="21"/>
          <w:highlight w:val="none"/>
          <w:lang w:val="en-GB"/>
        </w:rPr>
        <w:t>以最新一期为准</w:t>
      </w:r>
      <w:r>
        <w:rPr>
          <w:rFonts w:hint="eastAsia" w:ascii="仿宋" w:hAnsi="仿宋" w:eastAsia="仿宋" w:cs="仿宋"/>
          <w:color w:val="auto"/>
          <w:szCs w:val="21"/>
          <w:highlight w:val="none"/>
          <w:lang w:val="en-GB"/>
        </w:rPr>
        <w:t>），同时提供有效期内的证书复印件以及下述文件</w:t>
      </w:r>
      <w:r>
        <w:rPr>
          <w:rFonts w:hint="eastAsia" w:ascii="仿宋" w:hAnsi="仿宋" w:eastAsia="仿宋" w:cs="仿宋"/>
          <w:color w:val="auto"/>
          <w:szCs w:val="21"/>
          <w:highlight w:val="none"/>
        </w:rPr>
        <w:t>（均为复印件，加盖投标人公章）</w:t>
      </w:r>
      <w:r>
        <w:rPr>
          <w:rFonts w:hint="eastAsia" w:ascii="仿宋" w:hAnsi="仿宋" w:eastAsia="仿宋" w:cs="仿宋"/>
          <w:color w:val="auto"/>
          <w:szCs w:val="21"/>
          <w:highlight w:val="none"/>
          <w:lang w:val="en-GB"/>
        </w:rPr>
        <w:t>：</w:t>
      </w:r>
    </w:p>
    <w:p>
      <w:pPr>
        <w:tabs>
          <w:tab w:val="left" w:pos="567"/>
          <w:tab w:val="left" w:pos="993"/>
        </w:tabs>
        <w:autoSpaceDE/>
        <w:autoSpaceDN/>
        <w:adjustRightInd/>
        <w:spacing w:line="360" w:lineRule="auto"/>
        <w:ind w:firstLine="630" w:firstLineChars="300"/>
        <w:jc w:val="both"/>
        <w:rPr>
          <w:rFonts w:ascii="仿宋" w:hAnsi="仿宋" w:eastAsia="仿宋" w:cs="仿宋"/>
          <w:color w:val="auto"/>
          <w:szCs w:val="21"/>
          <w:highlight w:val="none"/>
        </w:rPr>
      </w:pPr>
      <w:r>
        <w:rPr>
          <w:rFonts w:hint="eastAsia" w:ascii="仿宋" w:hAnsi="仿宋" w:eastAsia="仿宋" w:cs="仿宋"/>
          <w:color w:val="auto"/>
          <w:szCs w:val="21"/>
          <w:highlight w:val="none"/>
        </w:rPr>
        <w:t>1.属于“节能产品政府采购清单”中品目的产品，提供“节能产品政府采购清单（第___期）”中投标产品所在清单页并加盖投标人公章，节能清单在中华人民共和国财政部网站（http://www.mof.gov.cn）、中国政府采购网（http://www.ccgp.gov.cn/）、国家发展改革委网站（http://hzs.ndrc.gov.cn/）和中国质量认证中心网站（http://www.cqc.com.cn/）上发布；</w:t>
      </w:r>
    </w:p>
    <w:p>
      <w:pPr>
        <w:tabs>
          <w:tab w:val="left" w:pos="567"/>
          <w:tab w:val="left" w:pos="993"/>
        </w:tabs>
        <w:autoSpaceDE/>
        <w:autoSpaceDN/>
        <w:adjustRightInd/>
        <w:spacing w:line="360" w:lineRule="auto"/>
        <w:ind w:firstLine="630" w:firstLineChars="300"/>
        <w:jc w:val="both"/>
        <w:rPr>
          <w:rFonts w:ascii="仿宋" w:hAnsi="仿宋" w:eastAsia="仿宋" w:cs="仿宋"/>
          <w:color w:val="auto"/>
          <w:szCs w:val="21"/>
          <w:highlight w:val="none"/>
        </w:rPr>
      </w:pPr>
      <w:r>
        <w:rPr>
          <w:rFonts w:hint="eastAsia" w:ascii="仿宋" w:hAnsi="仿宋" w:eastAsia="仿宋" w:cs="仿宋"/>
          <w:color w:val="auto"/>
          <w:szCs w:val="21"/>
          <w:highlight w:val="none"/>
        </w:rPr>
        <w:t>2.属于“环境标志产品政府采购清单”中品目的产品，提供最新“环境标志产品政府采购清单”中投标产品所在清单页并加盖投标人公章，清单在中华人民共和国财政部网站（http://www.mof.gov.cn）、中国政府采购网（http://www.ccgp.gov.cn/）、中华人民共和国环境保护部网站（http://www.zhb.gov.cn）、中国绿色采购网（http://www.cgpn.org/）上发布。</w:t>
      </w:r>
    </w:p>
    <w:p>
      <w:pPr>
        <w:snapToGrid w:val="0"/>
        <w:spacing w:line="360" w:lineRule="auto"/>
        <w:rPr>
          <w:rFonts w:ascii="仿宋" w:hAnsi="仿宋" w:eastAsia="仿宋" w:cs="仿宋"/>
          <w:color w:val="auto"/>
          <w:szCs w:val="21"/>
          <w:highlight w:val="none"/>
        </w:rPr>
      </w:pPr>
    </w:p>
    <w:p>
      <w:pPr>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投标人法定代表人（或法定代表人授权代表）签字：</w:t>
      </w:r>
      <w:r>
        <w:rPr>
          <w:rFonts w:hint="eastAsia" w:ascii="仿宋" w:hAnsi="仿宋" w:eastAsia="仿宋" w:cs="仿宋"/>
          <w:color w:val="auto"/>
          <w:szCs w:val="21"/>
          <w:highlight w:val="none"/>
          <w:u w:val="single"/>
        </w:rPr>
        <w:t xml:space="preserve">                   </w:t>
      </w:r>
    </w:p>
    <w:p>
      <w:pPr>
        <w:snapToGrid w:val="0"/>
        <w:spacing w:line="360" w:lineRule="auto"/>
        <w:rPr>
          <w:rFonts w:ascii="仿宋" w:hAnsi="仿宋" w:eastAsia="仿宋" w:cs="仿宋"/>
          <w:color w:val="auto"/>
          <w:szCs w:val="21"/>
          <w:highlight w:val="none"/>
          <w:u w:val="single"/>
        </w:rPr>
      </w:pPr>
      <w:r>
        <w:rPr>
          <w:rFonts w:hint="eastAsia" w:ascii="仿宋" w:hAnsi="仿宋" w:eastAsia="仿宋" w:cs="仿宋"/>
          <w:color w:val="auto"/>
          <w:szCs w:val="21"/>
          <w:highlight w:val="none"/>
        </w:rPr>
        <w:t>投标人名称（加盖法人公章）：</w:t>
      </w:r>
      <w:r>
        <w:rPr>
          <w:rFonts w:hint="eastAsia" w:ascii="仿宋" w:hAnsi="仿宋" w:eastAsia="仿宋" w:cs="仿宋"/>
          <w:color w:val="auto"/>
          <w:szCs w:val="21"/>
          <w:highlight w:val="none"/>
          <w:u w:val="single"/>
        </w:rPr>
        <w:t xml:space="preserve">                        </w:t>
      </w:r>
    </w:p>
    <w:p>
      <w:pPr>
        <w:spacing w:line="360" w:lineRule="auto"/>
        <w:rPr>
          <w:rFonts w:ascii="仿宋" w:hAnsi="仿宋" w:eastAsia="仿宋" w:cs="仿宋"/>
          <w:b/>
          <w:color w:val="auto"/>
          <w:szCs w:val="21"/>
          <w:highlight w:val="none"/>
        </w:rPr>
      </w:pPr>
      <w:r>
        <w:rPr>
          <w:rFonts w:hint="eastAsia" w:ascii="仿宋" w:hAnsi="仿宋" w:eastAsia="仿宋" w:cs="仿宋"/>
          <w:color w:val="auto"/>
          <w:szCs w:val="21"/>
          <w:highlight w:val="none"/>
        </w:rPr>
        <w:t>日期：   年   月   日</w:t>
      </w:r>
    </w:p>
    <w:p>
      <w:pPr>
        <w:pStyle w:val="3"/>
        <w:spacing w:after="120" w:line="480" w:lineRule="exact"/>
        <w:rPr>
          <w:rFonts w:hAnsi="宋体" w:cs="宋体"/>
          <w:b/>
          <w:color w:val="auto"/>
          <w:szCs w:val="21"/>
          <w:highlight w:val="none"/>
        </w:rPr>
      </w:pPr>
      <w:r>
        <w:rPr>
          <w:rFonts w:hAnsi="宋体" w:cs="宋体"/>
          <w:b/>
          <w:color w:val="auto"/>
          <w:szCs w:val="20"/>
          <w:highlight w:val="none"/>
        </w:rPr>
        <w:br w:type="page"/>
      </w:r>
      <w:r>
        <w:rPr>
          <w:rFonts w:hint="eastAsia" w:hAnsi="宋体" w:cs="宋体"/>
          <w:b/>
          <w:color w:val="auto"/>
          <w:szCs w:val="20"/>
          <w:highlight w:val="none"/>
        </w:rPr>
        <w:t>附表2.1</w:t>
      </w:r>
      <w:r>
        <w:rPr>
          <w:rFonts w:hint="eastAsia" w:hAnsi="宋体" w:cs="宋体"/>
          <w:color w:val="auto"/>
          <w:szCs w:val="20"/>
          <w:highlight w:val="none"/>
        </w:rPr>
        <w:t>2</w:t>
      </w:r>
      <w:r>
        <w:rPr>
          <w:rFonts w:hint="eastAsia" w:hAnsi="宋体" w:cs="宋体"/>
          <w:b/>
          <w:color w:val="auto"/>
          <w:szCs w:val="20"/>
          <w:highlight w:val="none"/>
        </w:rPr>
        <w:t>投标人认为完成本项目所需的其他证明文件</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 xml:space="preserve"> </w:t>
      </w:r>
    </w:p>
    <w:p>
      <w:pPr>
        <w:spacing w:line="360" w:lineRule="auto"/>
        <w:ind w:firstLine="420" w:firstLineChars="200"/>
        <w:rPr>
          <w:rFonts w:hAnsi="宋体" w:cs="宋体"/>
          <w:color w:val="auto"/>
          <w:szCs w:val="21"/>
          <w:highlight w:val="none"/>
        </w:rPr>
      </w:pPr>
    </w:p>
    <w:p>
      <w:pPr>
        <w:spacing w:line="360" w:lineRule="auto"/>
        <w:ind w:firstLine="420" w:firstLineChars="200"/>
        <w:rPr>
          <w:rFonts w:hAnsi="宋体" w:cs="宋体"/>
          <w:color w:val="auto"/>
          <w:szCs w:val="21"/>
          <w:highlight w:val="none"/>
        </w:rPr>
      </w:pPr>
    </w:p>
    <w:p>
      <w:pPr>
        <w:spacing w:line="360" w:lineRule="auto"/>
        <w:ind w:firstLine="420" w:firstLineChars="200"/>
        <w:rPr>
          <w:rFonts w:hAnsi="宋体" w:cs="宋体"/>
          <w:color w:val="auto"/>
          <w:szCs w:val="21"/>
          <w:highlight w:val="none"/>
        </w:rPr>
      </w:pP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（格式自定）</w:t>
      </w:r>
    </w:p>
    <w:p>
      <w:pPr>
        <w:widowControl/>
        <w:spacing w:before="100" w:beforeAutospacing="1" w:after="100" w:afterAutospacing="1" w:line="360" w:lineRule="auto"/>
        <w:rPr>
          <w:rFonts w:hAnsi="宋体" w:cs="宋体"/>
          <w:color w:val="auto"/>
          <w:szCs w:val="21"/>
          <w:highlight w:val="none"/>
        </w:rPr>
        <w:sectPr>
          <w:pgSz w:w="11906" w:h="16838"/>
          <w:pgMar w:top="1089" w:right="1191" w:bottom="1089" w:left="1191" w:header="851" w:footer="1021" w:gutter="0"/>
          <w:cols w:space="720" w:num="1"/>
          <w:docGrid w:type="lines" w:linePitch="312" w:charSpace="0"/>
        </w:sectPr>
      </w:pPr>
      <w:r>
        <w:rPr>
          <w:rFonts w:hint="eastAsia" w:hAnsi="宋体" w:cs="宋体"/>
          <w:color w:val="auto"/>
          <w:szCs w:val="21"/>
          <w:highlight w:val="none"/>
        </w:rPr>
        <w:t xml:space="preserve"> </w:t>
      </w:r>
    </w:p>
    <w:p>
      <w:pPr>
        <w:pStyle w:val="3"/>
        <w:spacing w:after="120" w:line="480" w:lineRule="exact"/>
        <w:rPr>
          <w:rFonts w:hAnsi="宋体" w:cs="宋体"/>
          <w:b/>
          <w:color w:val="auto"/>
          <w:szCs w:val="20"/>
          <w:highlight w:val="none"/>
        </w:rPr>
      </w:pPr>
      <w:bookmarkStart w:id="39" w:name="_Hlk495871502"/>
      <w:r>
        <w:rPr>
          <w:rFonts w:hint="eastAsia" w:hAnsi="宋体" w:cs="宋体"/>
          <w:b/>
          <w:color w:val="auto"/>
          <w:szCs w:val="20"/>
          <w:highlight w:val="none"/>
        </w:rPr>
        <w:t>附表2.1</w:t>
      </w:r>
      <w:r>
        <w:rPr>
          <w:rFonts w:hint="eastAsia" w:hAnsi="宋体" w:cs="宋体"/>
          <w:color w:val="auto"/>
          <w:szCs w:val="20"/>
          <w:highlight w:val="none"/>
        </w:rPr>
        <w:t>3</w:t>
      </w:r>
      <w:r>
        <w:rPr>
          <w:rFonts w:hint="eastAsia" w:hAnsi="宋体" w:cs="宋体"/>
          <w:b/>
          <w:color w:val="auto"/>
          <w:szCs w:val="20"/>
          <w:highlight w:val="none"/>
        </w:rPr>
        <w:t>公平竞争承诺书</w:t>
      </w:r>
    </w:p>
    <w:bookmarkEnd w:id="39"/>
    <w:p>
      <w:pPr>
        <w:spacing w:line="360" w:lineRule="auto"/>
        <w:ind w:firstLine="422" w:firstLineChars="200"/>
        <w:jc w:val="center"/>
        <w:rPr>
          <w:rFonts w:hAnsi="宋体" w:cs="宋体"/>
          <w:b/>
          <w:color w:val="auto"/>
          <w:highlight w:val="none"/>
        </w:rPr>
      </w:pPr>
      <w:bookmarkStart w:id="40" w:name="_Toc345249422"/>
      <w:bookmarkStart w:id="41" w:name="_Hlk495871495"/>
      <w:r>
        <w:rPr>
          <w:rFonts w:hint="eastAsia" w:hAnsi="宋体" w:cs="宋体"/>
          <w:b/>
          <w:color w:val="auto"/>
          <w:highlight w:val="none"/>
        </w:rPr>
        <w:t>公平竞争承诺书</w:t>
      </w:r>
      <w:bookmarkEnd w:id="40"/>
    </w:p>
    <w:bookmarkEnd w:id="41"/>
    <w:p>
      <w:pPr>
        <w:spacing w:line="360" w:lineRule="auto"/>
        <w:ind w:firstLine="420" w:firstLineChars="200"/>
        <w:rPr>
          <w:rFonts w:hAnsi="宋体" w:cs="宋体"/>
          <w:color w:val="auto"/>
          <w:highlight w:val="none"/>
        </w:rPr>
      </w:pPr>
    </w:p>
    <w:p>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 xml:space="preserve">本公司郑重承诺：本公司保证所提交的相关资质文件和证明材料的真实性，有良好的历史诚信记录，并将依法参与 </w:t>
      </w:r>
      <w:r>
        <w:rPr>
          <w:rFonts w:hint="eastAsia" w:ascii="仿宋" w:hAnsi="仿宋" w:eastAsia="仿宋" w:cs="仿宋"/>
          <w:color w:val="auto"/>
          <w:highlight w:val="none"/>
          <w:u w:val="single"/>
        </w:rPr>
        <w:t xml:space="preserve"> 南海海洋预警信息发布和沿海恶劣天气防灾叫应系统(二期) </w:t>
      </w:r>
      <w:r>
        <w:rPr>
          <w:rFonts w:hint="eastAsia" w:ascii="仿宋" w:hAnsi="仿宋" w:eastAsia="仿宋" w:cs="仿宋"/>
          <w:color w:val="auto"/>
          <w:highlight w:val="none"/>
        </w:rPr>
        <w:t xml:space="preserve">项目的公平竞争，不以任何不正当行为谋取不当利益，否则承担相应的法律责任。  </w:t>
      </w:r>
    </w:p>
    <w:p>
      <w:pPr>
        <w:spacing w:line="360" w:lineRule="auto"/>
        <w:rPr>
          <w:rFonts w:ascii="仿宋" w:hAnsi="仿宋" w:eastAsia="仿宋" w:cs="仿宋"/>
          <w:color w:val="auto"/>
          <w:highlight w:val="none"/>
        </w:rPr>
      </w:pPr>
    </w:p>
    <w:p>
      <w:pPr>
        <w:spacing w:line="360" w:lineRule="auto"/>
        <w:rPr>
          <w:rFonts w:ascii="仿宋" w:hAnsi="仿宋" w:eastAsia="仿宋" w:cs="仿宋"/>
          <w:color w:val="auto"/>
          <w:highlight w:val="none"/>
        </w:rPr>
      </w:pPr>
    </w:p>
    <w:p>
      <w:pPr>
        <w:spacing w:line="360" w:lineRule="auto"/>
        <w:rPr>
          <w:rFonts w:ascii="仿宋" w:hAnsi="仿宋" w:eastAsia="仿宋" w:cs="仿宋"/>
          <w:color w:val="auto"/>
          <w:highlight w:val="none"/>
        </w:rPr>
      </w:pPr>
    </w:p>
    <w:p>
      <w:pPr>
        <w:spacing w:line="360" w:lineRule="auto"/>
        <w:jc w:val="right"/>
        <w:rPr>
          <w:rFonts w:ascii="仿宋" w:hAnsi="仿宋" w:eastAsia="仿宋" w:cs="仿宋"/>
          <w:color w:val="auto"/>
          <w:highlight w:val="none"/>
        </w:rPr>
      </w:pPr>
      <w:r>
        <w:rPr>
          <w:rFonts w:hint="eastAsia" w:ascii="仿宋" w:hAnsi="仿宋" w:eastAsia="仿宋" w:cs="仿宋"/>
          <w:color w:val="auto"/>
          <w:highlight w:val="none"/>
        </w:rPr>
        <w:t>（公司名称，加盖公章）</w:t>
      </w:r>
    </w:p>
    <w:p>
      <w:pPr>
        <w:spacing w:line="440" w:lineRule="exact"/>
        <w:jc w:val="right"/>
        <w:rPr>
          <w:rFonts w:hAnsi="宋体" w:cs="宋体"/>
          <w:color w:val="auto"/>
          <w:highlight w:val="none"/>
        </w:rPr>
      </w:pPr>
      <w:r>
        <w:rPr>
          <w:rFonts w:hint="eastAsia" w:ascii="仿宋" w:hAnsi="仿宋" w:eastAsia="仿宋" w:cs="仿宋"/>
          <w:color w:val="auto"/>
          <w:highlight w:val="none"/>
        </w:rPr>
        <w:t>时间：  年    月   日</w:t>
      </w:r>
    </w:p>
    <w:p>
      <w:pPr>
        <w:rPr>
          <w:rFonts w:hAnsi="宋体" w:cs="宋体"/>
          <w:color w:val="auto"/>
          <w:highlight w:val="none"/>
        </w:rPr>
      </w:pPr>
    </w:p>
    <w:p>
      <w:pPr>
        <w:rPr>
          <w:rFonts w:hAnsi="宋体" w:cs="宋体"/>
          <w:color w:val="auto"/>
          <w:highlight w:val="none"/>
        </w:rPr>
      </w:pPr>
    </w:p>
    <w:p>
      <w:pPr>
        <w:rPr>
          <w:rFonts w:hAnsi="宋体" w:cs="宋体"/>
          <w:color w:val="auto"/>
          <w:highlight w:val="none"/>
        </w:rPr>
      </w:pPr>
    </w:p>
    <w:p>
      <w:pPr>
        <w:rPr>
          <w:rFonts w:hAnsi="宋体" w:cs="宋体"/>
          <w:color w:val="auto"/>
          <w:highlight w:val="none"/>
        </w:rPr>
      </w:pPr>
    </w:p>
    <w:p>
      <w:pPr>
        <w:rPr>
          <w:rFonts w:hAnsi="宋体" w:cs="宋体"/>
          <w:color w:val="auto"/>
          <w:highlight w:val="none"/>
        </w:rPr>
      </w:pPr>
    </w:p>
    <w:p>
      <w:pPr>
        <w:rPr>
          <w:rFonts w:hAnsi="宋体" w:cs="宋体"/>
          <w:color w:val="auto"/>
          <w:highlight w:val="none"/>
        </w:rPr>
      </w:pPr>
    </w:p>
    <w:p>
      <w:pPr>
        <w:rPr>
          <w:rFonts w:hAnsi="宋体" w:cs="宋体"/>
          <w:color w:val="auto"/>
          <w:highlight w:val="none"/>
        </w:rPr>
      </w:pPr>
    </w:p>
    <w:p>
      <w:pPr>
        <w:rPr>
          <w:rFonts w:hAnsi="宋体" w:cs="宋体"/>
          <w:color w:val="auto"/>
          <w:highlight w:val="none"/>
        </w:rPr>
      </w:pPr>
    </w:p>
    <w:p>
      <w:pPr>
        <w:rPr>
          <w:rFonts w:hAnsi="宋体" w:cs="宋体"/>
          <w:color w:val="auto"/>
          <w:highlight w:val="none"/>
        </w:rPr>
      </w:pPr>
    </w:p>
    <w:p>
      <w:pPr>
        <w:rPr>
          <w:rFonts w:hAnsi="宋体" w:cs="宋体"/>
          <w:color w:val="auto"/>
          <w:highlight w:val="none"/>
        </w:rPr>
      </w:pPr>
    </w:p>
    <w:p>
      <w:pPr>
        <w:rPr>
          <w:rFonts w:hAnsi="宋体" w:cs="宋体"/>
          <w:color w:val="auto"/>
          <w:highlight w:val="none"/>
        </w:rPr>
      </w:pPr>
    </w:p>
    <w:p>
      <w:pPr>
        <w:rPr>
          <w:rFonts w:hAnsi="宋体" w:cs="宋体"/>
          <w:color w:val="auto"/>
          <w:highlight w:val="none"/>
        </w:rPr>
      </w:pPr>
    </w:p>
    <w:p>
      <w:pPr>
        <w:rPr>
          <w:rFonts w:hAnsi="宋体" w:cs="宋体"/>
          <w:color w:val="auto"/>
          <w:highlight w:val="none"/>
        </w:rPr>
      </w:pPr>
    </w:p>
    <w:p>
      <w:pPr>
        <w:rPr>
          <w:rFonts w:hAnsi="宋体" w:cs="宋体"/>
          <w:color w:val="auto"/>
          <w:highlight w:val="none"/>
        </w:rPr>
      </w:pPr>
    </w:p>
    <w:p>
      <w:pPr>
        <w:rPr>
          <w:rFonts w:hAnsi="宋体" w:cs="宋体"/>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spacing w:before="312" w:line="480" w:lineRule="exact"/>
        <w:jc w:val="center"/>
        <w:rPr>
          <w:rFonts w:hAnsi="宋体" w:cs="宋体"/>
          <w:b/>
          <w:color w:val="auto"/>
          <w:sz w:val="32"/>
          <w:szCs w:val="32"/>
          <w:highlight w:val="none"/>
        </w:rPr>
      </w:pPr>
      <w:r>
        <w:rPr>
          <w:rFonts w:hint="eastAsia"/>
          <w:color w:val="auto"/>
          <w:highlight w:val="none"/>
        </w:rPr>
        <w:br w:type="page"/>
      </w:r>
      <w:r>
        <w:rPr>
          <w:rFonts w:hint="eastAsia" w:hAnsi="宋体" w:cs="宋体"/>
          <w:b/>
          <w:color w:val="auto"/>
          <w:sz w:val="32"/>
          <w:szCs w:val="32"/>
          <w:highlight w:val="none"/>
        </w:rPr>
        <w:t>三、技术部分文件</w:t>
      </w:r>
    </w:p>
    <w:p>
      <w:pPr>
        <w:jc w:val="center"/>
        <w:rPr>
          <w:rFonts w:hAnsi="宋体" w:cs="宋体"/>
          <w:b/>
          <w:color w:val="auto"/>
          <w:highlight w:val="none"/>
        </w:rPr>
      </w:pPr>
      <w:r>
        <w:rPr>
          <w:rFonts w:hint="eastAsia" w:hAnsi="宋体" w:cs="宋体"/>
          <w:b/>
          <w:color w:val="auto"/>
          <w:szCs w:val="21"/>
          <w:highlight w:val="none"/>
        </w:rPr>
        <w:t xml:space="preserve"> </w:t>
      </w:r>
      <w:bookmarkEnd w:id="32"/>
    </w:p>
    <w:p>
      <w:pPr>
        <w:spacing w:line="480" w:lineRule="exact"/>
        <w:ind w:left="709" w:hanging="709"/>
        <w:jc w:val="both"/>
        <w:rPr>
          <w:rFonts w:ascii="仿宋" w:hAnsi="仿宋" w:eastAsia="仿宋" w:cs="仿宋"/>
          <w:color w:val="auto"/>
          <w:szCs w:val="21"/>
          <w:highlight w:val="none"/>
        </w:rPr>
      </w:pPr>
      <w:r>
        <w:rPr>
          <w:rFonts w:hint="eastAsia" w:ascii="仿宋" w:hAnsi="仿宋" w:eastAsia="仿宋" w:cs="仿宋"/>
          <w:b/>
          <w:color w:val="auto"/>
          <w:szCs w:val="21"/>
          <w:highlight w:val="none"/>
        </w:rPr>
        <w:t>[说明]</w:t>
      </w:r>
      <w:r>
        <w:rPr>
          <w:rFonts w:hint="eastAsia" w:ascii="仿宋" w:hAnsi="仿宋" w:eastAsia="仿宋" w:cs="仿宋"/>
          <w:color w:val="auto"/>
          <w:szCs w:val="21"/>
          <w:highlight w:val="none"/>
        </w:rPr>
        <w:t xml:space="preserve"> 投标人应按照招标文件要求，根据“用户需求书”内容作出全面响应。编制和提交的内容应包括但不限于以下各项。对必须满足的内容，必须完全满足。对响应有差异的，则说明差异的内容。</w:t>
      </w:r>
    </w:p>
    <w:p>
      <w:pPr>
        <w:spacing w:line="360" w:lineRule="auto"/>
        <w:rPr>
          <w:rFonts w:ascii="仿宋" w:hAnsi="仿宋" w:eastAsia="仿宋" w:cs="仿宋"/>
          <w:color w:val="auto"/>
          <w:szCs w:val="21"/>
          <w:highlight w:val="none"/>
        </w:rPr>
      </w:pPr>
    </w:p>
    <w:p>
      <w:pPr>
        <w:spacing w:line="360" w:lineRule="auto"/>
        <w:ind w:firstLine="525" w:firstLineChars="250"/>
        <w:rPr>
          <w:rFonts w:ascii="仿宋" w:hAnsi="仿宋" w:eastAsia="仿宋" w:cs="仿宋"/>
          <w:color w:val="auto"/>
          <w:szCs w:val="21"/>
          <w:highlight w:val="none"/>
        </w:rPr>
      </w:pPr>
      <w:r>
        <w:rPr>
          <w:rFonts w:hint="eastAsia" w:ascii="仿宋" w:hAnsi="仿宋" w:eastAsia="仿宋" w:cs="仿宋"/>
          <w:color w:val="auto"/>
          <w:szCs w:val="21"/>
          <w:highlight w:val="none"/>
        </w:rPr>
        <w:t>附表3.1   需求分析及运营服务原则和思路</w:t>
      </w:r>
    </w:p>
    <w:p>
      <w:pPr>
        <w:spacing w:line="360" w:lineRule="auto"/>
        <w:ind w:firstLine="525" w:firstLineChars="250"/>
        <w:rPr>
          <w:rFonts w:ascii="仿宋" w:hAnsi="仿宋" w:eastAsia="仿宋" w:cs="仿宋"/>
          <w:color w:val="auto"/>
          <w:szCs w:val="21"/>
          <w:highlight w:val="none"/>
        </w:rPr>
      </w:pPr>
      <w:r>
        <w:rPr>
          <w:rFonts w:hint="eastAsia" w:ascii="仿宋" w:hAnsi="仿宋" w:eastAsia="仿宋" w:cs="仿宋"/>
          <w:color w:val="auto"/>
          <w:szCs w:val="21"/>
          <w:highlight w:val="none"/>
        </w:rPr>
        <w:t>附表3.2   预警信息采集、发布与质控</w:t>
      </w:r>
    </w:p>
    <w:p>
      <w:pPr>
        <w:spacing w:line="360" w:lineRule="auto"/>
        <w:ind w:firstLine="525" w:firstLineChars="250"/>
        <w:rPr>
          <w:rFonts w:ascii="仿宋" w:hAnsi="仿宋" w:eastAsia="仿宋" w:cs="仿宋"/>
          <w:color w:val="auto"/>
          <w:szCs w:val="21"/>
          <w:highlight w:val="none"/>
        </w:rPr>
      </w:pPr>
      <w:r>
        <w:rPr>
          <w:rFonts w:hint="eastAsia" w:ascii="仿宋" w:hAnsi="仿宋" w:eastAsia="仿宋" w:cs="仿宋"/>
          <w:color w:val="auto"/>
          <w:szCs w:val="21"/>
          <w:highlight w:val="none"/>
        </w:rPr>
        <w:t>附表3.3   报灾模块运营服务</w:t>
      </w:r>
    </w:p>
    <w:p>
      <w:pPr>
        <w:spacing w:line="360" w:lineRule="auto"/>
        <w:ind w:firstLine="525" w:firstLineChars="250"/>
        <w:rPr>
          <w:rFonts w:ascii="仿宋" w:hAnsi="仿宋" w:eastAsia="仿宋" w:cs="仿宋"/>
          <w:color w:val="auto"/>
          <w:szCs w:val="21"/>
          <w:highlight w:val="none"/>
        </w:rPr>
      </w:pPr>
      <w:r>
        <w:rPr>
          <w:rFonts w:hint="eastAsia" w:ascii="仿宋" w:hAnsi="仿宋" w:eastAsia="仿宋" w:cs="仿宋"/>
          <w:color w:val="auto"/>
          <w:szCs w:val="21"/>
          <w:highlight w:val="none"/>
        </w:rPr>
        <w:t>附表3.4   预警信息发布系统运营服务</w:t>
      </w:r>
    </w:p>
    <w:p>
      <w:pPr>
        <w:spacing w:line="360" w:lineRule="auto"/>
        <w:ind w:firstLine="525" w:firstLineChars="250"/>
        <w:rPr>
          <w:rFonts w:ascii="仿宋" w:hAnsi="仿宋" w:eastAsia="仿宋" w:cs="仿宋"/>
          <w:color w:val="auto"/>
          <w:szCs w:val="21"/>
          <w:highlight w:val="none"/>
        </w:rPr>
      </w:pPr>
      <w:r>
        <w:rPr>
          <w:rFonts w:hint="eastAsia" w:ascii="仿宋" w:hAnsi="仿宋" w:eastAsia="仿宋" w:cs="仿宋"/>
          <w:color w:val="auto"/>
          <w:szCs w:val="21"/>
          <w:highlight w:val="none"/>
        </w:rPr>
        <w:t>附表3.</w:t>
      </w:r>
      <w:r>
        <w:rPr>
          <w:rFonts w:ascii="仿宋" w:hAnsi="仿宋" w:eastAsia="仿宋" w:cs="仿宋"/>
          <w:color w:val="auto"/>
          <w:szCs w:val="21"/>
          <w:highlight w:val="none"/>
        </w:rPr>
        <w:t>5</w:t>
      </w:r>
      <w:r>
        <w:rPr>
          <w:rFonts w:hint="eastAsia" w:ascii="仿宋" w:hAnsi="仿宋" w:eastAsia="仿宋" w:cs="仿宋"/>
          <w:color w:val="auto"/>
          <w:szCs w:val="21"/>
          <w:highlight w:val="none"/>
        </w:rPr>
        <w:t xml:space="preserve">   数据接口运营与分析</w:t>
      </w:r>
    </w:p>
    <w:p>
      <w:pPr>
        <w:spacing w:line="360" w:lineRule="auto"/>
        <w:ind w:firstLine="525" w:firstLineChars="250"/>
        <w:rPr>
          <w:rFonts w:ascii="仿宋" w:hAnsi="仿宋" w:eastAsia="仿宋" w:cs="仿宋"/>
          <w:color w:val="auto"/>
          <w:szCs w:val="21"/>
          <w:highlight w:val="none"/>
        </w:rPr>
      </w:pPr>
      <w:r>
        <w:rPr>
          <w:rFonts w:hint="eastAsia" w:ascii="仿宋" w:hAnsi="仿宋" w:eastAsia="仿宋" w:cs="仿宋"/>
          <w:color w:val="auto"/>
          <w:szCs w:val="21"/>
          <w:highlight w:val="none"/>
        </w:rPr>
        <w:t>附表3.</w:t>
      </w:r>
      <w:r>
        <w:rPr>
          <w:rFonts w:ascii="仿宋" w:hAnsi="仿宋" w:eastAsia="仿宋" w:cs="仿宋"/>
          <w:color w:val="auto"/>
          <w:szCs w:val="21"/>
          <w:highlight w:val="none"/>
        </w:rPr>
        <w:t>5</w:t>
      </w:r>
      <w:r>
        <w:rPr>
          <w:rFonts w:hint="eastAsia" w:ascii="仿宋" w:hAnsi="仿宋" w:eastAsia="仿宋" w:cs="仿宋"/>
          <w:color w:val="auto"/>
          <w:szCs w:val="21"/>
          <w:highlight w:val="none"/>
        </w:rPr>
        <w:t xml:space="preserve">   人员安排</w:t>
      </w:r>
    </w:p>
    <w:p>
      <w:pPr>
        <w:pStyle w:val="2"/>
        <w:rPr>
          <w:color w:val="auto"/>
          <w:highlight w:val="none"/>
        </w:rPr>
      </w:pPr>
    </w:p>
    <w:p>
      <w:pPr>
        <w:pStyle w:val="2"/>
        <w:rPr>
          <w:color w:val="auto"/>
          <w:highlight w:val="none"/>
        </w:rPr>
      </w:pPr>
    </w:p>
    <w:p>
      <w:pPr>
        <w:pStyle w:val="120"/>
        <w:rPr>
          <w:color w:val="auto"/>
          <w:highlight w:val="none"/>
        </w:rPr>
      </w:pPr>
    </w:p>
    <w:p>
      <w:pPr>
        <w:spacing w:line="360" w:lineRule="auto"/>
        <w:rPr>
          <w:rFonts w:hAnsi="宋体" w:cs="宋体"/>
          <w:b/>
          <w:color w:val="auto"/>
          <w:szCs w:val="21"/>
          <w:highlight w:val="none"/>
        </w:rPr>
      </w:pPr>
    </w:p>
    <w:p>
      <w:pPr>
        <w:spacing w:line="360" w:lineRule="auto"/>
        <w:rPr>
          <w:rFonts w:hAnsi="宋体" w:cs="宋体"/>
          <w:b/>
          <w:color w:val="auto"/>
          <w:szCs w:val="21"/>
          <w:highlight w:val="none"/>
        </w:rPr>
      </w:pPr>
    </w:p>
    <w:p>
      <w:pPr>
        <w:spacing w:line="360" w:lineRule="auto"/>
        <w:rPr>
          <w:rFonts w:hAnsi="宋体" w:cs="宋体"/>
          <w:color w:val="auto"/>
          <w:szCs w:val="21"/>
          <w:highlight w:val="none"/>
        </w:rPr>
      </w:pPr>
    </w:p>
    <w:p>
      <w:pPr>
        <w:pStyle w:val="3"/>
        <w:spacing w:after="120" w:line="480" w:lineRule="exact"/>
        <w:rPr>
          <w:rFonts w:ascii="仿宋" w:hAnsi="仿宋" w:eastAsia="仿宋" w:cs="仿宋"/>
          <w:b/>
          <w:color w:val="auto"/>
          <w:sz w:val="21"/>
          <w:szCs w:val="21"/>
          <w:highlight w:val="none"/>
        </w:rPr>
      </w:pPr>
      <w:r>
        <w:rPr>
          <w:rFonts w:hint="eastAsia" w:hAnsi="宋体" w:cs="宋体"/>
          <w:b/>
          <w:color w:val="auto"/>
          <w:highlight w:val="none"/>
        </w:rPr>
        <w:br w:type="page"/>
      </w:r>
      <w:r>
        <w:rPr>
          <w:rFonts w:hint="eastAsia" w:ascii="仿宋" w:hAnsi="仿宋" w:eastAsia="仿宋" w:cs="仿宋"/>
          <w:bCs/>
          <w:color w:val="auto"/>
          <w:sz w:val="21"/>
          <w:szCs w:val="21"/>
          <w:highlight w:val="none"/>
        </w:rPr>
        <w:t>附表3.1 需求分析及运营服务原则和思路</w:t>
      </w:r>
    </w:p>
    <w:p>
      <w:pPr>
        <w:spacing w:line="360" w:lineRule="auto"/>
        <w:rPr>
          <w:rFonts w:ascii="仿宋" w:hAnsi="仿宋" w:eastAsia="仿宋" w:cs="仿宋"/>
          <w:color w:val="auto"/>
          <w:szCs w:val="21"/>
          <w:highlight w:val="none"/>
        </w:rPr>
      </w:pPr>
      <w:r>
        <w:rPr>
          <w:rFonts w:hint="eastAsia" w:ascii="仿宋" w:hAnsi="仿宋" w:eastAsia="仿宋" w:cs="仿宋"/>
          <w:b/>
          <w:color w:val="auto"/>
          <w:szCs w:val="21"/>
          <w:highlight w:val="none"/>
        </w:rPr>
        <w:t>...............</w:t>
      </w:r>
    </w:p>
    <w:p>
      <w:pPr>
        <w:snapToGrid w:val="0"/>
        <w:spacing w:line="300" w:lineRule="auto"/>
        <w:rPr>
          <w:rFonts w:ascii="仿宋" w:hAnsi="仿宋" w:eastAsia="仿宋" w:cs="仿宋"/>
          <w:color w:val="auto"/>
          <w:szCs w:val="21"/>
          <w:highlight w:val="none"/>
        </w:rPr>
      </w:pPr>
      <w:r>
        <w:rPr>
          <w:rFonts w:hint="eastAsia" w:ascii="仿宋" w:hAnsi="仿宋" w:eastAsia="仿宋" w:cs="仿宋"/>
          <w:color w:val="auto"/>
          <w:szCs w:val="21"/>
          <w:highlight w:val="none"/>
        </w:rPr>
        <w:t>投标人法定代表人（或法定代表人授权代表）签字：</w:t>
      </w:r>
      <w:r>
        <w:rPr>
          <w:rFonts w:hint="eastAsia" w:ascii="仿宋" w:hAnsi="仿宋" w:eastAsia="仿宋" w:cs="仿宋"/>
          <w:color w:val="auto"/>
          <w:szCs w:val="21"/>
          <w:highlight w:val="none"/>
          <w:u w:val="single"/>
        </w:rPr>
        <w:t xml:space="preserve">                   </w:t>
      </w:r>
    </w:p>
    <w:p>
      <w:pPr>
        <w:snapToGrid w:val="0"/>
        <w:spacing w:line="300" w:lineRule="auto"/>
        <w:rPr>
          <w:rFonts w:ascii="仿宋" w:hAnsi="仿宋" w:eastAsia="仿宋" w:cs="仿宋"/>
          <w:color w:val="auto"/>
          <w:szCs w:val="21"/>
          <w:highlight w:val="none"/>
          <w:u w:val="single"/>
        </w:rPr>
      </w:pPr>
      <w:r>
        <w:rPr>
          <w:rFonts w:hint="eastAsia" w:ascii="仿宋" w:hAnsi="仿宋" w:eastAsia="仿宋" w:cs="仿宋"/>
          <w:color w:val="auto"/>
          <w:szCs w:val="21"/>
          <w:highlight w:val="none"/>
        </w:rPr>
        <w:t>投标人名称（加盖法人公章）：</w:t>
      </w:r>
      <w:r>
        <w:rPr>
          <w:rFonts w:hint="eastAsia" w:ascii="仿宋" w:hAnsi="仿宋" w:eastAsia="仿宋" w:cs="仿宋"/>
          <w:color w:val="auto"/>
          <w:szCs w:val="21"/>
          <w:highlight w:val="none"/>
          <w:u w:val="single"/>
        </w:rPr>
        <w:t xml:space="preserve">                        </w:t>
      </w:r>
    </w:p>
    <w:p>
      <w:pPr>
        <w:snapToGrid w:val="0"/>
        <w:spacing w:line="300" w:lineRule="auto"/>
        <w:rPr>
          <w:rFonts w:ascii="仿宋" w:hAnsi="仿宋" w:eastAsia="仿宋" w:cs="仿宋"/>
          <w:color w:val="auto"/>
          <w:szCs w:val="21"/>
          <w:highlight w:val="none"/>
        </w:rPr>
      </w:pPr>
      <w:r>
        <w:rPr>
          <w:rFonts w:hint="eastAsia" w:ascii="仿宋" w:hAnsi="仿宋" w:eastAsia="仿宋" w:cs="仿宋"/>
          <w:color w:val="auto"/>
          <w:szCs w:val="21"/>
          <w:highlight w:val="none"/>
        </w:rPr>
        <w:t>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日</w:t>
      </w:r>
    </w:p>
    <w:p>
      <w:pPr>
        <w:spacing w:line="360" w:lineRule="auto"/>
        <w:rPr>
          <w:rFonts w:ascii="仿宋" w:hAnsi="仿宋" w:eastAsia="仿宋" w:cs="仿宋"/>
          <w:color w:val="auto"/>
          <w:szCs w:val="21"/>
          <w:highlight w:val="none"/>
        </w:rPr>
      </w:pPr>
    </w:p>
    <w:p>
      <w:pPr>
        <w:pStyle w:val="3"/>
        <w:spacing w:after="120" w:line="480" w:lineRule="exact"/>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附表3.2 预警信息采集、发布与质控</w:t>
      </w:r>
    </w:p>
    <w:p>
      <w:pPr>
        <w:spacing w:line="360" w:lineRule="auto"/>
        <w:rPr>
          <w:rFonts w:ascii="仿宋" w:hAnsi="仿宋" w:eastAsia="仿宋" w:cs="仿宋"/>
          <w:color w:val="auto"/>
          <w:szCs w:val="21"/>
          <w:highlight w:val="none"/>
        </w:rPr>
      </w:pPr>
      <w:r>
        <w:rPr>
          <w:rFonts w:hint="eastAsia" w:ascii="仿宋" w:hAnsi="仿宋" w:eastAsia="仿宋" w:cs="仿宋"/>
          <w:b/>
          <w:color w:val="auto"/>
          <w:szCs w:val="21"/>
          <w:highlight w:val="none"/>
        </w:rPr>
        <w:t>...............</w:t>
      </w:r>
    </w:p>
    <w:p>
      <w:pPr>
        <w:snapToGrid w:val="0"/>
        <w:spacing w:line="300" w:lineRule="auto"/>
        <w:rPr>
          <w:rFonts w:ascii="仿宋" w:hAnsi="仿宋" w:eastAsia="仿宋" w:cs="仿宋"/>
          <w:color w:val="auto"/>
          <w:szCs w:val="21"/>
          <w:highlight w:val="none"/>
        </w:rPr>
      </w:pPr>
      <w:r>
        <w:rPr>
          <w:rFonts w:hint="eastAsia" w:ascii="仿宋" w:hAnsi="仿宋" w:eastAsia="仿宋" w:cs="仿宋"/>
          <w:color w:val="auto"/>
          <w:szCs w:val="21"/>
          <w:highlight w:val="none"/>
        </w:rPr>
        <w:t>投标人法定代表人（或法定代表人授权代表）签字：</w:t>
      </w:r>
      <w:r>
        <w:rPr>
          <w:rFonts w:hint="eastAsia" w:ascii="仿宋" w:hAnsi="仿宋" w:eastAsia="仿宋" w:cs="仿宋"/>
          <w:color w:val="auto"/>
          <w:szCs w:val="21"/>
          <w:highlight w:val="none"/>
          <w:u w:val="single"/>
        </w:rPr>
        <w:t xml:space="preserve">                   </w:t>
      </w:r>
    </w:p>
    <w:p>
      <w:pPr>
        <w:snapToGrid w:val="0"/>
        <w:spacing w:line="300" w:lineRule="auto"/>
        <w:rPr>
          <w:rFonts w:ascii="仿宋" w:hAnsi="仿宋" w:eastAsia="仿宋" w:cs="仿宋"/>
          <w:color w:val="auto"/>
          <w:szCs w:val="21"/>
          <w:highlight w:val="none"/>
          <w:u w:val="single"/>
        </w:rPr>
      </w:pPr>
      <w:r>
        <w:rPr>
          <w:rFonts w:hint="eastAsia" w:ascii="仿宋" w:hAnsi="仿宋" w:eastAsia="仿宋" w:cs="仿宋"/>
          <w:color w:val="auto"/>
          <w:szCs w:val="21"/>
          <w:highlight w:val="none"/>
        </w:rPr>
        <w:t>投标人名称（加盖法人公章）：</w:t>
      </w:r>
      <w:r>
        <w:rPr>
          <w:rFonts w:hint="eastAsia" w:ascii="仿宋" w:hAnsi="仿宋" w:eastAsia="仿宋" w:cs="仿宋"/>
          <w:color w:val="auto"/>
          <w:szCs w:val="21"/>
          <w:highlight w:val="none"/>
          <w:u w:val="single"/>
        </w:rPr>
        <w:t xml:space="preserve">                        </w:t>
      </w:r>
    </w:p>
    <w:p>
      <w:pPr>
        <w:snapToGrid w:val="0"/>
        <w:spacing w:line="300" w:lineRule="auto"/>
        <w:rPr>
          <w:rFonts w:ascii="仿宋" w:hAnsi="仿宋" w:eastAsia="仿宋" w:cs="仿宋"/>
          <w:color w:val="auto"/>
          <w:szCs w:val="21"/>
          <w:highlight w:val="none"/>
        </w:rPr>
      </w:pPr>
      <w:r>
        <w:rPr>
          <w:rFonts w:hint="eastAsia" w:ascii="仿宋" w:hAnsi="仿宋" w:eastAsia="仿宋" w:cs="仿宋"/>
          <w:color w:val="auto"/>
          <w:szCs w:val="21"/>
          <w:highlight w:val="none"/>
        </w:rPr>
        <w:t>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日</w:t>
      </w:r>
    </w:p>
    <w:p>
      <w:pPr>
        <w:spacing w:line="360" w:lineRule="auto"/>
        <w:rPr>
          <w:rFonts w:ascii="仿宋" w:hAnsi="仿宋" w:eastAsia="仿宋" w:cs="仿宋"/>
          <w:color w:val="auto"/>
          <w:szCs w:val="21"/>
          <w:highlight w:val="none"/>
        </w:rPr>
      </w:pPr>
    </w:p>
    <w:p>
      <w:pPr>
        <w:pStyle w:val="3"/>
        <w:spacing w:after="120" w:line="48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附表3.3 报灾模块运营服务</w:t>
      </w:r>
    </w:p>
    <w:p>
      <w:pPr>
        <w:spacing w:line="360" w:lineRule="auto"/>
        <w:rPr>
          <w:rFonts w:ascii="仿宋" w:hAnsi="仿宋" w:eastAsia="仿宋" w:cs="仿宋"/>
          <w:color w:val="auto"/>
          <w:szCs w:val="21"/>
          <w:highlight w:val="none"/>
        </w:rPr>
      </w:pPr>
      <w:r>
        <w:rPr>
          <w:rFonts w:hint="eastAsia" w:ascii="仿宋" w:hAnsi="仿宋" w:eastAsia="仿宋" w:cs="仿宋"/>
          <w:b/>
          <w:color w:val="auto"/>
          <w:szCs w:val="21"/>
          <w:highlight w:val="none"/>
        </w:rPr>
        <w:t>...............</w:t>
      </w:r>
    </w:p>
    <w:p>
      <w:pPr>
        <w:snapToGrid w:val="0"/>
        <w:spacing w:line="300" w:lineRule="auto"/>
        <w:rPr>
          <w:rFonts w:ascii="仿宋" w:hAnsi="仿宋" w:eastAsia="仿宋" w:cs="仿宋"/>
          <w:color w:val="auto"/>
          <w:szCs w:val="21"/>
          <w:highlight w:val="none"/>
        </w:rPr>
      </w:pPr>
      <w:r>
        <w:rPr>
          <w:rFonts w:hint="eastAsia" w:ascii="仿宋" w:hAnsi="仿宋" w:eastAsia="仿宋" w:cs="仿宋"/>
          <w:color w:val="auto"/>
          <w:szCs w:val="21"/>
          <w:highlight w:val="none"/>
        </w:rPr>
        <w:t>投标人法定代表人（或法定代表人授权代表）签字：</w:t>
      </w:r>
      <w:r>
        <w:rPr>
          <w:rFonts w:hint="eastAsia" w:ascii="仿宋" w:hAnsi="仿宋" w:eastAsia="仿宋" w:cs="仿宋"/>
          <w:color w:val="auto"/>
          <w:szCs w:val="21"/>
          <w:highlight w:val="none"/>
          <w:u w:val="single"/>
        </w:rPr>
        <w:t xml:space="preserve">                   </w:t>
      </w:r>
    </w:p>
    <w:p>
      <w:pPr>
        <w:snapToGrid w:val="0"/>
        <w:spacing w:line="300" w:lineRule="auto"/>
        <w:rPr>
          <w:rFonts w:ascii="仿宋" w:hAnsi="仿宋" w:eastAsia="仿宋" w:cs="仿宋"/>
          <w:color w:val="auto"/>
          <w:szCs w:val="21"/>
          <w:highlight w:val="none"/>
          <w:u w:val="single"/>
        </w:rPr>
      </w:pPr>
      <w:r>
        <w:rPr>
          <w:rFonts w:hint="eastAsia" w:ascii="仿宋" w:hAnsi="仿宋" w:eastAsia="仿宋" w:cs="仿宋"/>
          <w:color w:val="auto"/>
          <w:szCs w:val="21"/>
          <w:highlight w:val="none"/>
        </w:rPr>
        <w:t>投标人名称（加盖法人公章）：</w:t>
      </w:r>
      <w:r>
        <w:rPr>
          <w:rFonts w:hint="eastAsia" w:ascii="仿宋" w:hAnsi="仿宋" w:eastAsia="仿宋" w:cs="仿宋"/>
          <w:color w:val="auto"/>
          <w:szCs w:val="21"/>
          <w:highlight w:val="none"/>
          <w:u w:val="single"/>
        </w:rPr>
        <w:t xml:space="preserve">                        </w:t>
      </w:r>
    </w:p>
    <w:p>
      <w:pPr>
        <w:snapToGrid w:val="0"/>
        <w:spacing w:line="300" w:lineRule="auto"/>
        <w:rPr>
          <w:rFonts w:ascii="仿宋" w:hAnsi="仿宋" w:eastAsia="仿宋" w:cs="仿宋"/>
          <w:color w:val="auto"/>
          <w:szCs w:val="21"/>
          <w:highlight w:val="none"/>
        </w:rPr>
      </w:pPr>
      <w:r>
        <w:rPr>
          <w:rFonts w:hint="eastAsia" w:ascii="仿宋" w:hAnsi="仿宋" w:eastAsia="仿宋" w:cs="仿宋"/>
          <w:color w:val="auto"/>
          <w:szCs w:val="21"/>
          <w:highlight w:val="none"/>
        </w:rPr>
        <w:t>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日</w:t>
      </w:r>
    </w:p>
    <w:p>
      <w:pPr>
        <w:pStyle w:val="120"/>
        <w:rPr>
          <w:rFonts w:ascii="仿宋" w:hAnsi="仿宋" w:eastAsia="仿宋" w:cs="仿宋"/>
          <w:color w:val="auto"/>
          <w:szCs w:val="21"/>
          <w:highlight w:val="none"/>
        </w:rPr>
      </w:pPr>
    </w:p>
    <w:p>
      <w:pPr>
        <w:pStyle w:val="3"/>
        <w:spacing w:after="120" w:line="48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附表3.4 预警信息发布系统运营服务</w:t>
      </w:r>
    </w:p>
    <w:p>
      <w:pPr>
        <w:spacing w:line="360" w:lineRule="auto"/>
        <w:rPr>
          <w:rFonts w:ascii="仿宋" w:hAnsi="仿宋" w:eastAsia="仿宋" w:cs="仿宋"/>
          <w:color w:val="auto"/>
          <w:szCs w:val="21"/>
          <w:highlight w:val="none"/>
        </w:rPr>
      </w:pPr>
      <w:r>
        <w:rPr>
          <w:rFonts w:hint="eastAsia" w:ascii="仿宋" w:hAnsi="仿宋" w:eastAsia="仿宋" w:cs="仿宋"/>
          <w:b/>
          <w:color w:val="auto"/>
          <w:szCs w:val="21"/>
          <w:highlight w:val="none"/>
        </w:rPr>
        <w:t>...............</w:t>
      </w:r>
    </w:p>
    <w:p>
      <w:pPr>
        <w:snapToGrid w:val="0"/>
        <w:spacing w:line="300" w:lineRule="auto"/>
        <w:rPr>
          <w:rFonts w:ascii="仿宋" w:hAnsi="仿宋" w:eastAsia="仿宋" w:cs="仿宋"/>
          <w:color w:val="auto"/>
          <w:szCs w:val="21"/>
          <w:highlight w:val="none"/>
        </w:rPr>
      </w:pPr>
      <w:r>
        <w:rPr>
          <w:rFonts w:hint="eastAsia" w:ascii="仿宋" w:hAnsi="仿宋" w:eastAsia="仿宋" w:cs="仿宋"/>
          <w:color w:val="auto"/>
          <w:szCs w:val="21"/>
          <w:highlight w:val="none"/>
        </w:rPr>
        <w:t>投标人法定代表人（或法定代表人授权代表）签字：</w:t>
      </w:r>
      <w:r>
        <w:rPr>
          <w:rFonts w:hint="eastAsia" w:ascii="仿宋" w:hAnsi="仿宋" w:eastAsia="仿宋" w:cs="仿宋"/>
          <w:color w:val="auto"/>
          <w:szCs w:val="21"/>
          <w:highlight w:val="none"/>
          <w:u w:val="single"/>
        </w:rPr>
        <w:t xml:space="preserve">                   </w:t>
      </w:r>
    </w:p>
    <w:p>
      <w:pPr>
        <w:snapToGrid w:val="0"/>
        <w:spacing w:line="300" w:lineRule="auto"/>
        <w:rPr>
          <w:rFonts w:ascii="仿宋" w:hAnsi="仿宋" w:eastAsia="仿宋" w:cs="仿宋"/>
          <w:color w:val="auto"/>
          <w:szCs w:val="21"/>
          <w:highlight w:val="none"/>
          <w:u w:val="single"/>
        </w:rPr>
      </w:pPr>
      <w:r>
        <w:rPr>
          <w:rFonts w:hint="eastAsia" w:ascii="仿宋" w:hAnsi="仿宋" w:eastAsia="仿宋" w:cs="仿宋"/>
          <w:color w:val="auto"/>
          <w:szCs w:val="21"/>
          <w:highlight w:val="none"/>
        </w:rPr>
        <w:t>投标人名称（加盖法人公章）：</w:t>
      </w:r>
      <w:r>
        <w:rPr>
          <w:rFonts w:hint="eastAsia" w:ascii="仿宋" w:hAnsi="仿宋" w:eastAsia="仿宋" w:cs="仿宋"/>
          <w:color w:val="auto"/>
          <w:szCs w:val="21"/>
          <w:highlight w:val="none"/>
          <w:u w:val="single"/>
        </w:rPr>
        <w:t xml:space="preserve">                        </w:t>
      </w:r>
    </w:p>
    <w:p>
      <w:pPr>
        <w:snapToGrid w:val="0"/>
        <w:spacing w:line="300" w:lineRule="auto"/>
        <w:rPr>
          <w:rFonts w:ascii="仿宋" w:hAnsi="仿宋" w:eastAsia="仿宋" w:cs="仿宋"/>
          <w:color w:val="auto"/>
          <w:szCs w:val="21"/>
          <w:highlight w:val="none"/>
        </w:rPr>
      </w:pPr>
      <w:r>
        <w:rPr>
          <w:rFonts w:hint="eastAsia" w:ascii="仿宋" w:hAnsi="仿宋" w:eastAsia="仿宋" w:cs="仿宋"/>
          <w:color w:val="auto"/>
          <w:szCs w:val="21"/>
          <w:highlight w:val="none"/>
        </w:rPr>
        <w:t>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日</w:t>
      </w:r>
    </w:p>
    <w:p>
      <w:pPr>
        <w:pStyle w:val="120"/>
        <w:rPr>
          <w:rFonts w:ascii="仿宋" w:hAnsi="仿宋" w:eastAsia="仿宋" w:cs="仿宋"/>
          <w:color w:val="auto"/>
          <w:highlight w:val="none"/>
        </w:rPr>
      </w:pPr>
    </w:p>
    <w:p>
      <w:pPr>
        <w:pStyle w:val="3"/>
        <w:spacing w:after="120" w:line="48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附表3.</w:t>
      </w:r>
      <w:r>
        <w:rPr>
          <w:rFonts w:ascii="仿宋" w:hAnsi="仿宋" w:eastAsia="仿宋" w:cs="仿宋"/>
          <w:color w:val="auto"/>
          <w:sz w:val="21"/>
          <w:szCs w:val="21"/>
          <w:highlight w:val="none"/>
        </w:rPr>
        <w:t>5</w:t>
      </w:r>
      <w:r>
        <w:rPr>
          <w:rFonts w:hint="eastAsia" w:ascii="仿宋" w:hAnsi="仿宋" w:eastAsia="仿宋" w:cs="仿宋"/>
          <w:color w:val="auto"/>
          <w:sz w:val="21"/>
          <w:szCs w:val="21"/>
          <w:highlight w:val="none"/>
        </w:rPr>
        <w:t xml:space="preserve"> 数据接口运营与分析</w:t>
      </w:r>
    </w:p>
    <w:p>
      <w:pPr>
        <w:spacing w:line="360" w:lineRule="auto"/>
        <w:rPr>
          <w:rFonts w:ascii="仿宋" w:hAnsi="仿宋" w:eastAsia="仿宋" w:cs="仿宋"/>
          <w:color w:val="auto"/>
          <w:szCs w:val="21"/>
          <w:highlight w:val="none"/>
        </w:rPr>
      </w:pPr>
      <w:r>
        <w:rPr>
          <w:rFonts w:hint="eastAsia" w:ascii="仿宋" w:hAnsi="仿宋" w:eastAsia="仿宋" w:cs="仿宋"/>
          <w:b/>
          <w:color w:val="auto"/>
          <w:szCs w:val="21"/>
          <w:highlight w:val="none"/>
        </w:rPr>
        <w:t>...............</w:t>
      </w:r>
    </w:p>
    <w:p>
      <w:pPr>
        <w:snapToGrid w:val="0"/>
        <w:spacing w:line="300" w:lineRule="auto"/>
        <w:rPr>
          <w:rFonts w:ascii="仿宋" w:hAnsi="仿宋" w:eastAsia="仿宋" w:cs="仿宋"/>
          <w:color w:val="auto"/>
          <w:szCs w:val="21"/>
          <w:highlight w:val="none"/>
        </w:rPr>
      </w:pPr>
      <w:r>
        <w:rPr>
          <w:rFonts w:hint="eastAsia" w:ascii="仿宋" w:hAnsi="仿宋" w:eastAsia="仿宋" w:cs="仿宋"/>
          <w:color w:val="auto"/>
          <w:szCs w:val="21"/>
          <w:highlight w:val="none"/>
        </w:rPr>
        <w:t>投标人法定代表人（或法定代表人授权代表）签字：</w:t>
      </w:r>
      <w:r>
        <w:rPr>
          <w:rFonts w:hint="eastAsia" w:ascii="仿宋" w:hAnsi="仿宋" w:eastAsia="仿宋" w:cs="仿宋"/>
          <w:color w:val="auto"/>
          <w:szCs w:val="21"/>
          <w:highlight w:val="none"/>
          <w:u w:val="single"/>
        </w:rPr>
        <w:t xml:space="preserve">                   </w:t>
      </w:r>
    </w:p>
    <w:p>
      <w:pPr>
        <w:snapToGrid w:val="0"/>
        <w:spacing w:line="300" w:lineRule="auto"/>
        <w:rPr>
          <w:rFonts w:ascii="仿宋" w:hAnsi="仿宋" w:eastAsia="仿宋" w:cs="仿宋"/>
          <w:color w:val="auto"/>
          <w:szCs w:val="21"/>
          <w:highlight w:val="none"/>
          <w:u w:val="single"/>
        </w:rPr>
      </w:pPr>
      <w:r>
        <w:rPr>
          <w:rFonts w:hint="eastAsia" w:ascii="仿宋" w:hAnsi="仿宋" w:eastAsia="仿宋" w:cs="仿宋"/>
          <w:color w:val="auto"/>
          <w:szCs w:val="21"/>
          <w:highlight w:val="none"/>
        </w:rPr>
        <w:t>投标人名称（加盖法人公章）：</w:t>
      </w:r>
      <w:r>
        <w:rPr>
          <w:rFonts w:hint="eastAsia" w:ascii="仿宋" w:hAnsi="仿宋" w:eastAsia="仿宋" w:cs="仿宋"/>
          <w:color w:val="auto"/>
          <w:szCs w:val="21"/>
          <w:highlight w:val="none"/>
          <w:u w:val="single"/>
        </w:rPr>
        <w:t xml:space="preserve">                        </w:t>
      </w:r>
    </w:p>
    <w:p>
      <w:pPr>
        <w:snapToGrid w:val="0"/>
        <w:spacing w:line="300" w:lineRule="auto"/>
        <w:rPr>
          <w:rFonts w:ascii="仿宋" w:hAnsi="仿宋" w:eastAsia="仿宋" w:cs="仿宋"/>
          <w:color w:val="auto"/>
          <w:szCs w:val="21"/>
          <w:highlight w:val="none"/>
        </w:rPr>
      </w:pPr>
      <w:r>
        <w:rPr>
          <w:rFonts w:hint="eastAsia" w:ascii="仿宋" w:hAnsi="仿宋" w:eastAsia="仿宋" w:cs="仿宋"/>
          <w:color w:val="auto"/>
          <w:szCs w:val="21"/>
          <w:highlight w:val="none"/>
        </w:rPr>
        <w:t>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日</w:t>
      </w:r>
    </w:p>
    <w:p>
      <w:pPr>
        <w:pStyle w:val="120"/>
        <w:rPr>
          <w:rFonts w:ascii="仿宋" w:hAnsi="仿宋" w:eastAsia="仿宋" w:cs="仿宋"/>
          <w:color w:val="auto"/>
          <w:highlight w:val="none"/>
        </w:rPr>
      </w:pPr>
    </w:p>
    <w:p>
      <w:pPr>
        <w:pStyle w:val="3"/>
        <w:spacing w:after="120" w:line="48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附表3.</w:t>
      </w:r>
      <w:r>
        <w:rPr>
          <w:rFonts w:ascii="仿宋" w:hAnsi="仿宋" w:eastAsia="仿宋" w:cs="仿宋"/>
          <w:color w:val="auto"/>
          <w:sz w:val="21"/>
          <w:szCs w:val="21"/>
          <w:highlight w:val="none"/>
        </w:rPr>
        <w:t>6</w:t>
      </w:r>
      <w:r>
        <w:rPr>
          <w:rFonts w:hint="eastAsia" w:ascii="仿宋" w:hAnsi="仿宋" w:eastAsia="仿宋" w:cs="仿宋"/>
          <w:color w:val="auto"/>
          <w:sz w:val="21"/>
          <w:szCs w:val="21"/>
          <w:highlight w:val="none"/>
        </w:rPr>
        <w:t xml:space="preserve"> 人员安排</w:t>
      </w:r>
    </w:p>
    <w:p>
      <w:pPr>
        <w:spacing w:line="360" w:lineRule="auto"/>
        <w:rPr>
          <w:rFonts w:ascii="仿宋" w:hAnsi="仿宋" w:eastAsia="仿宋" w:cs="仿宋"/>
          <w:color w:val="auto"/>
          <w:szCs w:val="21"/>
          <w:highlight w:val="none"/>
        </w:rPr>
      </w:pPr>
      <w:r>
        <w:rPr>
          <w:rFonts w:hint="eastAsia" w:ascii="仿宋" w:hAnsi="仿宋" w:eastAsia="仿宋" w:cs="仿宋"/>
          <w:b/>
          <w:color w:val="auto"/>
          <w:szCs w:val="21"/>
          <w:highlight w:val="none"/>
        </w:rPr>
        <w:t>...............</w:t>
      </w:r>
    </w:p>
    <w:p>
      <w:pPr>
        <w:snapToGrid w:val="0"/>
        <w:spacing w:line="300" w:lineRule="auto"/>
        <w:rPr>
          <w:rFonts w:ascii="仿宋" w:hAnsi="仿宋" w:eastAsia="仿宋" w:cs="仿宋"/>
          <w:color w:val="auto"/>
          <w:szCs w:val="21"/>
          <w:highlight w:val="none"/>
        </w:rPr>
      </w:pPr>
      <w:r>
        <w:rPr>
          <w:rFonts w:hint="eastAsia" w:ascii="仿宋" w:hAnsi="仿宋" w:eastAsia="仿宋" w:cs="仿宋"/>
          <w:color w:val="auto"/>
          <w:szCs w:val="21"/>
          <w:highlight w:val="none"/>
        </w:rPr>
        <w:t>投标人法定代表人（或法定代表人授权代表）签字：</w:t>
      </w:r>
      <w:r>
        <w:rPr>
          <w:rFonts w:hint="eastAsia" w:ascii="仿宋" w:hAnsi="仿宋" w:eastAsia="仿宋" w:cs="仿宋"/>
          <w:color w:val="auto"/>
          <w:szCs w:val="21"/>
          <w:highlight w:val="none"/>
          <w:u w:val="single"/>
        </w:rPr>
        <w:t xml:space="preserve">                   </w:t>
      </w:r>
    </w:p>
    <w:p>
      <w:pPr>
        <w:snapToGrid w:val="0"/>
        <w:spacing w:line="300" w:lineRule="auto"/>
        <w:rPr>
          <w:rFonts w:ascii="仿宋" w:hAnsi="仿宋" w:eastAsia="仿宋" w:cs="仿宋"/>
          <w:color w:val="auto"/>
          <w:szCs w:val="21"/>
          <w:highlight w:val="none"/>
          <w:u w:val="single"/>
        </w:rPr>
      </w:pPr>
      <w:r>
        <w:rPr>
          <w:rFonts w:hint="eastAsia" w:ascii="仿宋" w:hAnsi="仿宋" w:eastAsia="仿宋" w:cs="仿宋"/>
          <w:color w:val="auto"/>
          <w:szCs w:val="21"/>
          <w:highlight w:val="none"/>
        </w:rPr>
        <w:t>投标人名称（加盖法人公章）：</w:t>
      </w:r>
      <w:r>
        <w:rPr>
          <w:rFonts w:hint="eastAsia" w:ascii="仿宋" w:hAnsi="仿宋" w:eastAsia="仿宋" w:cs="仿宋"/>
          <w:color w:val="auto"/>
          <w:szCs w:val="21"/>
          <w:highlight w:val="none"/>
          <w:u w:val="single"/>
        </w:rPr>
        <w:t xml:space="preserve">                        </w:t>
      </w:r>
    </w:p>
    <w:p>
      <w:pPr>
        <w:snapToGrid w:val="0"/>
        <w:spacing w:line="300" w:lineRule="auto"/>
        <w:rPr>
          <w:rFonts w:ascii="仿宋" w:hAnsi="仿宋" w:eastAsia="仿宋" w:cs="仿宋"/>
          <w:color w:val="auto"/>
          <w:szCs w:val="21"/>
          <w:highlight w:val="none"/>
        </w:rPr>
      </w:pPr>
      <w:r>
        <w:rPr>
          <w:rFonts w:hint="eastAsia" w:ascii="仿宋" w:hAnsi="仿宋" w:eastAsia="仿宋" w:cs="仿宋"/>
          <w:color w:val="auto"/>
          <w:szCs w:val="21"/>
          <w:highlight w:val="none"/>
        </w:rPr>
        <w:t>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日</w:t>
      </w:r>
    </w:p>
    <w:p>
      <w:pPr>
        <w:pStyle w:val="120"/>
        <w:rPr>
          <w:rFonts w:ascii="仿宋" w:hAnsi="仿宋" w:eastAsia="仿宋" w:cs="仿宋"/>
          <w:color w:val="auto"/>
          <w:highlight w:val="none"/>
        </w:rPr>
      </w:pPr>
    </w:p>
    <w:p>
      <w:pPr>
        <w:pStyle w:val="3"/>
        <w:spacing w:after="120" w:line="480" w:lineRule="exact"/>
        <w:rPr>
          <w:rFonts w:hAnsi="宋体" w:cs="宋体"/>
          <w:b/>
          <w:color w:val="auto"/>
          <w:szCs w:val="21"/>
          <w:highlight w:val="none"/>
        </w:rPr>
      </w:pPr>
      <w:r>
        <w:rPr>
          <w:rFonts w:hint="eastAsia" w:hAnsi="宋体" w:cs="宋体"/>
          <w:color w:val="auto"/>
          <w:szCs w:val="21"/>
          <w:highlight w:val="none"/>
        </w:rPr>
        <w:br w:type="page"/>
      </w:r>
      <w:bookmarkStart w:id="42" w:name="_Hlt10567911"/>
      <w:bookmarkEnd w:id="42"/>
      <w:bookmarkStart w:id="43" w:name="_Toc10548709"/>
      <w:bookmarkStart w:id="44" w:name="_Toc4471833"/>
      <w:r>
        <w:rPr>
          <w:rFonts w:hint="eastAsia" w:ascii="仿宋" w:hAnsi="仿宋" w:eastAsia="仿宋" w:cs="仿宋"/>
          <w:color w:val="auto"/>
          <w:szCs w:val="21"/>
          <w:highlight w:val="none"/>
        </w:rPr>
        <w:t>附表3.</w:t>
      </w:r>
      <w:r>
        <w:rPr>
          <w:rFonts w:ascii="仿宋" w:hAnsi="仿宋" w:eastAsia="仿宋" w:cs="仿宋"/>
          <w:color w:val="auto"/>
          <w:szCs w:val="21"/>
          <w:highlight w:val="none"/>
        </w:rPr>
        <w:t>5</w:t>
      </w:r>
      <w:r>
        <w:rPr>
          <w:rFonts w:hint="eastAsia" w:ascii="仿宋" w:hAnsi="仿宋" w:eastAsia="仿宋" w:cs="仿宋"/>
          <w:color w:val="auto"/>
          <w:szCs w:val="21"/>
          <w:highlight w:val="none"/>
        </w:rPr>
        <w:t xml:space="preserve"> 技术规格偏离表格式</w:t>
      </w:r>
      <w:bookmarkEnd w:id="43"/>
      <w:bookmarkEnd w:id="44"/>
    </w:p>
    <w:p>
      <w:pPr>
        <w:pStyle w:val="164"/>
        <w:ind w:firstLine="442"/>
        <w:rPr>
          <w:b/>
          <w:bCs/>
          <w:color w:val="auto"/>
          <w:sz w:val="22"/>
          <w:szCs w:val="32"/>
          <w:highlight w:val="none"/>
        </w:rPr>
      </w:pPr>
      <w:r>
        <w:rPr>
          <w:rFonts w:hint="eastAsia"/>
          <w:b/>
          <w:bCs/>
          <w:color w:val="auto"/>
          <w:sz w:val="22"/>
          <w:szCs w:val="32"/>
          <w:highlight w:val="none"/>
        </w:rPr>
        <w:t>（</w:t>
      </w:r>
      <w:bookmarkStart w:id="45" w:name="_Hlk495873026"/>
      <w:r>
        <w:rPr>
          <w:rFonts w:hint="eastAsia"/>
          <w:b/>
          <w:bCs/>
          <w:color w:val="auto"/>
          <w:sz w:val="22"/>
          <w:szCs w:val="32"/>
          <w:highlight w:val="none"/>
        </w:rPr>
        <w:t>1）实质性响应技术条款（“★”项）响应表格式</w:t>
      </w:r>
    </w:p>
    <w:bookmarkEnd w:id="45"/>
    <w:p>
      <w:pPr>
        <w:spacing w:line="360" w:lineRule="auto"/>
        <w:rPr>
          <w:rFonts w:hAnsi="宋体" w:cs="宋体"/>
          <w:color w:val="auto"/>
          <w:szCs w:val="21"/>
          <w:highlight w:val="none"/>
        </w:rPr>
      </w:pPr>
    </w:p>
    <w:p>
      <w:pPr>
        <w:spacing w:line="360" w:lineRule="auto"/>
        <w:jc w:val="center"/>
        <w:rPr>
          <w:rFonts w:hAnsi="宋体" w:cs="宋体"/>
          <w:color w:val="auto"/>
          <w:sz w:val="28"/>
          <w:szCs w:val="28"/>
          <w:highlight w:val="none"/>
        </w:rPr>
      </w:pPr>
      <w:bookmarkStart w:id="46" w:name="_Hlk502600877"/>
      <w:r>
        <w:rPr>
          <w:rFonts w:hint="eastAsia" w:hAnsi="宋体" w:cs="宋体"/>
          <w:b/>
          <w:color w:val="auto"/>
          <w:sz w:val="28"/>
          <w:szCs w:val="28"/>
          <w:highlight w:val="none"/>
        </w:rPr>
        <w:t>实质性响应技术条款（“★”项）</w:t>
      </w:r>
      <w:bookmarkEnd w:id="46"/>
      <w:r>
        <w:rPr>
          <w:rFonts w:hint="eastAsia" w:hAnsi="宋体" w:cs="宋体"/>
          <w:b/>
          <w:color w:val="auto"/>
          <w:sz w:val="28"/>
          <w:szCs w:val="28"/>
          <w:highlight w:val="none"/>
        </w:rPr>
        <w:t>响应表</w:t>
      </w:r>
    </w:p>
    <w:p>
      <w:pPr>
        <w:spacing w:line="360" w:lineRule="auto"/>
        <w:rPr>
          <w:rFonts w:ascii="仿宋" w:hAnsi="仿宋" w:eastAsia="仿宋" w:cs="仿宋"/>
          <w:color w:val="auto"/>
          <w:szCs w:val="21"/>
          <w:highlight w:val="none"/>
          <w:u w:val="single"/>
        </w:rPr>
      </w:pPr>
      <w:r>
        <w:rPr>
          <w:rFonts w:hint="eastAsia" w:ascii="仿宋" w:hAnsi="仿宋" w:eastAsia="仿宋" w:cs="仿宋"/>
          <w:color w:val="auto"/>
          <w:szCs w:val="21"/>
          <w:highlight w:val="none"/>
        </w:rPr>
        <w:t>投标人名称：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项目名称：南海海洋预警信息发布和沿海恶劣天气防灾叫应系统(二期)</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采购编号：GDYD230090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920"/>
        <w:gridCol w:w="3588"/>
        <w:gridCol w:w="2115"/>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773" w:type="dxa"/>
            <w:vAlign w:val="center"/>
          </w:tcPr>
          <w:p>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序号</w:t>
            </w:r>
          </w:p>
        </w:tc>
        <w:tc>
          <w:tcPr>
            <w:tcW w:w="1920" w:type="dxa"/>
            <w:vAlign w:val="center"/>
          </w:tcPr>
          <w:p>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招标规格/要求</w:t>
            </w:r>
          </w:p>
        </w:tc>
        <w:tc>
          <w:tcPr>
            <w:tcW w:w="3588" w:type="dxa"/>
            <w:vAlign w:val="center"/>
          </w:tcPr>
          <w:p>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投标实际参数</w:t>
            </w:r>
          </w:p>
          <w:p>
            <w:pPr>
              <w:jc w:val="center"/>
              <w:rPr>
                <w:rFonts w:ascii="仿宋" w:hAnsi="仿宋" w:eastAsia="仿宋" w:cs="仿宋"/>
                <w:b/>
                <w:color w:val="auto"/>
                <w:szCs w:val="21"/>
                <w:highlight w:val="none"/>
              </w:rPr>
            </w:pPr>
            <w:r>
              <w:rPr>
                <w:rFonts w:hint="eastAsia" w:ascii="仿宋" w:hAnsi="仿宋" w:eastAsia="仿宋" w:cs="仿宋"/>
                <w:b/>
                <w:bCs/>
                <w:color w:val="auto"/>
                <w:szCs w:val="21"/>
                <w:highlight w:val="none"/>
              </w:rPr>
              <w:t>(投标人应按投标货物/服务实际数据填写，不能照抄招标要求)</w:t>
            </w:r>
          </w:p>
        </w:tc>
        <w:tc>
          <w:tcPr>
            <w:tcW w:w="2115" w:type="dxa"/>
            <w:vAlign w:val="center"/>
          </w:tcPr>
          <w:p>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是否偏离（无偏离/正偏离/负偏离）</w:t>
            </w:r>
          </w:p>
        </w:tc>
        <w:tc>
          <w:tcPr>
            <w:tcW w:w="1295" w:type="dxa"/>
            <w:vAlign w:val="center"/>
          </w:tcPr>
          <w:p>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73" w:type="dxa"/>
          </w:tcPr>
          <w:p>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5508" w:type="dxa"/>
            <w:gridSpan w:val="2"/>
          </w:tcPr>
          <w:p>
            <w:pPr>
              <w:rPr>
                <w:rFonts w:ascii="仿宋" w:hAnsi="仿宋" w:eastAsia="仿宋" w:cs="仿宋"/>
                <w:color w:val="auto"/>
                <w:szCs w:val="21"/>
                <w:highlight w:val="none"/>
              </w:rPr>
            </w:pPr>
            <w:r>
              <w:rPr>
                <w:rFonts w:hint="eastAsia" w:ascii="仿宋" w:hAnsi="仿宋" w:eastAsia="仿宋" w:cs="仿宋"/>
                <w:color w:val="auto"/>
                <w:szCs w:val="21"/>
                <w:highlight w:val="none"/>
                <w:lang w:val="en-GB"/>
              </w:rPr>
              <w:t>招标文件用户需求书中的所有实质性响应技术条款（“★”项）均完全响应，无任何偏离</w:t>
            </w:r>
          </w:p>
        </w:tc>
        <w:tc>
          <w:tcPr>
            <w:tcW w:w="2115" w:type="dxa"/>
            <w:vAlign w:val="center"/>
          </w:tcPr>
          <w:p>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无偏离</w:t>
            </w:r>
          </w:p>
        </w:tc>
        <w:tc>
          <w:tcPr>
            <w:tcW w:w="1295" w:type="dxa"/>
          </w:tcPr>
          <w:p>
            <w:pPr>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73" w:type="dxa"/>
          </w:tcPr>
          <w:p>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920" w:type="dxa"/>
          </w:tcPr>
          <w:p>
            <w:pPr>
              <w:jc w:val="center"/>
              <w:rPr>
                <w:rFonts w:ascii="仿宋" w:hAnsi="仿宋" w:eastAsia="仿宋" w:cs="仿宋"/>
                <w:color w:val="auto"/>
                <w:szCs w:val="21"/>
                <w:highlight w:val="none"/>
              </w:rPr>
            </w:pPr>
          </w:p>
        </w:tc>
        <w:tc>
          <w:tcPr>
            <w:tcW w:w="3588" w:type="dxa"/>
          </w:tcPr>
          <w:p>
            <w:pPr>
              <w:rPr>
                <w:rFonts w:ascii="仿宋" w:hAnsi="仿宋" w:eastAsia="仿宋" w:cs="仿宋"/>
                <w:color w:val="auto"/>
                <w:szCs w:val="21"/>
                <w:highlight w:val="none"/>
              </w:rPr>
            </w:pPr>
          </w:p>
        </w:tc>
        <w:tc>
          <w:tcPr>
            <w:tcW w:w="2115" w:type="dxa"/>
          </w:tcPr>
          <w:p>
            <w:pPr>
              <w:rPr>
                <w:rFonts w:ascii="仿宋" w:hAnsi="仿宋" w:eastAsia="仿宋" w:cs="仿宋"/>
                <w:color w:val="auto"/>
                <w:szCs w:val="21"/>
                <w:highlight w:val="none"/>
              </w:rPr>
            </w:pPr>
          </w:p>
        </w:tc>
        <w:tc>
          <w:tcPr>
            <w:tcW w:w="1295" w:type="dxa"/>
          </w:tcPr>
          <w:p>
            <w:pPr>
              <w:rPr>
                <w:rFonts w:ascii="仿宋" w:hAnsi="仿宋" w:eastAsia="仿宋" w:cs="仿宋"/>
                <w:color w:val="auto"/>
                <w:szCs w:val="21"/>
                <w:highlight w:val="none"/>
              </w:rPr>
            </w:pPr>
          </w:p>
        </w:tc>
      </w:tr>
    </w:tbl>
    <w:p>
      <w:pPr>
        <w:snapToGrid w:val="0"/>
        <w:spacing w:line="360" w:lineRule="auto"/>
        <w:ind w:left="420" w:hanging="420" w:hangingChars="200"/>
        <w:rPr>
          <w:rFonts w:ascii="仿宋" w:hAnsi="仿宋" w:eastAsia="仿宋" w:cs="仿宋"/>
          <w:color w:val="auto"/>
          <w:szCs w:val="21"/>
          <w:highlight w:val="none"/>
        </w:rPr>
      </w:pPr>
      <w:r>
        <w:rPr>
          <w:rFonts w:hint="eastAsia" w:ascii="仿宋" w:hAnsi="仿宋" w:eastAsia="仿宋" w:cs="仿宋"/>
          <w:color w:val="auto"/>
          <w:szCs w:val="21"/>
          <w:highlight w:val="none"/>
        </w:rPr>
        <w:t>注：1.投标人必须对应招标文件“第四篇用户需求书”的</w:t>
      </w:r>
      <w:r>
        <w:rPr>
          <w:rFonts w:hint="eastAsia" w:ascii="仿宋" w:hAnsi="仿宋" w:eastAsia="仿宋" w:cs="仿宋"/>
          <w:color w:val="auto"/>
          <w:szCs w:val="21"/>
          <w:highlight w:val="none"/>
          <w:lang w:val="en-GB"/>
        </w:rPr>
        <w:t>“★” 项</w:t>
      </w:r>
      <w:r>
        <w:rPr>
          <w:rFonts w:hint="eastAsia" w:ascii="仿宋" w:hAnsi="仿宋" w:eastAsia="仿宋" w:cs="仿宋"/>
          <w:color w:val="auto"/>
          <w:szCs w:val="21"/>
          <w:highlight w:val="none"/>
        </w:rPr>
        <w:t>内容逐条响应。如有缺漏，缺漏项视同不符合招标要求。</w:t>
      </w:r>
      <w:r>
        <w:rPr>
          <w:rFonts w:hint="eastAsia" w:ascii="仿宋" w:hAnsi="仿宋" w:eastAsia="仿宋" w:cs="仿宋"/>
          <w:color w:val="auto"/>
          <w:szCs w:val="21"/>
          <w:highlight w:val="none"/>
          <w:lang w:val="en-GB"/>
        </w:rPr>
        <w:t>打</w:t>
      </w:r>
      <w:bookmarkStart w:id="47" w:name="_Hlk502600843"/>
      <w:r>
        <w:rPr>
          <w:rFonts w:hint="eastAsia" w:ascii="仿宋" w:hAnsi="仿宋" w:eastAsia="仿宋" w:cs="仿宋"/>
          <w:color w:val="auto"/>
          <w:szCs w:val="21"/>
          <w:highlight w:val="none"/>
          <w:lang w:val="en-GB"/>
        </w:rPr>
        <w:t>“★”</w:t>
      </w:r>
      <w:bookmarkEnd w:id="47"/>
      <w:r>
        <w:rPr>
          <w:rFonts w:hint="eastAsia" w:ascii="仿宋" w:hAnsi="仿宋" w:eastAsia="仿宋" w:cs="仿宋"/>
          <w:color w:val="auto"/>
          <w:szCs w:val="21"/>
          <w:highlight w:val="none"/>
          <w:lang w:val="en-GB"/>
        </w:rPr>
        <w:t xml:space="preserve"> 项为不可负偏离(劣于)的重要项。投标人如响应所有的“★”技术条款，也可在表格中以“招标文件用户需求书中的所有实质性响应技术条款（“★”项）均完全响应，无任何偏离”的表述方式表述。</w:t>
      </w:r>
    </w:p>
    <w:p>
      <w:pPr>
        <w:snapToGrid w:val="0"/>
        <w:spacing w:line="360" w:lineRule="auto"/>
        <w:ind w:left="420" w:leftChars="200"/>
        <w:rPr>
          <w:rFonts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val="en-GB"/>
        </w:rPr>
        <w:t>2.</w:t>
      </w:r>
      <w:r>
        <w:rPr>
          <w:rFonts w:hint="eastAsia" w:ascii="仿宋" w:hAnsi="仿宋" w:eastAsia="仿宋" w:cs="仿宋"/>
          <w:b/>
          <w:color w:val="auto"/>
          <w:szCs w:val="21"/>
          <w:highlight w:val="none"/>
          <w:u w:val="single"/>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lang w:val="en-GB"/>
        </w:rPr>
        <w:t>3.本表内容按各自对应所投子包的内容自行更改。</w:t>
      </w:r>
    </w:p>
    <w:p>
      <w:pPr>
        <w:spacing w:line="360" w:lineRule="auto"/>
        <w:ind w:firstLine="420" w:firstLineChars="200"/>
        <w:rPr>
          <w:rFonts w:ascii="仿宋" w:hAnsi="仿宋" w:eastAsia="仿宋" w:cs="仿宋"/>
          <w:color w:val="auto"/>
          <w:szCs w:val="21"/>
          <w:highlight w:val="none"/>
        </w:rPr>
      </w:pPr>
    </w:p>
    <w:p>
      <w:pPr>
        <w:snapToGrid w:val="0"/>
        <w:spacing w:line="300" w:lineRule="auto"/>
        <w:rPr>
          <w:rFonts w:ascii="仿宋" w:hAnsi="仿宋" w:eastAsia="仿宋" w:cs="仿宋"/>
          <w:color w:val="auto"/>
          <w:szCs w:val="21"/>
          <w:highlight w:val="none"/>
        </w:rPr>
      </w:pPr>
    </w:p>
    <w:p>
      <w:pPr>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投标人法定代表人（或法定代表人授权代表）签字：</w:t>
      </w:r>
      <w:r>
        <w:rPr>
          <w:rFonts w:hint="eastAsia" w:ascii="仿宋" w:hAnsi="仿宋" w:eastAsia="仿宋" w:cs="仿宋"/>
          <w:color w:val="auto"/>
          <w:szCs w:val="21"/>
          <w:highlight w:val="none"/>
          <w:u w:val="single"/>
        </w:rPr>
        <w:t xml:space="preserve">                   </w:t>
      </w:r>
    </w:p>
    <w:p>
      <w:pPr>
        <w:snapToGrid w:val="0"/>
        <w:spacing w:line="360" w:lineRule="auto"/>
        <w:rPr>
          <w:rFonts w:ascii="仿宋" w:hAnsi="仿宋" w:eastAsia="仿宋" w:cs="仿宋"/>
          <w:color w:val="auto"/>
          <w:szCs w:val="21"/>
          <w:highlight w:val="none"/>
          <w:u w:val="single"/>
        </w:rPr>
      </w:pPr>
      <w:r>
        <w:rPr>
          <w:rFonts w:hint="eastAsia" w:ascii="仿宋" w:hAnsi="仿宋" w:eastAsia="仿宋" w:cs="仿宋"/>
          <w:color w:val="auto"/>
          <w:szCs w:val="21"/>
          <w:highlight w:val="none"/>
        </w:rPr>
        <w:t>投标人名称（加盖法人公章）：</w:t>
      </w:r>
      <w:r>
        <w:rPr>
          <w:rFonts w:hint="eastAsia" w:ascii="仿宋" w:hAnsi="仿宋" w:eastAsia="仿宋" w:cs="仿宋"/>
          <w:color w:val="auto"/>
          <w:szCs w:val="21"/>
          <w:highlight w:val="none"/>
          <w:u w:val="single"/>
        </w:rPr>
        <w:t xml:space="preserve">                        </w:t>
      </w:r>
    </w:p>
    <w:p>
      <w:pPr>
        <w:snapToGrid w:val="0"/>
        <w:spacing w:line="300" w:lineRule="auto"/>
        <w:rPr>
          <w:rFonts w:ascii="仿宋" w:hAnsi="仿宋" w:eastAsia="仿宋" w:cs="仿宋"/>
          <w:color w:val="auto"/>
          <w:szCs w:val="21"/>
          <w:highlight w:val="none"/>
        </w:rPr>
      </w:pPr>
      <w:r>
        <w:rPr>
          <w:rFonts w:hint="eastAsia" w:ascii="仿宋" w:hAnsi="仿宋" w:eastAsia="仿宋" w:cs="仿宋"/>
          <w:color w:val="auto"/>
          <w:szCs w:val="21"/>
          <w:highlight w:val="none"/>
        </w:rPr>
        <w:t>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日</w:t>
      </w:r>
    </w:p>
    <w:p>
      <w:pPr>
        <w:pStyle w:val="164"/>
        <w:ind w:firstLine="420"/>
        <w:rPr>
          <w:rFonts w:hAnsi="宋体" w:cs="宋体"/>
          <w:b/>
          <w:bCs/>
          <w:color w:val="auto"/>
          <w:szCs w:val="21"/>
          <w:highlight w:val="none"/>
        </w:rPr>
      </w:pPr>
      <w:r>
        <w:rPr>
          <w:rFonts w:hint="eastAsia" w:hAnsi="宋体" w:cs="宋体"/>
          <w:color w:val="auto"/>
          <w:szCs w:val="21"/>
          <w:highlight w:val="none"/>
        </w:rPr>
        <w:br w:type="page"/>
      </w:r>
      <w:bookmarkStart w:id="48" w:name="_Hlk495873055"/>
      <w:r>
        <w:rPr>
          <w:rFonts w:hint="eastAsia"/>
          <w:b/>
          <w:bCs/>
          <w:color w:val="auto"/>
          <w:sz w:val="22"/>
          <w:szCs w:val="32"/>
          <w:highlight w:val="none"/>
        </w:rPr>
        <w:t>（2）一般技术条款响应表格式</w:t>
      </w:r>
      <w:bookmarkEnd w:id="48"/>
    </w:p>
    <w:p>
      <w:pPr>
        <w:spacing w:line="360" w:lineRule="auto"/>
        <w:rPr>
          <w:rFonts w:hAnsi="宋体" w:cs="宋体"/>
          <w:color w:val="auto"/>
          <w:szCs w:val="21"/>
          <w:highlight w:val="none"/>
        </w:rPr>
      </w:pPr>
    </w:p>
    <w:p>
      <w:pPr>
        <w:spacing w:line="360" w:lineRule="auto"/>
        <w:jc w:val="center"/>
        <w:rPr>
          <w:rFonts w:hAnsi="宋体" w:cs="宋体"/>
          <w:color w:val="auto"/>
          <w:sz w:val="28"/>
          <w:szCs w:val="28"/>
          <w:highlight w:val="none"/>
        </w:rPr>
      </w:pPr>
      <w:r>
        <w:rPr>
          <w:rFonts w:hint="eastAsia" w:hAnsi="宋体" w:cs="宋体"/>
          <w:b/>
          <w:color w:val="auto"/>
          <w:sz w:val="28"/>
          <w:szCs w:val="28"/>
          <w:highlight w:val="none"/>
        </w:rPr>
        <w:t>一般技术条款响应表</w:t>
      </w:r>
    </w:p>
    <w:p>
      <w:pPr>
        <w:spacing w:line="360" w:lineRule="auto"/>
        <w:rPr>
          <w:rFonts w:ascii="仿宋" w:hAnsi="仿宋" w:eastAsia="仿宋" w:cs="仿宋"/>
          <w:color w:val="auto"/>
          <w:szCs w:val="21"/>
          <w:highlight w:val="none"/>
          <w:u w:val="single"/>
        </w:rPr>
      </w:pPr>
      <w:r>
        <w:rPr>
          <w:rFonts w:hint="eastAsia" w:ascii="仿宋" w:hAnsi="仿宋" w:eastAsia="仿宋" w:cs="仿宋"/>
          <w:color w:val="auto"/>
          <w:szCs w:val="21"/>
          <w:highlight w:val="none"/>
        </w:rPr>
        <w:t>投标人名称：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项目名称：南海海洋预警信息发布和沿海恶劣天气防灾叫应系统(二期)</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采购编号：GDYD230090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920"/>
        <w:gridCol w:w="3588"/>
        <w:gridCol w:w="2115"/>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3" w:type="dxa"/>
            <w:vAlign w:val="center"/>
          </w:tcPr>
          <w:p>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序号</w:t>
            </w:r>
          </w:p>
        </w:tc>
        <w:tc>
          <w:tcPr>
            <w:tcW w:w="1920" w:type="dxa"/>
            <w:vAlign w:val="center"/>
          </w:tcPr>
          <w:p>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招标规格/要求</w:t>
            </w:r>
          </w:p>
        </w:tc>
        <w:tc>
          <w:tcPr>
            <w:tcW w:w="3588" w:type="dxa"/>
            <w:vAlign w:val="center"/>
          </w:tcPr>
          <w:p>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投标实际参数</w:t>
            </w:r>
          </w:p>
          <w:p>
            <w:pPr>
              <w:jc w:val="center"/>
              <w:rPr>
                <w:rFonts w:ascii="仿宋" w:hAnsi="仿宋" w:eastAsia="仿宋" w:cs="仿宋"/>
                <w:b/>
                <w:color w:val="auto"/>
                <w:szCs w:val="21"/>
                <w:highlight w:val="none"/>
              </w:rPr>
            </w:pPr>
            <w:r>
              <w:rPr>
                <w:rFonts w:hint="eastAsia" w:ascii="仿宋" w:hAnsi="仿宋" w:eastAsia="仿宋" w:cs="仿宋"/>
                <w:b/>
                <w:bCs/>
                <w:color w:val="auto"/>
                <w:szCs w:val="21"/>
                <w:highlight w:val="none"/>
              </w:rPr>
              <w:t>(投标人应按投标货物/服务实际数据填写，不能照抄招标要求)</w:t>
            </w:r>
          </w:p>
        </w:tc>
        <w:tc>
          <w:tcPr>
            <w:tcW w:w="2115" w:type="dxa"/>
            <w:vAlign w:val="center"/>
          </w:tcPr>
          <w:p>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是否偏离（无偏离/正偏离/负偏离）</w:t>
            </w:r>
          </w:p>
        </w:tc>
        <w:tc>
          <w:tcPr>
            <w:tcW w:w="1295" w:type="dxa"/>
            <w:vAlign w:val="center"/>
          </w:tcPr>
          <w:p>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3" w:type="dxa"/>
            <w:vAlign w:val="center"/>
          </w:tcPr>
          <w:p>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920" w:type="dxa"/>
            <w:vAlign w:val="center"/>
          </w:tcPr>
          <w:p>
            <w:pPr>
              <w:widowControl/>
              <w:snapToGrid w:val="0"/>
              <w:spacing w:line="480" w:lineRule="auto"/>
              <w:jc w:val="center"/>
              <w:rPr>
                <w:rFonts w:ascii="仿宋" w:hAnsi="仿宋" w:eastAsia="仿宋" w:cs="仿宋"/>
                <w:color w:val="auto"/>
                <w:szCs w:val="21"/>
                <w:highlight w:val="none"/>
              </w:rPr>
            </w:pPr>
          </w:p>
        </w:tc>
        <w:tc>
          <w:tcPr>
            <w:tcW w:w="3588" w:type="dxa"/>
            <w:vAlign w:val="center"/>
          </w:tcPr>
          <w:p>
            <w:pPr>
              <w:jc w:val="center"/>
              <w:rPr>
                <w:rFonts w:ascii="仿宋" w:hAnsi="仿宋" w:eastAsia="仿宋" w:cs="仿宋"/>
                <w:color w:val="auto"/>
                <w:szCs w:val="21"/>
                <w:highlight w:val="none"/>
              </w:rPr>
            </w:pPr>
          </w:p>
        </w:tc>
        <w:tc>
          <w:tcPr>
            <w:tcW w:w="2115" w:type="dxa"/>
            <w:vAlign w:val="center"/>
          </w:tcPr>
          <w:p>
            <w:pPr>
              <w:jc w:val="center"/>
              <w:rPr>
                <w:rFonts w:ascii="仿宋" w:hAnsi="仿宋" w:eastAsia="仿宋" w:cs="仿宋"/>
                <w:color w:val="auto"/>
                <w:szCs w:val="21"/>
                <w:highlight w:val="none"/>
              </w:rPr>
            </w:pPr>
          </w:p>
        </w:tc>
        <w:tc>
          <w:tcPr>
            <w:tcW w:w="1295" w:type="dxa"/>
            <w:vAlign w:val="center"/>
          </w:tcPr>
          <w:p>
            <w:pPr>
              <w:jc w:val="center"/>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3" w:type="dxa"/>
            <w:vAlign w:val="center"/>
          </w:tcPr>
          <w:p>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920" w:type="dxa"/>
            <w:vAlign w:val="center"/>
          </w:tcPr>
          <w:p>
            <w:pPr>
              <w:widowControl/>
              <w:snapToGrid w:val="0"/>
              <w:spacing w:line="480" w:lineRule="auto"/>
              <w:jc w:val="center"/>
              <w:rPr>
                <w:rFonts w:ascii="仿宋" w:hAnsi="仿宋" w:eastAsia="仿宋" w:cs="仿宋"/>
                <w:color w:val="auto"/>
                <w:szCs w:val="21"/>
                <w:highlight w:val="none"/>
              </w:rPr>
            </w:pPr>
          </w:p>
        </w:tc>
        <w:tc>
          <w:tcPr>
            <w:tcW w:w="3588" w:type="dxa"/>
            <w:vAlign w:val="center"/>
          </w:tcPr>
          <w:p>
            <w:pPr>
              <w:jc w:val="center"/>
              <w:rPr>
                <w:rFonts w:ascii="仿宋" w:hAnsi="仿宋" w:eastAsia="仿宋" w:cs="仿宋"/>
                <w:color w:val="auto"/>
                <w:szCs w:val="21"/>
                <w:highlight w:val="none"/>
              </w:rPr>
            </w:pPr>
          </w:p>
        </w:tc>
        <w:tc>
          <w:tcPr>
            <w:tcW w:w="2115" w:type="dxa"/>
            <w:vAlign w:val="center"/>
          </w:tcPr>
          <w:p>
            <w:pPr>
              <w:jc w:val="center"/>
              <w:rPr>
                <w:rFonts w:ascii="仿宋" w:hAnsi="仿宋" w:eastAsia="仿宋" w:cs="仿宋"/>
                <w:color w:val="auto"/>
                <w:szCs w:val="21"/>
                <w:highlight w:val="none"/>
              </w:rPr>
            </w:pPr>
          </w:p>
        </w:tc>
        <w:tc>
          <w:tcPr>
            <w:tcW w:w="1295" w:type="dxa"/>
            <w:vAlign w:val="center"/>
          </w:tcPr>
          <w:p>
            <w:pPr>
              <w:jc w:val="center"/>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3" w:type="dxa"/>
            <w:vAlign w:val="center"/>
          </w:tcPr>
          <w:p>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1920" w:type="dxa"/>
            <w:vAlign w:val="center"/>
          </w:tcPr>
          <w:p>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3588" w:type="dxa"/>
            <w:vAlign w:val="center"/>
          </w:tcPr>
          <w:p>
            <w:pPr>
              <w:jc w:val="center"/>
              <w:rPr>
                <w:rFonts w:ascii="仿宋" w:hAnsi="仿宋" w:eastAsia="仿宋" w:cs="仿宋"/>
                <w:color w:val="auto"/>
                <w:szCs w:val="21"/>
                <w:highlight w:val="none"/>
              </w:rPr>
            </w:pPr>
          </w:p>
        </w:tc>
        <w:tc>
          <w:tcPr>
            <w:tcW w:w="2115" w:type="dxa"/>
            <w:vAlign w:val="center"/>
          </w:tcPr>
          <w:p>
            <w:pPr>
              <w:jc w:val="center"/>
              <w:rPr>
                <w:rFonts w:ascii="仿宋" w:hAnsi="仿宋" w:eastAsia="仿宋" w:cs="仿宋"/>
                <w:color w:val="auto"/>
                <w:szCs w:val="21"/>
                <w:highlight w:val="none"/>
              </w:rPr>
            </w:pPr>
          </w:p>
        </w:tc>
        <w:tc>
          <w:tcPr>
            <w:tcW w:w="1295" w:type="dxa"/>
            <w:vAlign w:val="center"/>
          </w:tcPr>
          <w:p>
            <w:pPr>
              <w:jc w:val="center"/>
              <w:rPr>
                <w:rFonts w:ascii="仿宋" w:hAnsi="仿宋" w:eastAsia="仿宋" w:cs="仿宋"/>
                <w:color w:val="auto"/>
                <w:szCs w:val="21"/>
                <w:highlight w:val="none"/>
              </w:rPr>
            </w:pPr>
          </w:p>
        </w:tc>
      </w:tr>
    </w:tbl>
    <w:p>
      <w:pPr>
        <w:snapToGrid w:val="0"/>
        <w:spacing w:line="360" w:lineRule="auto"/>
        <w:ind w:firstLine="420" w:firstLineChars="200"/>
        <w:rPr>
          <w:rFonts w:ascii="仿宋" w:hAnsi="仿宋" w:eastAsia="仿宋" w:cs="仿宋"/>
          <w:color w:val="auto"/>
          <w:highlight w:val="none"/>
        </w:rPr>
      </w:pPr>
    </w:p>
    <w:p>
      <w:pPr>
        <w:snapToGrid w:val="0"/>
        <w:spacing w:line="360" w:lineRule="auto"/>
        <w:ind w:left="403" w:hanging="403" w:hangingChars="192"/>
        <w:rPr>
          <w:rFonts w:ascii="仿宋" w:hAnsi="仿宋" w:eastAsia="仿宋" w:cs="仿宋"/>
          <w:color w:val="auto"/>
          <w:szCs w:val="21"/>
          <w:highlight w:val="none"/>
          <w:lang w:val="en-GB"/>
        </w:rPr>
      </w:pPr>
      <w:r>
        <w:rPr>
          <w:rFonts w:hint="eastAsia" w:ascii="仿宋" w:hAnsi="仿宋" w:eastAsia="仿宋" w:cs="仿宋"/>
          <w:color w:val="auto"/>
          <w:szCs w:val="21"/>
          <w:highlight w:val="none"/>
        </w:rPr>
        <w:t>注：1.投标人必须对应招标文件“第四篇用户需求书”的内容逐条响应。如有缺漏，缺漏项有权视同不符合招标要求。</w:t>
      </w:r>
    </w:p>
    <w:p>
      <w:pPr>
        <w:snapToGrid w:val="0"/>
        <w:spacing w:line="360" w:lineRule="auto"/>
        <w:ind w:left="420" w:leftChars="200"/>
        <w:rPr>
          <w:rFonts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val="en-GB"/>
        </w:rPr>
        <w:t>2.</w:t>
      </w:r>
      <w:r>
        <w:rPr>
          <w:rFonts w:hint="eastAsia" w:ascii="仿宋" w:hAnsi="仿宋" w:eastAsia="仿宋" w:cs="仿宋"/>
          <w:b/>
          <w:color w:val="auto"/>
          <w:szCs w:val="21"/>
          <w:highlight w:val="none"/>
          <w:u w:val="single"/>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lang w:val="en-GB"/>
        </w:rPr>
        <w:t>3.本表内容按各自对应所投子包的内容自行更改。</w:t>
      </w:r>
    </w:p>
    <w:p>
      <w:pPr>
        <w:spacing w:line="360" w:lineRule="auto"/>
        <w:rPr>
          <w:rFonts w:ascii="仿宋" w:hAnsi="仿宋" w:eastAsia="仿宋" w:cs="仿宋"/>
          <w:color w:val="auto"/>
          <w:szCs w:val="21"/>
          <w:highlight w:val="none"/>
        </w:rPr>
      </w:pPr>
    </w:p>
    <w:p>
      <w:pPr>
        <w:snapToGrid w:val="0"/>
        <w:spacing w:line="300" w:lineRule="auto"/>
        <w:rPr>
          <w:rFonts w:ascii="仿宋" w:hAnsi="仿宋" w:eastAsia="仿宋" w:cs="仿宋"/>
          <w:color w:val="auto"/>
          <w:szCs w:val="21"/>
          <w:highlight w:val="none"/>
        </w:rPr>
      </w:pPr>
    </w:p>
    <w:p>
      <w:pPr>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投标人法定代表人（或法定代表人授权代表）签字：</w:t>
      </w:r>
      <w:r>
        <w:rPr>
          <w:rFonts w:hint="eastAsia" w:ascii="仿宋" w:hAnsi="仿宋" w:eastAsia="仿宋" w:cs="仿宋"/>
          <w:color w:val="auto"/>
          <w:szCs w:val="21"/>
          <w:highlight w:val="none"/>
          <w:u w:val="single"/>
        </w:rPr>
        <w:t xml:space="preserve">                   </w:t>
      </w:r>
    </w:p>
    <w:p>
      <w:pPr>
        <w:snapToGrid w:val="0"/>
        <w:spacing w:line="360" w:lineRule="auto"/>
        <w:rPr>
          <w:rFonts w:ascii="仿宋" w:hAnsi="仿宋" w:eastAsia="仿宋" w:cs="仿宋"/>
          <w:color w:val="auto"/>
          <w:szCs w:val="21"/>
          <w:highlight w:val="none"/>
          <w:u w:val="single"/>
        </w:rPr>
      </w:pPr>
      <w:r>
        <w:rPr>
          <w:rFonts w:hint="eastAsia" w:ascii="仿宋" w:hAnsi="仿宋" w:eastAsia="仿宋" w:cs="仿宋"/>
          <w:color w:val="auto"/>
          <w:szCs w:val="21"/>
          <w:highlight w:val="none"/>
        </w:rPr>
        <w:t>投标人名称（加盖法人公章）：</w:t>
      </w:r>
      <w:r>
        <w:rPr>
          <w:rFonts w:hint="eastAsia" w:ascii="仿宋" w:hAnsi="仿宋" w:eastAsia="仿宋" w:cs="仿宋"/>
          <w:color w:val="auto"/>
          <w:szCs w:val="21"/>
          <w:highlight w:val="none"/>
          <w:u w:val="single"/>
        </w:rPr>
        <w:t xml:space="preserve">                        </w:t>
      </w:r>
    </w:p>
    <w:p>
      <w:pPr>
        <w:snapToGrid w:val="0"/>
        <w:spacing w:line="300" w:lineRule="auto"/>
        <w:rPr>
          <w:rFonts w:ascii="仿宋" w:hAnsi="仿宋" w:eastAsia="仿宋" w:cs="仿宋"/>
          <w:color w:val="auto"/>
          <w:szCs w:val="21"/>
          <w:highlight w:val="none"/>
        </w:rPr>
      </w:pPr>
      <w:r>
        <w:rPr>
          <w:rFonts w:hint="eastAsia" w:ascii="仿宋" w:hAnsi="仿宋" w:eastAsia="仿宋" w:cs="仿宋"/>
          <w:color w:val="auto"/>
          <w:szCs w:val="21"/>
          <w:highlight w:val="none"/>
        </w:rPr>
        <w:t>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日</w:t>
      </w:r>
    </w:p>
    <w:p>
      <w:pPr>
        <w:snapToGrid w:val="0"/>
        <w:spacing w:line="360" w:lineRule="auto"/>
        <w:rPr>
          <w:rFonts w:hAnsi="宋体" w:cs="宋体"/>
          <w:color w:val="auto"/>
          <w:szCs w:val="21"/>
          <w:highlight w:val="none"/>
        </w:rPr>
      </w:pPr>
    </w:p>
    <w:p>
      <w:pPr>
        <w:snapToGrid w:val="0"/>
        <w:spacing w:line="360" w:lineRule="auto"/>
        <w:rPr>
          <w:rFonts w:hAnsi="宋体" w:cs="宋体"/>
          <w:color w:val="auto"/>
          <w:szCs w:val="21"/>
          <w:highlight w:val="none"/>
        </w:rPr>
      </w:pPr>
    </w:p>
    <w:p>
      <w:pPr>
        <w:snapToGrid w:val="0"/>
        <w:spacing w:line="360" w:lineRule="auto"/>
        <w:rPr>
          <w:rFonts w:hAnsi="宋体" w:cs="宋体"/>
          <w:color w:val="auto"/>
          <w:szCs w:val="21"/>
          <w:highlight w:val="none"/>
        </w:rPr>
      </w:pPr>
    </w:p>
    <w:p>
      <w:pPr>
        <w:snapToGrid w:val="0"/>
        <w:spacing w:line="360" w:lineRule="auto"/>
        <w:rPr>
          <w:rFonts w:hAnsi="宋体" w:cs="宋体"/>
          <w:color w:val="auto"/>
          <w:szCs w:val="21"/>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3"/>
        <w:spacing w:before="312" w:line="480" w:lineRule="exact"/>
        <w:jc w:val="center"/>
        <w:rPr>
          <w:rFonts w:hAnsi="宋体" w:cs="宋体"/>
          <w:b/>
          <w:color w:val="auto"/>
          <w:sz w:val="32"/>
          <w:szCs w:val="32"/>
          <w:highlight w:val="none"/>
        </w:rPr>
      </w:pPr>
      <w:r>
        <w:rPr>
          <w:rFonts w:hint="eastAsia" w:hAnsi="宋体" w:cs="宋体"/>
          <w:b/>
          <w:color w:val="auto"/>
          <w:sz w:val="32"/>
          <w:szCs w:val="32"/>
          <w:highlight w:val="none"/>
        </w:rPr>
        <w:br w:type="page"/>
      </w:r>
      <w:r>
        <w:rPr>
          <w:rFonts w:hint="eastAsia" w:hAnsi="宋体" w:cs="宋体"/>
          <w:b/>
          <w:color w:val="auto"/>
          <w:sz w:val="32"/>
          <w:szCs w:val="32"/>
          <w:highlight w:val="none"/>
        </w:rPr>
        <w:t>四、经济</w:t>
      </w:r>
      <w:bookmarkStart w:id="49" w:name="_Hlt10456397"/>
      <w:bookmarkEnd w:id="49"/>
      <w:bookmarkStart w:id="50" w:name="_Hlt10519799"/>
      <w:bookmarkEnd w:id="50"/>
      <w:r>
        <w:rPr>
          <w:rFonts w:hint="eastAsia" w:hAnsi="宋体" w:cs="宋体"/>
          <w:b/>
          <w:color w:val="auto"/>
          <w:sz w:val="32"/>
          <w:szCs w:val="32"/>
          <w:highlight w:val="none"/>
        </w:rPr>
        <w:t>部分文件</w:t>
      </w:r>
    </w:p>
    <w:p>
      <w:pPr>
        <w:pStyle w:val="3"/>
        <w:spacing w:after="120" w:line="480" w:lineRule="exact"/>
        <w:rPr>
          <w:rFonts w:hAnsi="宋体" w:cs="宋体"/>
          <w:b/>
          <w:color w:val="auto"/>
          <w:szCs w:val="20"/>
          <w:highlight w:val="none"/>
        </w:rPr>
      </w:pPr>
      <w:r>
        <w:rPr>
          <w:rFonts w:hint="eastAsia" w:hAnsi="宋体" w:cs="宋体"/>
          <w:b/>
          <w:color w:val="auto"/>
          <w:szCs w:val="20"/>
          <w:highlight w:val="none"/>
        </w:rPr>
        <w:t>附表4.1  投标报价总表格式</w:t>
      </w:r>
    </w:p>
    <w:p>
      <w:pPr>
        <w:pStyle w:val="28"/>
        <w:spacing w:line="480" w:lineRule="exact"/>
        <w:jc w:val="center"/>
        <w:rPr>
          <w:rFonts w:hAnsi="宋体" w:cs="宋体"/>
          <w:b/>
          <w:color w:val="auto"/>
          <w:kern w:val="0"/>
          <w:sz w:val="28"/>
          <w:szCs w:val="28"/>
          <w:highlight w:val="none"/>
        </w:rPr>
      </w:pPr>
    </w:p>
    <w:p>
      <w:pPr>
        <w:pStyle w:val="28"/>
        <w:spacing w:line="480" w:lineRule="exact"/>
        <w:jc w:val="center"/>
        <w:rPr>
          <w:rFonts w:hAnsi="宋体" w:cs="宋体"/>
          <w:b/>
          <w:color w:val="auto"/>
          <w:kern w:val="0"/>
          <w:sz w:val="32"/>
          <w:szCs w:val="32"/>
          <w:highlight w:val="none"/>
        </w:rPr>
      </w:pPr>
      <w:r>
        <w:rPr>
          <w:rFonts w:hint="eastAsia" w:hAnsi="宋体" w:cs="宋体"/>
          <w:b/>
          <w:color w:val="auto"/>
          <w:kern w:val="0"/>
          <w:sz w:val="32"/>
          <w:szCs w:val="32"/>
          <w:highlight w:val="none"/>
        </w:rPr>
        <w:t>投标报价总表</w:t>
      </w:r>
    </w:p>
    <w:p>
      <w:pPr>
        <w:pStyle w:val="28"/>
        <w:spacing w:line="480" w:lineRule="exact"/>
        <w:jc w:val="center"/>
        <w:rPr>
          <w:rFonts w:hAnsi="宋体" w:cs="宋体"/>
          <w:color w:val="auto"/>
          <w:sz w:val="24"/>
          <w:highlight w:val="none"/>
        </w:rPr>
      </w:pPr>
      <w:r>
        <w:rPr>
          <w:rFonts w:hint="eastAsia" w:hAnsi="宋体" w:cs="宋体"/>
          <w:color w:val="auto"/>
          <w:highlight w:val="none"/>
        </w:rPr>
        <w:t>[货币单位：人民币元]</w:t>
      </w:r>
    </w:p>
    <w:p>
      <w:pPr>
        <w:pStyle w:val="28"/>
        <w:spacing w:line="360" w:lineRule="auto"/>
        <w:rPr>
          <w:rFonts w:ascii="仿宋" w:hAnsi="仿宋" w:eastAsia="仿宋" w:cs="仿宋"/>
          <w:color w:val="auto"/>
          <w:highlight w:val="none"/>
        </w:rPr>
      </w:pPr>
      <w:r>
        <w:rPr>
          <w:rFonts w:hint="eastAsia" w:ascii="仿宋" w:hAnsi="仿宋" w:eastAsia="仿宋" w:cs="仿宋"/>
          <w:color w:val="auto"/>
          <w:highlight w:val="none"/>
        </w:rPr>
        <w:t>投标人名称：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采购编号：GDYD230090        </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项目名称：南海海洋预警信息发布和沿海恶劣天气防灾叫应系统(二期)</w:t>
      </w:r>
    </w:p>
    <w:p>
      <w:pPr>
        <w:pStyle w:val="28"/>
        <w:rPr>
          <w:rFonts w:ascii="仿宋" w:hAnsi="仿宋" w:eastAsia="仿宋" w:cs="仿宋"/>
          <w:color w:val="auto"/>
          <w:highlight w:val="none"/>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2331"/>
        <w:gridCol w:w="4597"/>
        <w:gridCol w:w="1437"/>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730" w:type="dxa"/>
            <w:vAlign w:val="center"/>
          </w:tcPr>
          <w:p>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331" w:type="dxa"/>
            <w:vAlign w:val="center"/>
          </w:tcPr>
          <w:p>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项目名称</w:t>
            </w:r>
          </w:p>
        </w:tc>
        <w:tc>
          <w:tcPr>
            <w:tcW w:w="4597" w:type="dxa"/>
            <w:vAlign w:val="center"/>
          </w:tcPr>
          <w:p>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投标总价（元）</w:t>
            </w:r>
          </w:p>
        </w:tc>
        <w:tc>
          <w:tcPr>
            <w:tcW w:w="1437" w:type="dxa"/>
            <w:vAlign w:val="center"/>
          </w:tcPr>
          <w:p>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交货期（天）</w:t>
            </w:r>
          </w:p>
        </w:tc>
        <w:tc>
          <w:tcPr>
            <w:tcW w:w="760" w:type="dxa"/>
            <w:vAlign w:val="center"/>
          </w:tcPr>
          <w:p>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pPr>
              <w:spacing w:line="360" w:lineRule="auto"/>
              <w:jc w:val="center"/>
              <w:rPr>
                <w:rFonts w:ascii="仿宋" w:hAnsi="仿宋" w:eastAsia="仿宋" w:cs="仿宋"/>
                <w:color w:val="auto"/>
                <w:szCs w:val="21"/>
                <w:highlight w:val="none"/>
              </w:rPr>
            </w:pPr>
          </w:p>
        </w:tc>
        <w:tc>
          <w:tcPr>
            <w:tcW w:w="2331" w:type="dxa"/>
            <w:vAlign w:val="center"/>
          </w:tcPr>
          <w:p>
            <w:pPr>
              <w:spacing w:line="360" w:lineRule="auto"/>
              <w:jc w:val="center"/>
              <w:rPr>
                <w:rFonts w:ascii="仿宋" w:hAnsi="仿宋" w:eastAsia="仿宋" w:cs="仿宋"/>
                <w:color w:val="auto"/>
                <w:szCs w:val="21"/>
                <w:highlight w:val="none"/>
              </w:rPr>
            </w:pPr>
          </w:p>
        </w:tc>
        <w:tc>
          <w:tcPr>
            <w:tcW w:w="4597" w:type="dxa"/>
            <w:vAlign w:val="center"/>
          </w:tcPr>
          <w:p>
            <w:pPr>
              <w:spacing w:line="360" w:lineRule="auto"/>
              <w:jc w:val="center"/>
              <w:rPr>
                <w:rFonts w:ascii="仿宋" w:hAnsi="仿宋" w:eastAsia="仿宋" w:cs="仿宋"/>
                <w:color w:val="auto"/>
                <w:szCs w:val="21"/>
                <w:highlight w:val="none"/>
              </w:rPr>
            </w:pPr>
          </w:p>
        </w:tc>
        <w:tc>
          <w:tcPr>
            <w:tcW w:w="1437" w:type="dxa"/>
            <w:vAlign w:val="center"/>
          </w:tcPr>
          <w:p>
            <w:pPr>
              <w:spacing w:line="360" w:lineRule="auto"/>
              <w:jc w:val="center"/>
              <w:rPr>
                <w:rFonts w:ascii="仿宋" w:hAnsi="仿宋" w:eastAsia="仿宋" w:cs="仿宋"/>
                <w:color w:val="auto"/>
                <w:szCs w:val="21"/>
                <w:highlight w:val="none"/>
              </w:rPr>
            </w:pPr>
          </w:p>
        </w:tc>
        <w:tc>
          <w:tcPr>
            <w:tcW w:w="760" w:type="dxa"/>
            <w:vAlign w:val="center"/>
          </w:tcPr>
          <w:p>
            <w:pPr>
              <w:spacing w:line="360" w:lineRule="auto"/>
              <w:jc w:val="center"/>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pPr>
              <w:spacing w:line="360" w:lineRule="auto"/>
              <w:jc w:val="center"/>
              <w:rPr>
                <w:rFonts w:ascii="仿宋" w:hAnsi="仿宋" w:eastAsia="仿宋" w:cs="仿宋"/>
                <w:color w:val="auto"/>
                <w:szCs w:val="21"/>
                <w:highlight w:val="none"/>
              </w:rPr>
            </w:pPr>
          </w:p>
        </w:tc>
        <w:tc>
          <w:tcPr>
            <w:tcW w:w="2331" w:type="dxa"/>
            <w:vAlign w:val="center"/>
          </w:tcPr>
          <w:p>
            <w:pPr>
              <w:spacing w:line="360" w:lineRule="auto"/>
              <w:jc w:val="center"/>
              <w:rPr>
                <w:rFonts w:ascii="仿宋" w:hAnsi="仿宋" w:eastAsia="仿宋" w:cs="仿宋"/>
                <w:color w:val="auto"/>
                <w:szCs w:val="21"/>
                <w:highlight w:val="none"/>
              </w:rPr>
            </w:pPr>
          </w:p>
        </w:tc>
        <w:tc>
          <w:tcPr>
            <w:tcW w:w="4597" w:type="dxa"/>
            <w:vAlign w:val="center"/>
          </w:tcPr>
          <w:p>
            <w:pPr>
              <w:spacing w:line="360" w:lineRule="auto"/>
              <w:jc w:val="center"/>
              <w:rPr>
                <w:rFonts w:ascii="仿宋" w:hAnsi="仿宋" w:eastAsia="仿宋" w:cs="仿宋"/>
                <w:color w:val="auto"/>
                <w:szCs w:val="21"/>
                <w:highlight w:val="none"/>
              </w:rPr>
            </w:pPr>
          </w:p>
        </w:tc>
        <w:tc>
          <w:tcPr>
            <w:tcW w:w="1437" w:type="dxa"/>
            <w:vAlign w:val="center"/>
          </w:tcPr>
          <w:p>
            <w:pPr>
              <w:spacing w:line="360" w:lineRule="auto"/>
              <w:jc w:val="center"/>
              <w:rPr>
                <w:rFonts w:ascii="仿宋" w:hAnsi="仿宋" w:eastAsia="仿宋" w:cs="仿宋"/>
                <w:color w:val="auto"/>
                <w:szCs w:val="21"/>
                <w:highlight w:val="none"/>
              </w:rPr>
            </w:pPr>
          </w:p>
        </w:tc>
        <w:tc>
          <w:tcPr>
            <w:tcW w:w="760" w:type="dxa"/>
            <w:vAlign w:val="center"/>
          </w:tcPr>
          <w:p>
            <w:pPr>
              <w:spacing w:line="360" w:lineRule="auto"/>
              <w:jc w:val="center"/>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pPr>
              <w:spacing w:line="360" w:lineRule="auto"/>
              <w:jc w:val="center"/>
              <w:rPr>
                <w:rFonts w:ascii="仿宋" w:hAnsi="仿宋" w:eastAsia="仿宋" w:cs="仿宋"/>
                <w:color w:val="auto"/>
                <w:szCs w:val="21"/>
                <w:highlight w:val="none"/>
              </w:rPr>
            </w:pPr>
          </w:p>
        </w:tc>
        <w:tc>
          <w:tcPr>
            <w:tcW w:w="2331" w:type="dxa"/>
            <w:vAlign w:val="center"/>
          </w:tcPr>
          <w:p>
            <w:pPr>
              <w:spacing w:line="360" w:lineRule="auto"/>
              <w:jc w:val="center"/>
              <w:rPr>
                <w:rFonts w:ascii="仿宋" w:hAnsi="仿宋" w:eastAsia="仿宋" w:cs="仿宋"/>
                <w:color w:val="auto"/>
                <w:szCs w:val="21"/>
                <w:highlight w:val="none"/>
              </w:rPr>
            </w:pPr>
          </w:p>
        </w:tc>
        <w:tc>
          <w:tcPr>
            <w:tcW w:w="4597" w:type="dxa"/>
            <w:vAlign w:val="center"/>
          </w:tcPr>
          <w:p>
            <w:pPr>
              <w:spacing w:line="360" w:lineRule="auto"/>
              <w:jc w:val="center"/>
              <w:rPr>
                <w:rFonts w:ascii="仿宋" w:hAnsi="仿宋" w:eastAsia="仿宋" w:cs="仿宋"/>
                <w:color w:val="auto"/>
                <w:szCs w:val="21"/>
                <w:highlight w:val="none"/>
              </w:rPr>
            </w:pPr>
          </w:p>
        </w:tc>
        <w:tc>
          <w:tcPr>
            <w:tcW w:w="1437" w:type="dxa"/>
            <w:vAlign w:val="center"/>
          </w:tcPr>
          <w:p>
            <w:pPr>
              <w:spacing w:line="360" w:lineRule="auto"/>
              <w:jc w:val="center"/>
              <w:rPr>
                <w:rFonts w:ascii="仿宋" w:hAnsi="仿宋" w:eastAsia="仿宋" w:cs="仿宋"/>
                <w:color w:val="auto"/>
                <w:szCs w:val="21"/>
                <w:highlight w:val="none"/>
              </w:rPr>
            </w:pPr>
          </w:p>
        </w:tc>
        <w:tc>
          <w:tcPr>
            <w:tcW w:w="760" w:type="dxa"/>
            <w:vAlign w:val="center"/>
          </w:tcPr>
          <w:p>
            <w:pPr>
              <w:spacing w:line="360" w:lineRule="auto"/>
              <w:jc w:val="center"/>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5" w:type="dxa"/>
            <w:gridSpan w:val="5"/>
            <w:vAlign w:val="center"/>
          </w:tcPr>
          <w:p>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备注：详细内容见《分项报价明细表》。</w:t>
            </w:r>
          </w:p>
        </w:tc>
      </w:tr>
    </w:tbl>
    <w:p>
      <w:pPr>
        <w:pStyle w:val="28"/>
        <w:rPr>
          <w:rFonts w:ascii="仿宋" w:hAnsi="仿宋" w:eastAsia="仿宋" w:cs="仿宋"/>
          <w:color w:val="auto"/>
          <w:highlight w:val="none"/>
        </w:rPr>
      </w:pPr>
    </w:p>
    <w:p>
      <w:pPr>
        <w:spacing w:line="360" w:lineRule="auto"/>
        <w:rPr>
          <w:rFonts w:ascii="仿宋" w:hAnsi="仿宋" w:eastAsia="仿宋" w:cs="仿宋"/>
          <w:bCs/>
          <w:color w:val="auto"/>
          <w:kern w:val="2"/>
          <w:szCs w:val="21"/>
          <w:highlight w:val="none"/>
        </w:rPr>
      </w:pPr>
      <w:r>
        <w:rPr>
          <w:rFonts w:hint="eastAsia" w:ascii="仿宋" w:hAnsi="仿宋" w:eastAsia="仿宋" w:cs="仿宋"/>
          <w:bCs/>
          <w:color w:val="auto"/>
          <w:kern w:val="2"/>
          <w:szCs w:val="21"/>
          <w:highlight w:val="none"/>
        </w:rPr>
        <w:t>注：1.投标人须按要求填写所有信息，不得随意更改本表格式。</w:t>
      </w:r>
    </w:p>
    <w:p>
      <w:pPr>
        <w:spacing w:line="360" w:lineRule="auto"/>
        <w:ind w:firstLine="420" w:firstLineChars="200"/>
        <w:rPr>
          <w:rFonts w:ascii="仿宋" w:hAnsi="仿宋" w:eastAsia="仿宋" w:cs="仿宋"/>
          <w:bCs/>
          <w:color w:val="auto"/>
          <w:kern w:val="2"/>
          <w:szCs w:val="21"/>
          <w:highlight w:val="none"/>
        </w:rPr>
      </w:pPr>
      <w:r>
        <w:rPr>
          <w:rFonts w:hint="eastAsia" w:ascii="仿宋" w:hAnsi="仿宋" w:eastAsia="仿宋" w:cs="仿宋"/>
          <w:bCs/>
          <w:color w:val="auto"/>
          <w:kern w:val="2"/>
          <w:szCs w:val="21"/>
          <w:highlight w:val="none"/>
        </w:rPr>
        <w:t>2.所有价格均应以人民币报价，金额单位为元。</w:t>
      </w:r>
    </w:p>
    <w:p>
      <w:pPr>
        <w:spacing w:line="360" w:lineRule="auto"/>
        <w:ind w:firstLine="420" w:firstLineChars="200"/>
        <w:rPr>
          <w:rFonts w:ascii="仿宋" w:hAnsi="仿宋" w:eastAsia="仿宋" w:cs="仿宋"/>
          <w:bCs/>
          <w:color w:val="auto"/>
          <w:kern w:val="2"/>
          <w:szCs w:val="21"/>
          <w:highlight w:val="none"/>
        </w:rPr>
      </w:pPr>
      <w:r>
        <w:rPr>
          <w:rFonts w:hint="eastAsia" w:ascii="仿宋" w:hAnsi="仿宋" w:eastAsia="仿宋" w:cs="仿宋"/>
          <w:bCs/>
          <w:color w:val="auto"/>
          <w:kern w:val="2"/>
          <w:szCs w:val="21"/>
          <w:highlight w:val="none"/>
        </w:rPr>
        <w:t>3.此表是投标文件的必要文件，是投标文件的组成部分，还应另附一份并与优惠声明（若有）封装在一个信封中，作为唱标之用。</w:t>
      </w:r>
    </w:p>
    <w:p>
      <w:pPr>
        <w:snapToGrid w:val="0"/>
        <w:spacing w:line="360" w:lineRule="auto"/>
        <w:rPr>
          <w:rFonts w:ascii="仿宋" w:hAnsi="仿宋" w:eastAsia="仿宋" w:cs="仿宋"/>
          <w:bCs/>
          <w:color w:val="auto"/>
          <w:kern w:val="2"/>
          <w:szCs w:val="21"/>
          <w:highlight w:val="none"/>
        </w:rPr>
      </w:pPr>
    </w:p>
    <w:p>
      <w:pPr>
        <w:snapToGrid w:val="0"/>
        <w:spacing w:line="360" w:lineRule="auto"/>
        <w:rPr>
          <w:rFonts w:ascii="仿宋" w:hAnsi="仿宋" w:eastAsia="仿宋" w:cs="仿宋"/>
          <w:bCs/>
          <w:color w:val="auto"/>
          <w:kern w:val="2"/>
          <w:szCs w:val="21"/>
          <w:highlight w:val="none"/>
        </w:rPr>
      </w:pPr>
      <w:r>
        <w:rPr>
          <w:rFonts w:hint="eastAsia" w:ascii="仿宋" w:hAnsi="仿宋" w:eastAsia="仿宋" w:cs="仿宋"/>
          <w:bCs/>
          <w:color w:val="auto"/>
          <w:kern w:val="2"/>
          <w:szCs w:val="21"/>
          <w:highlight w:val="none"/>
        </w:rPr>
        <w:t xml:space="preserve">投标人法定代表人（或法定代表人授权代表）亲笔签字：                   </w:t>
      </w:r>
    </w:p>
    <w:p>
      <w:pPr>
        <w:snapToGrid w:val="0"/>
        <w:spacing w:line="360" w:lineRule="auto"/>
        <w:rPr>
          <w:rFonts w:ascii="仿宋" w:hAnsi="仿宋" w:eastAsia="仿宋" w:cs="仿宋"/>
          <w:bCs/>
          <w:color w:val="auto"/>
          <w:kern w:val="2"/>
          <w:szCs w:val="21"/>
          <w:highlight w:val="none"/>
        </w:rPr>
      </w:pPr>
      <w:r>
        <w:rPr>
          <w:rFonts w:hint="eastAsia" w:ascii="仿宋" w:hAnsi="仿宋" w:eastAsia="仿宋" w:cs="仿宋"/>
          <w:bCs/>
          <w:color w:val="auto"/>
          <w:kern w:val="2"/>
          <w:szCs w:val="21"/>
          <w:highlight w:val="none"/>
        </w:rPr>
        <w:t xml:space="preserve">投标人名称（加盖法人公章）：                        </w:t>
      </w:r>
    </w:p>
    <w:p>
      <w:pPr>
        <w:pStyle w:val="28"/>
        <w:spacing w:line="360" w:lineRule="auto"/>
        <w:rPr>
          <w:rFonts w:ascii="仿宋" w:hAnsi="仿宋" w:eastAsia="仿宋" w:cs="仿宋"/>
          <w:color w:val="auto"/>
          <w:szCs w:val="21"/>
          <w:highlight w:val="none"/>
        </w:rPr>
      </w:pPr>
      <w:r>
        <w:rPr>
          <w:rFonts w:hint="eastAsia" w:ascii="仿宋" w:hAnsi="仿宋" w:eastAsia="仿宋" w:cs="仿宋"/>
          <w:bCs/>
          <w:color w:val="auto"/>
          <w:szCs w:val="21"/>
          <w:highlight w:val="none"/>
        </w:rPr>
        <w:t>日期：   年   月   日</w:t>
      </w:r>
    </w:p>
    <w:p>
      <w:pPr>
        <w:pStyle w:val="28"/>
        <w:spacing w:line="480" w:lineRule="exact"/>
        <w:rPr>
          <w:rFonts w:hAnsi="宋体" w:cs="宋体"/>
          <w:color w:val="auto"/>
          <w:szCs w:val="21"/>
          <w:highlight w:val="none"/>
        </w:rPr>
      </w:pPr>
    </w:p>
    <w:p>
      <w:pPr>
        <w:pStyle w:val="3"/>
        <w:spacing w:after="120" w:line="480" w:lineRule="exact"/>
        <w:rPr>
          <w:rFonts w:hAnsi="宋体" w:cs="宋体"/>
          <w:b/>
          <w:color w:val="auto"/>
          <w:szCs w:val="20"/>
          <w:highlight w:val="none"/>
        </w:rPr>
      </w:pPr>
      <w:r>
        <w:rPr>
          <w:rFonts w:hint="eastAsia" w:hAnsi="宋体" w:cs="宋体"/>
          <w:b/>
          <w:color w:val="auto"/>
          <w:szCs w:val="20"/>
          <w:highlight w:val="none"/>
        </w:rPr>
        <w:br w:type="page"/>
      </w:r>
      <w:r>
        <w:rPr>
          <w:rFonts w:hint="eastAsia" w:hAnsi="宋体" w:cs="宋体"/>
          <w:b/>
          <w:color w:val="auto"/>
          <w:szCs w:val="20"/>
          <w:highlight w:val="none"/>
        </w:rPr>
        <w:t>附表4.2  分项报价明细表格式</w:t>
      </w:r>
    </w:p>
    <w:p>
      <w:pPr>
        <w:pStyle w:val="28"/>
        <w:spacing w:line="360" w:lineRule="auto"/>
        <w:jc w:val="center"/>
        <w:rPr>
          <w:rFonts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分项报价明细表</w:t>
      </w:r>
    </w:p>
    <w:p>
      <w:pPr>
        <w:pStyle w:val="28"/>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[货币单位：人民币元]</w:t>
      </w:r>
    </w:p>
    <w:p>
      <w:pPr>
        <w:spacing w:line="360" w:lineRule="auto"/>
        <w:rPr>
          <w:rFonts w:ascii="仿宋" w:hAnsi="仿宋" w:eastAsia="仿宋" w:cs="仿宋"/>
          <w:color w:val="auto"/>
          <w:szCs w:val="21"/>
          <w:highlight w:val="none"/>
          <w:u w:val="single"/>
        </w:rPr>
      </w:pPr>
      <w:r>
        <w:rPr>
          <w:rFonts w:hint="eastAsia" w:ascii="仿宋" w:hAnsi="仿宋" w:eastAsia="仿宋" w:cs="仿宋"/>
          <w:color w:val="auto"/>
          <w:szCs w:val="21"/>
          <w:highlight w:val="none"/>
        </w:rPr>
        <w:t>投标人名称：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采购编号：GDYD230090       </w:t>
      </w:r>
    </w:p>
    <w:p>
      <w:pPr>
        <w:spacing w:line="360" w:lineRule="auto"/>
        <w:rPr>
          <w:rFonts w:ascii="仿宋" w:hAnsi="仿宋" w:eastAsia="仿宋" w:cs="仿宋"/>
          <w:color w:val="auto"/>
          <w:szCs w:val="21"/>
          <w:highlight w:val="none"/>
          <w:u w:val="single"/>
        </w:rPr>
      </w:pPr>
      <w:r>
        <w:rPr>
          <w:rFonts w:hint="eastAsia" w:ascii="仿宋" w:hAnsi="仿宋" w:eastAsia="仿宋" w:cs="仿宋"/>
          <w:color w:val="auto"/>
          <w:szCs w:val="21"/>
          <w:highlight w:val="none"/>
        </w:rPr>
        <w:t>项目名称：南海海洋预警信息发布和沿海恶劣天气防灾叫应系统(二期)</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2562"/>
        <w:gridCol w:w="1444"/>
        <w:gridCol w:w="877"/>
        <w:gridCol w:w="1108"/>
        <w:gridCol w:w="894"/>
        <w:gridCol w:w="938"/>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5" w:type="dxa"/>
            <w:vAlign w:val="center"/>
          </w:tcPr>
          <w:p>
            <w:pPr>
              <w:pStyle w:val="28"/>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562" w:type="dxa"/>
            <w:vAlign w:val="center"/>
          </w:tcPr>
          <w:p>
            <w:pPr>
              <w:pStyle w:val="28"/>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1444" w:type="dxa"/>
            <w:vAlign w:val="center"/>
          </w:tcPr>
          <w:p>
            <w:pPr>
              <w:pStyle w:val="28"/>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规格型号</w:t>
            </w:r>
          </w:p>
        </w:tc>
        <w:tc>
          <w:tcPr>
            <w:tcW w:w="877" w:type="dxa"/>
            <w:vAlign w:val="center"/>
          </w:tcPr>
          <w:p>
            <w:pPr>
              <w:pStyle w:val="28"/>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数量</w:t>
            </w:r>
          </w:p>
        </w:tc>
        <w:tc>
          <w:tcPr>
            <w:tcW w:w="1108" w:type="dxa"/>
            <w:vAlign w:val="center"/>
          </w:tcPr>
          <w:p>
            <w:pPr>
              <w:pStyle w:val="28"/>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产地</w:t>
            </w:r>
          </w:p>
        </w:tc>
        <w:tc>
          <w:tcPr>
            <w:tcW w:w="894" w:type="dxa"/>
            <w:vAlign w:val="center"/>
          </w:tcPr>
          <w:p>
            <w:pPr>
              <w:pStyle w:val="28"/>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单价</w:t>
            </w:r>
          </w:p>
        </w:tc>
        <w:tc>
          <w:tcPr>
            <w:tcW w:w="938" w:type="dxa"/>
            <w:vAlign w:val="center"/>
          </w:tcPr>
          <w:p>
            <w:pPr>
              <w:pStyle w:val="28"/>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总价</w:t>
            </w:r>
          </w:p>
        </w:tc>
        <w:tc>
          <w:tcPr>
            <w:tcW w:w="958" w:type="dxa"/>
            <w:vAlign w:val="center"/>
          </w:tcPr>
          <w:p>
            <w:pPr>
              <w:pStyle w:val="28"/>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5" w:type="dxa"/>
            <w:vAlign w:val="center"/>
          </w:tcPr>
          <w:p>
            <w:pPr>
              <w:pStyle w:val="28"/>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562" w:type="dxa"/>
            <w:vAlign w:val="center"/>
          </w:tcPr>
          <w:p>
            <w:pPr>
              <w:pStyle w:val="28"/>
              <w:spacing w:line="360" w:lineRule="auto"/>
              <w:rPr>
                <w:rFonts w:ascii="仿宋" w:hAnsi="仿宋" w:eastAsia="仿宋" w:cs="仿宋"/>
                <w:color w:val="auto"/>
                <w:szCs w:val="21"/>
                <w:highlight w:val="none"/>
              </w:rPr>
            </w:pPr>
          </w:p>
        </w:tc>
        <w:tc>
          <w:tcPr>
            <w:tcW w:w="1444" w:type="dxa"/>
            <w:vAlign w:val="center"/>
          </w:tcPr>
          <w:p>
            <w:pPr>
              <w:pStyle w:val="28"/>
              <w:spacing w:line="360" w:lineRule="auto"/>
              <w:rPr>
                <w:rFonts w:ascii="仿宋" w:hAnsi="仿宋" w:eastAsia="仿宋" w:cs="仿宋"/>
                <w:color w:val="auto"/>
                <w:szCs w:val="21"/>
                <w:highlight w:val="none"/>
              </w:rPr>
            </w:pPr>
          </w:p>
        </w:tc>
        <w:tc>
          <w:tcPr>
            <w:tcW w:w="877" w:type="dxa"/>
            <w:vAlign w:val="center"/>
          </w:tcPr>
          <w:p>
            <w:pPr>
              <w:pStyle w:val="28"/>
              <w:spacing w:line="360" w:lineRule="auto"/>
              <w:rPr>
                <w:rFonts w:ascii="仿宋" w:hAnsi="仿宋" w:eastAsia="仿宋" w:cs="仿宋"/>
                <w:color w:val="auto"/>
                <w:szCs w:val="21"/>
                <w:highlight w:val="none"/>
              </w:rPr>
            </w:pPr>
          </w:p>
        </w:tc>
        <w:tc>
          <w:tcPr>
            <w:tcW w:w="1108" w:type="dxa"/>
            <w:vAlign w:val="center"/>
          </w:tcPr>
          <w:p>
            <w:pPr>
              <w:pStyle w:val="28"/>
              <w:spacing w:line="360" w:lineRule="auto"/>
              <w:rPr>
                <w:rFonts w:ascii="仿宋" w:hAnsi="仿宋" w:eastAsia="仿宋" w:cs="仿宋"/>
                <w:color w:val="auto"/>
                <w:szCs w:val="21"/>
                <w:highlight w:val="none"/>
              </w:rPr>
            </w:pPr>
          </w:p>
        </w:tc>
        <w:tc>
          <w:tcPr>
            <w:tcW w:w="894" w:type="dxa"/>
            <w:vAlign w:val="center"/>
          </w:tcPr>
          <w:p>
            <w:pPr>
              <w:pStyle w:val="28"/>
              <w:spacing w:line="360" w:lineRule="auto"/>
              <w:rPr>
                <w:rFonts w:ascii="仿宋" w:hAnsi="仿宋" w:eastAsia="仿宋" w:cs="仿宋"/>
                <w:color w:val="auto"/>
                <w:szCs w:val="21"/>
                <w:highlight w:val="none"/>
              </w:rPr>
            </w:pPr>
          </w:p>
        </w:tc>
        <w:tc>
          <w:tcPr>
            <w:tcW w:w="938" w:type="dxa"/>
            <w:vAlign w:val="center"/>
          </w:tcPr>
          <w:p>
            <w:pPr>
              <w:pStyle w:val="28"/>
              <w:spacing w:line="360" w:lineRule="auto"/>
              <w:rPr>
                <w:rFonts w:ascii="仿宋" w:hAnsi="仿宋" w:eastAsia="仿宋" w:cs="仿宋"/>
                <w:color w:val="auto"/>
                <w:szCs w:val="21"/>
                <w:highlight w:val="none"/>
              </w:rPr>
            </w:pPr>
          </w:p>
        </w:tc>
        <w:tc>
          <w:tcPr>
            <w:tcW w:w="958" w:type="dxa"/>
            <w:vAlign w:val="center"/>
          </w:tcPr>
          <w:p>
            <w:pPr>
              <w:pStyle w:val="28"/>
              <w:spacing w:line="360" w:lineRule="auto"/>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5" w:type="dxa"/>
            <w:vAlign w:val="center"/>
          </w:tcPr>
          <w:p>
            <w:pPr>
              <w:pStyle w:val="28"/>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562" w:type="dxa"/>
            <w:vAlign w:val="center"/>
          </w:tcPr>
          <w:p>
            <w:pPr>
              <w:pStyle w:val="28"/>
              <w:spacing w:line="360" w:lineRule="auto"/>
              <w:rPr>
                <w:rFonts w:ascii="仿宋" w:hAnsi="仿宋" w:eastAsia="仿宋" w:cs="仿宋"/>
                <w:color w:val="auto"/>
                <w:szCs w:val="21"/>
                <w:highlight w:val="none"/>
              </w:rPr>
            </w:pPr>
          </w:p>
        </w:tc>
        <w:tc>
          <w:tcPr>
            <w:tcW w:w="1444" w:type="dxa"/>
            <w:vAlign w:val="center"/>
          </w:tcPr>
          <w:p>
            <w:pPr>
              <w:pStyle w:val="28"/>
              <w:spacing w:line="360" w:lineRule="auto"/>
              <w:rPr>
                <w:rFonts w:ascii="仿宋" w:hAnsi="仿宋" w:eastAsia="仿宋" w:cs="仿宋"/>
                <w:color w:val="auto"/>
                <w:szCs w:val="21"/>
                <w:highlight w:val="none"/>
              </w:rPr>
            </w:pPr>
          </w:p>
        </w:tc>
        <w:tc>
          <w:tcPr>
            <w:tcW w:w="877" w:type="dxa"/>
            <w:vAlign w:val="center"/>
          </w:tcPr>
          <w:p>
            <w:pPr>
              <w:pStyle w:val="28"/>
              <w:spacing w:line="360" w:lineRule="auto"/>
              <w:rPr>
                <w:rFonts w:ascii="仿宋" w:hAnsi="仿宋" w:eastAsia="仿宋" w:cs="仿宋"/>
                <w:color w:val="auto"/>
                <w:szCs w:val="21"/>
                <w:highlight w:val="none"/>
              </w:rPr>
            </w:pPr>
          </w:p>
        </w:tc>
        <w:tc>
          <w:tcPr>
            <w:tcW w:w="1108" w:type="dxa"/>
            <w:vAlign w:val="center"/>
          </w:tcPr>
          <w:p>
            <w:pPr>
              <w:pStyle w:val="28"/>
              <w:spacing w:line="360" w:lineRule="auto"/>
              <w:rPr>
                <w:rFonts w:ascii="仿宋" w:hAnsi="仿宋" w:eastAsia="仿宋" w:cs="仿宋"/>
                <w:color w:val="auto"/>
                <w:szCs w:val="21"/>
                <w:highlight w:val="none"/>
              </w:rPr>
            </w:pPr>
          </w:p>
        </w:tc>
        <w:tc>
          <w:tcPr>
            <w:tcW w:w="894" w:type="dxa"/>
            <w:vAlign w:val="center"/>
          </w:tcPr>
          <w:p>
            <w:pPr>
              <w:pStyle w:val="28"/>
              <w:spacing w:line="360" w:lineRule="auto"/>
              <w:rPr>
                <w:rFonts w:ascii="仿宋" w:hAnsi="仿宋" w:eastAsia="仿宋" w:cs="仿宋"/>
                <w:color w:val="auto"/>
                <w:szCs w:val="21"/>
                <w:highlight w:val="none"/>
              </w:rPr>
            </w:pPr>
          </w:p>
        </w:tc>
        <w:tc>
          <w:tcPr>
            <w:tcW w:w="938" w:type="dxa"/>
            <w:vAlign w:val="center"/>
          </w:tcPr>
          <w:p>
            <w:pPr>
              <w:pStyle w:val="28"/>
              <w:spacing w:line="360" w:lineRule="auto"/>
              <w:rPr>
                <w:rFonts w:ascii="仿宋" w:hAnsi="仿宋" w:eastAsia="仿宋" w:cs="仿宋"/>
                <w:color w:val="auto"/>
                <w:szCs w:val="21"/>
                <w:highlight w:val="none"/>
              </w:rPr>
            </w:pPr>
          </w:p>
        </w:tc>
        <w:tc>
          <w:tcPr>
            <w:tcW w:w="958" w:type="dxa"/>
            <w:vAlign w:val="center"/>
          </w:tcPr>
          <w:p>
            <w:pPr>
              <w:pStyle w:val="28"/>
              <w:spacing w:line="360" w:lineRule="auto"/>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5" w:type="dxa"/>
            <w:vAlign w:val="center"/>
          </w:tcPr>
          <w:p>
            <w:pPr>
              <w:pStyle w:val="28"/>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2562" w:type="dxa"/>
            <w:vAlign w:val="center"/>
          </w:tcPr>
          <w:p>
            <w:pPr>
              <w:pStyle w:val="28"/>
              <w:spacing w:line="360" w:lineRule="auto"/>
              <w:rPr>
                <w:rFonts w:ascii="仿宋" w:hAnsi="仿宋" w:eastAsia="仿宋" w:cs="仿宋"/>
                <w:color w:val="auto"/>
                <w:szCs w:val="21"/>
                <w:highlight w:val="none"/>
              </w:rPr>
            </w:pPr>
          </w:p>
        </w:tc>
        <w:tc>
          <w:tcPr>
            <w:tcW w:w="1444" w:type="dxa"/>
            <w:vAlign w:val="center"/>
          </w:tcPr>
          <w:p>
            <w:pPr>
              <w:pStyle w:val="28"/>
              <w:spacing w:line="360" w:lineRule="auto"/>
              <w:rPr>
                <w:rFonts w:ascii="仿宋" w:hAnsi="仿宋" w:eastAsia="仿宋" w:cs="仿宋"/>
                <w:color w:val="auto"/>
                <w:szCs w:val="21"/>
                <w:highlight w:val="none"/>
              </w:rPr>
            </w:pPr>
          </w:p>
        </w:tc>
        <w:tc>
          <w:tcPr>
            <w:tcW w:w="877" w:type="dxa"/>
            <w:vAlign w:val="center"/>
          </w:tcPr>
          <w:p>
            <w:pPr>
              <w:pStyle w:val="28"/>
              <w:spacing w:line="360" w:lineRule="auto"/>
              <w:rPr>
                <w:rFonts w:ascii="仿宋" w:hAnsi="仿宋" w:eastAsia="仿宋" w:cs="仿宋"/>
                <w:color w:val="auto"/>
                <w:szCs w:val="21"/>
                <w:highlight w:val="none"/>
              </w:rPr>
            </w:pPr>
          </w:p>
        </w:tc>
        <w:tc>
          <w:tcPr>
            <w:tcW w:w="1108" w:type="dxa"/>
            <w:vAlign w:val="center"/>
          </w:tcPr>
          <w:p>
            <w:pPr>
              <w:pStyle w:val="28"/>
              <w:spacing w:line="360" w:lineRule="auto"/>
              <w:rPr>
                <w:rFonts w:ascii="仿宋" w:hAnsi="仿宋" w:eastAsia="仿宋" w:cs="仿宋"/>
                <w:color w:val="auto"/>
                <w:szCs w:val="21"/>
                <w:highlight w:val="none"/>
              </w:rPr>
            </w:pPr>
          </w:p>
        </w:tc>
        <w:tc>
          <w:tcPr>
            <w:tcW w:w="894" w:type="dxa"/>
            <w:vAlign w:val="center"/>
          </w:tcPr>
          <w:p>
            <w:pPr>
              <w:pStyle w:val="28"/>
              <w:spacing w:line="360" w:lineRule="auto"/>
              <w:rPr>
                <w:rFonts w:ascii="仿宋" w:hAnsi="仿宋" w:eastAsia="仿宋" w:cs="仿宋"/>
                <w:color w:val="auto"/>
                <w:szCs w:val="21"/>
                <w:highlight w:val="none"/>
              </w:rPr>
            </w:pPr>
          </w:p>
        </w:tc>
        <w:tc>
          <w:tcPr>
            <w:tcW w:w="938" w:type="dxa"/>
            <w:vAlign w:val="center"/>
          </w:tcPr>
          <w:p>
            <w:pPr>
              <w:pStyle w:val="28"/>
              <w:spacing w:line="360" w:lineRule="auto"/>
              <w:rPr>
                <w:rFonts w:ascii="仿宋" w:hAnsi="仿宋" w:eastAsia="仿宋" w:cs="仿宋"/>
                <w:color w:val="auto"/>
                <w:szCs w:val="21"/>
                <w:highlight w:val="none"/>
              </w:rPr>
            </w:pPr>
          </w:p>
        </w:tc>
        <w:tc>
          <w:tcPr>
            <w:tcW w:w="958" w:type="dxa"/>
            <w:vAlign w:val="center"/>
          </w:tcPr>
          <w:p>
            <w:pPr>
              <w:pStyle w:val="28"/>
              <w:spacing w:line="360" w:lineRule="auto"/>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5" w:type="dxa"/>
            <w:vAlign w:val="center"/>
          </w:tcPr>
          <w:p>
            <w:pPr>
              <w:pStyle w:val="28"/>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2562" w:type="dxa"/>
            <w:vAlign w:val="center"/>
          </w:tcPr>
          <w:p>
            <w:pPr>
              <w:pStyle w:val="28"/>
              <w:spacing w:line="360" w:lineRule="auto"/>
              <w:rPr>
                <w:rFonts w:ascii="仿宋" w:hAnsi="仿宋" w:eastAsia="仿宋" w:cs="仿宋"/>
                <w:color w:val="auto"/>
                <w:szCs w:val="21"/>
                <w:highlight w:val="none"/>
              </w:rPr>
            </w:pPr>
          </w:p>
        </w:tc>
        <w:tc>
          <w:tcPr>
            <w:tcW w:w="1444" w:type="dxa"/>
            <w:vAlign w:val="center"/>
          </w:tcPr>
          <w:p>
            <w:pPr>
              <w:pStyle w:val="28"/>
              <w:spacing w:line="360" w:lineRule="auto"/>
              <w:rPr>
                <w:rFonts w:ascii="仿宋" w:hAnsi="仿宋" w:eastAsia="仿宋" w:cs="仿宋"/>
                <w:color w:val="auto"/>
                <w:szCs w:val="21"/>
                <w:highlight w:val="none"/>
              </w:rPr>
            </w:pPr>
          </w:p>
        </w:tc>
        <w:tc>
          <w:tcPr>
            <w:tcW w:w="877" w:type="dxa"/>
            <w:vAlign w:val="center"/>
          </w:tcPr>
          <w:p>
            <w:pPr>
              <w:pStyle w:val="28"/>
              <w:spacing w:line="360" w:lineRule="auto"/>
              <w:rPr>
                <w:rFonts w:ascii="仿宋" w:hAnsi="仿宋" w:eastAsia="仿宋" w:cs="仿宋"/>
                <w:color w:val="auto"/>
                <w:szCs w:val="21"/>
                <w:highlight w:val="none"/>
              </w:rPr>
            </w:pPr>
          </w:p>
        </w:tc>
        <w:tc>
          <w:tcPr>
            <w:tcW w:w="1108" w:type="dxa"/>
            <w:vAlign w:val="center"/>
          </w:tcPr>
          <w:p>
            <w:pPr>
              <w:pStyle w:val="28"/>
              <w:spacing w:line="360" w:lineRule="auto"/>
              <w:rPr>
                <w:rFonts w:ascii="仿宋" w:hAnsi="仿宋" w:eastAsia="仿宋" w:cs="仿宋"/>
                <w:color w:val="auto"/>
                <w:szCs w:val="21"/>
                <w:highlight w:val="none"/>
              </w:rPr>
            </w:pPr>
          </w:p>
        </w:tc>
        <w:tc>
          <w:tcPr>
            <w:tcW w:w="894" w:type="dxa"/>
            <w:vAlign w:val="center"/>
          </w:tcPr>
          <w:p>
            <w:pPr>
              <w:pStyle w:val="28"/>
              <w:spacing w:line="360" w:lineRule="auto"/>
              <w:rPr>
                <w:rFonts w:ascii="仿宋" w:hAnsi="仿宋" w:eastAsia="仿宋" w:cs="仿宋"/>
                <w:color w:val="auto"/>
                <w:szCs w:val="21"/>
                <w:highlight w:val="none"/>
              </w:rPr>
            </w:pPr>
          </w:p>
        </w:tc>
        <w:tc>
          <w:tcPr>
            <w:tcW w:w="938" w:type="dxa"/>
            <w:vAlign w:val="center"/>
          </w:tcPr>
          <w:p>
            <w:pPr>
              <w:pStyle w:val="28"/>
              <w:spacing w:line="360" w:lineRule="auto"/>
              <w:rPr>
                <w:rFonts w:ascii="仿宋" w:hAnsi="仿宋" w:eastAsia="仿宋" w:cs="仿宋"/>
                <w:color w:val="auto"/>
                <w:szCs w:val="21"/>
                <w:highlight w:val="none"/>
              </w:rPr>
            </w:pPr>
          </w:p>
        </w:tc>
        <w:tc>
          <w:tcPr>
            <w:tcW w:w="958" w:type="dxa"/>
            <w:vAlign w:val="center"/>
          </w:tcPr>
          <w:p>
            <w:pPr>
              <w:pStyle w:val="28"/>
              <w:spacing w:line="360" w:lineRule="auto"/>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5" w:type="dxa"/>
            <w:vAlign w:val="center"/>
          </w:tcPr>
          <w:p>
            <w:pPr>
              <w:pStyle w:val="28"/>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2562" w:type="dxa"/>
            <w:vAlign w:val="center"/>
          </w:tcPr>
          <w:p>
            <w:pPr>
              <w:pStyle w:val="28"/>
              <w:spacing w:line="360" w:lineRule="auto"/>
              <w:rPr>
                <w:rFonts w:ascii="仿宋" w:hAnsi="仿宋" w:eastAsia="仿宋" w:cs="仿宋"/>
                <w:color w:val="auto"/>
                <w:szCs w:val="21"/>
                <w:highlight w:val="none"/>
              </w:rPr>
            </w:pPr>
          </w:p>
        </w:tc>
        <w:tc>
          <w:tcPr>
            <w:tcW w:w="1444" w:type="dxa"/>
            <w:vAlign w:val="center"/>
          </w:tcPr>
          <w:p>
            <w:pPr>
              <w:pStyle w:val="28"/>
              <w:spacing w:line="360" w:lineRule="auto"/>
              <w:rPr>
                <w:rFonts w:ascii="仿宋" w:hAnsi="仿宋" w:eastAsia="仿宋" w:cs="仿宋"/>
                <w:color w:val="auto"/>
                <w:szCs w:val="21"/>
                <w:highlight w:val="none"/>
              </w:rPr>
            </w:pPr>
          </w:p>
        </w:tc>
        <w:tc>
          <w:tcPr>
            <w:tcW w:w="877" w:type="dxa"/>
            <w:vAlign w:val="center"/>
          </w:tcPr>
          <w:p>
            <w:pPr>
              <w:pStyle w:val="28"/>
              <w:spacing w:line="360" w:lineRule="auto"/>
              <w:rPr>
                <w:rFonts w:ascii="仿宋" w:hAnsi="仿宋" w:eastAsia="仿宋" w:cs="仿宋"/>
                <w:color w:val="auto"/>
                <w:szCs w:val="21"/>
                <w:highlight w:val="none"/>
              </w:rPr>
            </w:pPr>
          </w:p>
        </w:tc>
        <w:tc>
          <w:tcPr>
            <w:tcW w:w="1108" w:type="dxa"/>
            <w:vAlign w:val="center"/>
          </w:tcPr>
          <w:p>
            <w:pPr>
              <w:pStyle w:val="28"/>
              <w:spacing w:line="360" w:lineRule="auto"/>
              <w:rPr>
                <w:rFonts w:ascii="仿宋" w:hAnsi="仿宋" w:eastAsia="仿宋" w:cs="仿宋"/>
                <w:color w:val="auto"/>
                <w:szCs w:val="21"/>
                <w:highlight w:val="none"/>
              </w:rPr>
            </w:pPr>
          </w:p>
        </w:tc>
        <w:tc>
          <w:tcPr>
            <w:tcW w:w="894" w:type="dxa"/>
            <w:vAlign w:val="center"/>
          </w:tcPr>
          <w:p>
            <w:pPr>
              <w:pStyle w:val="28"/>
              <w:spacing w:line="360" w:lineRule="auto"/>
              <w:rPr>
                <w:rFonts w:ascii="仿宋" w:hAnsi="仿宋" w:eastAsia="仿宋" w:cs="仿宋"/>
                <w:color w:val="auto"/>
                <w:szCs w:val="21"/>
                <w:highlight w:val="none"/>
              </w:rPr>
            </w:pPr>
          </w:p>
        </w:tc>
        <w:tc>
          <w:tcPr>
            <w:tcW w:w="938" w:type="dxa"/>
            <w:vAlign w:val="center"/>
          </w:tcPr>
          <w:p>
            <w:pPr>
              <w:pStyle w:val="28"/>
              <w:spacing w:line="360" w:lineRule="auto"/>
              <w:rPr>
                <w:rFonts w:ascii="仿宋" w:hAnsi="仿宋" w:eastAsia="仿宋" w:cs="仿宋"/>
                <w:color w:val="auto"/>
                <w:szCs w:val="21"/>
                <w:highlight w:val="none"/>
              </w:rPr>
            </w:pPr>
          </w:p>
        </w:tc>
        <w:tc>
          <w:tcPr>
            <w:tcW w:w="958" w:type="dxa"/>
            <w:vAlign w:val="center"/>
          </w:tcPr>
          <w:p>
            <w:pPr>
              <w:pStyle w:val="28"/>
              <w:spacing w:line="360" w:lineRule="auto"/>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5" w:type="dxa"/>
            <w:vAlign w:val="center"/>
          </w:tcPr>
          <w:p>
            <w:pPr>
              <w:pStyle w:val="28"/>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2562" w:type="dxa"/>
            <w:vAlign w:val="center"/>
          </w:tcPr>
          <w:p>
            <w:pPr>
              <w:pStyle w:val="28"/>
              <w:spacing w:line="360" w:lineRule="auto"/>
              <w:rPr>
                <w:rFonts w:ascii="仿宋" w:hAnsi="仿宋" w:eastAsia="仿宋" w:cs="仿宋"/>
                <w:color w:val="auto"/>
                <w:szCs w:val="21"/>
                <w:highlight w:val="none"/>
              </w:rPr>
            </w:pPr>
          </w:p>
        </w:tc>
        <w:tc>
          <w:tcPr>
            <w:tcW w:w="1444" w:type="dxa"/>
            <w:vAlign w:val="center"/>
          </w:tcPr>
          <w:p>
            <w:pPr>
              <w:pStyle w:val="28"/>
              <w:spacing w:line="360" w:lineRule="auto"/>
              <w:rPr>
                <w:rFonts w:ascii="仿宋" w:hAnsi="仿宋" w:eastAsia="仿宋" w:cs="仿宋"/>
                <w:color w:val="auto"/>
                <w:szCs w:val="21"/>
                <w:highlight w:val="none"/>
              </w:rPr>
            </w:pPr>
          </w:p>
        </w:tc>
        <w:tc>
          <w:tcPr>
            <w:tcW w:w="877" w:type="dxa"/>
            <w:vAlign w:val="center"/>
          </w:tcPr>
          <w:p>
            <w:pPr>
              <w:pStyle w:val="28"/>
              <w:spacing w:line="360" w:lineRule="auto"/>
              <w:rPr>
                <w:rFonts w:ascii="仿宋" w:hAnsi="仿宋" w:eastAsia="仿宋" w:cs="仿宋"/>
                <w:color w:val="auto"/>
                <w:szCs w:val="21"/>
                <w:highlight w:val="none"/>
              </w:rPr>
            </w:pPr>
          </w:p>
        </w:tc>
        <w:tc>
          <w:tcPr>
            <w:tcW w:w="1108" w:type="dxa"/>
            <w:vAlign w:val="center"/>
          </w:tcPr>
          <w:p>
            <w:pPr>
              <w:pStyle w:val="28"/>
              <w:spacing w:line="360" w:lineRule="auto"/>
              <w:rPr>
                <w:rFonts w:ascii="仿宋" w:hAnsi="仿宋" w:eastAsia="仿宋" w:cs="仿宋"/>
                <w:color w:val="auto"/>
                <w:szCs w:val="21"/>
                <w:highlight w:val="none"/>
              </w:rPr>
            </w:pPr>
          </w:p>
        </w:tc>
        <w:tc>
          <w:tcPr>
            <w:tcW w:w="894" w:type="dxa"/>
            <w:vAlign w:val="center"/>
          </w:tcPr>
          <w:p>
            <w:pPr>
              <w:pStyle w:val="28"/>
              <w:spacing w:line="360" w:lineRule="auto"/>
              <w:rPr>
                <w:rFonts w:ascii="仿宋" w:hAnsi="仿宋" w:eastAsia="仿宋" w:cs="仿宋"/>
                <w:color w:val="auto"/>
                <w:szCs w:val="21"/>
                <w:highlight w:val="none"/>
              </w:rPr>
            </w:pPr>
          </w:p>
        </w:tc>
        <w:tc>
          <w:tcPr>
            <w:tcW w:w="938" w:type="dxa"/>
            <w:vAlign w:val="center"/>
          </w:tcPr>
          <w:p>
            <w:pPr>
              <w:pStyle w:val="28"/>
              <w:spacing w:line="360" w:lineRule="auto"/>
              <w:rPr>
                <w:rFonts w:ascii="仿宋" w:hAnsi="仿宋" w:eastAsia="仿宋" w:cs="仿宋"/>
                <w:color w:val="auto"/>
                <w:szCs w:val="21"/>
                <w:highlight w:val="none"/>
              </w:rPr>
            </w:pPr>
          </w:p>
        </w:tc>
        <w:tc>
          <w:tcPr>
            <w:tcW w:w="958" w:type="dxa"/>
            <w:vAlign w:val="center"/>
          </w:tcPr>
          <w:p>
            <w:pPr>
              <w:pStyle w:val="28"/>
              <w:spacing w:line="360" w:lineRule="auto"/>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5" w:type="dxa"/>
            <w:vAlign w:val="center"/>
          </w:tcPr>
          <w:p>
            <w:pPr>
              <w:pStyle w:val="28"/>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7</w:t>
            </w:r>
          </w:p>
        </w:tc>
        <w:tc>
          <w:tcPr>
            <w:tcW w:w="2562" w:type="dxa"/>
            <w:vAlign w:val="center"/>
          </w:tcPr>
          <w:p>
            <w:pPr>
              <w:pStyle w:val="28"/>
              <w:spacing w:line="360" w:lineRule="auto"/>
              <w:rPr>
                <w:rFonts w:ascii="仿宋" w:hAnsi="仿宋" w:eastAsia="仿宋" w:cs="仿宋"/>
                <w:color w:val="auto"/>
                <w:szCs w:val="21"/>
                <w:highlight w:val="none"/>
              </w:rPr>
            </w:pPr>
          </w:p>
        </w:tc>
        <w:tc>
          <w:tcPr>
            <w:tcW w:w="1444" w:type="dxa"/>
            <w:vAlign w:val="center"/>
          </w:tcPr>
          <w:p>
            <w:pPr>
              <w:pStyle w:val="28"/>
              <w:spacing w:line="360" w:lineRule="auto"/>
              <w:rPr>
                <w:rFonts w:ascii="仿宋" w:hAnsi="仿宋" w:eastAsia="仿宋" w:cs="仿宋"/>
                <w:color w:val="auto"/>
                <w:szCs w:val="21"/>
                <w:highlight w:val="none"/>
              </w:rPr>
            </w:pPr>
          </w:p>
        </w:tc>
        <w:tc>
          <w:tcPr>
            <w:tcW w:w="877" w:type="dxa"/>
            <w:vAlign w:val="center"/>
          </w:tcPr>
          <w:p>
            <w:pPr>
              <w:pStyle w:val="28"/>
              <w:spacing w:line="360" w:lineRule="auto"/>
              <w:rPr>
                <w:rFonts w:ascii="仿宋" w:hAnsi="仿宋" w:eastAsia="仿宋" w:cs="仿宋"/>
                <w:color w:val="auto"/>
                <w:szCs w:val="21"/>
                <w:highlight w:val="none"/>
              </w:rPr>
            </w:pPr>
          </w:p>
        </w:tc>
        <w:tc>
          <w:tcPr>
            <w:tcW w:w="1108" w:type="dxa"/>
            <w:vAlign w:val="center"/>
          </w:tcPr>
          <w:p>
            <w:pPr>
              <w:pStyle w:val="28"/>
              <w:spacing w:line="360" w:lineRule="auto"/>
              <w:rPr>
                <w:rFonts w:ascii="仿宋" w:hAnsi="仿宋" w:eastAsia="仿宋" w:cs="仿宋"/>
                <w:color w:val="auto"/>
                <w:szCs w:val="21"/>
                <w:highlight w:val="none"/>
              </w:rPr>
            </w:pPr>
          </w:p>
        </w:tc>
        <w:tc>
          <w:tcPr>
            <w:tcW w:w="894" w:type="dxa"/>
            <w:vAlign w:val="center"/>
          </w:tcPr>
          <w:p>
            <w:pPr>
              <w:pStyle w:val="28"/>
              <w:spacing w:line="360" w:lineRule="auto"/>
              <w:rPr>
                <w:rFonts w:ascii="仿宋" w:hAnsi="仿宋" w:eastAsia="仿宋" w:cs="仿宋"/>
                <w:color w:val="auto"/>
                <w:szCs w:val="21"/>
                <w:highlight w:val="none"/>
              </w:rPr>
            </w:pPr>
          </w:p>
        </w:tc>
        <w:tc>
          <w:tcPr>
            <w:tcW w:w="938" w:type="dxa"/>
            <w:vAlign w:val="center"/>
          </w:tcPr>
          <w:p>
            <w:pPr>
              <w:pStyle w:val="28"/>
              <w:spacing w:line="360" w:lineRule="auto"/>
              <w:rPr>
                <w:rFonts w:ascii="仿宋" w:hAnsi="仿宋" w:eastAsia="仿宋" w:cs="仿宋"/>
                <w:color w:val="auto"/>
                <w:szCs w:val="21"/>
                <w:highlight w:val="none"/>
              </w:rPr>
            </w:pPr>
          </w:p>
        </w:tc>
        <w:tc>
          <w:tcPr>
            <w:tcW w:w="958" w:type="dxa"/>
            <w:vAlign w:val="center"/>
          </w:tcPr>
          <w:p>
            <w:pPr>
              <w:pStyle w:val="28"/>
              <w:spacing w:line="360" w:lineRule="auto"/>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0" w:type="dxa"/>
            <w:gridSpan w:val="6"/>
          </w:tcPr>
          <w:p>
            <w:pPr>
              <w:pStyle w:val="28"/>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总 价</w:t>
            </w:r>
          </w:p>
        </w:tc>
        <w:tc>
          <w:tcPr>
            <w:tcW w:w="938" w:type="dxa"/>
          </w:tcPr>
          <w:p>
            <w:pPr>
              <w:pStyle w:val="28"/>
              <w:spacing w:line="360" w:lineRule="auto"/>
              <w:jc w:val="center"/>
              <w:rPr>
                <w:rFonts w:ascii="仿宋" w:hAnsi="仿宋" w:eastAsia="仿宋" w:cs="仿宋"/>
                <w:color w:val="auto"/>
                <w:szCs w:val="21"/>
                <w:highlight w:val="none"/>
              </w:rPr>
            </w:pPr>
          </w:p>
        </w:tc>
        <w:tc>
          <w:tcPr>
            <w:tcW w:w="958" w:type="dxa"/>
          </w:tcPr>
          <w:p>
            <w:pPr>
              <w:pStyle w:val="28"/>
              <w:spacing w:line="360" w:lineRule="auto"/>
              <w:jc w:val="center"/>
              <w:rPr>
                <w:rFonts w:ascii="仿宋" w:hAnsi="仿宋" w:eastAsia="仿宋" w:cs="仿宋"/>
                <w:color w:val="auto"/>
                <w:szCs w:val="21"/>
                <w:highlight w:val="none"/>
              </w:rPr>
            </w:pPr>
          </w:p>
        </w:tc>
      </w:tr>
    </w:tbl>
    <w:p>
      <w:pPr>
        <w:spacing w:line="360" w:lineRule="auto"/>
        <w:rPr>
          <w:rFonts w:ascii="仿宋" w:hAnsi="仿宋" w:eastAsia="仿宋" w:cs="仿宋"/>
          <w:color w:val="auto"/>
          <w:szCs w:val="21"/>
          <w:highlight w:val="none"/>
        </w:rPr>
      </w:pP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注：1.上述各项的详细分项报价，按上述内容可另页描述。</w:t>
      </w:r>
    </w:p>
    <w:p>
      <w:pPr>
        <w:spacing w:line="360" w:lineRule="auto"/>
        <w:ind w:left="685" w:leftChars="176" w:hanging="315" w:hangingChars="150"/>
        <w:rPr>
          <w:rFonts w:ascii="仿宋" w:hAnsi="仿宋" w:eastAsia="仿宋" w:cs="仿宋"/>
          <w:color w:val="auto"/>
          <w:szCs w:val="21"/>
          <w:highlight w:val="none"/>
        </w:rPr>
      </w:pPr>
      <w:r>
        <w:rPr>
          <w:rFonts w:hint="eastAsia" w:ascii="仿宋" w:hAnsi="仿宋" w:eastAsia="仿宋" w:cs="仿宋"/>
          <w:color w:val="auto"/>
          <w:szCs w:val="21"/>
          <w:highlight w:val="none"/>
        </w:rPr>
        <w:t>2.详细分项报价必须提供相应的品牌、规格型号、产地、单价、数量、小计、合计等详细信息。</w:t>
      </w:r>
    </w:p>
    <w:p>
      <w:pPr>
        <w:pStyle w:val="28"/>
        <w:spacing w:line="360" w:lineRule="auto"/>
        <w:jc w:val="center"/>
        <w:rPr>
          <w:rFonts w:ascii="仿宋" w:hAnsi="仿宋" w:eastAsia="仿宋" w:cs="仿宋"/>
          <w:color w:val="auto"/>
          <w:szCs w:val="21"/>
          <w:highlight w:val="none"/>
        </w:rPr>
      </w:pPr>
    </w:p>
    <w:p>
      <w:pPr>
        <w:pStyle w:val="28"/>
        <w:spacing w:line="360" w:lineRule="auto"/>
        <w:jc w:val="center"/>
        <w:rPr>
          <w:rFonts w:ascii="仿宋" w:hAnsi="仿宋" w:eastAsia="仿宋" w:cs="仿宋"/>
          <w:color w:val="auto"/>
          <w:szCs w:val="21"/>
          <w:highlight w:val="none"/>
        </w:rPr>
      </w:pPr>
    </w:p>
    <w:p>
      <w:pPr>
        <w:spacing w:line="360" w:lineRule="auto"/>
        <w:ind w:firstLine="5040"/>
        <w:jc w:val="both"/>
        <w:rPr>
          <w:rFonts w:ascii="仿宋" w:hAnsi="仿宋" w:eastAsia="仿宋" w:cs="仿宋"/>
          <w:color w:val="auto"/>
          <w:kern w:val="2"/>
          <w:szCs w:val="21"/>
          <w:highlight w:val="none"/>
        </w:rPr>
      </w:pPr>
    </w:p>
    <w:p>
      <w:pPr>
        <w:spacing w:line="360" w:lineRule="auto"/>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lang w:val="zh-CN"/>
        </w:rPr>
        <w:t>投标人：（法人公章）</w:t>
      </w:r>
    </w:p>
    <w:p>
      <w:pPr>
        <w:spacing w:line="360" w:lineRule="auto"/>
        <w:rPr>
          <w:rFonts w:ascii="仿宋" w:hAnsi="仿宋" w:eastAsia="仿宋" w:cs="仿宋"/>
          <w:color w:val="auto"/>
          <w:kern w:val="2"/>
          <w:szCs w:val="21"/>
          <w:highlight w:val="none"/>
          <w:lang w:val="zh-CN"/>
        </w:rPr>
      </w:pPr>
      <w:r>
        <w:rPr>
          <w:rFonts w:hint="eastAsia" w:ascii="仿宋" w:hAnsi="仿宋" w:eastAsia="仿宋" w:cs="仿宋"/>
          <w:color w:val="auto"/>
          <w:kern w:val="2"/>
          <w:szCs w:val="21"/>
          <w:highlight w:val="none"/>
          <w:lang w:val="zh-CN"/>
        </w:rPr>
        <w:t xml:space="preserve">法定代表人或其授权代表（亲笔签名）： </w:t>
      </w:r>
    </w:p>
    <w:p>
      <w:pPr>
        <w:pStyle w:val="28"/>
        <w:spacing w:line="360" w:lineRule="auto"/>
        <w:rPr>
          <w:rFonts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 xml:space="preserve">日期：   年    月     日  </w:t>
      </w:r>
    </w:p>
    <w:p>
      <w:pPr>
        <w:pStyle w:val="28"/>
        <w:spacing w:line="480" w:lineRule="exact"/>
        <w:rPr>
          <w:rFonts w:hAnsi="宋体" w:cs="宋体"/>
          <w:b/>
          <w:color w:val="auto"/>
          <w:kern w:val="0"/>
          <w:szCs w:val="21"/>
          <w:highlight w:val="none"/>
        </w:rPr>
      </w:pPr>
    </w:p>
    <w:p>
      <w:pPr>
        <w:pStyle w:val="3"/>
        <w:spacing w:after="120" w:line="480" w:lineRule="exact"/>
        <w:rPr>
          <w:rFonts w:hAnsi="宋体" w:cs="宋体"/>
          <w:b/>
          <w:color w:val="auto"/>
          <w:sz w:val="28"/>
          <w:szCs w:val="28"/>
          <w:highlight w:val="none"/>
        </w:rPr>
      </w:pPr>
      <w:r>
        <w:rPr>
          <w:rFonts w:hint="eastAsia" w:hAnsi="宋体" w:cs="宋体"/>
          <w:b/>
          <w:color w:val="auto"/>
          <w:sz w:val="28"/>
          <w:szCs w:val="28"/>
          <w:highlight w:val="none"/>
        </w:rPr>
        <w:br w:type="page"/>
      </w:r>
      <w:r>
        <w:rPr>
          <w:rFonts w:hint="eastAsia" w:hAnsi="宋体" w:cs="宋体"/>
          <w:b/>
          <w:color w:val="auto"/>
          <w:sz w:val="28"/>
          <w:szCs w:val="28"/>
          <w:highlight w:val="none"/>
        </w:rPr>
        <w:t>附件一：评标工作大纲</w:t>
      </w:r>
    </w:p>
    <w:p>
      <w:pPr>
        <w:tabs>
          <w:tab w:val="left" w:pos="1287"/>
        </w:tabs>
        <w:snapToGrid w:val="0"/>
        <w:spacing w:line="360" w:lineRule="auto"/>
        <w:ind w:leftChars="-171" w:hanging="359" w:hangingChars="171"/>
        <w:rPr>
          <w:rFonts w:ascii="仿宋" w:hAnsi="仿宋" w:eastAsia="仿宋" w:cs="仿宋"/>
          <w:color w:val="auto"/>
          <w:szCs w:val="21"/>
          <w:highlight w:val="none"/>
        </w:rPr>
      </w:pPr>
      <w:r>
        <w:rPr>
          <w:rFonts w:hint="eastAsia" w:ascii="仿宋" w:hAnsi="仿宋" w:eastAsia="仿宋" w:cs="仿宋"/>
          <w:color w:val="auto"/>
          <w:szCs w:val="21"/>
          <w:highlight w:val="none"/>
        </w:rPr>
        <w:t>一、评标原则和目的</w:t>
      </w:r>
    </w:p>
    <w:p>
      <w:pPr>
        <w:numPr>
          <w:ilvl w:val="1"/>
          <w:numId w:val="21"/>
        </w:numPr>
        <w:autoSpaceDE/>
        <w:autoSpaceDN/>
        <w:adjustRightInd/>
        <w:spacing w:line="360" w:lineRule="auto"/>
        <w:jc w:val="both"/>
        <w:rPr>
          <w:rFonts w:ascii="仿宋" w:hAnsi="仿宋" w:eastAsia="仿宋" w:cs="仿宋"/>
          <w:color w:val="auto"/>
          <w:szCs w:val="21"/>
          <w:highlight w:val="none"/>
        </w:rPr>
      </w:pPr>
      <w:r>
        <w:rPr>
          <w:rFonts w:hint="eastAsia" w:ascii="仿宋" w:hAnsi="仿宋" w:eastAsia="仿宋" w:cs="仿宋"/>
          <w:color w:val="auto"/>
          <w:szCs w:val="21"/>
          <w:highlight w:val="none"/>
        </w:rPr>
        <w:t>“南海海洋预警信息发布和沿海恶劣天气防灾叫应系统(二期)”（采购编号：</w:t>
      </w:r>
      <w:r>
        <w:rPr>
          <w:rFonts w:hint="eastAsia" w:ascii="仿宋" w:hAnsi="仿宋" w:eastAsia="仿宋" w:cs="仿宋"/>
          <w:color w:val="auto"/>
          <w:kern w:val="2"/>
          <w:szCs w:val="21"/>
          <w:highlight w:val="none"/>
          <w:lang w:val="zh-CN"/>
        </w:rPr>
        <w:t>GDYD230090</w:t>
      </w:r>
      <w:r>
        <w:rPr>
          <w:rFonts w:hint="eastAsia" w:ascii="仿宋" w:hAnsi="仿宋" w:eastAsia="仿宋" w:cs="仿宋"/>
          <w:color w:val="auto"/>
          <w:szCs w:val="21"/>
          <w:highlight w:val="none"/>
        </w:rPr>
        <w:t>）的招标依照《中华人民共和国政府采购法》、《政府采购货物和服务招标投标管理办法》（财政部令第87号）及国家和地方政府关于采购的有关规定进行。评标必须遵循公开、公平、公正、诚实信用的原则。评标按照招标文件规定的内容进行，采取综合评标办法，避免纯技术或纯经济的倾向。</w:t>
      </w:r>
    </w:p>
    <w:p>
      <w:pPr>
        <w:numPr>
          <w:ilvl w:val="1"/>
          <w:numId w:val="21"/>
        </w:numPr>
        <w:autoSpaceDE/>
        <w:autoSpaceDN/>
        <w:adjustRightInd/>
        <w:spacing w:line="360" w:lineRule="auto"/>
        <w:jc w:val="both"/>
        <w:rPr>
          <w:rFonts w:ascii="仿宋" w:hAnsi="仿宋" w:eastAsia="仿宋" w:cs="仿宋"/>
          <w:color w:val="auto"/>
          <w:szCs w:val="21"/>
          <w:highlight w:val="none"/>
        </w:rPr>
      </w:pPr>
      <w:r>
        <w:rPr>
          <w:rFonts w:hint="eastAsia" w:ascii="仿宋" w:hAnsi="仿宋" w:eastAsia="仿宋" w:cs="仿宋"/>
          <w:color w:val="auto"/>
          <w:szCs w:val="21"/>
          <w:highlight w:val="none"/>
        </w:rPr>
        <w:t>本办法的评标对象是指投标人按照招标文件要求提供的有效投标文件，包括投标人应评标委员会要求对原投标文件作出的正式书面澄清文件。</w:t>
      </w:r>
    </w:p>
    <w:p>
      <w:pPr>
        <w:tabs>
          <w:tab w:val="left" w:pos="1287"/>
        </w:tabs>
        <w:snapToGrid w:val="0"/>
        <w:spacing w:line="360" w:lineRule="auto"/>
        <w:ind w:leftChars="-171" w:hanging="359" w:hangingChars="171"/>
        <w:rPr>
          <w:rFonts w:ascii="仿宋" w:hAnsi="仿宋" w:eastAsia="仿宋" w:cs="仿宋"/>
          <w:color w:val="auto"/>
          <w:szCs w:val="21"/>
          <w:highlight w:val="none"/>
        </w:rPr>
      </w:pPr>
      <w:r>
        <w:rPr>
          <w:rFonts w:hint="eastAsia" w:ascii="仿宋" w:hAnsi="仿宋" w:eastAsia="仿宋" w:cs="仿宋"/>
          <w:color w:val="auto"/>
          <w:szCs w:val="21"/>
          <w:highlight w:val="none"/>
        </w:rPr>
        <w:t>二、评标程序</w:t>
      </w:r>
    </w:p>
    <w:p>
      <w:pPr>
        <w:tabs>
          <w:tab w:val="left" w:pos="984"/>
        </w:tabs>
        <w:snapToGrid w:val="0"/>
        <w:spacing w:line="360" w:lineRule="auto"/>
        <w:ind w:left="-171" w:hanging="9"/>
        <w:rPr>
          <w:rFonts w:ascii="仿宋" w:hAnsi="仿宋" w:eastAsia="仿宋" w:cs="仿宋"/>
          <w:color w:val="auto"/>
          <w:szCs w:val="21"/>
          <w:highlight w:val="none"/>
        </w:rPr>
      </w:pPr>
      <w:r>
        <w:rPr>
          <w:rFonts w:hint="eastAsia" w:ascii="仿宋" w:hAnsi="仿宋" w:eastAsia="仿宋" w:cs="仿宋"/>
          <w:color w:val="auto"/>
          <w:szCs w:val="21"/>
          <w:highlight w:val="none"/>
        </w:rPr>
        <w:t>（一）对投标人的资格性检查（由招标代理机构负责）</w:t>
      </w:r>
    </w:p>
    <w:p>
      <w:pPr>
        <w:snapToGrid w:val="0"/>
        <w:spacing w:line="360" w:lineRule="auto"/>
        <w:ind w:left="-171" w:firstLine="576"/>
        <w:rPr>
          <w:rFonts w:ascii="仿宋" w:hAnsi="仿宋" w:eastAsia="仿宋" w:cs="仿宋"/>
          <w:color w:val="auto"/>
          <w:szCs w:val="21"/>
          <w:highlight w:val="none"/>
        </w:rPr>
      </w:pPr>
      <w:r>
        <w:rPr>
          <w:rFonts w:hint="eastAsia" w:ascii="仿宋" w:hAnsi="仿宋" w:eastAsia="仿宋" w:cs="仿宋"/>
          <w:color w:val="auto"/>
          <w:szCs w:val="21"/>
          <w:highlight w:val="none"/>
        </w:rPr>
        <w:t>评标过程应在开标后立即开始。依据法律法规和招标文件的规定，对投标文件中的资格证明、投标保证金等进行审查，以确定投标人是否具备投标资格</w:t>
      </w:r>
      <w:r>
        <w:rPr>
          <w:rFonts w:hint="eastAsia" w:ascii="仿宋" w:hAnsi="仿宋" w:eastAsia="仿宋" w:cs="仿宋"/>
          <w:color w:val="auto"/>
          <w:szCs w:val="21"/>
          <w:highlight w:val="none"/>
          <w:lang w:val="zh-CN"/>
        </w:rPr>
        <w:t>。</w:t>
      </w:r>
      <w:r>
        <w:rPr>
          <w:rFonts w:hint="eastAsia" w:ascii="仿宋" w:hAnsi="仿宋" w:eastAsia="仿宋" w:cs="仿宋"/>
          <w:color w:val="auto"/>
          <w:szCs w:val="21"/>
          <w:highlight w:val="none"/>
        </w:rPr>
        <w:t>应进行以下审核：</w:t>
      </w:r>
    </w:p>
    <w:p>
      <w:pPr>
        <w:pStyle w:val="99"/>
        <w:keepNext w:val="0"/>
        <w:numPr>
          <w:ilvl w:val="0"/>
          <w:numId w:val="22"/>
        </w:numPr>
        <w:tabs>
          <w:tab w:val="left" w:pos="960"/>
        </w:tabs>
        <w:spacing w:after="0" w:line="360" w:lineRule="auto"/>
        <w:ind w:left="960" w:hanging="480"/>
        <w:rPr>
          <w:rFonts w:ascii="仿宋" w:hAnsi="仿宋" w:eastAsia="仿宋" w:cs="仿宋"/>
          <w:bCs/>
          <w:color w:val="auto"/>
          <w:szCs w:val="21"/>
          <w:highlight w:val="none"/>
        </w:rPr>
      </w:pPr>
      <w:r>
        <w:rPr>
          <w:rFonts w:hint="eastAsia" w:ascii="仿宋" w:hAnsi="仿宋" w:eastAsia="仿宋" w:cs="仿宋"/>
          <w:color w:val="auto"/>
          <w:szCs w:val="21"/>
          <w:highlight w:val="none"/>
        </w:rPr>
        <w:t>投标函</w:t>
      </w:r>
    </w:p>
    <w:p>
      <w:pPr>
        <w:pStyle w:val="99"/>
        <w:keepNext w:val="0"/>
        <w:numPr>
          <w:ilvl w:val="0"/>
          <w:numId w:val="22"/>
        </w:numPr>
        <w:tabs>
          <w:tab w:val="left" w:pos="960"/>
        </w:tabs>
        <w:spacing w:after="0" w:line="360" w:lineRule="auto"/>
        <w:ind w:left="960" w:hanging="480"/>
        <w:rPr>
          <w:rFonts w:ascii="仿宋" w:hAnsi="仿宋" w:eastAsia="仿宋" w:cs="仿宋"/>
          <w:bCs/>
          <w:color w:val="auto"/>
          <w:szCs w:val="21"/>
          <w:highlight w:val="none"/>
        </w:rPr>
      </w:pPr>
      <w:r>
        <w:rPr>
          <w:rFonts w:hint="eastAsia" w:ascii="仿宋" w:hAnsi="仿宋" w:eastAsia="仿宋" w:cs="仿宋"/>
          <w:color w:val="auto"/>
          <w:szCs w:val="21"/>
          <w:highlight w:val="none"/>
        </w:rPr>
        <w:t>法定代表人/负责人资格证明书及授权委托书</w:t>
      </w:r>
    </w:p>
    <w:p>
      <w:pPr>
        <w:pStyle w:val="99"/>
        <w:keepNext w:val="0"/>
        <w:numPr>
          <w:ilvl w:val="0"/>
          <w:numId w:val="22"/>
        </w:numPr>
        <w:tabs>
          <w:tab w:val="left" w:pos="960"/>
        </w:tabs>
        <w:spacing w:after="0" w:line="360" w:lineRule="auto"/>
        <w:ind w:left="960" w:hanging="480"/>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营业执照副本复印件（加盖公章）</w:t>
      </w:r>
    </w:p>
    <w:p>
      <w:pPr>
        <w:pStyle w:val="99"/>
        <w:keepNext w:val="0"/>
        <w:numPr>
          <w:ilvl w:val="0"/>
          <w:numId w:val="22"/>
        </w:numPr>
        <w:tabs>
          <w:tab w:val="left" w:pos="960"/>
        </w:tabs>
        <w:spacing w:after="0" w:line="360" w:lineRule="auto"/>
        <w:ind w:left="960" w:hanging="480"/>
        <w:rPr>
          <w:rFonts w:ascii="仿宋" w:hAnsi="仿宋" w:eastAsia="仿宋" w:cs="仿宋"/>
          <w:bCs/>
          <w:color w:val="auto"/>
          <w:szCs w:val="21"/>
          <w:highlight w:val="none"/>
        </w:rPr>
      </w:pPr>
      <w:r>
        <w:rPr>
          <w:rFonts w:hint="eastAsia" w:ascii="仿宋" w:hAnsi="仿宋" w:eastAsia="仿宋" w:cs="仿宋"/>
          <w:color w:val="auto"/>
          <w:szCs w:val="21"/>
          <w:highlight w:val="none"/>
        </w:rPr>
        <w:t>在参与政府采购活动中未有违法违纪行为并受过处罚</w:t>
      </w:r>
    </w:p>
    <w:p>
      <w:pPr>
        <w:pStyle w:val="99"/>
        <w:keepNext w:val="0"/>
        <w:numPr>
          <w:ilvl w:val="0"/>
          <w:numId w:val="22"/>
        </w:numPr>
        <w:tabs>
          <w:tab w:val="left" w:pos="960"/>
        </w:tabs>
        <w:spacing w:after="0" w:line="360" w:lineRule="auto"/>
        <w:ind w:left="960" w:hanging="480"/>
        <w:rPr>
          <w:rFonts w:ascii="仿宋" w:hAnsi="仿宋" w:eastAsia="仿宋" w:cs="仿宋"/>
          <w:bCs/>
          <w:color w:val="auto"/>
          <w:szCs w:val="21"/>
          <w:highlight w:val="none"/>
        </w:rPr>
      </w:pPr>
      <w:r>
        <w:rPr>
          <w:rFonts w:hint="eastAsia" w:ascii="仿宋" w:hAnsi="仿宋" w:eastAsia="仿宋" w:cs="仿宋"/>
          <w:bCs/>
          <w:color w:val="auto"/>
          <w:szCs w:val="21"/>
          <w:highlight w:val="none"/>
        </w:rPr>
        <w:t>招标公告要求的资质资格证明复印件（加盖公章）</w:t>
      </w:r>
    </w:p>
    <w:p>
      <w:pPr>
        <w:pStyle w:val="45"/>
        <w:widowControl w:val="0"/>
        <w:spacing w:before="0" w:beforeAutospacing="0" w:after="0" w:afterAutospacing="0" w:line="360" w:lineRule="auto"/>
        <w:ind w:leftChars="-85" w:hanging="178" w:hangingChars="85"/>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（二）对投标人的符合性检查（由评审专家组负责）</w:t>
      </w:r>
    </w:p>
    <w:p>
      <w:pPr>
        <w:pStyle w:val="45"/>
        <w:widowControl w:val="0"/>
        <w:tabs>
          <w:tab w:val="left" w:pos="1080"/>
        </w:tabs>
        <w:spacing w:before="0" w:beforeAutospacing="0" w:after="0" w:afterAutospacing="0" w:line="360" w:lineRule="auto"/>
        <w:ind w:left="134" w:leftChars="64" w:firstLine="420" w:firstLineChars="200"/>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符合性检查是依据招标文件的规定，从投标文件的有效性、完整性和对招标文件的响应程度进行审查，以确定是否对招标文件的实质性要求作出响应。</w:t>
      </w:r>
      <w:r>
        <w:rPr>
          <w:rFonts w:hint="eastAsia" w:ascii="仿宋" w:hAnsi="仿宋" w:eastAsia="仿宋" w:cs="仿宋"/>
          <w:color w:val="auto"/>
          <w:sz w:val="21"/>
          <w:szCs w:val="21"/>
          <w:highlight w:val="none"/>
        </w:rPr>
        <w:t>应进行以下审核：</w:t>
      </w:r>
    </w:p>
    <w:p>
      <w:pPr>
        <w:pStyle w:val="99"/>
        <w:keepNext w:val="0"/>
        <w:numPr>
          <w:ilvl w:val="0"/>
          <w:numId w:val="23"/>
        </w:numPr>
        <w:tabs>
          <w:tab w:val="left" w:pos="960"/>
        </w:tabs>
        <w:spacing w:after="0" w:line="360" w:lineRule="auto"/>
        <w:ind w:hanging="9"/>
        <w:rPr>
          <w:rFonts w:ascii="仿宋" w:hAnsi="仿宋" w:eastAsia="仿宋" w:cs="仿宋"/>
          <w:bCs/>
          <w:color w:val="auto"/>
          <w:szCs w:val="21"/>
          <w:highlight w:val="none"/>
        </w:rPr>
      </w:pPr>
      <w:r>
        <w:rPr>
          <w:rFonts w:hint="eastAsia" w:ascii="仿宋" w:hAnsi="仿宋" w:eastAsia="仿宋" w:cs="仿宋"/>
          <w:bCs/>
          <w:color w:val="auto"/>
          <w:szCs w:val="21"/>
          <w:highlight w:val="none"/>
        </w:rPr>
        <w:t>投标报价不超过最高限价</w:t>
      </w:r>
    </w:p>
    <w:p>
      <w:pPr>
        <w:pStyle w:val="99"/>
        <w:keepNext w:val="0"/>
        <w:numPr>
          <w:ilvl w:val="0"/>
          <w:numId w:val="23"/>
        </w:numPr>
        <w:tabs>
          <w:tab w:val="left" w:pos="960"/>
        </w:tabs>
        <w:spacing w:after="0" w:line="360" w:lineRule="auto"/>
        <w:ind w:hanging="9"/>
        <w:rPr>
          <w:rFonts w:ascii="仿宋" w:hAnsi="仿宋" w:eastAsia="仿宋" w:cs="仿宋"/>
          <w:bCs/>
          <w:color w:val="auto"/>
          <w:szCs w:val="21"/>
          <w:highlight w:val="none"/>
        </w:rPr>
      </w:pPr>
      <w:r>
        <w:rPr>
          <w:rFonts w:hint="eastAsia" w:ascii="仿宋" w:hAnsi="仿宋" w:eastAsia="仿宋" w:cs="仿宋"/>
          <w:color w:val="auto"/>
          <w:szCs w:val="21"/>
          <w:highlight w:val="none"/>
        </w:rPr>
        <w:t>报价方案是唯一确定</w:t>
      </w:r>
    </w:p>
    <w:p>
      <w:pPr>
        <w:pStyle w:val="99"/>
        <w:keepNext w:val="0"/>
        <w:numPr>
          <w:ilvl w:val="0"/>
          <w:numId w:val="23"/>
        </w:numPr>
        <w:tabs>
          <w:tab w:val="left" w:pos="960"/>
        </w:tabs>
        <w:spacing w:after="0" w:line="360" w:lineRule="auto"/>
        <w:ind w:hanging="9"/>
        <w:rPr>
          <w:rFonts w:ascii="仿宋" w:hAnsi="仿宋" w:eastAsia="仿宋" w:cs="仿宋"/>
          <w:bCs/>
          <w:color w:val="auto"/>
          <w:szCs w:val="21"/>
          <w:highlight w:val="none"/>
        </w:rPr>
      </w:pPr>
      <w:r>
        <w:rPr>
          <w:rFonts w:hint="eastAsia" w:ascii="仿宋" w:hAnsi="仿宋" w:eastAsia="仿宋" w:cs="仿宋"/>
          <w:color w:val="auto"/>
          <w:szCs w:val="21"/>
          <w:highlight w:val="none"/>
        </w:rPr>
        <w:t>实质性响应招标文件中“★”号参数的商务要求</w:t>
      </w:r>
    </w:p>
    <w:p>
      <w:pPr>
        <w:pStyle w:val="99"/>
        <w:keepNext w:val="0"/>
        <w:numPr>
          <w:ilvl w:val="0"/>
          <w:numId w:val="23"/>
        </w:numPr>
        <w:tabs>
          <w:tab w:val="left" w:pos="960"/>
        </w:tabs>
        <w:spacing w:after="0" w:line="360" w:lineRule="auto"/>
        <w:ind w:hanging="9"/>
        <w:rPr>
          <w:rFonts w:ascii="仿宋" w:hAnsi="仿宋" w:eastAsia="仿宋" w:cs="仿宋"/>
          <w:bCs/>
          <w:color w:val="auto"/>
          <w:szCs w:val="21"/>
          <w:highlight w:val="none"/>
        </w:rPr>
      </w:pPr>
      <w:r>
        <w:rPr>
          <w:rFonts w:hint="eastAsia" w:ascii="仿宋" w:hAnsi="仿宋" w:eastAsia="仿宋" w:cs="仿宋"/>
          <w:color w:val="auto"/>
          <w:szCs w:val="21"/>
          <w:highlight w:val="none"/>
        </w:rPr>
        <w:t>实质性响应招标文件中“★”号参数的技术要求</w:t>
      </w:r>
    </w:p>
    <w:p>
      <w:pPr>
        <w:pStyle w:val="99"/>
        <w:keepNext w:val="0"/>
        <w:numPr>
          <w:ilvl w:val="0"/>
          <w:numId w:val="23"/>
        </w:numPr>
        <w:tabs>
          <w:tab w:val="left" w:pos="960"/>
        </w:tabs>
        <w:spacing w:after="0" w:line="360" w:lineRule="auto"/>
        <w:ind w:hanging="9"/>
        <w:rPr>
          <w:rFonts w:ascii="仿宋" w:hAnsi="仿宋" w:eastAsia="仿宋" w:cs="仿宋"/>
          <w:bCs/>
          <w:color w:val="auto"/>
          <w:szCs w:val="21"/>
          <w:highlight w:val="none"/>
        </w:rPr>
      </w:pPr>
      <w:r>
        <w:rPr>
          <w:rFonts w:hint="eastAsia" w:ascii="仿宋" w:hAnsi="仿宋" w:eastAsia="仿宋" w:cs="仿宋"/>
          <w:color w:val="auto"/>
          <w:szCs w:val="21"/>
          <w:highlight w:val="none"/>
        </w:rPr>
        <w:t>服务期</w:t>
      </w:r>
    </w:p>
    <w:p>
      <w:pPr>
        <w:pStyle w:val="99"/>
        <w:keepNext w:val="0"/>
        <w:numPr>
          <w:ilvl w:val="0"/>
          <w:numId w:val="23"/>
        </w:numPr>
        <w:tabs>
          <w:tab w:val="left" w:pos="960"/>
        </w:tabs>
        <w:spacing w:after="0" w:line="360" w:lineRule="auto"/>
        <w:ind w:hanging="9"/>
        <w:rPr>
          <w:rFonts w:ascii="仿宋" w:hAnsi="仿宋" w:eastAsia="仿宋" w:cs="仿宋"/>
          <w:bCs/>
          <w:color w:val="auto"/>
          <w:szCs w:val="21"/>
          <w:highlight w:val="none"/>
        </w:rPr>
      </w:pPr>
      <w:r>
        <w:rPr>
          <w:rFonts w:hint="eastAsia" w:ascii="仿宋" w:hAnsi="仿宋" w:eastAsia="仿宋" w:cs="仿宋"/>
          <w:bCs/>
          <w:color w:val="auto"/>
          <w:szCs w:val="21"/>
          <w:highlight w:val="none"/>
        </w:rPr>
        <w:t>无招标文件规定的投标无效情况</w:t>
      </w:r>
    </w:p>
    <w:p>
      <w:pPr>
        <w:pStyle w:val="99"/>
        <w:keepNext w:val="0"/>
        <w:spacing w:after="0"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有下列情况之一的，投标无效：</w:t>
      </w:r>
    </w:p>
    <w:p>
      <w:pPr>
        <w:pStyle w:val="45"/>
        <w:widowControl w:val="0"/>
        <w:spacing w:before="0" w:beforeAutospacing="0" w:after="0" w:afterAutospacing="0" w:line="360" w:lineRule="auto"/>
        <w:ind w:left="537" w:leftChars="115" w:hanging="296" w:hangingChars="141"/>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（1）未按照招标文件的规定提交投标保证金的；</w:t>
      </w:r>
    </w:p>
    <w:p>
      <w:pPr>
        <w:pStyle w:val="45"/>
        <w:widowControl w:val="0"/>
        <w:spacing w:before="0" w:beforeAutospacing="0" w:after="0" w:afterAutospacing="0" w:line="360" w:lineRule="auto"/>
        <w:ind w:left="537" w:leftChars="115" w:hanging="296" w:hangingChars="141"/>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（2）投标文件未按招标文件要求签署、盖章的；</w:t>
      </w:r>
    </w:p>
    <w:p>
      <w:pPr>
        <w:pStyle w:val="45"/>
        <w:widowControl w:val="0"/>
        <w:spacing w:before="0" w:beforeAutospacing="0" w:after="0" w:afterAutospacing="0" w:line="360" w:lineRule="auto"/>
        <w:ind w:left="537" w:leftChars="115" w:hanging="296" w:hangingChars="141"/>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（3）不具备招标文件中规定的资格要求的；</w:t>
      </w:r>
    </w:p>
    <w:p>
      <w:pPr>
        <w:pStyle w:val="45"/>
        <w:widowControl w:val="0"/>
        <w:spacing w:before="0" w:beforeAutospacing="0" w:after="0" w:afterAutospacing="0" w:line="360" w:lineRule="auto"/>
        <w:ind w:left="537" w:leftChars="115" w:hanging="296" w:hangingChars="141"/>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（4）报价超过招标文件中规定的预算金额或者最高限价的；</w:t>
      </w:r>
    </w:p>
    <w:p>
      <w:pPr>
        <w:pStyle w:val="45"/>
        <w:widowControl w:val="0"/>
        <w:spacing w:before="0" w:beforeAutospacing="0" w:after="0" w:afterAutospacing="0" w:line="360" w:lineRule="auto"/>
        <w:ind w:left="537" w:leftChars="115" w:hanging="296" w:hangingChars="141"/>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（5）投标文件含有采购人不能接受的附加条件的;</w:t>
      </w:r>
    </w:p>
    <w:p>
      <w:pPr>
        <w:pStyle w:val="45"/>
        <w:widowControl w:val="0"/>
        <w:spacing w:before="0" w:beforeAutospacing="0" w:after="0" w:afterAutospacing="0" w:line="360" w:lineRule="auto"/>
        <w:ind w:left="537" w:leftChars="115" w:hanging="296" w:hangingChars="141"/>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（6）无提供参加政府采购活动前3年内在经营活动中没有重大违法记录的书面声明。</w:t>
      </w:r>
    </w:p>
    <w:p>
      <w:pPr>
        <w:pStyle w:val="45"/>
        <w:widowControl w:val="0"/>
        <w:spacing w:before="0" w:beforeAutospacing="0" w:after="0" w:afterAutospacing="0" w:line="360" w:lineRule="auto"/>
        <w:ind w:left="537" w:leftChars="115" w:hanging="296" w:hangingChars="141"/>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（7）法律、法规和招标文件规定的其他无效情形。</w:t>
      </w:r>
    </w:p>
    <w:p>
      <w:pPr>
        <w:pStyle w:val="45"/>
        <w:widowControl w:val="0"/>
        <w:spacing w:before="0" w:beforeAutospacing="0" w:after="0" w:afterAutospacing="0" w:line="360" w:lineRule="auto"/>
        <w:ind w:left="538" w:leftChars="-85" w:hanging="716" w:hangingChars="341"/>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（三） 以上资格性检查、符合性检查中带部分有不合格分项的投标文件，将作废标处理。经评标委员会确认的无效投标文件，采购人和采购代理机构将予以拒绝，并且不允许通过修正或</w:t>
      </w:r>
      <w:r>
        <w:rPr>
          <w:rFonts w:hint="eastAsia" w:ascii="仿宋" w:hAnsi="仿宋" w:eastAsia="仿宋" w:cs="仿宋"/>
          <w:color w:val="auto"/>
          <w:sz w:val="21"/>
          <w:szCs w:val="21"/>
          <w:highlight w:val="none"/>
          <w:lang w:eastAsia="zh-CN"/>
        </w:rPr>
        <w:t>撤销其</w:t>
      </w:r>
      <w:r>
        <w:rPr>
          <w:rFonts w:hint="eastAsia" w:ascii="仿宋" w:hAnsi="仿宋" w:eastAsia="仿宋" w:cs="仿宋"/>
          <w:color w:val="auto"/>
          <w:sz w:val="21"/>
          <w:szCs w:val="21"/>
          <w:highlight w:val="none"/>
        </w:rPr>
        <w:t>不符合要求的差异，使之成为具有符合性的投标文件。</w:t>
      </w:r>
    </w:p>
    <w:p>
      <w:pPr>
        <w:pStyle w:val="45"/>
        <w:widowControl w:val="0"/>
        <w:spacing w:before="0" w:beforeAutospacing="0" w:after="0" w:afterAutospacing="0" w:line="360" w:lineRule="auto"/>
        <w:ind w:left="410" w:leftChars="-85" w:hanging="588" w:hangingChars="28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四）开标之后首先由采购代理机构工作人员就投标人的投标文件进行资格性检查，资格性检查通过的投标人将由负责评标委员会进行符合性检查，经评标委员会确认具有有效投标文件的投标人不足三家时将重新组织招标。</w:t>
      </w:r>
    </w:p>
    <w:p>
      <w:pPr>
        <w:pStyle w:val="45"/>
        <w:widowControl w:val="0"/>
        <w:spacing w:before="0" w:beforeAutospacing="0" w:after="0" w:afterAutospacing="0" w:line="360" w:lineRule="auto"/>
        <w:ind w:left="410" w:leftChars="-85" w:hanging="588" w:hangingChars="28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（五）现场澄清：按招标文件第二篇。</w:t>
      </w:r>
    </w:p>
    <w:p>
      <w:pPr>
        <w:pStyle w:val="45"/>
        <w:widowControl w:val="0"/>
        <w:spacing w:before="0" w:beforeAutospacing="0" w:after="0" w:afterAutospacing="0" w:line="360" w:lineRule="auto"/>
        <w:ind w:left="410" w:leftChars="-85" w:hanging="588" w:hangingChars="28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（六）细微偏差修正</w:t>
      </w:r>
    </w:p>
    <w:p>
      <w:pPr>
        <w:spacing w:line="360" w:lineRule="auto"/>
        <w:ind w:firstLine="840" w:firstLineChars="400"/>
        <w:rPr>
          <w:rFonts w:ascii="仿宋" w:hAnsi="仿宋" w:eastAsia="仿宋" w:cs="仿宋"/>
          <w:color w:val="auto"/>
          <w:szCs w:val="21"/>
          <w:highlight w:val="none"/>
        </w:rPr>
      </w:pPr>
      <w:r>
        <w:rPr>
          <w:rFonts w:hint="eastAsia" w:ascii="仿宋" w:hAnsi="仿宋" w:eastAsia="仿宋" w:cs="仿宋"/>
          <w:color w:val="auto"/>
          <w:szCs w:val="21"/>
          <w:highlight w:val="none"/>
        </w:rPr>
        <w:t>1.投标文件中开标一览表（报价表）内容与投标文件中相应内容不一致的，以开标一览表（报价</w:t>
      </w:r>
    </w:p>
    <w:p>
      <w:pPr>
        <w:spacing w:line="360" w:lineRule="auto"/>
        <w:ind w:firstLine="1050" w:firstLineChars="500"/>
        <w:rPr>
          <w:rFonts w:ascii="仿宋" w:hAnsi="仿宋" w:eastAsia="仿宋" w:cs="仿宋"/>
          <w:color w:val="auto"/>
          <w:szCs w:val="21"/>
          <w:highlight w:val="none"/>
        </w:rPr>
      </w:pPr>
      <w:r>
        <w:rPr>
          <w:rFonts w:hint="eastAsia" w:ascii="仿宋" w:hAnsi="仿宋" w:eastAsia="仿宋" w:cs="仿宋"/>
          <w:color w:val="auto"/>
          <w:szCs w:val="21"/>
          <w:highlight w:val="none"/>
        </w:rPr>
        <w:t>表）为准；</w:t>
      </w:r>
    </w:p>
    <w:p>
      <w:pPr>
        <w:spacing w:line="360" w:lineRule="auto"/>
        <w:ind w:firstLine="840" w:firstLineChars="400"/>
        <w:rPr>
          <w:rFonts w:ascii="仿宋" w:hAnsi="仿宋" w:eastAsia="仿宋" w:cs="仿宋"/>
          <w:color w:val="auto"/>
          <w:szCs w:val="21"/>
          <w:highlight w:val="none"/>
        </w:rPr>
      </w:pPr>
      <w:r>
        <w:rPr>
          <w:rFonts w:hint="eastAsia" w:ascii="仿宋" w:hAnsi="仿宋" w:eastAsia="仿宋" w:cs="仿宋"/>
          <w:color w:val="auto"/>
          <w:szCs w:val="21"/>
          <w:highlight w:val="none"/>
        </w:rPr>
        <w:t>2.大写金额和小写金额不一致的，以大写金额为准；</w:t>
      </w:r>
    </w:p>
    <w:p>
      <w:pPr>
        <w:spacing w:line="360" w:lineRule="auto"/>
        <w:ind w:firstLine="840" w:firstLineChars="400"/>
        <w:rPr>
          <w:rFonts w:ascii="仿宋" w:hAnsi="仿宋" w:eastAsia="仿宋" w:cs="仿宋"/>
          <w:color w:val="auto"/>
          <w:szCs w:val="21"/>
          <w:highlight w:val="none"/>
        </w:rPr>
      </w:pPr>
      <w:r>
        <w:rPr>
          <w:rFonts w:hint="eastAsia" w:ascii="仿宋" w:hAnsi="仿宋" w:eastAsia="仿宋" w:cs="仿宋"/>
          <w:color w:val="auto"/>
          <w:szCs w:val="21"/>
          <w:highlight w:val="none"/>
        </w:rPr>
        <w:t>3.单价金额小数点或者百分比有明显错位的，以开标一览表的总价为准，并修改单价；</w:t>
      </w:r>
    </w:p>
    <w:p>
      <w:pPr>
        <w:spacing w:line="360" w:lineRule="auto"/>
        <w:ind w:firstLine="840" w:firstLineChars="400"/>
        <w:rPr>
          <w:rFonts w:ascii="仿宋" w:hAnsi="仿宋" w:eastAsia="仿宋" w:cs="仿宋"/>
          <w:color w:val="auto"/>
          <w:szCs w:val="21"/>
          <w:highlight w:val="none"/>
        </w:rPr>
      </w:pPr>
      <w:r>
        <w:rPr>
          <w:rFonts w:hint="eastAsia" w:ascii="仿宋" w:hAnsi="仿宋" w:eastAsia="仿宋" w:cs="仿宋"/>
          <w:color w:val="auto"/>
          <w:szCs w:val="21"/>
          <w:highlight w:val="none"/>
        </w:rPr>
        <w:t>4.总价金额与按单价汇总金额不一致的，以单价金额计算结果为准。</w:t>
      </w:r>
    </w:p>
    <w:p>
      <w:pPr>
        <w:pStyle w:val="45"/>
        <w:widowControl w:val="0"/>
        <w:spacing w:before="0" w:beforeAutospacing="0" w:after="0" w:afterAutospacing="0" w:line="360" w:lineRule="auto"/>
        <w:ind w:left="859" w:leftChars="257" w:hanging="319" w:hangingChars="152"/>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同时出现两种以上不一致的，按照前款规定的顺序修正。修正后的报价按照《政府采购货物和服</w:t>
      </w:r>
    </w:p>
    <w:p>
      <w:pPr>
        <w:pStyle w:val="45"/>
        <w:widowControl w:val="0"/>
        <w:spacing w:before="0" w:beforeAutospacing="0" w:after="0" w:afterAutospacing="0" w:line="360" w:lineRule="auto"/>
        <w:ind w:left="829" w:leftChars="344" w:hanging="107" w:hangingChars="51"/>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务招标投标管理办法》（财政部令第87号）第五十一条第二款的规定经投标人确认后产生约束</w:t>
      </w:r>
    </w:p>
    <w:p>
      <w:pPr>
        <w:pStyle w:val="45"/>
        <w:widowControl w:val="0"/>
        <w:spacing w:before="0" w:beforeAutospacing="0" w:after="0" w:afterAutospacing="0" w:line="360" w:lineRule="auto"/>
        <w:ind w:left="829" w:leftChars="344" w:hanging="107" w:hangingChars="51"/>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力，投标人不确认的，其投标无效。</w:t>
      </w:r>
    </w:p>
    <w:p>
      <w:pPr>
        <w:snapToGrid w:val="0"/>
        <w:spacing w:line="360" w:lineRule="auto"/>
        <w:ind w:left="708" w:hanging="707" w:hangingChars="337"/>
        <w:rPr>
          <w:rFonts w:ascii="仿宋" w:hAnsi="仿宋" w:eastAsia="仿宋" w:cs="仿宋"/>
          <w:color w:val="auto"/>
          <w:szCs w:val="21"/>
          <w:highlight w:val="none"/>
        </w:rPr>
      </w:pPr>
      <w:r>
        <w:rPr>
          <w:rFonts w:hint="eastAsia" w:ascii="仿宋" w:hAnsi="仿宋" w:eastAsia="仿宋" w:cs="仿宋"/>
          <w:color w:val="auto"/>
          <w:szCs w:val="21"/>
          <w:highlight w:val="none"/>
        </w:rPr>
        <w:t>（七）评标委员会根据《关于印发中小企业划型标准规定的通知》（工信部联企业[2011]300号）、《政府采购促进中小企业发展管理办法》(财库(2020)46号)、《关于政府采购支持监狱企业发展有关问题的通知》(财库〔2014〕68号)、《关于促进残疾人就业政府采购政策的通知》（财库〔2017〕141号)、《关于环境标志产品政府采购实施的意见》（财库〔2006〕90号、《节能产品政府采购实施意见》的通知（财库〔2004〕185号）的有关规定，对通过资格性检查和符合性检查的投标文件进行相对应的审核工作(如需要)。</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（八）得分统计及推荐中标候选人名单</w:t>
      </w:r>
    </w:p>
    <w:p>
      <w:pPr>
        <w:spacing w:line="360" w:lineRule="auto"/>
        <w:ind w:left="554" w:leftChars="264" w:firstLine="525" w:firstLineChars="250"/>
        <w:rPr>
          <w:rFonts w:ascii="仿宋" w:hAnsi="仿宋" w:eastAsia="仿宋" w:cs="仿宋"/>
          <w:color w:val="auto"/>
          <w:szCs w:val="21"/>
          <w:highlight w:val="none"/>
        </w:rPr>
      </w:pPr>
      <w:r>
        <w:rPr>
          <w:rFonts w:hint="eastAsia" w:ascii="仿宋" w:hAnsi="仿宋" w:eastAsia="仿宋" w:cs="仿宋"/>
          <w:color w:val="auto"/>
          <w:szCs w:val="21"/>
          <w:highlight w:val="none"/>
        </w:rPr>
        <w:t>1.评标委员会按照采购文件确定的评审标准、程序和方法，对投标文件进行评审，提出书面评标报告。</w:t>
      </w:r>
    </w:p>
    <w:p>
      <w:pPr>
        <w:spacing w:line="360" w:lineRule="auto"/>
        <w:ind w:left="554" w:leftChars="264" w:firstLine="525" w:firstLineChars="250"/>
        <w:rPr>
          <w:rFonts w:ascii="仿宋" w:hAnsi="仿宋" w:eastAsia="仿宋" w:cs="仿宋"/>
          <w:color w:val="auto"/>
          <w:szCs w:val="21"/>
          <w:highlight w:val="none"/>
        </w:rPr>
      </w:pPr>
      <w:r>
        <w:rPr>
          <w:rFonts w:hint="eastAsia" w:ascii="仿宋" w:hAnsi="仿宋" w:eastAsia="仿宋" w:cs="仿宋"/>
          <w:color w:val="auto"/>
          <w:szCs w:val="21"/>
          <w:highlight w:val="none"/>
        </w:rPr>
        <w:t>2.采用综合评分法，按照评标程序、评分标准以及权重分配的规定，评标委员会各成员分别首先就各个投标人的技术状况、商务状况及其对招标文件要求的响应情况进行评议和比较，评出其商务评分和技术评分，所有评委各投标人的商务得分和技术得分应为各评委的评分相加，再除以评委人数，得出平均得分，将各投标人的商务得分、技术得分和价格得分相加得出其综合得分。</w:t>
      </w:r>
    </w:p>
    <w:p>
      <w:pPr>
        <w:spacing w:line="360" w:lineRule="auto"/>
        <w:ind w:left="554" w:leftChars="264" w:firstLine="525" w:firstLineChars="250"/>
        <w:rPr>
          <w:rFonts w:ascii="仿宋" w:hAnsi="仿宋" w:eastAsia="仿宋" w:cs="仿宋"/>
          <w:color w:val="auto"/>
          <w:szCs w:val="21"/>
          <w:highlight w:val="none"/>
        </w:rPr>
      </w:pPr>
      <w:r>
        <w:rPr>
          <w:rFonts w:hint="eastAsia" w:ascii="仿宋" w:hAnsi="仿宋" w:eastAsia="仿宋" w:cs="仿宋"/>
          <w:color w:val="auto"/>
          <w:szCs w:val="21"/>
          <w:highlight w:val="none"/>
        </w:rPr>
        <w:t>3.投标人的最终评标得分＝商务得分+技术得分+价格得分,评分统计的结果数据须经评委验算审核并签名确认。</w:t>
      </w:r>
    </w:p>
    <w:p>
      <w:pPr>
        <w:spacing w:line="360" w:lineRule="auto"/>
        <w:ind w:left="554" w:leftChars="264" w:firstLine="525" w:firstLineChars="250"/>
        <w:rPr>
          <w:rFonts w:ascii="仿宋" w:hAnsi="仿宋" w:eastAsia="仿宋" w:cs="仿宋"/>
          <w:color w:val="auto"/>
          <w:szCs w:val="21"/>
          <w:highlight w:val="none"/>
        </w:rPr>
      </w:pPr>
      <w:r>
        <w:rPr>
          <w:rFonts w:hint="eastAsia" w:ascii="仿宋" w:hAnsi="仿宋" w:eastAsia="仿宋" w:cs="仿宋"/>
          <w:color w:val="auto"/>
          <w:szCs w:val="21"/>
          <w:highlight w:val="none"/>
        </w:rPr>
        <w:t>4.评标委员会按评审后综合评分由高到低顺序排列。综合评分相同的投标人，所投产品符合《关于环境标志产品政府采购实施的意见》（财库〔2006〕90号或《节能产品政府采购实施意见》的通知（财库〔2004〕185号）规定的投标人排序优先。如条件相等，则评标价格低的投标人排序优先。综合得分相同且评标价相同的，则技术部分评分得分高的优先。综合评分相同，且评标价和技术评分及政策性扶持条件（关于环境标志产品政府采购实施的意见》（财库〔2006〕90号或《节能产品政府采购实施意见》的通知（财库〔2004〕185号））均相同的，名次由评委会投票决定。评委会按上述排列向采购人推荐综合总得分第一名为中标候选供应商，第二名为第二中标候选供应商。第二名报价高于第一名报价20％以上的，只推荐一名中标候选人。第一中标候选人不得随意放弃中标资格。</w:t>
      </w:r>
    </w:p>
    <w:p>
      <w:pPr>
        <w:spacing w:line="360" w:lineRule="auto"/>
        <w:ind w:left="554" w:leftChars="264" w:firstLine="525" w:firstLineChars="250"/>
        <w:rPr>
          <w:rFonts w:ascii="仿宋" w:hAnsi="仿宋" w:eastAsia="仿宋" w:cs="仿宋"/>
          <w:color w:val="auto"/>
          <w:szCs w:val="21"/>
          <w:highlight w:val="none"/>
        </w:rPr>
      </w:pPr>
      <w:r>
        <w:rPr>
          <w:rFonts w:hint="eastAsia" w:ascii="仿宋" w:hAnsi="仿宋" w:eastAsia="仿宋" w:cs="仿宋"/>
          <w:color w:val="auto"/>
          <w:szCs w:val="21"/>
          <w:highlight w:val="none"/>
        </w:rPr>
        <w:t>5.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同品牌产品只适用于标注有【核心产品】的产品）</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（九）编制评标报告。</w:t>
      </w:r>
    </w:p>
    <w:p>
      <w:pPr>
        <w:spacing w:line="360" w:lineRule="auto"/>
        <w:ind w:left="554" w:leftChars="264"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评标委员会根据评标结果撰写评标报告。评标报告是评标委员会根据全体评标成员签字的原始评标记录和评标结果编写的报告，其主要内容包括：</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　　  1.招标公告刊登的媒体名称、开标日期和地点；</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　　  2.购买招标文件的投标人名单和评标委员会成员名单；</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　　  3.评标方法和标准；</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　　  4.开标记录和评标情况及说明，包括投标无效投标人名单及原因；</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　　  5.评标结果和中标候选供应商排序表；</w:t>
      </w:r>
    </w:p>
    <w:p>
      <w:pPr>
        <w:pStyle w:val="28"/>
        <w:spacing w:line="360" w:lineRule="auto"/>
        <w:ind w:firstLine="630" w:firstLineChars="300"/>
        <w:rPr>
          <w:rFonts w:ascii="仿宋" w:hAnsi="仿宋" w:eastAsia="仿宋" w:cs="仿宋"/>
          <w:color w:val="auto"/>
          <w:szCs w:val="21"/>
          <w:highlight w:val="none"/>
        </w:rPr>
        <w:sectPr>
          <w:headerReference r:id="rId6" w:type="first"/>
          <w:footerReference r:id="rId7" w:type="even"/>
          <w:type w:val="nextColumn"/>
          <w:pgSz w:w="11907" w:h="16840"/>
          <w:pgMar w:top="1304" w:right="1134" w:bottom="1247" w:left="1134" w:header="709" w:footer="697" w:gutter="0"/>
          <w:cols w:space="720" w:num="1"/>
          <w:docGrid w:linePitch="285" w:charSpace="0"/>
        </w:sectPr>
      </w:pPr>
      <w:r>
        <w:rPr>
          <w:rFonts w:hint="eastAsia" w:ascii="仿宋" w:hAnsi="仿宋" w:eastAsia="仿宋" w:cs="仿宋"/>
          <w:color w:val="auto"/>
          <w:szCs w:val="21"/>
          <w:highlight w:val="none"/>
        </w:rPr>
        <w:t>6.评标委员会的授标建议。</w:t>
      </w:r>
    </w:p>
    <w:p>
      <w:pPr>
        <w:pStyle w:val="3"/>
        <w:spacing w:after="120" w:line="480" w:lineRule="exact"/>
        <w:rPr>
          <w:rFonts w:hAnsi="宋体" w:cs="宋体"/>
          <w:b/>
          <w:color w:val="auto"/>
          <w:sz w:val="28"/>
          <w:szCs w:val="28"/>
          <w:highlight w:val="none"/>
        </w:rPr>
      </w:pPr>
      <w:r>
        <w:rPr>
          <w:rFonts w:hint="eastAsia" w:hAnsi="宋体" w:cs="宋体"/>
          <w:b/>
          <w:color w:val="auto"/>
          <w:sz w:val="28"/>
          <w:szCs w:val="28"/>
          <w:highlight w:val="none"/>
        </w:rPr>
        <w:t>资格性检查表：</w:t>
      </w:r>
    </w:p>
    <w:p>
      <w:pPr>
        <w:rPr>
          <w:rFonts w:hAnsi="宋体" w:cs="宋体"/>
          <w:color w:val="auto"/>
          <w:szCs w:val="21"/>
          <w:highlight w:val="none"/>
        </w:rPr>
      </w:pP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采购编号：</w:t>
      </w:r>
      <w:r>
        <w:rPr>
          <w:rFonts w:hint="eastAsia" w:ascii="仿宋" w:hAnsi="仿宋" w:eastAsia="仿宋" w:cs="仿宋"/>
          <w:color w:val="auto"/>
          <w:kern w:val="2"/>
          <w:szCs w:val="21"/>
          <w:highlight w:val="none"/>
          <w:lang w:val="zh-CN"/>
        </w:rPr>
        <w:t>GDYD230090</w:t>
      </w:r>
      <w:r>
        <w:rPr>
          <w:rFonts w:hint="eastAsia" w:ascii="仿宋" w:hAnsi="仿宋" w:eastAsia="仿宋" w:cs="仿宋"/>
          <w:color w:val="auto"/>
          <w:szCs w:val="21"/>
          <w:highlight w:val="none"/>
        </w:rPr>
        <w:t xml:space="preserve">                            </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项目名称：南海海洋预警信息发布和沿海恶劣天气防灾叫应系统(二期)</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3937"/>
        <w:gridCol w:w="1115"/>
        <w:gridCol w:w="1115"/>
        <w:gridCol w:w="1115"/>
        <w:gridCol w:w="1115"/>
        <w:gridCol w:w="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27" w:type="dxa"/>
            <w:vAlign w:val="center"/>
          </w:tcPr>
          <w:p>
            <w:pPr>
              <w:pStyle w:val="13"/>
              <w:tabs>
                <w:tab w:val="left" w:pos="7740"/>
              </w:tabs>
              <w:snapToGrid w:val="0"/>
              <w:ind w:firstLine="0" w:firstLineChars="0"/>
              <w:rPr>
                <w:rFonts w:ascii="仿宋" w:hAnsi="仿宋" w:eastAsia="仿宋" w:cs="仿宋"/>
                <w:color w:val="auto"/>
                <w:sz w:val="21"/>
                <w:szCs w:val="21"/>
                <w:highlight w:val="none"/>
              </w:rPr>
            </w:pPr>
          </w:p>
        </w:tc>
        <w:tc>
          <w:tcPr>
            <w:tcW w:w="3937" w:type="dxa"/>
            <w:tcBorders>
              <w:tl2br w:val="single" w:color="auto" w:sz="4" w:space="0"/>
            </w:tcBorders>
            <w:vAlign w:val="center"/>
          </w:tcPr>
          <w:p>
            <w:pPr>
              <w:pStyle w:val="13"/>
              <w:tabs>
                <w:tab w:val="left" w:pos="7740"/>
              </w:tabs>
              <w:snapToGrid w:val="0"/>
              <w:ind w:firstLine="0" w:firstLineChars="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审查内容                                    投标人名称</w:t>
            </w:r>
          </w:p>
        </w:tc>
        <w:tc>
          <w:tcPr>
            <w:tcW w:w="1115" w:type="dxa"/>
            <w:vAlign w:val="center"/>
          </w:tcPr>
          <w:p>
            <w:pPr>
              <w:pStyle w:val="13"/>
              <w:tabs>
                <w:tab w:val="left" w:pos="7740"/>
              </w:tabs>
              <w:snapToGrid w:val="0"/>
              <w:ind w:firstLine="0" w:firstLineChars="0"/>
              <w:jc w:val="center"/>
              <w:rPr>
                <w:rFonts w:ascii="仿宋" w:hAnsi="仿宋" w:eastAsia="仿宋" w:cs="仿宋"/>
                <w:color w:val="auto"/>
                <w:sz w:val="21"/>
                <w:szCs w:val="21"/>
                <w:highlight w:val="none"/>
                <w:lang w:val="hr-HR"/>
              </w:rPr>
            </w:pPr>
            <w:r>
              <w:rPr>
                <w:rFonts w:hint="eastAsia" w:ascii="仿宋" w:hAnsi="仿宋" w:eastAsia="仿宋" w:cs="仿宋"/>
                <w:color w:val="auto"/>
                <w:sz w:val="21"/>
                <w:szCs w:val="21"/>
                <w:highlight w:val="none"/>
              </w:rPr>
              <w:t>投标人1</w:t>
            </w:r>
          </w:p>
        </w:tc>
        <w:tc>
          <w:tcPr>
            <w:tcW w:w="1115" w:type="dxa"/>
            <w:vAlign w:val="center"/>
          </w:tcPr>
          <w:p>
            <w:pPr>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投标人2</w:t>
            </w:r>
          </w:p>
        </w:tc>
        <w:tc>
          <w:tcPr>
            <w:tcW w:w="1115" w:type="dxa"/>
            <w:vAlign w:val="center"/>
          </w:tcPr>
          <w:p>
            <w:pPr>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投标人3</w:t>
            </w:r>
          </w:p>
        </w:tc>
        <w:tc>
          <w:tcPr>
            <w:tcW w:w="1115" w:type="dxa"/>
            <w:vAlign w:val="center"/>
          </w:tcPr>
          <w:p>
            <w:pPr>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投标人4</w:t>
            </w:r>
          </w:p>
        </w:tc>
        <w:tc>
          <w:tcPr>
            <w:tcW w:w="465" w:type="dxa"/>
            <w:vAlign w:val="center"/>
          </w:tcPr>
          <w:p>
            <w:pPr>
              <w:pStyle w:val="13"/>
              <w:tabs>
                <w:tab w:val="left" w:pos="7740"/>
              </w:tabs>
              <w:snapToGrid w:val="0"/>
              <w:ind w:firstLine="0" w:firstLineChars="0"/>
              <w:jc w:val="center"/>
              <w:rPr>
                <w:rFonts w:ascii="仿宋" w:hAnsi="仿宋" w:eastAsia="仿宋" w:cs="仿宋"/>
                <w:color w:val="auto"/>
                <w:sz w:val="21"/>
                <w:szCs w:val="21"/>
                <w:highlight w:val="none"/>
                <w:lang w:val="hr-HR"/>
              </w:rPr>
            </w:pPr>
            <w:r>
              <w:rPr>
                <w:rFonts w:hint="eastAsia" w:ascii="仿宋" w:hAnsi="仿宋" w:eastAsia="仿宋" w:cs="仿宋"/>
                <w:color w:val="auto"/>
                <w:sz w:val="21"/>
                <w:szCs w:val="21"/>
                <w:highlight w:val="none"/>
                <w:lang w:val="hr-H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7" w:type="dxa"/>
            <w:vMerge w:val="restart"/>
            <w:vAlign w:val="center"/>
          </w:tcPr>
          <w:p>
            <w:pPr>
              <w:pStyle w:val="13"/>
              <w:tabs>
                <w:tab w:val="left" w:pos="7740"/>
              </w:tabs>
              <w:snapToGrid w:val="0"/>
              <w:ind w:firstLine="0" w:firstLineChars="0"/>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资</w:t>
            </w:r>
          </w:p>
          <w:p>
            <w:pPr>
              <w:pStyle w:val="13"/>
              <w:tabs>
                <w:tab w:val="left" w:pos="7740"/>
              </w:tabs>
              <w:snapToGrid w:val="0"/>
              <w:ind w:firstLine="0" w:firstLineChars="0"/>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格</w:t>
            </w:r>
          </w:p>
          <w:p>
            <w:pPr>
              <w:pStyle w:val="13"/>
              <w:tabs>
                <w:tab w:val="left" w:pos="7740"/>
              </w:tabs>
              <w:snapToGrid w:val="0"/>
              <w:ind w:firstLine="0" w:firstLineChars="0"/>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性</w:t>
            </w:r>
          </w:p>
          <w:p>
            <w:pPr>
              <w:pStyle w:val="13"/>
              <w:tabs>
                <w:tab w:val="left" w:pos="7740"/>
              </w:tabs>
              <w:snapToGrid w:val="0"/>
              <w:ind w:firstLine="0" w:firstLineChars="0"/>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检</w:t>
            </w:r>
          </w:p>
          <w:p>
            <w:pPr>
              <w:pStyle w:val="13"/>
              <w:tabs>
                <w:tab w:val="left" w:pos="7740"/>
              </w:tabs>
              <w:snapToGrid w:val="0"/>
              <w:ind w:firstLine="0" w:firstLineChars="0"/>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查</w:t>
            </w:r>
          </w:p>
        </w:tc>
        <w:tc>
          <w:tcPr>
            <w:tcW w:w="3937" w:type="dxa"/>
            <w:vAlign w:val="center"/>
          </w:tcPr>
          <w:p>
            <w:pPr>
              <w:pStyle w:val="13"/>
              <w:tabs>
                <w:tab w:val="left" w:pos="7740"/>
              </w:tabs>
              <w:snapToGrid w:val="0"/>
              <w:ind w:firstLine="0" w:firstLineChars="0"/>
              <w:jc w:val="both"/>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法定代表人/负责人资格证明书及授权委托书</w:t>
            </w:r>
          </w:p>
        </w:tc>
        <w:tc>
          <w:tcPr>
            <w:tcW w:w="1115" w:type="dxa"/>
          </w:tcPr>
          <w:p>
            <w:pPr>
              <w:tabs>
                <w:tab w:val="left" w:pos="146"/>
              </w:tabs>
              <w:ind w:left="146" w:hanging="180"/>
              <w:jc w:val="both"/>
              <w:rPr>
                <w:rFonts w:ascii="仿宋" w:hAnsi="仿宋" w:eastAsia="仿宋" w:cs="仿宋"/>
                <w:b/>
                <w:bCs/>
                <w:color w:val="auto"/>
                <w:szCs w:val="21"/>
                <w:highlight w:val="none"/>
              </w:rPr>
            </w:pPr>
          </w:p>
        </w:tc>
        <w:tc>
          <w:tcPr>
            <w:tcW w:w="1115" w:type="dxa"/>
          </w:tcPr>
          <w:p>
            <w:pPr>
              <w:tabs>
                <w:tab w:val="left" w:pos="0"/>
              </w:tabs>
              <w:jc w:val="both"/>
              <w:rPr>
                <w:rFonts w:ascii="仿宋" w:hAnsi="仿宋" w:eastAsia="仿宋" w:cs="仿宋"/>
                <w:b/>
                <w:bCs/>
                <w:color w:val="auto"/>
                <w:szCs w:val="21"/>
                <w:highlight w:val="none"/>
              </w:rPr>
            </w:pPr>
          </w:p>
        </w:tc>
        <w:tc>
          <w:tcPr>
            <w:tcW w:w="1115" w:type="dxa"/>
            <w:vAlign w:val="center"/>
          </w:tcPr>
          <w:p>
            <w:pPr>
              <w:pStyle w:val="142"/>
              <w:tabs>
                <w:tab w:val="left" w:pos="7740"/>
              </w:tabs>
              <w:snapToGrid w:val="0"/>
              <w:spacing w:before="0" w:beforeAutospacing="0" w:after="0" w:afterAutospacing="0"/>
              <w:jc w:val="both"/>
              <w:rPr>
                <w:rFonts w:hint="default" w:ascii="仿宋" w:hAnsi="仿宋" w:eastAsia="仿宋" w:cs="仿宋"/>
                <w:color w:val="auto"/>
                <w:szCs w:val="21"/>
                <w:highlight w:val="none"/>
              </w:rPr>
            </w:pPr>
          </w:p>
        </w:tc>
        <w:tc>
          <w:tcPr>
            <w:tcW w:w="1115" w:type="dxa"/>
            <w:vAlign w:val="center"/>
          </w:tcPr>
          <w:p>
            <w:pPr>
              <w:pStyle w:val="142"/>
              <w:tabs>
                <w:tab w:val="left" w:pos="7740"/>
              </w:tabs>
              <w:snapToGrid w:val="0"/>
              <w:spacing w:before="0" w:beforeAutospacing="0" w:after="0" w:afterAutospacing="0"/>
              <w:jc w:val="both"/>
              <w:rPr>
                <w:rFonts w:hint="default" w:ascii="仿宋" w:hAnsi="仿宋" w:eastAsia="仿宋" w:cs="仿宋"/>
                <w:color w:val="auto"/>
                <w:szCs w:val="21"/>
                <w:highlight w:val="none"/>
              </w:rPr>
            </w:pPr>
          </w:p>
        </w:tc>
        <w:tc>
          <w:tcPr>
            <w:tcW w:w="465" w:type="dxa"/>
            <w:vAlign w:val="center"/>
          </w:tcPr>
          <w:p>
            <w:pPr>
              <w:pStyle w:val="142"/>
              <w:tabs>
                <w:tab w:val="left" w:pos="7740"/>
              </w:tabs>
              <w:snapToGrid w:val="0"/>
              <w:spacing w:before="0" w:beforeAutospacing="0" w:after="0" w:afterAutospacing="0"/>
              <w:jc w:val="both"/>
              <w:rPr>
                <w:rFonts w:hint="default"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7" w:type="dxa"/>
            <w:vMerge w:val="continue"/>
            <w:vAlign w:val="center"/>
          </w:tcPr>
          <w:p>
            <w:pPr>
              <w:pStyle w:val="13"/>
              <w:tabs>
                <w:tab w:val="left" w:pos="7740"/>
              </w:tabs>
              <w:snapToGrid w:val="0"/>
              <w:ind w:firstLine="0" w:firstLineChars="0"/>
              <w:jc w:val="center"/>
              <w:rPr>
                <w:rFonts w:ascii="仿宋" w:hAnsi="仿宋" w:eastAsia="仿宋" w:cs="仿宋"/>
                <w:b/>
                <w:color w:val="auto"/>
                <w:sz w:val="21"/>
                <w:szCs w:val="21"/>
                <w:highlight w:val="none"/>
              </w:rPr>
            </w:pPr>
          </w:p>
        </w:tc>
        <w:tc>
          <w:tcPr>
            <w:tcW w:w="3937" w:type="dxa"/>
            <w:vAlign w:val="center"/>
          </w:tcPr>
          <w:p>
            <w:pPr>
              <w:pStyle w:val="142"/>
              <w:tabs>
                <w:tab w:val="left" w:pos="7740"/>
              </w:tabs>
              <w:snapToGrid w:val="0"/>
              <w:spacing w:before="0" w:beforeAutospacing="0" w:after="0" w:afterAutospacing="0"/>
              <w:jc w:val="both"/>
              <w:rPr>
                <w:rFonts w:hint="default" w:ascii="仿宋" w:hAnsi="仿宋" w:eastAsia="仿宋" w:cs="仿宋"/>
                <w:color w:val="auto"/>
                <w:szCs w:val="21"/>
                <w:highlight w:val="none"/>
              </w:rPr>
            </w:pPr>
            <w:r>
              <w:rPr>
                <w:rFonts w:ascii="仿宋" w:hAnsi="仿宋" w:eastAsia="仿宋" w:cs="仿宋"/>
                <w:bCs/>
                <w:color w:val="auto"/>
                <w:szCs w:val="21"/>
                <w:highlight w:val="none"/>
              </w:rPr>
              <w:t>营业执照副本复印件（加盖公章）</w:t>
            </w:r>
          </w:p>
        </w:tc>
        <w:tc>
          <w:tcPr>
            <w:tcW w:w="1115" w:type="dxa"/>
          </w:tcPr>
          <w:p>
            <w:pPr>
              <w:tabs>
                <w:tab w:val="left" w:pos="146"/>
              </w:tabs>
              <w:ind w:left="146" w:hanging="180"/>
              <w:jc w:val="both"/>
              <w:rPr>
                <w:rFonts w:ascii="仿宋" w:hAnsi="仿宋" w:eastAsia="仿宋" w:cs="仿宋"/>
                <w:b/>
                <w:bCs/>
                <w:color w:val="auto"/>
                <w:szCs w:val="21"/>
                <w:highlight w:val="none"/>
              </w:rPr>
            </w:pPr>
          </w:p>
        </w:tc>
        <w:tc>
          <w:tcPr>
            <w:tcW w:w="1115" w:type="dxa"/>
          </w:tcPr>
          <w:p>
            <w:pPr>
              <w:tabs>
                <w:tab w:val="left" w:pos="0"/>
              </w:tabs>
              <w:jc w:val="both"/>
              <w:rPr>
                <w:rFonts w:ascii="仿宋" w:hAnsi="仿宋" w:eastAsia="仿宋" w:cs="仿宋"/>
                <w:b/>
                <w:bCs/>
                <w:color w:val="auto"/>
                <w:szCs w:val="21"/>
                <w:highlight w:val="none"/>
              </w:rPr>
            </w:pPr>
          </w:p>
        </w:tc>
        <w:tc>
          <w:tcPr>
            <w:tcW w:w="1115" w:type="dxa"/>
            <w:vAlign w:val="center"/>
          </w:tcPr>
          <w:p>
            <w:pPr>
              <w:pStyle w:val="142"/>
              <w:tabs>
                <w:tab w:val="left" w:pos="7740"/>
              </w:tabs>
              <w:snapToGrid w:val="0"/>
              <w:spacing w:before="0" w:beforeAutospacing="0" w:after="0" w:afterAutospacing="0"/>
              <w:jc w:val="both"/>
              <w:rPr>
                <w:rFonts w:hint="default" w:ascii="仿宋" w:hAnsi="仿宋" w:eastAsia="仿宋" w:cs="仿宋"/>
                <w:color w:val="auto"/>
                <w:szCs w:val="21"/>
                <w:highlight w:val="none"/>
              </w:rPr>
            </w:pPr>
          </w:p>
        </w:tc>
        <w:tc>
          <w:tcPr>
            <w:tcW w:w="1115" w:type="dxa"/>
            <w:vAlign w:val="center"/>
          </w:tcPr>
          <w:p>
            <w:pPr>
              <w:pStyle w:val="142"/>
              <w:tabs>
                <w:tab w:val="left" w:pos="7740"/>
              </w:tabs>
              <w:snapToGrid w:val="0"/>
              <w:spacing w:before="0" w:beforeAutospacing="0" w:after="0" w:afterAutospacing="0"/>
              <w:jc w:val="both"/>
              <w:rPr>
                <w:rFonts w:hint="default" w:ascii="仿宋" w:hAnsi="仿宋" w:eastAsia="仿宋" w:cs="仿宋"/>
                <w:color w:val="auto"/>
                <w:szCs w:val="21"/>
                <w:highlight w:val="none"/>
              </w:rPr>
            </w:pPr>
          </w:p>
        </w:tc>
        <w:tc>
          <w:tcPr>
            <w:tcW w:w="465" w:type="dxa"/>
            <w:vAlign w:val="center"/>
          </w:tcPr>
          <w:p>
            <w:pPr>
              <w:pStyle w:val="142"/>
              <w:tabs>
                <w:tab w:val="left" w:pos="7740"/>
              </w:tabs>
              <w:snapToGrid w:val="0"/>
              <w:spacing w:before="0" w:beforeAutospacing="0" w:after="0" w:afterAutospacing="0"/>
              <w:jc w:val="both"/>
              <w:rPr>
                <w:rFonts w:hint="default"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7" w:type="dxa"/>
            <w:vMerge w:val="continue"/>
            <w:vAlign w:val="center"/>
          </w:tcPr>
          <w:p>
            <w:pPr>
              <w:pStyle w:val="13"/>
              <w:tabs>
                <w:tab w:val="left" w:pos="7740"/>
              </w:tabs>
              <w:snapToGrid w:val="0"/>
              <w:ind w:firstLine="0" w:firstLineChars="0"/>
              <w:jc w:val="center"/>
              <w:rPr>
                <w:rFonts w:ascii="仿宋" w:hAnsi="仿宋" w:eastAsia="仿宋" w:cs="仿宋"/>
                <w:b/>
                <w:color w:val="auto"/>
                <w:sz w:val="21"/>
                <w:szCs w:val="21"/>
                <w:highlight w:val="none"/>
              </w:rPr>
            </w:pPr>
          </w:p>
        </w:tc>
        <w:tc>
          <w:tcPr>
            <w:tcW w:w="3937" w:type="dxa"/>
            <w:vAlign w:val="center"/>
          </w:tcPr>
          <w:p>
            <w:pPr>
              <w:pStyle w:val="142"/>
              <w:tabs>
                <w:tab w:val="left" w:pos="7740"/>
              </w:tabs>
              <w:snapToGrid w:val="0"/>
              <w:spacing w:before="0" w:beforeAutospacing="0" w:after="0" w:afterAutospacing="0"/>
              <w:jc w:val="both"/>
              <w:rPr>
                <w:rFonts w:hint="default" w:ascii="仿宋" w:hAnsi="仿宋" w:eastAsia="仿宋" w:cs="仿宋"/>
                <w:bCs/>
                <w:color w:val="auto"/>
                <w:szCs w:val="21"/>
                <w:highlight w:val="none"/>
              </w:rPr>
            </w:pPr>
            <w:r>
              <w:rPr>
                <w:rFonts w:ascii="仿宋" w:hAnsi="仿宋" w:eastAsia="仿宋" w:cs="仿宋"/>
                <w:color w:val="auto"/>
                <w:szCs w:val="21"/>
                <w:highlight w:val="none"/>
              </w:rPr>
              <w:t>在参与政府采购活动中未有违法违纪行为并受过处罚</w:t>
            </w:r>
          </w:p>
        </w:tc>
        <w:tc>
          <w:tcPr>
            <w:tcW w:w="1115" w:type="dxa"/>
          </w:tcPr>
          <w:p>
            <w:pPr>
              <w:tabs>
                <w:tab w:val="left" w:pos="146"/>
              </w:tabs>
              <w:ind w:left="146" w:hanging="180"/>
              <w:jc w:val="both"/>
              <w:rPr>
                <w:rFonts w:ascii="仿宋" w:hAnsi="仿宋" w:eastAsia="仿宋" w:cs="仿宋"/>
                <w:b/>
                <w:bCs/>
                <w:color w:val="auto"/>
                <w:szCs w:val="21"/>
                <w:highlight w:val="none"/>
              </w:rPr>
            </w:pPr>
          </w:p>
        </w:tc>
        <w:tc>
          <w:tcPr>
            <w:tcW w:w="1115" w:type="dxa"/>
          </w:tcPr>
          <w:p>
            <w:pPr>
              <w:tabs>
                <w:tab w:val="left" w:pos="0"/>
              </w:tabs>
              <w:jc w:val="both"/>
              <w:rPr>
                <w:rFonts w:ascii="仿宋" w:hAnsi="仿宋" w:eastAsia="仿宋" w:cs="仿宋"/>
                <w:b/>
                <w:bCs/>
                <w:color w:val="auto"/>
                <w:szCs w:val="21"/>
                <w:highlight w:val="none"/>
              </w:rPr>
            </w:pPr>
          </w:p>
        </w:tc>
        <w:tc>
          <w:tcPr>
            <w:tcW w:w="1115" w:type="dxa"/>
            <w:vAlign w:val="center"/>
          </w:tcPr>
          <w:p>
            <w:pPr>
              <w:pStyle w:val="142"/>
              <w:tabs>
                <w:tab w:val="left" w:pos="7740"/>
              </w:tabs>
              <w:snapToGrid w:val="0"/>
              <w:spacing w:before="0" w:beforeAutospacing="0" w:after="0" w:afterAutospacing="0"/>
              <w:jc w:val="both"/>
              <w:rPr>
                <w:rFonts w:hint="default" w:ascii="仿宋" w:hAnsi="仿宋" w:eastAsia="仿宋" w:cs="仿宋"/>
                <w:color w:val="auto"/>
                <w:szCs w:val="21"/>
                <w:highlight w:val="none"/>
              </w:rPr>
            </w:pPr>
          </w:p>
        </w:tc>
        <w:tc>
          <w:tcPr>
            <w:tcW w:w="1115" w:type="dxa"/>
            <w:vAlign w:val="center"/>
          </w:tcPr>
          <w:p>
            <w:pPr>
              <w:pStyle w:val="142"/>
              <w:tabs>
                <w:tab w:val="left" w:pos="7740"/>
              </w:tabs>
              <w:snapToGrid w:val="0"/>
              <w:spacing w:before="0" w:beforeAutospacing="0" w:after="0" w:afterAutospacing="0"/>
              <w:jc w:val="both"/>
              <w:rPr>
                <w:rFonts w:hint="default" w:ascii="仿宋" w:hAnsi="仿宋" w:eastAsia="仿宋" w:cs="仿宋"/>
                <w:color w:val="auto"/>
                <w:szCs w:val="21"/>
                <w:highlight w:val="none"/>
              </w:rPr>
            </w:pPr>
          </w:p>
        </w:tc>
        <w:tc>
          <w:tcPr>
            <w:tcW w:w="465" w:type="dxa"/>
            <w:vAlign w:val="center"/>
          </w:tcPr>
          <w:p>
            <w:pPr>
              <w:pStyle w:val="142"/>
              <w:tabs>
                <w:tab w:val="left" w:pos="7740"/>
              </w:tabs>
              <w:snapToGrid w:val="0"/>
              <w:spacing w:before="0" w:beforeAutospacing="0" w:after="0" w:afterAutospacing="0"/>
              <w:jc w:val="both"/>
              <w:rPr>
                <w:rFonts w:hint="default"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7" w:type="dxa"/>
            <w:vMerge w:val="continue"/>
            <w:vAlign w:val="center"/>
          </w:tcPr>
          <w:p>
            <w:pPr>
              <w:pStyle w:val="13"/>
              <w:tabs>
                <w:tab w:val="left" w:pos="7740"/>
              </w:tabs>
              <w:snapToGrid w:val="0"/>
              <w:ind w:firstLine="0" w:firstLineChars="0"/>
              <w:jc w:val="center"/>
              <w:rPr>
                <w:rFonts w:ascii="仿宋" w:hAnsi="仿宋" w:eastAsia="仿宋" w:cs="仿宋"/>
                <w:color w:val="auto"/>
                <w:sz w:val="21"/>
                <w:szCs w:val="21"/>
                <w:highlight w:val="none"/>
              </w:rPr>
            </w:pPr>
          </w:p>
        </w:tc>
        <w:tc>
          <w:tcPr>
            <w:tcW w:w="3937" w:type="dxa"/>
            <w:vAlign w:val="center"/>
          </w:tcPr>
          <w:p>
            <w:pPr>
              <w:pStyle w:val="13"/>
              <w:tabs>
                <w:tab w:val="left" w:pos="7740"/>
              </w:tabs>
              <w:snapToGrid w:val="0"/>
              <w:ind w:firstLine="0" w:firstLineChars="0"/>
              <w:jc w:val="both"/>
              <w:rPr>
                <w:rFonts w:ascii="仿宋" w:hAnsi="仿宋" w:eastAsia="仿宋" w:cs="仿宋"/>
                <w:color w:val="auto"/>
                <w:sz w:val="21"/>
                <w:szCs w:val="21"/>
                <w:highlight w:val="none"/>
              </w:rPr>
            </w:pPr>
            <w:r>
              <w:rPr>
                <w:rFonts w:hint="eastAsia" w:ascii="仿宋" w:hAnsi="仿宋" w:eastAsia="仿宋" w:cs="仿宋"/>
                <w:bCs/>
                <w:color w:val="auto"/>
                <w:sz w:val="21"/>
                <w:szCs w:val="21"/>
                <w:highlight w:val="none"/>
              </w:rPr>
              <w:t>招标公告要求的资质资格证明复印件（加盖公章）</w:t>
            </w:r>
          </w:p>
        </w:tc>
        <w:tc>
          <w:tcPr>
            <w:tcW w:w="1115" w:type="dxa"/>
            <w:vAlign w:val="center"/>
          </w:tcPr>
          <w:p>
            <w:pPr>
              <w:pStyle w:val="13"/>
              <w:tabs>
                <w:tab w:val="left" w:pos="7740"/>
              </w:tabs>
              <w:snapToGrid w:val="0"/>
              <w:ind w:firstLine="0" w:firstLineChars="0"/>
              <w:rPr>
                <w:rFonts w:ascii="仿宋" w:hAnsi="仿宋" w:eastAsia="仿宋" w:cs="仿宋"/>
                <w:color w:val="auto"/>
                <w:sz w:val="21"/>
                <w:szCs w:val="21"/>
                <w:highlight w:val="none"/>
              </w:rPr>
            </w:pPr>
          </w:p>
        </w:tc>
        <w:tc>
          <w:tcPr>
            <w:tcW w:w="1115" w:type="dxa"/>
            <w:vAlign w:val="center"/>
          </w:tcPr>
          <w:p>
            <w:pPr>
              <w:pStyle w:val="13"/>
              <w:tabs>
                <w:tab w:val="left" w:pos="7740"/>
              </w:tabs>
              <w:snapToGrid w:val="0"/>
              <w:ind w:firstLine="0" w:firstLineChars="0"/>
              <w:rPr>
                <w:rFonts w:ascii="仿宋" w:hAnsi="仿宋" w:eastAsia="仿宋" w:cs="仿宋"/>
                <w:color w:val="auto"/>
                <w:sz w:val="21"/>
                <w:szCs w:val="21"/>
                <w:highlight w:val="none"/>
              </w:rPr>
            </w:pPr>
          </w:p>
        </w:tc>
        <w:tc>
          <w:tcPr>
            <w:tcW w:w="1115" w:type="dxa"/>
            <w:vAlign w:val="center"/>
          </w:tcPr>
          <w:p>
            <w:pPr>
              <w:pStyle w:val="13"/>
              <w:tabs>
                <w:tab w:val="left" w:pos="7740"/>
              </w:tabs>
              <w:snapToGrid w:val="0"/>
              <w:ind w:firstLine="0" w:firstLineChars="0"/>
              <w:jc w:val="both"/>
              <w:rPr>
                <w:rFonts w:ascii="仿宋" w:hAnsi="仿宋" w:eastAsia="仿宋" w:cs="仿宋"/>
                <w:color w:val="auto"/>
                <w:sz w:val="21"/>
                <w:szCs w:val="21"/>
                <w:highlight w:val="none"/>
              </w:rPr>
            </w:pPr>
          </w:p>
        </w:tc>
        <w:tc>
          <w:tcPr>
            <w:tcW w:w="1115" w:type="dxa"/>
            <w:vAlign w:val="center"/>
          </w:tcPr>
          <w:p>
            <w:pPr>
              <w:pStyle w:val="13"/>
              <w:tabs>
                <w:tab w:val="left" w:pos="7740"/>
              </w:tabs>
              <w:snapToGrid w:val="0"/>
              <w:ind w:firstLine="0" w:firstLineChars="0"/>
              <w:jc w:val="both"/>
              <w:rPr>
                <w:rFonts w:ascii="仿宋" w:hAnsi="仿宋" w:eastAsia="仿宋" w:cs="仿宋"/>
                <w:color w:val="auto"/>
                <w:sz w:val="21"/>
                <w:szCs w:val="21"/>
                <w:highlight w:val="none"/>
              </w:rPr>
            </w:pPr>
          </w:p>
        </w:tc>
        <w:tc>
          <w:tcPr>
            <w:tcW w:w="465" w:type="dxa"/>
            <w:vAlign w:val="center"/>
          </w:tcPr>
          <w:p>
            <w:pPr>
              <w:pStyle w:val="13"/>
              <w:tabs>
                <w:tab w:val="left" w:pos="7740"/>
              </w:tabs>
              <w:snapToGrid w:val="0"/>
              <w:ind w:firstLine="0" w:firstLineChars="0"/>
              <w:jc w:val="both"/>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89" w:type="dxa"/>
            <w:gridSpan w:val="7"/>
          </w:tcPr>
          <w:p>
            <w:pPr>
              <w:pStyle w:val="13"/>
              <w:tabs>
                <w:tab w:val="left" w:pos="7740"/>
              </w:tabs>
              <w:snapToGrid w:val="0"/>
              <w:ind w:firstLine="140" w:firstLineChars="67"/>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注：符合要求的打“√”，不符合要求的打“×”</w:t>
            </w:r>
          </w:p>
        </w:tc>
      </w:tr>
    </w:tbl>
    <w:p>
      <w:pPr>
        <w:rPr>
          <w:rFonts w:ascii="仿宋" w:hAnsi="仿宋" w:eastAsia="仿宋" w:cs="仿宋"/>
          <w:color w:val="auto"/>
          <w:szCs w:val="21"/>
          <w:highlight w:val="none"/>
        </w:rPr>
      </w:pPr>
    </w:p>
    <w:p>
      <w:pPr>
        <w:rPr>
          <w:rFonts w:ascii="仿宋" w:hAnsi="仿宋" w:eastAsia="仿宋" w:cs="仿宋"/>
          <w:color w:val="auto"/>
          <w:szCs w:val="21"/>
          <w:highlight w:val="none"/>
        </w:rPr>
      </w:pPr>
      <w:r>
        <w:rPr>
          <w:rFonts w:hint="eastAsia" w:ascii="仿宋" w:hAnsi="仿宋" w:eastAsia="仿宋" w:cs="仿宋"/>
          <w:color w:val="auto"/>
          <w:szCs w:val="21"/>
          <w:highlight w:val="none"/>
        </w:rPr>
        <w:t>采购代理机构工作人员签名：</w:t>
      </w:r>
    </w:p>
    <w:p>
      <w:pPr>
        <w:rPr>
          <w:rFonts w:ascii="仿宋" w:hAnsi="仿宋" w:eastAsia="仿宋" w:cs="仿宋"/>
          <w:color w:val="auto"/>
          <w:szCs w:val="21"/>
          <w:highlight w:val="none"/>
        </w:rPr>
      </w:pPr>
      <w:r>
        <w:rPr>
          <w:rFonts w:hint="eastAsia" w:ascii="仿宋" w:hAnsi="仿宋" w:eastAsia="仿宋" w:cs="仿宋"/>
          <w:color w:val="auto"/>
          <w:szCs w:val="21"/>
          <w:highlight w:val="none"/>
        </w:rPr>
        <w:t>采购代理机构监督员签名：</w:t>
      </w:r>
    </w:p>
    <w:p>
      <w:pPr>
        <w:rPr>
          <w:rFonts w:ascii="仿宋" w:hAnsi="仿宋" w:eastAsia="仿宋" w:cs="仿宋"/>
          <w:color w:val="auto"/>
          <w:sz w:val="28"/>
          <w:szCs w:val="28"/>
          <w:highlight w:val="none"/>
        </w:rPr>
      </w:pPr>
      <w:r>
        <w:rPr>
          <w:rFonts w:hint="eastAsia" w:ascii="仿宋" w:hAnsi="仿宋" w:eastAsia="仿宋" w:cs="仿宋"/>
          <w:color w:val="auto"/>
          <w:highlight w:val="none"/>
        </w:rPr>
        <w:t>日期：</w:t>
      </w:r>
    </w:p>
    <w:p>
      <w:pPr>
        <w:pStyle w:val="13"/>
        <w:tabs>
          <w:tab w:val="left" w:pos="7740"/>
        </w:tabs>
        <w:spacing w:line="300" w:lineRule="auto"/>
        <w:ind w:firstLine="0" w:firstLineChars="0"/>
        <w:rPr>
          <w:rFonts w:ascii="宋体" w:hAnsi="宋体" w:cs="宋体"/>
          <w:color w:val="auto"/>
          <w:sz w:val="28"/>
          <w:szCs w:val="28"/>
          <w:highlight w:val="none"/>
        </w:rPr>
      </w:pPr>
    </w:p>
    <w:p>
      <w:pPr>
        <w:pStyle w:val="3"/>
        <w:spacing w:after="120" w:line="480" w:lineRule="exact"/>
        <w:rPr>
          <w:rFonts w:hAnsi="宋体" w:cs="宋体"/>
          <w:b/>
          <w:color w:val="auto"/>
          <w:sz w:val="28"/>
          <w:szCs w:val="28"/>
          <w:highlight w:val="none"/>
        </w:rPr>
      </w:pPr>
      <w:r>
        <w:rPr>
          <w:rFonts w:hint="eastAsia" w:hAnsi="宋体" w:cs="宋体"/>
          <w:b/>
          <w:color w:val="auto"/>
          <w:sz w:val="28"/>
          <w:szCs w:val="28"/>
          <w:highlight w:val="none"/>
        </w:rPr>
        <w:t>符合性检查表：</w:t>
      </w:r>
    </w:p>
    <w:p>
      <w:pPr>
        <w:rPr>
          <w:rFonts w:hAnsi="宋体" w:cs="宋体"/>
          <w:color w:val="auto"/>
          <w:szCs w:val="21"/>
          <w:highlight w:val="none"/>
        </w:rPr>
      </w:pP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采购编号：GDYD230090                            </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项目名称：南海海洋预警信息发布和沿海恶劣天气防灾叫应系统(二期)</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3936"/>
        <w:gridCol w:w="1114"/>
        <w:gridCol w:w="1114"/>
        <w:gridCol w:w="1114"/>
        <w:gridCol w:w="1114"/>
        <w:gridCol w:w="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27" w:type="dxa"/>
            <w:vAlign w:val="center"/>
          </w:tcPr>
          <w:p>
            <w:pPr>
              <w:pStyle w:val="13"/>
              <w:tabs>
                <w:tab w:val="left" w:pos="7740"/>
              </w:tabs>
              <w:snapToGrid w:val="0"/>
              <w:ind w:firstLine="0" w:firstLineChars="0"/>
              <w:rPr>
                <w:rFonts w:ascii="仿宋" w:hAnsi="仿宋" w:eastAsia="仿宋" w:cs="仿宋"/>
                <w:color w:val="auto"/>
                <w:sz w:val="21"/>
                <w:szCs w:val="21"/>
                <w:highlight w:val="none"/>
              </w:rPr>
            </w:pPr>
          </w:p>
        </w:tc>
        <w:tc>
          <w:tcPr>
            <w:tcW w:w="3936" w:type="dxa"/>
            <w:tcBorders>
              <w:tl2br w:val="single" w:color="auto" w:sz="4" w:space="0"/>
            </w:tcBorders>
            <w:vAlign w:val="center"/>
          </w:tcPr>
          <w:p>
            <w:pPr>
              <w:pStyle w:val="13"/>
              <w:tabs>
                <w:tab w:val="left" w:pos="7740"/>
              </w:tabs>
              <w:snapToGrid w:val="0"/>
              <w:ind w:firstLine="0" w:firstLineChars="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审查内容                                    投标人名称</w:t>
            </w:r>
          </w:p>
        </w:tc>
        <w:tc>
          <w:tcPr>
            <w:tcW w:w="1114" w:type="dxa"/>
            <w:vAlign w:val="center"/>
          </w:tcPr>
          <w:p>
            <w:pPr>
              <w:pStyle w:val="13"/>
              <w:tabs>
                <w:tab w:val="left" w:pos="7740"/>
              </w:tabs>
              <w:snapToGrid w:val="0"/>
              <w:ind w:firstLine="0" w:firstLineChars="0"/>
              <w:jc w:val="center"/>
              <w:rPr>
                <w:rFonts w:ascii="仿宋" w:hAnsi="仿宋" w:eastAsia="仿宋" w:cs="仿宋"/>
                <w:color w:val="auto"/>
                <w:sz w:val="21"/>
                <w:szCs w:val="21"/>
                <w:highlight w:val="none"/>
                <w:lang w:val="hr-HR"/>
              </w:rPr>
            </w:pPr>
            <w:r>
              <w:rPr>
                <w:rFonts w:hint="eastAsia" w:ascii="仿宋" w:hAnsi="仿宋" w:eastAsia="仿宋" w:cs="仿宋"/>
                <w:color w:val="auto"/>
                <w:sz w:val="21"/>
                <w:szCs w:val="21"/>
                <w:highlight w:val="none"/>
              </w:rPr>
              <w:t>投标人1</w:t>
            </w:r>
          </w:p>
        </w:tc>
        <w:tc>
          <w:tcPr>
            <w:tcW w:w="1114" w:type="dxa"/>
            <w:vAlign w:val="center"/>
          </w:tcPr>
          <w:p>
            <w:pPr>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投标人2</w:t>
            </w:r>
          </w:p>
        </w:tc>
        <w:tc>
          <w:tcPr>
            <w:tcW w:w="1114" w:type="dxa"/>
            <w:vAlign w:val="center"/>
          </w:tcPr>
          <w:p>
            <w:pPr>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投标人3</w:t>
            </w:r>
          </w:p>
        </w:tc>
        <w:tc>
          <w:tcPr>
            <w:tcW w:w="1114" w:type="dxa"/>
            <w:vAlign w:val="center"/>
          </w:tcPr>
          <w:p>
            <w:pPr>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投标人4</w:t>
            </w:r>
          </w:p>
        </w:tc>
        <w:tc>
          <w:tcPr>
            <w:tcW w:w="468" w:type="dxa"/>
            <w:vAlign w:val="center"/>
          </w:tcPr>
          <w:p>
            <w:pPr>
              <w:pStyle w:val="13"/>
              <w:tabs>
                <w:tab w:val="left" w:pos="7740"/>
              </w:tabs>
              <w:snapToGrid w:val="0"/>
              <w:ind w:firstLine="0" w:firstLineChars="0"/>
              <w:jc w:val="center"/>
              <w:rPr>
                <w:rFonts w:ascii="仿宋" w:hAnsi="仿宋" w:eastAsia="仿宋" w:cs="仿宋"/>
                <w:color w:val="auto"/>
                <w:sz w:val="21"/>
                <w:szCs w:val="21"/>
                <w:highlight w:val="none"/>
                <w:lang w:val="hr-HR"/>
              </w:rPr>
            </w:pPr>
            <w:r>
              <w:rPr>
                <w:rFonts w:hint="eastAsia" w:ascii="仿宋" w:hAnsi="仿宋" w:eastAsia="仿宋" w:cs="仿宋"/>
                <w:color w:val="auto"/>
                <w:sz w:val="21"/>
                <w:szCs w:val="21"/>
                <w:highlight w:val="none"/>
                <w:lang w:val="hr-H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7" w:type="dxa"/>
            <w:vMerge w:val="restart"/>
            <w:vAlign w:val="center"/>
          </w:tcPr>
          <w:p>
            <w:pPr>
              <w:pStyle w:val="142"/>
              <w:tabs>
                <w:tab w:val="left" w:pos="7740"/>
              </w:tabs>
              <w:snapToGrid w:val="0"/>
              <w:spacing w:before="0" w:beforeAutospacing="0" w:after="0" w:afterAutospacing="0"/>
              <w:rPr>
                <w:rFonts w:hint="default" w:ascii="仿宋" w:hAnsi="仿宋" w:eastAsia="仿宋" w:cs="仿宋"/>
                <w:b/>
                <w:color w:val="auto"/>
                <w:szCs w:val="21"/>
                <w:highlight w:val="none"/>
              </w:rPr>
            </w:pPr>
            <w:r>
              <w:rPr>
                <w:rFonts w:ascii="仿宋" w:hAnsi="仿宋" w:eastAsia="仿宋" w:cs="仿宋"/>
                <w:b/>
                <w:color w:val="auto"/>
                <w:szCs w:val="21"/>
                <w:highlight w:val="none"/>
              </w:rPr>
              <w:t>符</w:t>
            </w:r>
          </w:p>
          <w:p>
            <w:pPr>
              <w:pStyle w:val="142"/>
              <w:tabs>
                <w:tab w:val="left" w:pos="7740"/>
              </w:tabs>
              <w:snapToGrid w:val="0"/>
              <w:spacing w:before="0" w:beforeAutospacing="0" w:after="0" w:afterAutospacing="0"/>
              <w:rPr>
                <w:rFonts w:hint="default" w:ascii="仿宋" w:hAnsi="仿宋" w:eastAsia="仿宋" w:cs="仿宋"/>
                <w:b/>
                <w:color w:val="auto"/>
                <w:szCs w:val="21"/>
                <w:highlight w:val="none"/>
              </w:rPr>
            </w:pPr>
            <w:r>
              <w:rPr>
                <w:rFonts w:ascii="仿宋" w:hAnsi="仿宋" w:eastAsia="仿宋" w:cs="仿宋"/>
                <w:b/>
                <w:color w:val="auto"/>
                <w:szCs w:val="21"/>
                <w:highlight w:val="none"/>
              </w:rPr>
              <w:t>合</w:t>
            </w:r>
          </w:p>
          <w:p>
            <w:pPr>
              <w:pStyle w:val="142"/>
              <w:tabs>
                <w:tab w:val="left" w:pos="7740"/>
              </w:tabs>
              <w:snapToGrid w:val="0"/>
              <w:spacing w:before="0" w:beforeAutospacing="0" w:after="0" w:afterAutospacing="0"/>
              <w:rPr>
                <w:rFonts w:hint="default" w:ascii="仿宋" w:hAnsi="仿宋" w:eastAsia="仿宋" w:cs="仿宋"/>
                <w:b/>
                <w:color w:val="auto"/>
                <w:szCs w:val="21"/>
                <w:highlight w:val="none"/>
              </w:rPr>
            </w:pPr>
            <w:r>
              <w:rPr>
                <w:rFonts w:ascii="仿宋" w:hAnsi="仿宋" w:eastAsia="仿宋" w:cs="仿宋"/>
                <w:b/>
                <w:color w:val="auto"/>
                <w:szCs w:val="21"/>
                <w:highlight w:val="none"/>
              </w:rPr>
              <w:t>性</w:t>
            </w:r>
          </w:p>
          <w:p>
            <w:pPr>
              <w:pStyle w:val="142"/>
              <w:tabs>
                <w:tab w:val="left" w:pos="7740"/>
              </w:tabs>
              <w:snapToGrid w:val="0"/>
              <w:spacing w:before="0" w:beforeAutospacing="0" w:after="0" w:afterAutospacing="0"/>
              <w:rPr>
                <w:rFonts w:hint="default" w:ascii="仿宋" w:hAnsi="仿宋" w:eastAsia="仿宋" w:cs="仿宋"/>
                <w:b/>
                <w:color w:val="auto"/>
                <w:szCs w:val="21"/>
                <w:highlight w:val="none"/>
              </w:rPr>
            </w:pPr>
            <w:r>
              <w:rPr>
                <w:rFonts w:ascii="仿宋" w:hAnsi="仿宋" w:eastAsia="仿宋" w:cs="仿宋"/>
                <w:b/>
                <w:color w:val="auto"/>
                <w:szCs w:val="21"/>
                <w:highlight w:val="none"/>
              </w:rPr>
              <w:t>检</w:t>
            </w:r>
          </w:p>
          <w:p>
            <w:pPr>
              <w:pStyle w:val="142"/>
              <w:tabs>
                <w:tab w:val="left" w:pos="7740"/>
              </w:tabs>
              <w:snapToGrid w:val="0"/>
              <w:spacing w:before="0" w:beforeAutospacing="0" w:after="0" w:afterAutospacing="0"/>
              <w:rPr>
                <w:rFonts w:hint="default" w:ascii="仿宋" w:hAnsi="仿宋" w:eastAsia="仿宋" w:cs="仿宋"/>
                <w:color w:val="auto"/>
                <w:szCs w:val="21"/>
                <w:highlight w:val="none"/>
              </w:rPr>
            </w:pPr>
            <w:r>
              <w:rPr>
                <w:rFonts w:ascii="仿宋" w:hAnsi="仿宋" w:eastAsia="仿宋" w:cs="仿宋"/>
                <w:b/>
                <w:color w:val="auto"/>
                <w:szCs w:val="21"/>
                <w:highlight w:val="none"/>
              </w:rPr>
              <w:t>查</w:t>
            </w:r>
          </w:p>
        </w:tc>
        <w:tc>
          <w:tcPr>
            <w:tcW w:w="3936" w:type="dxa"/>
            <w:vAlign w:val="center"/>
          </w:tcPr>
          <w:p>
            <w:pPr>
              <w:pStyle w:val="142"/>
              <w:tabs>
                <w:tab w:val="left" w:pos="7740"/>
              </w:tabs>
              <w:snapToGrid w:val="0"/>
              <w:spacing w:before="0" w:beforeAutospacing="0" w:after="0" w:afterAutospacing="0"/>
              <w:jc w:val="both"/>
              <w:rPr>
                <w:rFonts w:hint="default" w:ascii="仿宋" w:hAnsi="仿宋" w:eastAsia="仿宋" w:cs="仿宋"/>
                <w:color w:val="auto"/>
                <w:szCs w:val="21"/>
                <w:highlight w:val="none"/>
              </w:rPr>
            </w:pPr>
            <w:r>
              <w:rPr>
                <w:rFonts w:ascii="仿宋" w:hAnsi="仿宋" w:eastAsia="仿宋" w:cs="仿宋"/>
                <w:bCs/>
                <w:color w:val="auto"/>
                <w:szCs w:val="21"/>
                <w:highlight w:val="none"/>
              </w:rPr>
              <w:t>投标报价不超过最高限价</w:t>
            </w:r>
          </w:p>
        </w:tc>
        <w:tc>
          <w:tcPr>
            <w:tcW w:w="1114" w:type="dxa"/>
            <w:vAlign w:val="center"/>
          </w:tcPr>
          <w:p>
            <w:pPr>
              <w:rPr>
                <w:rFonts w:ascii="仿宋" w:hAnsi="仿宋" w:eastAsia="仿宋" w:cs="仿宋"/>
                <w:color w:val="auto"/>
                <w:szCs w:val="21"/>
                <w:highlight w:val="none"/>
              </w:rPr>
            </w:pPr>
          </w:p>
        </w:tc>
        <w:tc>
          <w:tcPr>
            <w:tcW w:w="1114" w:type="dxa"/>
            <w:vAlign w:val="center"/>
          </w:tcPr>
          <w:p>
            <w:pPr>
              <w:tabs>
                <w:tab w:val="left" w:pos="0"/>
              </w:tabs>
              <w:rPr>
                <w:rFonts w:ascii="仿宋" w:hAnsi="仿宋" w:eastAsia="仿宋" w:cs="仿宋"/>
                <w:b/>
                <w:bCs/>
                <w:color w:val="auto"/>
                <w:szCs w:val="21"/>
                <w:highlight w:val="none"/>
              </w:rPr>
            </w:pPr>
          </w:p>
        </w:tc>
        <w:tc>
          <w:tcPr>
            <w:tcW w:w="1114" w:type="dxa"/>
            <w:vAlign w:val="center"/>
          </w:tcPr>
          <w:p>
            <w:pPr>
              <w:pStyle w:val="109"/>
              <w:tabs>
                <w:tab w:val="left" w:pos="7740"/>
              </w:tabs>
              <w:snapToGrid w:val="0"/>
              <w:spacing w:before="0" w:beforeAutospacing="0" w:after="0" w:afterAutospacing="0"/>
              <w:jc w:val="both"/>
              <w:rPr>
                <w:rFonts w:ascii="仿宋" w:hAnsi="仿宋" w:eastAsia="仿宋" w:cs="仿宋"/>
                <w:color w:val="auto"/>
                <w:sz w:val="21"/>
                <w:szCs w:val="21"/>
                <w:highlight w:val="none"/>
              </w:rPr>
            </w:pPr>
          </w:p>
        </w:tc>
        <w:tc>
          <w:tcPr>
            <w:tcW w:w="1114" w:type="dxa"/>
            <w:vAlign w:val="center"/>
          </w:tcPr>
          <w:p>
            <w:pPr>
              <w:pStyle w:val="109"/>
              <w:tabs>
                <w:tab w:val="left" w:pos="7740"/>
              </w:tabs>
              <w:snapToGrid w:val="0"/>
              <w:spacing w:before="0" w:beforeAutospacing="0" w:after="0" w:afterAutospacing="0"/>
              <w:jc w:val="both"/>
              <w:rPr>
                <w:rFonts w:ascii="仿宋" w:hAnsi="仿宋" w:eastAsia="仿宋" w:cs="仿宋"/>
                <w:color w:val="auto"/>
                <w:sz w:val="21"/>
                <w:szCs w:val="21"/>
                <w:highlight w:val="none"/>
              </w:rPr>
            </w:pPr>
          </w:p>
        </w:tc>
        <w:tc>
          <w:tcPr>
            <w:tcW w:w="468" w:type="dxa"/>
            <w:vAlign w:val="center"/>
          </w:tcPr>
          <w:p>
            <w:pPr>
              <w:pStyle w:val="109"/>
              <w:tabs>
                <w:tab w:val="left" w:pos="7740"/>
              </w:tabs>
              <w:snapToGrid w:val="0"/>
              <w:spacing w:before="0" w:beforeAutospacing="0" w:after="0" w:afterAutospacing="0"/>
              <w:jc w:val="both"/>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7" w:type="dxa"/>
            <w:vMerge w:val="continue"/>
          </w:tcPr>
          <w:p>
            <w:pPr>
              <w:pStyle w:val="142"/>
              <w:tabs>
                <w:tab w:val="left" w:pos="7740"/>
              </w:tabs>
              <w:snapToGrid w:val="0"/>
              <w:spacing w:before="0" w:beforeAutospacing="0" w:after="0" w:afterAutospacing="0"/>
              <w:rPr>
                <w:rFonts w:hint="default" w:ascii="仿宋" w:hAnsi="仿宋" w:eastAsia="仿宋" w:cs="仿宋"/>
                <w:color w:val="auto"/>
                <w:szCs w:val="21"/>
                <w:highlight w:val="none"/>
              </w:rPr>
            </w:pPr>
          </w:p>
        </w:tc>
        <w:tc>
          <w:tcPr>
            <w:tcW w:w="3936" w:type="dxa"/>
            <w:vAlign w:val="center"/>
          </w:tcPr>
          <w:p>
            <w:pPr>
              <w:pStyle w:val="142"/>
              <w:tabs>
                <w:tab w:val="left" w:pos="7740"/>
              </w:tabs>
              <w:snapToGrid w:val="0"/>
              <w:spacing w:before="0" w:beforeAutospacing="0" w:after="0" w:afterAutospacing="0"/>
              <w:jc w:val="both"/>
              <w:rPr>
                <w:rFonts w:hint="default" w:ascii="仿宋" w:hAnsi="仿宋" w:eastAsia="仿宋" w:cs="仿宋"/>
                <w:bCs/>
                <w:color w:val="auto"/>
                <w:szCs w:val="21"/>
                <w:highlight w:val="none"/>
              </w:rPr>
            </w:pPr>
            <w:r>
              <w:rPr>
                <w:rFonts w:ascii="仿宋" w:hAnsi="仿宋" w:eastAsia="仿宋" w:cs="仿宋"/>
                <w:color w:val="auto"/>
                <w:szCs w:val="21"/>
                <w:highlight w:val="none"/>
              </w:rPr>
              <w:t>报价方案是唯一确定</w:t>
            </w:r>
          </w:p>
        </w:tc>
        <w:tc>
          <w:tcPr>
            <w:tcW w:w="1114" w:type="dxa"/>
            <w:vAlign w:val="center"/>
          </w:tcPr>
          <w:p>
            <w:pPr>
              <w:tabs>
                <w:tab w:val="left" w:pos="146"/>
              </w:tabs>
              <w:ind w:left="146" w:hanging="180"/>
              <w:rPr>
                <w:rFonts w:ascii="仿宋" w:hAnsi="仿宋" w:eastAsia="仿宋" w:cs="仿宋"/>
                <w:b/>
                <w:bCs/>
                <w:color w:val="auto"/>
                <w:szCs w:val="21"/>
                <w:highlight w:val="none"/>
              </w:rPr>
            </w:pPr>
          </w:p>
        </w:tc>
        <w:tc>
          <w:tcPr>
            <w:tcW w:w="1114" w:type="dxa"/>
            <w:vAlign w:val="center"/>
          </w:tcPr>
          <w:p>
            <w:pPr>
              <w:tabs>
                <w:tab w:val="left" w:pos="0"/>
              </w:tabs>
              <w:rPr>
                <w:rFonts w:ascii="仿宋" w:hAnsi="仿宋" w:eastAsia="仿宋" w:cs="仿宋"/>
                <w:b/>
                <w:bCs/>
                <w:color w:val="auto"/>
                <w:szCs w:val="21"/>
                <w:highlight w:val="none"/>
              </w:rPr>
            </w:pPr>
          </w:p>
        </w:tc>
        <w:tc>
          <w:tcPr>
            <w:tcW w:w="1114" w:type="dxa"/>
            <w:vAlign w:val="center"/>
          </w:tcPr>
          <w:p>
            <w:pPr>
              <w:pStyle w:val="142"/>
              <w:tabs>
                <w:tab w:val="left" w:pos="7740"/>
              </w:tabs>
              <w:snapToGrid w:val="0"/>
              <w:spacing w:before="0" w:beforeAutospacing="0" w:after="0" w:afterAutospacing="0"/>
              <w:jc w:val="both"/>
              <w:rPr>
                <w:rFonts w:hint="default" w:ascii="仿宋" w:hAnsi="仿宋" w:eastAsia="仿宋" w:cs="仿宋"/>
                <w:color w:val="auto"/>
                <w:szCs w:val="21"/>
                <w:highlight w:val="none"/>
              </w:rPr>
            </w:pPr>
          </w:p>
        </w:tc>
        <w:tc>
          <w:tcPr>
            <w:tcW w:w="1114" w:type="dxa"/>
            <w:vAlign w:val="center"/>
          </w:tcPr>
          <w:p>
            <w:pPr>
              <w:pStyle w:val="142"/>
              <w:tabs>
                <w:tab w:val="left" w:pos="7740"/>
              </w:tabs>
              <w:snapToGrid w:val="0"/>
              <w:spacing w:before="0" w:beforeAutospacing="0" w:after="0" w:afterAutospacing="0"/>
              <w:jc w:val="both"/>
              <w:rPr>
                <w:rFonts w:hint="default" w:ascii="仿宋" w:hAnsi="仿宋" w:eastAsia="仿宋" w:cs="仿宋"/>
                <w:color w:val="auto"/>
                <w:szCs w:val="21"/>
                <w:highlight w:val="none"/>
              </w:rPr>
            </w:pPr>
          </w:p>
        </w:tc>
        <w:tc>
          <w:tcPr>
            <w:tcW w:w="468" w:type="dxa"/>
            <w:vAlign w:val="center"/>
          </w:tcPr>
          <w:p>
            <w:pPr>
              <w:pStyle w:val="142"/>
              <w:tabs>
                <w:tab w:val="left" w:pos="7740"/>
              </w:tabs>
              <w:snapToGrid w:val="0"/>
              <w:spacing w:before="0" w:beforeAutospacing="0" w:after="0" w:afterAutospacing="0"/>
              <w:jc w:val="both"/>
              <w:rPr>
                <w:rFonts w:hint="default"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7" w:type="dxa"/>
            <w:vMerge w:val="continue"/>
          </w:tcPr>
          <w:p>
            <w:pPr>
              <w:pStyle w:val="142"/>
              <w:tabs>
                <w:tab w:val="left" w:pos="7740"/>
              </w:tabs>
              <w:snapToGrid w:val="0"/>
              <w:spacing w:before="0" w:beforeAutospacing="0" w:after="0" w:afterAutospacing="0"/>
              <w:rPr>
                <w:rFonts w:hint="default" w:ascii="仿宋" w:hAnsi="仿宋" w:eastAsia="仿宋" w:cs="仿宋"/>
                <w:color w:val="auto"/>
                <w:szCs w:val="21"/>
                <w:highlight w:val="none"/>
              </w:rPr>
            </w:pPr>
          </w:p>
        </w:tc>
        <w:tc>
          <w:tcPr>
            <w:tcW w:w="3936" w:type="dxa"/>
            <w:vAlign w:val="center"/>
          </w:tcPr>
          <w:p>
            <w:pPr>
              <w:pStyle w:val="142"/>
              <w:tabs>
                <w:tab w:val="left" w:pos="7740"/>
              </w:tabs>
              <w:snapToGrid w:val="0"/>
              <w:spacing w:before="0" w:beforeAutospacing="0" w:after="0" w:afterAutospacing="0"/>
              <w:jc w:val="both"/>
              <w:rPr>
                <w:rFonts w:hint="default" w:ascii="仿宋" w:hAnsi="仿宋" w:eastAsia="仿宋" w:cs="仿宋"/>
                <w:bCs/>
                <w:color w:val="auto"/>
                <w:szCs w:val="21"/>
                <w:highlight w:val="none"/>
              </w:rPr>
            </w:pPr>
            <w:r>
              <w:rPr>
                <w:rFonts w:ascii="仿宋" w:hAnsi="仿宋" w:eastAsia="仿宋" w:cs="仿宋"/>
                <w:color w:val="auto"/>
                <w:szCs w:val="21"/>
                <w:highlight w:val="none"/>
              </w:rPr>
              <w:t>实质性响应招标文件中“★”号参数的商务要求</w:t>
            </w:r>
          </w:p>
        </w:tc>
        <w:tc>
          <w:tcPr>
            <w:tcW w:w="1114" w:type="dxa"/>
            <w:vAlign w:val="center"/>
          </w:tcPr>
          <w:p>
            <w:pPr>
              <w:tabs>
                <w:tab w:val="left" w:pos="146"/>
              </w:tabs>
              <w:ind w:left="146" w:hanging="180"/>
              <w:rPr>
                <w:rFonts w:ascii="仿宋" w:hAnsi="仿宋" w:eastAsia="仿宋" w:cs="仿宋"/>
                <w:b/>
                <w:bCs/>
                <w:color w:val="auto"/>
                <w:szCs w:val="21"/>
                <w:highlight w:val="none"/>
              </w:rPr>
            </w:pPr>
          </w:p>
        </w:tc>
        <w:tc>
          <w:tcPr>
            <w:tcW w:w="1114" w:type="dxa"/>
            <w:vAlign w:val="center"/>
          </w:tcPr>
          <w:p>
            <w:pPr>
              <w:tabs>
                <w:tab w:val="left" w:pos="0"/>
              </w:tabs>
              <w:rPr>
                <w:rFonts w:ascii="仿宋" w:hAnsi="仿宋" w:eastAsia="仿宋" w:cs="仿宋"/>
                <w:b/>
                <w:bCs/>
                <w:color w:val="auto"/>
                <w:szCs w:val="21"/>
                <w:highlight w:val="none"/>
              </w:rPr>
            </w:pPr>
          </w:p>
        </w:tc>
        <w:tc>
          <w:tcPr>
            <w:tcW w:w="1114" w:type="dxa"/>
            <w:vAlign w:val="center"/>
          </w:tcPr>
          <w:p>
            <w:pPr>
              <w:pStyle w:val="142"/>
              <w:tabs>
                <w:tab w:val="left" w:pos="7740"/>
              </w:tabs>
              <w:snapToGrid w:val="0"/>
              <w:spacing w:before="0" w:beforeAutospacing="0" w:after="0" w:afterAutospacing="0"/>
              <w:jc w:val="both"/>
              <w:rPr>
                <w:rFonts w:hint="default" w:ascii="仿宋" w:hAnsi="仿宋" w:eastAsia="仿宋" w:cs="仿宋"/>
                <w:color w:val="auto"/>
                <w:szCs w:val="21"/>
                <w:highlight w:val="none"/>
              </w:rPr>
            </w:pPr>
          </w:p>
        </w:tc>
        <w:tc>
          <w:tcPr>
            <w:tcW w:w="1114" w:type="dxa"/>
            <w:vAlign w:val="center"/>
          </w:tcPr>
          <w:p>
            <w:pPr>
              <w:pStyle w:val="142"/>
              <w:tabs>
                <w:tab w:val="left" w:pos="7740"/>
              </w:tabs>
              <w:snapToGrid w:val="0"/>
              <w:spacing w:before="0" w:beforeAutospacing="0" w:after="0" w:afterAutospacing="0"/>
              <w:jc w:val="both"/>
              <w:rPr>
                <w:rFonts w:hint="default" w:ascii="仿宋" w:hAnsi="仿宋" w:eastAsia="仿宋" w:cs="仿宋"/>
                <w:color w:val="auto"/>
                <w:szCs w:val="21"/>
                <w:highlight w:val="none"/>
              </w:rPr>
            </w:pPr>
          </w:p>
        </w:tc>
        <w:tc>
          <w:tcPr>
            <w:tcW w:w="468" w:type="dxa"/>
            <w:vAlign w:val="center"/>
          </w:tcPr>
          <w:p>
            <w:pPr>
              <w:pStyle w:val="142"/>
              <w:tabs>
                <w:tab w:val="left" w:pos="7740"/>
              </w:tabs>
              <w:snapToGrid w:val="0"/>
              <w:spacing w:before="0" w:beforeAutospacing="0" w:after="0" w:afterAutospacing="0"/>
              <w:jc w:val="both"/>
              <w:rPr>
                <w:rFonts w:hint="default"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7" w:type="dxa"/>
            <w:vMerge w:val="continue"/>
          </w:tcPr>
          <w:p>
            <w:pPr>
              <w:pStyle w:val="142"/>
              <w:tabs>
                <w:tab w:val="left" w:pos="7740"/>
              </w:tabs>
              <w:snapToGrid w:val="0"/>
              <w:spacing w:before="0" w:beforeAutospacing="0" w:after="0" w:afterAutospacing="0"/>
              <w:rPr>
                <w:rFonts w:hint="default" w:ascii="仿宋" w:hAnsi="仿宋" w:eastAsia="仿宋" w:cs="仿宋"/>
                <w:color w:val="auto"/>
                <w:szCs w:val="21"/>
                <w:highlight w:val="none"/>
              </w:rPr>
            </w:pPr>
          </w:p>
        </w:tc>
        <w:tc>
          <w:tcPr>
            <w:tcW w:w="3936" w:type="dxa"/>
            <w:vAlign w:val="center"/>
          </w:tcPr>
          <w:p>
            <w:pPr>
              <w:pStyle w:val="142"/>
              <w:tabs>
                <w:tab w:val="left" w:pos="7740"/>
              </w:tabs>
              <w:snapToGrid w:val="0"/>
              <w:spacing w:before="0" w:beforeAutospacing="0" w:after="0" w:afterAutospacing="0"/>
              <w:jc w:val="both"/>
              <w:rPr>
                <w:rFonts w:hint="default" w:ascii="仿宋" w:hAnsi="仿宋" w:eastAsia="仿宋" w:cs="仿宋"/>
                <w:color w:val="auto"/>
                <w:szCs w:val="21"/>
                <w:highlight w:val="none"/>
              </w:rPr>
            </w:pPr>
            <w:r>
              <w:rPr>
                <w:rFonts w:ascii="仿宋" w:hAnsi="仿宋" w:eastAsia="仿宋" w:cs="仿宋"/>
                <w:color w:val="auto"/>
                <w:szCs w:val="21"/>
                <w:highlight w:val="none"/>
              </w:rPr>
              <w:t>实质性响应招标文件中“★”号参数的技术要求</w:t>
            </w:r>
          </w:p>
        </w:tc>
        <w:tc>
          <w:tcPr>
            <w:tcW w:w="1114" w:type="dxa"/>
            <w:vAlign w:val="center"/>
          </w:tcPr>
          <w:p>
            <w:pPr>
              <w:tabs>
                <w:tab w:val="left" w:pos="146"/>
              </w:tabs>
              <w:ind w:left="146" w:hanging="180"/>
              <w:rPr>
                <w:rFonts w:ascii="仿宋" w:hAnsi="仿宋" w:eastAsia="仿宋" w:cs="仿宋"/>
                <w:b/>
                <w:bCs/>
                <w:color w:val="auto"/>
                <w:szCs w:val="21"/>
                <w:highlight w:val="none"/>
              </w:rPr>
            </w:pPr>
          </w:p>
        </w:tc>
        <w:tc>
          <w:tcPr>
            <w:tcW w:w="1114" w:type="dxa"/>
            <w:vAlign w:val="center"/>
          </w:tcPr>
          <w:p>
            <w:pPr>
              <w:tabs>
                <w:tab w:val="left" w:pos="0"/>
              </w:tabs>
              <w:rPr>
                <w:rFonts w:ascii="仿宋" w:hAnsi="仿宋" w:eastAsia="仿宋" w:cs="仿宋"/>
                <w:b/>
                <w:bCs/>
                <w:color w:val="auto"/>
                <w:szCs w:val="21"/>
                <w:highlight w:val="none"/>
              </w:rPr>
            </w:pPr>
          </w:p>
        </w:tc>
        <w:tc>
          <w:tcPr>
            <w:tcW w:w="1114" w:type="dxa"/>
            <w:vAlign w:val="center"/>
          </w:tcPr>
          <w:p>
            <w:pPr>
              <w:pStyle w:val="142"/>
              <w:tabs>
                <w:tab w:val="left" w:pos="7740"/>
              </w:tabs>
              <w:snapToGrid w:val="0"/>
              <w:spacing w:before="0" w:beforeAutospacing="0" w:after="0" w:afterAutospacing="0"/>
              <w:jc w:val="both"/>
              <w:rPr>
                <w:rFonts w:hint="default" w:ascii="仿宋" w:hAnsi="仿宋" w:eastAsia="仿宋" w:cs="仿宋"/>
                <w:color w:val="auto"/>
                <w:szCs w:val="21"/>
                <w:highlight w:val="none"/>
              </w:rPr>
            </w:pPr>
          </w:p>
        </w:tc>
        <w:tc>
          <w:tcPr>
            <w:tcW w:w="1114" w:type="dxa"/>
            <w:vAlign w:val="center"/>
          </w:tcPr>
          <w:p>
            <w:pPr>
              <w:pStyle w:val="142"/>
              <w:tabs>
                <w:tab w:val="left" w:pos="7740"/>
              </w:tabs>
              <w:snapToGrid w:val="0"/>
              <w:spacing w:before="0" w:beforeAutospacing="0" w:after="0" w:afterAutospacing="0"/>
              <w:jc w:val="both"/>
              <w:rPr>
                <w:rFonts w:hint="default" w:ascii="仿宋" w:hAnsi="仿宋" w:eastAsia="仿宋" w:cs="仿宋"/>
                <w:color w:val="auto"/>
                <w:szCs w:val="21"/>
                <w:highlight w:val="none"/>
              </w:rPr>
            </w:pPr>
          </w:p>
        </w:tc>
        <w:tc>
          <w:tcPr>
            <w:tcW w:w="468" w:type="dxa"/>
            <w:vAlign w:val="center"/>
          </w:tcPr>
          <w:p>
            <w:pPr>
              <w:pStyle w:val="142"/>
              <w:tabs>
                <w:tab w:val="left" w:pos="7740"/>
              </w:tabs>
              <w:snapToGrid w:val="0"/>
              <w:spacing w:before="0" w:beforeAutospacing="0" w:after="0" w:afterAutospacing="0"/>
              <w:jc w:val="both"/>
              <w:rPr>
                <w:rFonts w:hint="default"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7" w:type="dxa"/>
            <w:vMerge w:val="continue"/>
          </w:tcPr>
          <w:p>
            <w:pPr>
              <w:pStyle w:val="142"/>
              <w:tabs>
                <w:tab w:val="left" w:pos="7740"/>
              </w:tabs>
              <w:snapToGrid w:val="0"/>
              <w:spacing w:before="0" w:beforeAutospacing="0" w:after="0" w:afterAutospacing="0"/>
              <w:rPr>
                <w:rFonts w:hint="default" w:ascii="仿宋" w:hAnsi="仿宋" w:eastAsia="仿宋" w:cs="仿宋"/>
                <w:color w:val="auto"/>
                <w:szCs w:val="21"/>
                <w:highlight w:val="none"/>
              </w:rPr>
            </w:pPr>
          </w:p>
        </w:tc>
        <w:tc>
          <w:tcPr>
            <w:tcW w:w="3936" w:type="dxa"/>
            <w:vAlign w:val="center"/>
          </w:tcPr>
          <w:p>
            <w:pPr>
              <w:pStyle w:val="142"/>
              <w:tabs>
                <w:tab w:val="left" w:pos="7740"/>
              </w:tabs>
              <w:snapToGrid w:val="0"/>
              <w:spacing w:before="0" w:beforeAutospacing="0" w:after="0" w:afterAutospacing="0"/>
              <w:jc w:val="both"/>
              <w:rPr>
                <w:rFonts w:hint="default" w:ascii="仿宋" w:hAnsi="仿宋" w:eastAsia="仿宋" w:cs="仿宋"/>
                <w:color w:val="auto"/>
                <w:szCs w:val="21"/>
                <w:highlight w:val="none"/>
              </w:rPr>
            </w:pPr>
            <w:r>
              <w:rPr>
                <w:rFonts w:ascii="仿宋" w:hAnsi="仿宋" w:eastAsia="仿宋" w:cs="仿宋"/>
                <w:color w:val="auto"/>
                <w:szCs w:val="21"/>
                <w:highlight w:val="none"/>
              </w:rPr>
              <w:t>服务期</w:t>
            </w:r>
          </w:p>
        </w:tc>
        <w:tc>
          <w:tcPr>
            <w:tcW w:w="1114" w:type="dxa"/>
            <w:vAlign w:val="center"/>
          </w:tcPr>
          <w:p>
            <w:pPr>
              <w:tabs>
                <w:tab w:val="left" w:pos="146"/>
              </w:tabs>
              <w:ind w:left="146" w:hanging="180"/>
              <w:rPr>
                <w:rFonts w:ascii="仿宋" w:hAnsi="仿宋" w:eastAsia="仿宋" w:cs="仿宋"/>
                <w:color w:val="auto"/>
                <w:szCs w:val="21"/>
                <w:highlight w:val="none"/>
              </w:rPr>
            </w:pPr>
          </w:p>
        </w:tc>
        <w:tc>
          <w:tcPr>
            <w:tcW w:w="1114" w:type="dxa"/>
            <w:vAlign w:val="center"/>
          </w:tcPr>
          <w:p>
            <w:pPr>
              <w:tabs>
                <w:tab w:val="left" w:pos="0"/>
              </w:tabs>
              <w:rPr>
                <w:rFonts w:ascii="仿宋" w:hAnsi="仿宋" w:eastAsia="仿宋" w:cs="仿宋"/>
                <w:color w:val="auto"/>
                <w:szCs w:val="21"/>
                <w:highlight w:val="none"/>
              </w:rPr>
            </w:pPr>
          </w:p>
        </w:tc>
        <w:tc>
          <w:tcPr>
            <w:tcW w:w="1114" w:type="dxa"/>
            <w:vAlign w:val="center"/>
          </w:tcPr>
          <w:p>
            <w:pPr>
              <w:pStyle w:val="142"/>
              <w:tabs>
                <w:tab w:val="left" w:pos="7740"/>
              </w:tabs>
              <w:snapToGrid w:val="0"/>
              <w:spacing w:before="0" w:beforeAutospacing="0" w:after="0" w:afterAutospacing="0"/>
              <w:jc w:val="both"/>
              <w:rPr>
                <w:rFonts w:hint="default" w:ascii="仿宋" w:hAnsi="仿宋" w:eastAsia="仿宋" w:cs="仿宋"/>
                <w:color w:val="auto"/>
                <w:szCs w:val="21"/>
                <w:highlight w:val="none"/>
              </w:rPr>
            </w:pPr>
          </w:p>
        </w:tc>
        <w:tc>
          <w:tcPr>
            <w:tcW w:w="1114" w:type="dxa"/>
            <w:vAlign w:val="center"/>
          </w:tcPr>
          <w:p>
            <w:pPr>
              <w:pStyle w:val="142"/>
              <w:tabs>
                <w:tab w:val="left" w:pos="7740"/>
              </w:tabs>
              <w:snapToGrid w:val="0"/>
              <w:spacing w:before="0" w:beforeAutospacing="0" w:after="0" w:afterAutospacing="0"/>
              <w:jc w:val="both"/>
              <w:rPr>
                <w:rFonts w:hint="default" w:ascii="仿宋" w:hAnsi="仿宋" w:eastAsia="仿宋" w:cs="仿宋"/>
                <w:color w:val="auto"/>
                <w:szCs w:val="21"/>
                <w:highlight w:val="none"/>
              </w:rPr>
            </w:pPr>
          </w:p>
        </w:tc>
        <w:tc>
          <w:tcPr>
            <w:tcW w:w="468" w:type="dxa"/>
            <w:vAlign w:val="center"/>
          </w:tcPr>
          <w:p>
            <w:pPr>
              <w:pStyle w:val="142"/>
              <w:tabs>
                <w:tab w:val="left" w:pos="7740"/>
              </w:tabs>
              <w:snapToGrid w:val="0"/>
              <w:spacing w:before="0" w:beforeAutospacing="0" w:after="0" w:afterAutospacing="0"/>
              <w:jc w:val="both"/>
              <w:rPr>
                <w:rFonts w:hint="default"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7" w:type="dxa"/>
            <w:vMerge w:val="continue"/>
          </w:tcPr>
          <w:p>
            <w:pPr>
              <w:pStyle w:val="13"/>
              <w:tabs>
                <w:tab w:val="left" w:pos="7740"/>
              </w:tabs>
              <w:snapToGrid w:val="0"/>
              <w:ind w:firstLine="0" w:firstLineChars="0"/>
              <w:rPr>
                <w:rFonts w:ascii="仿宋" w:hAnsi="仿宋" w:eastAsia="仿宋" w:cs="仿宋"/>
                <w:color w:val="auto"/>
                <w:sz w:val="21"/>
                <w:szCs w:val="21"/>
                <w:highlight w:val="none"/>
              </w:rPr>
            </w:pPr>
          </w:p>
        </w:tc>
        <w:tc>
          <w:tcPr>
            <w:tcW w:w="3936" w:type="dxa"/>
            <w:vAlign w:val="center"/>
          </w:tcPr>
          <w:p>
            <w:pPr>
              <w:pStyle w:val="13"/>
              <w:tabs>
                <w:tab w:val="left" w:pos="7740"/>
              </w:tabs>
              <w:snapToGrid w:val="0"/>
              <w:ind w:firstLine="0" w:firstLineChars="0"/>
              <w:jc w:val="both"/>
              <w:rPr>
                <w:rFonts w:ascii="仿宋" w:hAnsi="仿宋" w:eastAsia="仿宋" w:cs="仿宋"/>
                <w:color w:val="auto"/>
                <w:sz w:val="21"/>
                <w:szCs w:val="21"/>
                <w:highlight w:val="none"/>
              </w:rPr>
            </w:pPr>
            <w:r>
              <w:rPr>
                <w:rFonts w:hint="eastAsia" w:ascii="仿宋" w:hAnsi="仿宋" w:eastAsia="仿宋" w:cs="仿宋"/>
                <w:bCs/>
                <w:color w:val="auto"/>
                <w:sz w:val="21"/>
                <w:szCs w:val="21"/>
                <w:highlight w:val="none"/>
              </w:rPr>
              <w:t>无招标文件规定的投标无效情况</w:t>
            </w:r>
          </w:p>
        </w:tc>
        <w:tc>
          <w:tcPr>
            <w:tcW w:w="1114" w:type="dxa"/>
            <w:vAlign w:val="center"/>
          </w:tcPr>
          <w:p>
            <w:pPr>
              <w:pStyle w:val="13"/>
              <w:tabs>
                <w:tab w:val="left" w:pos="7740"/>
              </w:tabs>
              <w:snapToGrid w:val="0"/>
              <w:ind w:firstLine="0" w:firstLineChars="0"/>
              <w:rPr>
                <w:rFonts w:ascii="仿宋" w:hAnsi="仿宋" w:eastAsia="仿宋" w:cs="仿宋"/>
                <w:color w:val="auto"/>
                <w:sz w:val="21"/>
                <w:szCs w:val="21"/>
                <w:highlight w:val="none"/>
              </w:rPr>
            </w:pPr>
          </w:p>
        </w:tc>
        <w:tc>
          <w:tcPr>
            <w:tcW w:w="1114" w:type="dxa"/>
            <w:vAlign w:val="center"/>
          </w:tcPr>
          <w:p>
            <w:pPr>
              <w:pStyle w:val="13"/>
              <w:tabs>
                <w:tab w:val="left" w:pos="7740"/>
              </w:tabs>
              <w:snapToGrid w:val="0"/>
              <w:ind w:firstLine="0" w:firstLineChars="0"/>
              <w:rPr>
                <w:rFonts w:ascii="仿宋" w:hAnsi="仿宋" w:eastAsia="仿宋" w:cs="仿宋"/>
                <w:color w:val="auto"/>
                <w:sz w:val="21"/>
                <w:szCs w:val="21"/>
                <w:highlight w:val="none"/>
              </w:rPr>
            </w:pPr>
          </w:p>
        </w:tc>
        <w:tc>
          <w:tcPr>
            <w:tcW w:w="1114" w:type="dxa"/>
            <w:vAlign w:val="center"/>
          </w:tcPr>
          <w:p>
            <w:pPr>
              <w:pStyle w:val="13"/>
              <w:tabs>
                <w:tab w:val="left" w:pos="7740"/>
              </w:tabs>
              <w:snapToGrid w:val="0"/>
              <w:ind w:firstLine="0" w:firstLineChars="0"/>
              <w:jc w:val="both"/>
              <w:rPr>
                <w:rFonts w:ascii="仿宋" w:hAnsi="仿宋" w:eastAsia="仿宋" w:cs="仿宋"/>
                <w:color w:val="auto"/>
                <w:sz w:val="21"/>
                <w:szCs w:val="21"/>
                <w:highlight w:val="none"/>
              </w:rPr>
            </w:pPr>
          </w:p>
        </w:tc>
        <w:tc>
          <w:tcPr>
            <w:tcW w:w="1114" w:type="dxa"/>
            <w:vAlign w:val="center"/>
          </w:tcPr>
          <w:p>
            <w:pPr>
              <w:pStyle w:val="13"/>
              <w:tabs>
                <w:tab w:val="left" w:pos="7740"/>
              </w:tabs>
              <w:snapToGrid w:val="0"/>
              <w:ind w:firstLine="0" w:firstLineChars="0"/>
              <w:jc w:val="both"/>
              <w:rPr>
                <w:rFonts w:ascii="仿宋" w:hAnsi="仿宋" w:eastAsia="仿宋" w:cs="仿宋"/>
                <w:color w:val="auto"/>
                <w:sz w:val="21"/>
                <w:szCs w:val="21"/>
                <w:highlight w:val="none"/>
              </w:rPr>
            </w:pPr>
          </w:p>
        </w:tc>
        <w:tc>
          <w:tcPr>
            <w:tcW w:w="468" w:type="dxa"/>
            <w:vAlign w:val="center"/>
          </w:tcPr>
          <w:p>
            <w:pPr>
              <w:pStyle w:val="13"/>
              <w:tabs>
                <w:tab w:val="left" w:pos="7740"/>
              </w:tabs>
              <w:snapToGrid w:val="0"/>
              <w:ind w:firstLine="0" w:firstLineChars="0"/>
              <w:jc w:val="both"/>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87" w:type="dxa"/>
            <w:gridSpan w:val="7"/>
          </w:tcPr>
          <w:p>
            <w:pPr>
              <w:pStyle w:val="13"/>
              <w:tabs>
                <w:tab w:val="left" w:pos="7740"/>
              </w:tabs>
              <w:snapToGrid w:val="0"/>
              <w:ind w:firstLine="140" w:firstLineChars="67"/>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注：符合要求的打“√”，不符合要求的打“×”</w:t>
            </w:r>
          </w:p>
        </w:tc>
      </w:tr>
    </w:tbl>
    <w:p>
      <w:pPr>
        <w:rPr>
          <w:rFonts w:ascii="仿宋" w:hAnsi="仿宋" w:eastAsia="仿宋" w:cs="仿宋"/>
          <w:color w:val="auto"/>
          <w:szCs w:val="21"/>
          <w:highlight w:val="none"/>
        </w:rPr>
      </w:pPr>
    </w:p>
    <w:p>
      <w:pPr>
        <w:rPr>
          <w:rFonts w:ascii="仿宋" w:hAnsi="仿宋" w:eastAsia="仿宋" w:cs="仿宋"/>
          <w:color w:val="auto"/>
          <w:szCs w:val="21"/>
          <w:highlight w:val="none"/>
        </w:rPr>
      </w:pPr>
      <w:r>
        <w:rPr>
          <w:rFonts w:hint="eastAsia" w:ascii="仿宋" w:hAnsi="仿宋" w:eastAsia="仿宋" w:cs="仿宋"/>
          <w:color w:val="auto"/>
          <w:szCs w:val="21"/>
          <w:highlight w:val="none"/>
        </w:rPr>
        <w:t>评委签名：</w:t>
      </w:r>
    </w:p>
    <w:p>
      <w:pPr>
        <w:rPr>
          <w:rFonts w:ascii="仿宋" w:hAnsi="仿宋" w:eastAsia="仿宋" w:cs="仿宋"/>
          <w:color w:val="auto"/>
          <w:sz w:val="28"/>
          <w:szCs w:val="28"/>
          <w:highlight w:val="none"/>
        </w:rPr>
        <w:sectPr>
          <w:headerReference r:id="rId8" w:type="default"/>
          <w:type w:val="nextColumn"/>
          <w:pgSz w:w="11906" w:h="16838"/>
          <w:pgMar w:top="1440" w:right="1418" w:bottom="1440" w:left="1411" w:header="851" w:footer="868" w:gutter="0"/>
          <w:cols w:space="720" w:num="1"/>
          <w:docGrid w:type="linesAndChars" w:linePitch="312" w:charSpace="0"/>
        </w:sectPr>
      </w:pPr>
      <w:r>
        <w:rPr>
          <w:rFonts w:hint="eastAsia" w:ascii="仿宋" w:hAnsi="仿宋" w:eastAsia="仿宋" w:cs="仿宋"/>
          <w:color w:val="auto"/>
          <w:highlight w:val="none"/>
        </w:rPr>
        <w:t>日期：</w:t>
      </w:r>
    </w:p>
    <w:p>
      <w:pPr>
        <w:autoSpaceDE/>
        <w:autoSpaceDN/>
        <w:adjustRightInd/>
        <w:spacing w:line="400" w:lineRule="atLeast"/>
        <w:jc w:val="both"/>
        <w:outlineLvl w:val="1"/>
        <w:rPr>
          <w:rFonts w:hAnsi="宋体" w:cs="宋体"/>
          <w:b/>
          <w:bCs/>
          <w:color w:val="auto"/>
          <w:szCs w:val="21"/>
          <w:highlight w:val="none"/>
        </w:rPr>
      </w:pPr>
      <w:r>
        <w:rPr>
          <w:rFonts w:hint="eastAsia" w:hAnsi="宋体" w:cs="宋体"/>
          <w:b/>
          <w:bCs/>
          <w:color w:val="auto"/>
          <w:szCs w:val="21"/>
          <w:highlight w:val="none"/>
        </w:rPr>
        <w:t>附件1.1 《评分标准和细则》</w:t>
      </w:r>
    </w:p>
    <w:p>
      <w:pPr>
        <w:pStyle w:val="28"/>
        <w:rPr>
          <w:rFonts w:hAnsi="宋体" w:cs="宋体"/>
          <w:b/>
          <w:bCs/>
          <w:color w:val="auto"/>
          <w:szCs w:val="21"/>
          <w:highlight w:val="none"/>
        </w:rPr>
      </w:pPr>
    </w:p>
    <w:p>
      <w:pPr>
        <w:tabs>
          <w:tab w:val="left" w:pos="480"/>
          <w:tab w:val="left" w:pos="720"/>
        </w:tabs>
        <w:autoSpaceDE/>
        <w:autoSpaceDN/>
        <w:adjustRightInd/>
        <w:spacing w:line="360" w:lineRule="auto"/>
        <w:jc w:val="both"/>
        <w:rPr>
          <w:rFonts w:hAnsi="宋体" w:cs="宋体"/>
          <w:b/>
          <w:bCs/>
          <w:color w:val="auto"/>
          <w:szCs w:val="21"/>
          <w:highlight w:val="none"/>
        </w:rPr>
      </w:pPr>
      <w:r>
        <w:rPr>
          <w:rFonts w:hint="eastAsia" w:hAnsi="宋体" w:cs="宋体"/>
          <w:b/>
          <w:bCs/>
          <w:color w:val="auto"/>
          <w:szCs w:val="21"/>
          <w:highlight w:val="none"/>
        </w:rPr>
        <w:t>一、分因素及分值</w:t>
      </w:r>
    </w:p>
    <w:p>
      <w:pPr>
        <w:numPr>
          <w:ilvl w:val="0"/>
          <w:numId w:val="24"/>
        </w:numPr>
        <w:tabs>
          <w:tab w:val="left" w:pos="660"/>
        </w:tabs>
        <w:autoSpaceDE/>
        <w:autoSpaceDN/>
        <w:adjustRightInd/>
        <w:spacing w:line="360" w:lineRule="auto"/>
        <w:ind w:left="480" w:hanging="480"/>
        <w:jc w:val="both"/>
        <w:rPr>
          <w:rFonts w:ascii="仿宋" w:hAnsi="仿宋" w:eastAsia="仿宋" w:cs="仿宋"/>
          <w:color w:val="auto"/>
          <w:szCs w:val="21"/>
          <w:highlight w:val="none"/>
        </w:rPr>
      </w:pPr>
      <w:r>
        <w:rPr>
          <w:rFonts w:hint="eastAsia" w:ascii="仿宋" w:hAnsi="仿宋" w:eastAsia="仿宋" w:cs="仿宋"/>
          <w:color w:val="auto"/>
          <w:szCs w:val="21"/>
          <w:highlight w:val="none"/>
        </w:rPr>
        <w:t>评委考核打分的评分因素及分值:总分100分</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4"/>
        <w:gridCol w:w="3848"/>
        <w:gridCol w:w="2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314" w:type="dxa"/>
            <w:tcBorders>
              <w:right w:val="single" w:color="auto" w:sz="6" w:space="0"/>
            </w:tcBorders>
            <w:vAlign w:val="center"/>
          </w:tcPr>
          <w:p>
            <w:pPr>
              <w:jc w:val="center"/>
              <w:rPr>
                <w:rFonts w:ascii="仿宋" w:hAnsi="仿宋" w:eastAsia="仿宋" w:cs="仿宋"/>
                <w:color w:val="auto"/>
                <w:highlight w:val="none"/>
              </w:rPr>
            </w:pPr>
            <w:r>
              <w:rPr>
                <w:rFonts w:hint="eastAsia" w:ascii="仿宋" w:hAnsi="仿宋" w:eastAsia="仿宋" w:cs="仿宋"/>
                <w:color w:val="auto"/>
                <w:highlight w:val="none"/>
              </w:rPr>
              <w:t>序号</w:t>
            </w:r>
          </w:p>
        </w:tc>
        <w:tc>
          <w:tcPr>
            <w:tcW w:w="3848" w:type="dxa"/>
            <w:tcBorders>
              <w:left w:val="single" w:color="auto" w:sz="6" w:space="0"/>
            </w:tcBorders>
            <w:vAlign w:val="center"/>
          </w:tcPr>
          <w:p>
            <w:pPr>
              <w:jc w:val="center"/>
              <w:rPr>
                <w:rFonts w:ascii="仿宋" w:hAnsi="仿宋" w:eastAsia="仿宋" w:cs="仿宋"/>
                <w:color w:val="auto"/>
                <w:highlight w:val="none"/>
              </w:rPr>
            </w:pPr>
            <w:r>
              <w:rPr>
                <w:rFonts w:hint="eastAsia" w:ascii="仿宋" w:hAnsi="仿宋" w:eastAsia="仿宋" w:cs="仿宋"/>
                <w:color w:val="auto"/>
                <w:highlight w:val="none"/>
              </w:rPr>
              <w:t>评分因素</w:t>
            </w:r>
          </w:p>
        </w:tc>
        <w:tc>
          <w:tcPr>
            <w:tcW w:w="2698" w:type="dxa"/>
            <w:vAlign w:val="center"/>
          </w:tcPr>
          <w:p>
            <w:pPr>
              <w:jc w:val="center"/>
              <w:rPr>
                <w:rFonts w:ascii="仿宋" w:hAnsi="仿宋" w:eastAsia="仿宋" w:cs="仿宋"/>
                <w:color w:val="auto"/>
                <w:highlight w:val="none"/>
              </w:rPr>
            </w:pPr>
            <w:r>
              <w:rPr>
                <w:rFonts w:hint="eastAsia" w:ascii="仿宋" w:hAnsi="仿宋" w:eastAsia="仿宋" w:cs="仿宋"/>
                <w:color w:val="auto"/>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314" w:type="dxa"/>
            <w:tcBorders>
              <w:right w:val="single" w:color="auto" w:sz="6" w:space="0"/>
            </w:tcBorders>
            <w:vAlign w:val="center"/>
          </w:tcPr>
          <w:p>
            <w:pPr>
              <w:jc w:val="center"/>
              <w:rPr>
                <w:rFonts w:ascii="仿宋" w:hAnsi="仿宋" w:eastAsia="仿宋" w:cs="仿宋"/>
                <w:color w:val="auto"/>
                <w:highlight w:val="none"/>
              </w:rPr>
            </w:pPr>
            <w:r>
              <w:rPr>
                <w:rFonts w:hint="eastAsia" w:ascii="仿宋" w:hAnsi="仿宋" w:eastAsia="仿宋" w:cs="仿宋"/>
                <w:color w:val="auto"/>
                <w:highlight w:val="none"/>
              </w:rPr>
              <w:t>1</w:t>
            </w:r>
          </w:p>
        </w:tc>
        <w:tc>
          <w:tcPr>
            <w:tcW w:w="3848" w:type="dxa"/>
            <w:tcBorders>
              <w:left w:val="single" w:color="auto" w:sz="6" w:space="0"/>
            </w:tcBorders>
            <w:vAlign w:val="center"/>
          </w:tcPr>
          <w:p>
            <w:pPr>
              <w:jc w:val="center"/>
              <w:rPr>
                <w:rFonts w:ascii="仿宋" w:hAnsi="仿宋" w:eastAsia="仿宋" w:cs="仿宋"/>
                <w:color w:val="auto"/>
                <w:highlight w:val="none"/>
              </w:rPr>
            </w:pPr>
            <w:r>
              <w:rPr>
                <w:rFonts w:hint="eastAsia" w:ascii="仿宋" w:hAnsi="仿宋" w:eastAsia="仿宋" w:cs="仿宋"/>
                <w:color w:val="auto"/>
                <w:highlight w:val="none"/>
              </w:rPr>
              <w:t>商务</w:t>
            </w:r>
          </w:p>
        </w:tc>
        <w:tc>
          <w:tcPr>
            <w:tcW w:w="2698" w:type="dxa"/>
            <w:vAlign w:val="center"/>
          </w:tcPr>
          <w:p>
            <w:pPr>
              <w:jc w:val="center"/>
              <w:rPr>
                <w:rFonts w:ascii="仿宋" w:hAnsi="仿宋" w:eastAsia="仿宋" w:cs="仿宋"/>
                <w:color w:val="auto"/>
                <w:highlight w:val="none"/>
              </w:rPr>
            </w:pPr>
            <w:r>
              <w:rPr>
                <w:rFonts w:hint="eastAsia" w:ascii="仿宋" w:hAnsi="仿宋" w:eastAsia="仿宋" w:cs="仿宋"/>
                <w:color w:val="auto"/>
                <w:highlight w:val="none"/>
              </w:rPr>
              <w:t>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314" w:type="dxa"/>
            <w:tcBorders>
              <w:right w:val="single" w:color="auto" w:sz="6" w:space="0"/>
            </w:tcBorders>
            <w:vAlign w:val="center"/>
          </w:tcPr>
          <w:p>
            <w:pPr>
              <w:jc w:val="center"/>
              <w:rPr>
                <w:rFonts w:ascii="仿宋" w:hAnsi="仿宋" w:eastAsia="仿宋" w:cs="仿宋"/>
                <w:color w:val="auto"/>
                <w:highlight w:val="none"/>
              </w:rPr>
            </w:pPr>
            <w:r>
              <w:rPr>
                <w:rFonts w:hint="eastAsia" w:ascii="仿宋" w:hAnsi="仿宋" w:eastAsia="仿宋" w:cs="仿宋"/>
                <w:color w:val="auto"/>
                <w:highlight w:val="none"/>
              </w:rPr>
              <w:t>2</w:t>
            </w:r>
          </w:p>
        </w:tc>
        <w:tc>
          <w:tcPr>
            <w:tcW w:w="3848" w:type="dxa"/>
            <w:tcBorders>
              <w:left w:val="single" w:color="auto" w:sz="6" w:space="0"/>
            </w:tcBorders>
            <w:vAlign w:val="center"/>
          </w:tcPr>
          <w:p>
            <w:pPr>
              <w:jc w:val="center"/>
              <w:rPr>
                <w:rFonts w:ascii="仿宋" w:hAnsi="仿宋" w:eastAsia="仿宋" w:cs="仿宋"/>
                <w:color w:val="auto"/>
                <w:highlight w:val="none"/>
              </w:rPr>
            </w:pPr>
            <w:r>
              <w:rPr>
                <w:rFonts w:hint="eastAsia" w:ascii="仿宋" w:hAnsi="仿宋" w:eastAsia="仿宋" w:cs="仿宋"/>
                <w:color w:val="auto"/>
                <w:highlight w:val="none"/>
              </w:rPr>
              <w:t>技术</w:t>
            </w:r>
          </w:p>
        </w:tc>
        <w:tc>
          <w:tcPr>
            <w:tcW w:w="2698" w:type="dxa"/>
            <w:vAlign w:val="center"/>
          </w:tcPr>
          <w:p>
            <w:pPr>
              <w:jc w:val="center"/>
              <w:rPr>
                <w:rFonts w:ascii="仿宋" w:hAnsi="仿宋" w:eastAsia="仿宋" w:cs="仿宋"/>
                <w:color w:val="auto"/>
                <w:highlight w:val="none"/>
              </w:rPr>
            </w:pPr>
            <w:r>
              <w:rPr>
                <w:rFonts w:hint="eastAsia" w:ascii="仿宋" w:hAnsi="仿宋" w:eastAsia="仿宋" w:cs="仿宋"/>
                <w:color w:val="auto"/>
                <w:highlight w:val="none"/>
              </w:rPr>
              <w:t>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314" w:type="dxa"/>
            <w:tcBorders>
              <w:right w:val="single" w:color="auto" w:sz="6" w:space="0"/>
            </w:tcBorders>
            <w:vAlign w:val="center"/>
          </w:tcPr>
          <w:p>
            <w:pPr>
              <w:jc w:val="center"/>
              <w:rPr>
                <w:rFonts w:ascii="仿宋" w:hAnsi="仿宋" w:eastAsia="仿宋" w:cs="仿宋"/>
                <w:color w:val="auto"/>
                <w:highlight w:val="none"/>
              </w:rPr>
            </w:pPr>
            <w:r>
              <w:rPr>
                <w:rFonts w:hint="eastAsia" w:ascii="仿宋" w:hAnsi="仿宋" w:eastAsia="仿宋" w:cs="仿宋"/>
                <w:color w:val="auto"/>
                <w:highlight w:val="none"/>
              </w:rPr>
              <w:t>3</w:t>
            </w:r>
          </w:p>
        </w:tc>
        <w:tc>
          <w:tcPr>
            <w:tcW w:w="3848" w:type="dxa"/>
            <w:tcBorders>
              <w:left w:val="single" w:color="auto" w:sz="6" w:space="0"/>
            </w:tcBorders>
            <w:vAlign w:val="center"/>
          </w:tcPr>
          <w:p>
            <w:pPr>
              <w:jc w:val="center"/>
              <w:rPr>
                <w:rFonts w:ascii="仿宋" w:hAnsi="仿宋" w:eastAsia="仿宋" w:cs="仿宋"/>
                <w:color w:val="auto"/>
                <w:highlight w:val="none"/>
              </w:rPr>
            </w:pPr>
            <w:r>
              <w:rPr>
                <w:rFonts w:hint="eastAsia" w:ascii="仿宋" w:hAnsi="仿宋" w:eastAsia="仿宋" w:cs="仿宋"/>
                <w:color w:val="auto"/>
                <w:highlight w:val="none"/>
              </w:rPr>
              <w:t>价格</w:t>
            </w:r>
          </w:p>
        </w:tc>
        <w:tc>
          <w:tcPr>
            <w:tcW w:w="2698" w:type="dxa"/>
            <w:vAlign w:val="center"/>
          </w:tcPr>
          <w:p>
            <w:pPr>
              <w:jc w:val="center"/>
              <w:rPr>
                <w:rFonts w:ascii="仿宋" w:hAnsi="仿宋" w:eastAsia="仿宋" w:cs="仿宋"/>
                <w:color w:val="auto"/>
                <w:highlight w:val="none"/>
              </w:rPr>
            </w:pPr>
            <w:r>
              <w:rPr>
                <w:rFonts w:hint="eastAsia" w:ascii="仿宋" w:hAnsi="仿宋" w:eastAsia="仿宋" w:cs="仿宋"/>
                <w:color w:val="auto"/>
                <w:highlight w:val="none"/>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162" w:type="dxa"/>
            <w:gridSpan w:val="2"/>
            <w:vAlign w:val="center"/>
          </w:tcPr>
          <w:p>
            <w:pPr>
              <w:jc w:val="center"/>
              <w:rPr>
                <w:rFonts w:ascii="仿宋" w:hAnsi="仿宋" w:eastAsia="仿宋" w:cs="仿宋"/>
                <w:color w:val="auto"/>
                <w:highlight w:val="none"/>
              </w:rPr>
            </w:pPr>
            <w:r>
              <w:rPr>
                <w:rFonts w:hint="eastAsia" w:ascii="仿宋" w:hAnsi="仿宋" w:eastAsia="仿宋" w:cs="仿宋"/>
                <w:color w:val="auto"/>
                <w:highlight w:val="none"/>
              </w:rPr>
              <w:t>总  分</w:t>
            </w:r>
          </w:p>
        </w:tc>
        <w:tc>
          <w:tcPr>
            <w:tcW w:w="2698" w:type="dxa"/>
            <w:vAlign w:val="center"/>
          </w:tcPr>
          <w:p>
            <w:pPr>
              <w:jc w:val="center"/>
              <w:rPr>
                <w:rFonts w:ascii="仿宋" w:hAnsi="仿宋" w:eastAsia="仿宋" w:cs="仿宋"/>
                <w:color w:val="auto"/>
                <w:highlight w:val="none"/>
              </w:rPr>
            </w:pPr>
            <w:r>
              <w:rPr>
                <w:rFonts w:hint="eastAsia" w:ascii="仿宋" w:hAnsi="仿宋" w:eastAsia="仿宋" w:cs="仿宋"/>
                <w:color w:val="auto"/>
                <w:highlight w:val="none"/>
              </w:rPr>
              <w:t>100分</w:t>
            </w:r>
          </w:p>
        </w:tc>
      </w:tr>
    </w:tbl>
    <w:p>
      <w:pPr>
        <w:autoSpaceDE/>
        <w:autoSpaceDN/>
        <w:adjustRightInd/>
        <w:spacing w:line="360" w:lineRule="auto"/>
        <w:jc w:val="both"/>
        <w:rPr>
          <w:rFonts w:hAnsi="宋体" w:cs="宋体"/>
          <w:b/>
          <w:bCs/>
          <w:color w:val="auto"/>
          <w:szCs w:val="21"/>
          <w:highlight w:val="none"/>
        </w:rPr>
      </w:pPr>
    </w:p>
    <w:p>
      <w:pPr>
        <w:tabs>
          <w:tab w:val="left" w:pos="480"/>
          <w:tab w:val="left" w:pos="720"/>
        </w:tabs>
        <w:autoSpaceDE/>
        <w:autoSpaceDN/>
        <w:adjustRightInd/>
        <w:spacing w:line="360" w:lineRule="auto"/>
        <w:jc w:val="both"/>
        <w:rPr>
          <w:rFonts w:hAnsi="宋体" w:cs="宋体"/>
          <w:b/>
          <w:bCs/>
          <w:color w:val="auto"/>
          <w:szCs w:val="21"/>
          <w:highlight w:val="none"/>
        </w:rPr>
      </w:pPr>
      <w:r>
        <w:rPr>
          <w:rFonts w:hint="eastAsia" w:hAnsi="宋体" w:cs="宋体"/>
          <w:b/>
          <w:bCs/>
          <w:color w:val="auto"/>
          <w:szCs w:val="21"/>
          <w:highlight w:val="none"/>
        </w:rPr>
        <w:t>二、评分因素分值的具体分配：</w:t>
      </w:r>
    </w:p>
    <w:p>
      <w:pPr>
        <w:pStyle w:val="99"/>
        <w:keepNext w:val="0"/>
        <w:tabs>
          <w:tab w:val="left" w:pos="0"/>
        </w:tabs>
        <w:spacing w:after="0" w:line="360" w:lineRule="auto"/>
        <w:outlineLvl w:val="2"/>
        <w:rPr>
          <w:rFonts w:ascii="宋体" w:hAnsi="宋体" w:cs="宋体"/>
          <w:b/>
          <w:color w:val="auto"/>
          <w:szCs w:val="21"/>
          <w:highlight w:val="none"/>
        </w:rPr>
      </w:pPr>
      <w:r>
        <w:rPr>
          <w:rFonts w:hint="eastAsia" w:ascii="宋体" w:hAnsi="宋体" w:cs="宋体"/>
          <w:b/>
          <w:color w:val="auto"/>
          <w:szCs w:val="21"/>
          <w:highlight w:val="none"/>
        </w:rPr>
        <w:t>1.商务评分标准：（总分：35分）</w:t>
      </w:r>
    </w:p>
    <w:tbl>
      <w:tblPr>
        <w:tblStyle w:val="49"/>
        <w:tblW w:w="900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05"/>
        <w:gridCol w:w="1080"/>
        <w:gridCol w:w="705"/>
        <w:gridCol w:w="65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82" w:hRule="atLeast"/>
          <w:jc w:val="center"/>
        </w:trPr>
        <w:tc>
          <w:tcPr>
            <w:tcW w:w="705" w:type="dxa"/>
            <w:shd w:val="clear" w:color="auto" w:fill="FFFFFF"/>
            <w:vAlign w:val="center"/>
          </w:tcPr>
          <w:p>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序号</w:t>
            </w:r>
          </w:p>
        </w:tc>
        <w:tc>
          <w:tcPr>
            <w:tcW w:w="1080" w:type="dxa"/>
            <w:shd w:val="clear" w:color="auto" w:fill="FFFFFF"/>
            <w:vAlign w:val="center"/>
          </w:tcPr>
          <w:p>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评分因素</w:t>
            </w:r>
          </w:p>
        </w:tc>
        <w:tc>
          <w:tcPr>
            <w:tcW w:w="705" w:type="dxa"/>
            <w:shd w:val="clear" w:color="auto" w:fill="FFFFFF"/>
            <w:vAlign w:val="center"/>
          </w:tcPr>
          <w:p>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分值</w:t>
            </w:r>
          </w:p>
        </w:tc>
        <w:tc>
          <w:tcPr>
            <w:tcW w:w="6513" w:type="dxa"/>
            <w:shd w:val="clear" w:color="auto" w:fill="FFFFFF"/>
            <w:vAlign w:val="center"/>
          </w:tcPr>
          <w:p>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评分准则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74" w:hRule="atLeast"/>
          <w:jc w:val="center"/>
        </w:trPr>
        <w:tc>
          <w:tcPr>
            <w:tcW w:w="705" w:type="dxa"/>
            <w:shd w:val="clear" w:color="auto" w:fill="FFFFFF"/>
            <w:vAlign w:val="center"/>
          </w:tcPr>
          <w:p>
            <w:pPr>
              <w:snapToGrid w:val="0"/>
              <w:spacing w:line="400" w:lineRule="exact"/>
              <w:jc w:val="center"/>
              <w:rPr>
                <w:rFonts w:ascii="仿宋" w:hAnsi="仿宋" w:eastAsia="仿宋" w:cs="仿宋"/>
                <w:bCs/>
                <w:color w:val="auto"/>
                <w:szCs w:val="21"/>
                <w:highlight w:val="none"/>
              </w:rPr>
            </w:pPr>
            <w:r>
              <w:rPr>
                <w:rFonts w:hint="eastAsia" w:ascii="仿宋" w:hAnsi="仿宋" w:eastAsia="仿宋" w:cs="仿宋"/>
                <w:color w:val="auto"/>
                <w:szCs w:val="21"/>
                <w:highlight w:val="none"/>
              </w:rPr>
              <w:t>1</w:t>
            </w:r>
          </w:p>
        </w:tc>
        <w:tc>
          <w:tcPr>
            <w:tcW w:w="1080" w:type="dxa"/>
            <w:shd w:val="clear" w:color="auto" w:fill="FFFFFF"/>
            <w:vAlign w:val="center"/>
          </w:tcPr>
          <w:p>
            <w:pPr>
              <w:snapToGrid w:val="0"/>
              <w:spacing w:line="400" w:lineRule="exact"/>
              <w:jc w:val="center"/>
              <w:rPr>
                <w:rFonts w:ascii="仿宋" w:hAnsi="仿宋" w:eastAsia="仿宋" w:cs="仿宋"/>
                <w:b/>
                <w:color w:val="auto"/>
                <w:szCs w:val="21"/>
                <w:highlight w:val="none"/>
              </w:rPr>
            </w:pPr>
            <w:r>
              <w:rPr>
                <w:rFonts w:hint="eastAsia" w:ascii="仿宋" w:hAnsi="仿宋" w:eastAsia="仿宋" w:cs="仿宋"/>
                <w:color w:val="auto"/>
                <w:szCs w:val="21"/>
                <w:highlight w:val="none"/>
              </w:rPr>
              <w:t>商务响应程度</w:t>
            </w:r>
          </w:p>
        </w:tc>
        <w:tc>
          <w:tcPr>
            <w:tcW w:w="705" w:type="dxa"/>
            <w:shd w:val="clear" w:color="auto" w:fill="FFFFFF"/>
            <w:vAlign w:val="center"/>
          </w:tcPr>
          <w:p>
            <w:pPr>
              <w:snapToGrid w:val="0"/>
              <w:spacing w:line="400" w:lineRule="exact"/>
              <w:jc w:val="center"/>
              <w:rPr>
                <w:rFonts w:ascii="仿宋" w:hAnsi="仿宋" w:eastAsia="仿宋" w:cs="仿宋"/>
                <w:color w:val="auto"/>
                <w:szCs w:val="21"/>
                <w:highlight w:val="none"/>
              </w:rPr>
            </w:pPr>
            <w:r>
              <w:rPr>
                <w:rFonts w:ascii="仿宋" w:hAnsi="仿宋" w:eastAsia="仿宋" w:cs="仿宋"/>
                <w:color w:val="auto"/>
                <w:szCs w:val="21"/>
                <w:highlight w:val="none"/>
              </w:rPr>
              <w:t>4</w:t>
            </w:r>
          </w:p>
        </w:tc>
        <w:tc>
          <w:tcPr>
            <w:tcW w:w="6513" w:type="dxa"/>
            <w:shd w:val="clear" w:color="auto" w:fill="FFFFFF"/>
            <w:vAlign w:val="center"/>
          </w:tcPr>
          <w:p>
            <w:pPr>
              <w:snapToGrid w:val="0"/>
              <w:spacing w:line="260" w:lineRule="exact"/>
              <w:rPr>
                <w:rFonts w:ascii="仿宋" w:hAnsi="仿宋" w:eastAsia="仿宋" w:cs="仿宋"/>
                <w:color w:val="auto"/>
                <w:szCs w:val="21"/>
                <w:highlight w:val="none"/>
              </w:rPr>
            </w:pPr>
            <w:r>
              <w:rPr>
                <w:rFonts w:hint="eastAsia" w:ascii="仿宋" w:hAnsi="仿宋" w:eastAsia="仿宋" w:cs="仿宋"/>
                <w:color w:val="auto"/>
                <w:szCs w:val="21"/>
                <w:highlight w:val="none"/>
              </w:rPr>
              <w:t>优于招标文件要求（</w:t>
            </w:r>
            <w:r>
              <w:rPr>
                <w:rFonts w:ascii="仿宋" w:hAnsi="仿宋" w:eastAsia="仿宋" w:cs="仿宋"/>
                <w:color w:val="auto"/>
                <w:szCs w:val="21"/>
                <w:highlight w:val="none"/>
              </w:rPr>
              <w:t>4</w:t>
            </w:r>
            <w:r>
              <w:rPr>
                <w:rFonts w:hint="eastAsia" w:ascii="仿宋" w:hAnsi="仿宋" w:eastAsia="仿宋" w:cs="仿宋"/>
                <w:color w:val="auto"/>
                <w:szCs w:val="21"/>
                <w:highlight w:val="none"/>
              </w:rPr>
              <w:t>分）</w:t>
            </w:r>
          </w:p>
          <w:p>
            <w:pPr>
              <w:snapToGrid w:val="0"/>
              <w:spacing w:line="260" w:lineRule="exact"/>
              <w:rPr>
                <w:rFonts w:ascii="仿宋" w:hAnsi="仿宋" w:eastAsia="仿宋" w:cs="仿宋"/>
                <w:color w:val="auto"/>
                <w:szCs w:val="21"/>
                <w:highlight w:val="none"/>
              </w:rPr>
            </w:pPr>
            <w:r>
              <w:rPr>
                <w:rFonts w:hint="eastAsia" w:ascii="仿宋" w:hAnsi="仿宋" w:eastAsia="仿宋" w:cs="仿宋"/>
                <w:color w:val="auto"/>
                <w:szCs w:val="21"/>
                <w:highlight w:val="none"/>
              </w:rPr>
              <w:t>满足招标文件要求（3分）</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未能满足招标文件要求（0分）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20" w:hRule="atLeast"/>
          <w:jc w:val="center"/>
        </w:trPr>
        <w:tc>
          <w:tcPr>
            <w:tcW w:w="705" w:type="dxa"/>
            <w:shd w:val="clear" w:color="auto" w:fill="FFFFFF"/>
            <w:vAlign w:val="center"/>
          </w:tcPr>
          <w:p>
            <w:pPr>
              <w:snapToGrid w:val="0"/>
              <w:spacing w:line="400" w:lineRule="exact"/>
              <w:jc w:val="center"/>
              <w:rPr>
                <w:rFonts w:ascii="仿宋" w:hAnsi="仿宋" w:eastAsia="仿宋" w:cs="仿宋"/>
                <w:bCs/>
                <w:color w:val="auto"/>
                <w:szCs w:val="21"/>
                <w:highlight w:val="none"/>
              </w:rPr>
            </w:pPr>
            <w:r>
              <w:rPr>
                <w:rFonts w:hint="eastAsia" w:ascii="仿宋" w:hAnsi="仿宋" w:eastAsia="仿宋" w:cs="仿宋"/>
                <w:color w:val="auto"/>
                <w:szCs w:val="21"/>
                <w:highlight w:val="none"/>
              </w:rPr>
              <w:t>2</w:t>
            </w:r>
          </w:p>
        </w:tc>
        <w:tc>
          <w:tcPr>
            <w:tcW w:w="1080" w:type="dxa"/>
            <w:shd w:val="clear" w:color="auto" w:fill="FFFFFF"/>
            <w:vAlign w:val="center"/>
          </w:tcPr>
          <w:p>
            <w:pPr>
              <w:snapToGrid w:val="0"/>
              <w:spacing w:line="400" w:lineRule="exact"/>
              <w:jc w:val="center"/>
              <w:rPr>
                <w:rFonts w:ascii="仿宋" w:hAnsi="仿宋" w:eastAsia="仿宋" w:cs="仿宋"/>
                <w:bCs/>
                <w:color w:val="auto"/>
                <w:szCs w:val="21"/>
                <w:highlight w:val="none"/>
              </w:rPr>
            </w:pPr>
            <w:r>
              <w:rPr>
                <w:rFonts w:hint="eastAsia" w:ascii="仿宋" w:hAnsi="仿宋" w:eastAsia="仿宋" w:cs="仿宋"/>
                <w:color w:val="auto"/>
                <w:szCs w:val="21"/>
                <w:highlight w:val="none"/>
              </w:rPr>
              <w:t>行业经验</w:t>
            </w:r>
          </w:p>
        </w:tc>
        <w:tc>
          <w:tcPr>
            <w:tcW w:w="705" w:type="dxa"/>
            <w:shd w:val="clear" w:color="auto" w:fill="FFFFFF"/>
            <w:vAlign w:val="center"/>
          </w:tcPr>
          <w:p>
            <w:pPr>
              <w:snapToGrid w:val="0"/>
              <w:spacing w:line="400" w:lineRule="exact"/>
              <w:jc w:val="center"/>
              <w:rPr>
                <w:rFonts w:ascii="仿宋" w:hAnsi="仿宋" w:eastAsia="仿宋" w:cs="仿宋"/>
                <w:color w:val="auto"/>
                <w:szCs w:val="21"/>
                <w:highlight w:val="none"/>
              </w:rPr>
            </w:pPr>
            <w:r>
              <w:rPr>
                <w:rFonts w:ascii="仿宋" w:hAnsi="仿宋" w:eastAsia="仿宋" w:cs="仿宋"/>
                <w:color w:val="auto"/>
                <w:szCs w:val="21"/>
                <w:highlight w:val="none"/>
              </w:rPr>
              <w:t>10</w:t>
            </w:r>
          </w:p>
        </w:tc>
        <w:tc>
          <w:tcPr>
            <w:tcW w:w="6513" w:type="dxa"/>
            <w:shd w:val="clear" w:color="auto" w:fill="FFFFFF"/>
            <w:vAlign w:val="center"/>
          </w:tcPr>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2018年1月1日以来承担的预警信息发布相关的运营或者建设项目情况。每个项目得1分，最高不超过</w:t>
            </w:r>
            <w:r>
              <w:rPr>
                <w:rFonts w:ascii="仿宋" w:hAnsi="仿宋" w:eastAsia="仿宋" w:cs="仿宋"/>
                <w:color w:val="auto"/>
                <w:szCs w:val="21"/>
                <w:highlight w:val="none"/>
              </w:rPr>
              <w:t>10</w:t>
            </w:r>
            <w:r>
              <w:rPr>
                <w:rFonts w:hint="eastAsia" w:ascii="仿宋" w:hAnsi="仿宋" w:eastAsia="仿宋" w:cs="仿宋"/>
                <w:color w:val="auto"/>
                <w:szCs w:val="21"/>
                <w:highlight w:val="none"/>
              </w:rPr>
              <w:t>分(提供合同或委托协议关键页复印件和验收报告关键页复印件)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7" w:hRule="atLeast"/>
          <w:jc w:val="center"/>
        </w:trPr>
        <w:tc>
          <w:tcPr>
            <w:tcW w:w="705" w:type="dxa"/>
            <w:shd w:val="clear" w:color="auto" w:fill="FFFFFF"/>
            <w:vAlign w:val="center"/>
          </w:tcPr>
          <w:p>
            <w:pPr>
              <w:snapToGrid w:val="0"/>
              <w:spacing w:line="4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1080" w:type="dxa"/>
            <w:shd w:val="clear" w:color="auto" w:fill="FFFFFF"/>
            <w:vAlign w:val="center"/>
          </w:tcPr>
          <w:p>
            <w:pPr>
              <w:snapToGrid w:val="0"/>
              <w:spacing w:line="4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科学技术推广能力</w:t>
            </w:r>
          </w:p>
        </w:tc>
        <w:tc>
          <w:tcPr>
            <w:tcW w:w="705" w:type="dxa"/>
            <w:shd w:val="clear" w:color="auto" w:fill="FFFFFF"/>
            <w:vAlign w:val="center"/>
          </w:tcPr>
          <w:p>
            <w:pPr>
              <w:snapToGrid w:val="0"/>
              <w:spacing w:line="4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7</w:t>
            </w:r>
          </w:p>
        </w:tc>
        <w:tc>
          <w:tcPr>
            <w:tcW w:w="6513" w:type="dxa"/>
            <w:shd w:val="clear" w:color="auto" w:fill="FFFFFF"/>
            <w:vAlign w:val="center"/>
          </w:tcPr>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获省级或厅局级以上管理部门授予的科学技术推广应用奖励情况（提供奖励证书复印件），每份3.5分，最高得7分。没有有效证明材料或有效证明材料不足的不得分。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79" w:hRule="atLeast"/>
          <w:jc w:val="center"/>
        </w:trPr>
        <w:tc>
          <w:tcPr>
            <w:tcW w:w="705" w:type="dxa"/>
            <w:shd w:val="clear" w:color="auto" w:fill="FFFFFF"/>
            <w:vAlign w:val="center"/>
          </w:tcPr>
          <w:p>
            <w:pPr>
              <w:snapToGrid w:val="0"/>
              <w:spacing w:line="4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1080" w:type="dxa"/>
            <w:shd w:val="clear" w:color="auto" w:fill="FFFFFF"/>
            <w:vAlign w:val="center"/>
          </w:tcPr>
          <w:p>
            <w:pPr>
              <w:snapToGrid w:val="0"/>
              <w:spacing w:line="4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科研能力</w:t>
            </w:r>
          </w:p>
        </w:tc>
        <w:tc>
          <w:tcPr>
            <w:tcW w:w="705" w:type="dxa"/>
            <w:shd w:val="clear" w:color="auto" w:fill="FFFFFF"/>
            <w:vAlign w:val="center"/>
          </w:tcPr>
          <w:p>
            <w:pPr>
              <w:snapToGrid w:val="0"/>
              <w:spacing w:line="400" w:lineRule="exact"/>
              <w:jc w:val="center"/>
              <w:rPr>
                <w:rFonts w:ascii="仿宋" w:hAnsi="仿宋" w:eastAsia="仿宋" w:cs="仿宋"/>
                <w:color w:val="auto"/>
                <w:szCs w:val="21"/>
                <w:highlight w:val="none"/>
              </w:rPr>
            </w:pPr>
            <w:r>
              <w:rPr>
                <w:rFonts w:ascii="仿宋" w:hAnsi="仿宋" w:eastAsia="仿宋" w:cs="仿宋"/>
                <w:color w:val="auto"/>
                <w:szCs w:val="21"/>
                <w:highlight w:val="none"/>
              </w:rPr>
              <w:t>10</w:t>
            </w:r>
          </w:p>
        </w:tc>
        <w:tc>
          <w:tcPr>
            <w:tcW w:w="6513" w:type="dxa"/>
            <w:shd w:val="clear" w:color="auto" w:fill="FFFFFF"/>
            <w:vAlign w:val="center"/>
          </w:tcPr>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承接厅局级以上气象行业科研项目完成情况（提供科研项目任务书关键页和结题验收证明材料复印件），每个项目提供任务书和验收证明得2分。仅有任务书无验收证明得1分，最高不超过</w:t>
            </w:r>
            <w:r>
              <w:rPr>
                <w:rFonts w:ascii="仿宋" w:hAnsi="仿宋" w:eastAsia="仿宋" w:cs="仿宋"/>
                <w:color w:val="auto"/>
                <w:szCs w:val="21"/>
                <w:highlight w:val="none"/>
              </w:rPr>
              <w:t>10</w:t>
            </w:r>
            <w:r>
              <w:rPr>
                <w:rFonts w:hint="eastAsia" w:ascii="仿宋" w:hAnsi="仿宋" w:eastAsia="仿宋" w:cs="仿宋"/>
                <w:color w:val="auto"/>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60" w:hRule="atLeast"/>
          <w:jc w:val="center"/>
        </w:trPr>
        <w:tc>
          <w:tcPr>
            <w:tcW w:w="705" w:type="dxa"/>
            <w:shd w:val="clear" w:color="auto" w:fill="FFFFFF"/>
            <w:vAlign w:val="center"/>
          </w:tcPr>
          <w:p>
            <w:pPr>
              <w:snapToGrid w:val="0"/>
              <w:spacing w:line="4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1080" w:type="dxa"/>
            <w:shd w:val="clear" w:color="auto" w:fill="FFFFFF"/>
            <w:vAlign w:val="center"/>
          </w:tcPr>
          <w:p>
            <w:pPr>
              <w:snapToGrid w:val="0"/>
              <w:spacing w:line="4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服务便利性情况</w:t>
            </w:r>
          </w:p>
        </w:tc>
        <w:tc>
          <w:tcPr>
            <w:tcW w:w="705" w:type="dxa"/>
            <w:shd w:val="clear" w:color="auto" w:fill="FFFFFF"/>
            <w:vAlign w:val="center"/>
          </w:tcPr>
          <w:p>
            <w:pPr>
              <w:snapToGrid w:val="0"/>
              <w:spacing w:line="400" w:lineRule="exact"/>
              <w:jc w:val="center"/>
              <w:rPr>
                <w:rFonts w:ascii="仿宋" w:hAnsi="仿宋" w:eastAsia="仿宋" w:cs="仿宋"/>
                <w:color w:val="auto"/>
                <w:szCs w:val="21"/>
                <w:highlight w:val="none"/>
              </w:rPr>
            </w:pPr>
            <w:r>
              <w:rPr>
                <w:rFonts w:ascii="仿宋" w:hAnsi="仿宋" w:eastAsia="仿宋" w:cs="仿宋"/>
                <w:color w:val="auto"/>
                <w:szCs w:val="21"/>
                <w:highlight w:val="none"/>
              </w:rPr>
              <w:t>4</w:t>
            </w:r>
          </w:p>
        </w:tc>
        <w:tc>
          <w:tcPr>
            <w:tcW w:w="6513" w:type="dxa"/>
            <w:shd w:val="clear" w:color="auto" w:fill="FFFFFF"/>
            <w:vAlign w:val="center"/>
          </w:tcPr>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投标人服务便利性情况方案进行评审：</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1.投标人提供服务便利性方案最科学、响应最迅速，得</w:t>
            </w:r>
            <w:r>
              <w:rPr>
                <w:rFonts w:ascii="仿宋" w:hAnsi="仿宋" w:eastAsia="仿宋" w:cs="仿宋"/>
                <w:color w:val="auto"/>
                <w:szCs w:val="21"/>
                <w:highlight w:val="none"/>
              </w:rPr>
              <w:t>4</w:t>
            </w:r>
            <w:r>
              <w:rPr>
                <w:rFonts w:hint="eastAsia" w:ascii="仿宋" w:hAnsi="仿宋" w:eastAsia="仿宋" w:cs="仿宋"/>
                <w:color w:val="auto"/>
                <w:szCs w:val="21"/>
                <w:highlight w:val="none"/>
              </w:rPr>
              <w:t>分；</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2.投标人提供服务便利性方案较科学、相应较迅速，得</w:t>
            </w:r>
            <w:r>
              <w:rPr>
                <w:rFonts w:ascii="仿宋" w:hAnsi="仿宋" w:eastAsia="仿宋" w:cs="仿宋"/>
                <w:color w:val="auto"/>
                <w:szCs w:val="21"/>
                <w:highlight w:val="none"/>
              </w:rPr>
              <w:t>2</w:t>
            </w:r>
            <w:r>
              <w:rPr>
                <w:rFonts w:hint="eastAsia" w:ascii="仿宋" w:hAnsi="仿宋" w:eastAsia="仿宋" w:cs="仿宋"/>
                <w:color w:val="auto"/>
                <w:szCs w:val="21"/>
                <w:highlight w:val="none"/>
              </w:rPr>
              <w:t>分；</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3.投标人提供服务便利性方案不科学、相应慢，得1分；</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4.不提供相应方案不得分。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003" w:type="dxa"/>
            <w:gridSpan w:val="4"/>
            <w:shd w:val="clear" w:color="auto" w:fill="FFFFFF"/>
            <w:vAlign w:val="center"/>
          </w:tcPr>
          <w:p>
            <w:pPr>
              <w:jc w:val="center"/>
              <w:rPr>
                <w:rFonts w:ascii="仿宋" w:hAnsi="仿宋" w:eastAsia="仿宋" w:cs="仿宋"/>
                <w:color w:val="auto"/>
                <w:szCs w:val="21"/>
                <w:highlight w:val="none"/>
              </w:rPr>
            </w:pPr>
            <w:r>
              <w:rPr>
                <w:rFonts w:hint="eastAsia" w:ascii="仿宋" w:hAnsi="仿宋" w:eastAsia="仿宋" w:cs="仿宋"/>
                <w:b/>
                <w:bCs/>
                <w:color w:val="auto"/>
                <w:szCs w:val="21"/>
                <w:highlight w:val="none"/>
              </w:rPr>
              <w:t>商务评分合计 35分</w:t>
            </w:r>
          </w:p>
        </w:tc>
      </w:tr>
    </w:tbl>
    <w:p>
      <w:pPr>
        <w:pStyle w:val="2"/>
        <w:jc w:val="left"/>
        <w:rPr>
          <w:color w:val="auto"/>
          <w:highlight w:val="none"/>
        </w:rPr>
      </w:pP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备注：仅对资格性和符合性审查合格的投标文件进行评分；评分小数点保留至0.01。</w:t>
      </w:r>
    </w:p>
    <w:p>
      <w:pPr>
        <w:pStyle w:val="2"/>
        <w:jc w:val="both"/>
        <w:rPr>
          <w:color w:val="auto"/>
          <w:highlight w:val="none"/>
        </w:rPr>
      </w:pPr>
    </w:p>
    <w:p>
      <w:pPr>
        <w:pStyle w:val="99"/>
        <w:keepNext w:val="0"/>
        <w:tabs>
          <w:tab w:val="left" w:pos="0"/>
        </w:tabs>
        <w:spacing w:after="0" w:line="360" w:lineRule="auto"/>
        <w:outlineLvl w:val="2"/>
        <w:rPr>
          <w:rFonts w:ascii="宋体" w:hAnsi="宋体" w:cs="宋体"/>
          <w:b/>
          <w:color w:val="auto"/>
          <w:szCs w:val="21"/>
          <w:highlight w:val="none"/>
        </w:rPr>
      </w:pPr>
      <w:r>
        <w:rPr>
          <w:rFonts w:hint="eastAsia" w:ascii="宋体" w:hAnsi="宋体" w:cs="宋体"/>
          <w:b/>
          <w:color w:val="auto"/>
          <w:szCs w:val="21"/>
          <w:highlight w:val="none"/>
        </w:rPr>
        <w:t>2.技术评分标准：（总分：45分）</w:t>
      </w:r>
    </w:p>
    <w:tbl>
      <w:tblPr>
        <w:tblStyle w:val="49"/>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634"/>
        <w:gridCol w:w="1049"/>
        <w:gridCol w:w="638"/>
        <w:gridCol w:w="65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82" w:hRule="atLeast"/>
          <w:jc w:val="center"/>
        </w:trPr>
        <w:tc>
          <w:tcPr>
            <w:tcW w:w="358" w:type="pct"/>
            <w:shd w:val="clear" w:color="auto" w:fill="FFFFFF"/>
            <w:vAlign w:val="center"/>
          </w:tcPr>
          <w:p>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序号</w:t>
            </w:r>
          </w:p>
        </w:tc>
        <w:tc>
          <w:tcPr>
            <w:tcW w:w="592" w:type="pct"/>
            <w:shd w:val="clear" w:color="auto" w:fill="FFFFFF"/>
            <w:vAlign w:val="center"/>
          </w:tcPr>
          <w:p>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评分因素</w:t>
            </w:r>
          </w:p>
        </w:tc>
        <w:tc>
          <w:tcPr>
            <w:tcW w:w="360" w:type="pct"/>
            <w:shd w:val="clear" w:color="auto" w:fill="FFFFFF"/>
            <w:vAlign w:val="center"/>
          </w:tcPr>
          <w:p>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分值</w:t>
            </w:r>
          </w:p>
        </w:tc>
        <w:tc>
          <w:tcPr>
            <w:tcW w:w="3689" w:type="pct"/>
            <w:shd w:val="clear" w:color="auto" w:fill="FFFFFF"/>
            <w:vAlign w:val="center"/>
          </w:tcPr>
          <w:p>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评分准则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1" w:hRule="atLeast"/>
          <w:jc w:val="center"/>
        </w:trPr>
        <w:tc>
          <w:tcPr>
            <w:tcW w:w="358" w:type="pct"/>
            <w:shd w:val="clear" w:color="auto" w:fill="FFFFFF"/>
            <w:vAlign w:val="center"/>
          </w:tcPr>
          <w:p>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w:t>
            </w:r>
          </w:p>
        </w:tc>
        <w:tc>
          <w:tcPr>
            <w:tcW w:w="592" w:type="pct"/>
            <w:shd w:val="clear" w:color="auto" w:fill="FFFFFF"/>
            <w:vAlign w:val="center"/>
          </w:tcPr>
          <w:p>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需求分析及运营服务原则和思路</w:t>
            </w:r>
          </w:p>
        </w:tc>
        <w:tc>
          <w:tcPr>
            <w:tcW w:w="360" w:type="pct"/>
            <w:shd w:val="clear" w:color="auto" w:fill="FFFFFF"/>
            <w:vAlign w:val="center"/>
          </w:tcPr>
          <w:p>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3689" w:type="pct"/>
            <w:shd w:val="clear" w:color="auto" w:fill="FFFFFF"/>
            <w:vAlign w:val="center"/>
          </w:tcPr>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考察投标人对项目需求的理解，以及采用符合运营和业务发展趋势的服务思路：</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（1）所提供的方案全面、合理、可行性好，为优，得4分；</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（2）所提供的方案较全面、合理、可行性较好，为良，得2分；</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（3）所提供的方案不全面、合理性差、可行性一般，为一般，得</w:t>
            </w:r>
            <w:r>
              <w:rPr>
                <w:rFonts w:ascii="仿宋" w:hAnsi="仿宋" w:eastAsia="仿宋" w:cs="仿宋"/>
                <w:color w:val="auto"/>
                <w:szCs w:val="21"/>
                <w:highlight w:val="none"/>
              </w:rPr>
              <w:t>1</w:t>
            </w:r>
            <w:r>
              <w:rPr>
                <w:rFonts w:hint="eastAsia" w:ascii="仿宋" w:hAnsi="仿宋" w:eastAsia="仿宋" w:cs="仿宋"/>
                <w:color w:val="auto"/>
                <w:szCs w:val="21"/>
                <w:highlight w:val="none"/>
              </w:rPr>
              <w:t>分。</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（4）无法提供方案，得0分。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631" w:hRule="atLeast"/>
          <w:jc w:val="center"/>
        </w:trPr>
        <w:tc>
          <w:tcPr>
            <w:tcW w:w="358" w:type="pct"/>
            <w:shd w:val="clear" w:color="auto" w:fill="FFFFFF"/>
            <w:vAlign w:val="center"/>
          </w:tcPr>
          <w:p>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w:t>
            </w:r>
          </w:p>
        </w:tc>
        <w:tc>
          <w:tcPr>
            <w:tcW w:w="592" w:type="pct"/>
            <w:shd w:val="clear" w:color="auto" w:fill="FFFFFF"/>
            <w:vAlign w:val="center"/>
          </w:tcPr>
          <w:p>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预警信息采集、发布与质控</w:t>
            </w:r>
          </w:p>
        </w:tc>
        <w:tc>
          <w:tcPr>
            <w:tcW w:w="360" w:type="pct"/>
            <w:shd w:val="clear" w:color="auto" w:fill="FFFFFF"/>
            <w:vAlign w:val="center"/>
          </w:tcPr>
          <w:p>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8</w:t>
            </w:r>
          </w:p>
        </w:tc>
        <w:tc>
          <w:tcPr>
            <w:tcW w:w="3689" w:type="pct"/>
            <w:shd w:val="clear" w:color="auto" w:fill="FFFFFF"/>
            <w:vAlign w:val="center"/>
          </w:tcPr>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根据投标人所提供的对预警信息采集、发布与质控需求，特别是对信息员责任人信息报送接口和联动部门对接服务方面的响应情况评审：</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（1）所提供的响应情况全面、合理、可行性好，为优，得8分；</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（2）所提供的响应情况较全面、合理、可行性较好，为良，得4分；</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（3）所提供的响应情况不全面、合理性差、可行性一般，为一般，得</w:t>
            </w:r>
            <w:r>
              <w:rPr>
                <w:rFonts w:ascii="仿宋" w:hAnsi="仿宋" w:eastAsia="仿宋" w:cs="仿宋"/>
                <w:color w:val="auto"/>
                <w:szCs w:val="21"/>
                <w:highlight w:val="none"/>
              </w:rPr>
              <w:t>1</w:t>
            </w:r>
            <w:r>
              <w:rPr>
                <w:rFonts w:hint="eastAsia" w:ascii="仿宋" w:hAnsi="仿宋" w:eastAsia="仿宋" w:cs="仿宋"/>
                <w:color w:val="auto"/>
                <w:szCs w:val="21"/>
                <w:highlight w:val="none"/>
              </w:rPr>
              <w:t>分；</w:t>
            </w:r>
          </w:p>
          <w:p>
            <w:pPr>
              <w:pStyle w:val="2"/>
              <w:jc w:val="both"/>
              <w:rPr>
                <w:rFonts w:ascii="仿宋" w:hAnsi="仿宋" w:eastAsia="仿宋" w:cs="仿宋"/>
                <w:color w:val="auto"/>
                <w:szCs w:val="21"/>
                <w:highlight w:val="none"/>
              </w:rPr>
            </w:pPr>
            <w:r>
              <w:rPr>
                <w:rFonts w:hint="eastAsia" w:ascii="仿宋" w:hAnsi="仿宋" w:eastAsia="仿宋" w:cs="仿宋"/>
                <w:color w:val="auto"/>
                <w:szCs w:val="21"/>
                <w:highlight w:val="none"/>
              </w:rPr>
              <w:t>（4）无法提供响应情况，得0分。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1" w:hRule="atLeast"/>
          <w:jc w:val="center"/>
        </w:trPr>
        <w:tc>
          <w:tcPr>
            <w:tcW w:w="358" w:type="pct"/>
            <w:shd w:val="clear" w:color="auto" w:fill="FFFFFF"/>
            <w:vAlign w:val="center"/>
          </w:tcPr>
          <w:p>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3</w:t>
            </w:r>
          </w:p>
        </w:tc>
        <w:tc>
          <w:tcPr>
            <w:tcW w:w="592" w:type="pct"/>
            <w:shd w:val="clear" w:color="auto" w:fill="FFFFFF"/>
            <w:vAlign w:val="center"/>
          </w:tcPr>
          <w:p>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报灾模块运营服务</w:t>
            </w:r>
          </w:p>
        </w:tc>
        <w:tc>
          <w:tcPr>
            <w:tcW w:w="360" w:type="pct"/>
            <w:shd w:val="clear" w:color="auto" w:fill="FFFFFF"/>
            <w:vAlign w:val="center"/>
          </w:tcPr>
          <w:p>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8</w:t>
            </w:r>
          </w:p>
        </w:tc>
        <w:tc>
          <w:tcPr>
            <w:tcW w:w="3689" w:type="pct"/>
            <w:shd w:val="clear" w:color="auto" w:fill="FFFFFF"/>
            <w:vAlign w:val="center"/>
          </w:tcPr>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根据投标人所提供的对报灾模块运营服务需求的响应情况评审：</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（1）所提供的响应情况全面、合理、可行性好，为优，得8分；</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（2）所提供的响应情况较全面、合理、可行性较好，为良，得4分；</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（3）所提供的响应情况不全面、合理性差、可行性一般，为一般，得</w:t>
            </w:r>
            <w:r>
              <w:rPr>
                <w:rFonts w:ascii="仿宋" w:hAnsi="仿宋" w:eastAsia="仿宋" w:cs="仿宋"/>
                <w:color w:val="auto"/>
                <w:szCs w:val="21"/>
                <w:highlight w:val="none"/>
              </w:rPr>
              <w:t>1</w:t>
            </w:r>
            <w:r>
              <w:rPr>
                <w:rFonts w:hint="eastAsia" w:ascii="仿宋" w:hAnsi="仿宋" w:eastAsia="仿宋" w:cs="仿宋"/>
                <w:color w:val="auto"/>
                <w:szCs w:val="21"/>
                <w:highlight w:val="none"/>
              </w:rPr>
              <w:t>分；</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（4）无法提供响应情况，得0分。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1" w:hRule="atLeast"/>
          <w:jc w:val="center"/>
        </w:trPr>
        <w:tc>
          <w:tcPr>
            <w:tcW w:w="358" w:type="pct"/>
            <w:shd w:val="clear" w:color="auto" w:fill="FFFFFF"/>
            <w:vAlign w:val="center"/>
          </w:tcPr>
          <w:p>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4</w:t>
            </w:r>
          </w:p>
        </w:tc>
        <w:tc>
          <w:tcPr>
            <w:tcW w:w="592" w:type="pct"/>
            <w:shd w:val="clear" w:color="auto" w:fill="FFFFFF"/>
            <w:vAlign w:val="center"/>
          </w:tcPr>
          <w:p>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预警信息发布系统运营服务</w:t>
            </w:r>
          </w:p>
        </w:tc>
        <w:tc>
          <w:tcPr>
            <w:tcW w:w="360" w:type="pct"/>
            <w:shd w:val="clear" w:color="auto" w:fill="FFFFFF"/>
            <w:vAlign w:val="center"/>
          </w:tcPr>
          <w:p>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8</w:t>
            </w:r>
          </w:p>
        </w:tc>
        <w:tc>
          <w:tcPr>
            <w:tcW w:w="3689" w:type="pct"/>
            <w:shd w:val="clear" w:color="auto" w:fill="FFFFFF"/>
            <w:vAlign w:val="center"/>
          </w:tcPr>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根据投标人所提供的预警信息发布系统运营服务需求，特别是对系统外部接口监控和全网短信发布支撑方面的响应情况评审：</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（1）所提供的响应情况全面、合理、可行性好，为优，得8分；</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（2）所提供的响应情况较全面、合理、可行性较好，为良，得4分；</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（3）所提供的响应情况不全面、合理性差、可行性一般，为一般，得</w:t>
            </w:r>
            <w:r>
              <w:rPr>
                <w:rFonts w:ascii="仿宋" w:hAnsi="仿宋" w:eastAsia="仿宋" w:cs="仿宋"/>
                <w:color w:val="auto"/>
                <w:szCs w:val="21"/>
                <w:highlight w:val="none"/>
              </w:rPr>
              <w:t>1</w:t>
            </w:r>
            <w:r>
              <w:rPr>
                <w:rFonts w:hint="eastAsia" w:ascii="仿宋" w:hAnsi="仿宋" w:eastAsia="仿宋" w:cs="仿宋"/>
                <w:color w:val="auto"/>
                <w:szCs w:val="21"/>
                <w:highlight w:val="none"/>
              </w:rPr>
              <w:t>分；</w:t>
            </w:r>
          </w:p>
          <w:p>
            <w:pPr>
              <w:pStyle w:val="2"/>
              <w:jc w:val="both"/>
              <w:rPr>
                <w:rFonts w:ascii="仿宋" w:hAnsi="仿宋" w:eastAsia="仿宋" w:cs="仿宋"/>
                <w:color w:val="auto"/>
                <w:szCs w:val="21"/>
                <w:highlight w:val="none"/>
              </w:rPr>
            </w:pPr>
            <w:r>
              <w:rPr>
                <w:rFonts w:hint="eastAsia" w:ascii="仿宋" w:hAnsi="仿宋" w:eastAsia="仿宋" w:cs="仿宋"/>
                <w:color w:val="auto"/>
                <w:szCs w:val="21"/>
                <w:highlight w:val="none"/>
              </w:rPr>
              <w:t>（4）无法提供响应情况，得0分。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1" w:hRule="atLeast"/>
          <w:jc w:val="center"/>
        </w:trPr>
        <w:tc>
          <w:tcPr>
            <w:tcW w:w="358" w:type="pct"/>
            <w:shd w:val="clear" w:color="auto" w:fill="FFFFFF"/>
            <w:vAlign w:val="center"/>
          </w:tcPr>
          <w:p>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5</w:t>
            </w:r>
          </w:p>
        </w:tc>
        <w:tc>
          <w:tcPr>
            <w:tcW w:w="592" w:type="pct"/>
            <w:shd w:val="clear" w:color="auto" w:fill="FFFFFF"/>
            <w:vAlign w:val="center"/>
          </w:tcPr>
          <w:p>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数据接口运营与分析</w:t>
            </w:r>
          </w:p>
        </w:tc>
        <w:tc>
          <w:tcPr>
            <w:tcW w:w="360" w:type="pct"/>
            <w:shd w:val="clear" w:color="auto" w:fill="FFFFFF"/>
            <w:vAlign w:val="center"/>
          </w:tcPr>
          <w:p>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8</w:t>
            </w:r>
          </w:p>
        </w:tc>
        <w:tc>
          <w:tcPr>
            <w:tcW w:w="3689" w:type="pct"/>
            <w:shd w:val="clear" w:color="auto" w:fill="FFFFFF"/>
            <w:vAlign w:val="center"/>
          </w:tcPr>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根据投标人所提供的对数据接口运营与分析需求的响应情况,特别是对信息员报送接口和国突接口检测优化方面的评审：</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（1）所提供的响应情况全面、合理、可行性好，为优，得8分；</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（2）所提供的响应情况较全面、合理、可行性较好，为良，得4分；</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（3）所提供的响应情况不全面、合理性差、可行性一般，为一般，得</w:t>
            </w:r>
            <w:r>
              <w:rPr>
                <w:rFonts w:ascii="仿宋" w:hAnsi="仿宋" w:eastAsia="仿宋" w:cs="仿宋"/>
                <w:color w:val="auto"/>
                <w:szCs w:val="21"/>
                <w:highlight w:val="none"/>
              </w:rPr>
              <w:t>1</w:t>
            </w:r>
            <w:r>
              <w:rPr>
                <w:rFonts w:hint="eastAsia" w:ascii="仿宋" w:hAnsi="仿宋" w:eastAsia="仿宋" w:cs="仿宋"/>
                <w:color w:val="auto"/>
                <w:szCs w:val="21"/>
                <w:highlight w:val="none"/>
              </w:rPr>
              <w:t>分；</w:t>
            </w:r>
          </w:p>
          <w:p>
            <w:pPr>
              <w:pStyle w:val="2"/>
              <w:jc w:val="left"/>
              <w:rPr>
                <w:color w:val="auto"/>
                <w:highlight w:val="none"/>
              </w:rPr>
            </w:pPr>
            <w:r>
              <w:rPr>
                <w:rFonts w:hint="eastAsia" w:ascii="仿宋" w:hAnsi="仿宋" w:eastAsia="仿宋" w:cs="仿宋"/>
                <w:color w:val="auto"/>
                <w:szCs w:val="21"/>
                <w:highlight w:val="none"/>
              </w:rPr>
              <w:t>（4）无法提供响应情况，得0分。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358" w:type="pct"/>
            <w:shd w:val="clear" w:color="auto" w:fill="FFFFFF"/>
            <w:vAlign w:val="center"/>
          </w:tcPr>
          <w:p>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6</w:t>
            </w:r>
          </w:p>
        </w:tc>
        <w:tc>
          <w:tcPr>
            <w:tcW w:w="592" w:type="pct"/>
            <w:shd w:val="clear" w:color="auto" w:fill="FFFFFF"/>
            <w:vAlign w:val="center"/>
          </w:tcPr>
          <w:p>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人员安排</w:t>
            </w:r>
          </w:p>
        </w:tc>
        <w:tc>
          <w:tcPr>
            <w:tcW w:w="360" w:type="pct"/>
            <w:shd w:val="clear" w:color="auto" w:fill="FFFFFF"/>
            <w:vAlign w:val="center"/>
          </w:tcPr>
          <w:p>
            <w:pPr>
              <w:jc w:val="center"/>
              <w:rPr>
                <w:rFonts w:ascii="仿宋" w:hAnsi="仿宋" w:eastAsia="仿宋" w:cs="仿宋"/>
                <w:color w:val="auto"/>
                <w:szCs w:val="21"/>
                <w:highlight w:val="none"/>
              </w:rPr>
            </w:pPr>
            <w:r>
              <w:rPr>
                <w:rFonts w:ascii="仿宋" w:hAnsi="仿宋" w:eastAsia="仿宋" w:cs="仿宋"/>
                <w:color w:val="auto"/>
                <w:szCs w:val="21"/>
                <w:highlight w:val="none"/>
              </w:rPr>
              <w:t>9</w:t>
            </w:r>
          </w:p>
        </w:tc>
        <w:tc>
          <w:tcPr>
            <w:tcW w:w="3689" w:type="pct"/>
            <w:shd w:val="clear" w:color="auto" w:fill="FFFFFF"/>
            <w:vAlign w:val="center"/>
          </w:tcPr>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投标人为本项目拟派的技术团队中，每具备一个气象类高级工程师职称或以上的得1分，气象类中级工程师职称的得0</w:t>
            </w:r>
            <w:r>
              <w:rPr>
                <w:rFonts w:ascii="仿宋" w:hAnsi="仿宋" w:eastAsia="仿宋" w:cs="仿宋"/>
                <w:color w:val="auto"/>
                <w:szCs w:val="21"/>
                <w:highlight w:val="none"/>
              </w:rPr>
              <w:t>.</w:t>
            </w:r>
            <w:r>
              <w:rPr>
                <w:rFonts w:hint="eastAsia" w:ascii="仿宋" w:hAnsi="仿宋" w:eastAsia="仿宋" w:cs="仿宋"/>
                <w:color w:val="auto"/>
                <w:szCs w:val="21"/>
                <w:highlight w:val="none"/>
              </w:rPr>
              <w:t>3分,其他的得0.1分（提供厅局级或以上专业技术职务评审委员会颁发的《专业技术资格证书》和社保部门出具的社保参保证明。本项最高</w:t>
            </w:r>
            <w:r>
              <w:rPr>
                <w:rFonts w:ascii="仿宋" w:hAnsi="仿宋" w:eastAsia="仿宋" w:cs="仿宋"/>
                <w:color w:val="auto"/>
                <w:szCs w:val="21"/>
                <w:highlight w:val="none"/>
              </w:rPr>
              <w:t>9</w:t>
            </w:r>
            <w:r>
              <w:rPr>
                <w:rFonts w:hint="eastAsia" w:ascii="仿宋" w:hAnsi="仿宋" w:eastAsia="仿宋" w:cs="仿宋"/>
                <w:color w:val="auto"/>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000" w:type="pct"/>
            <w:gridSpan w:val="4"/>
            <w:shd w:val="clear" w:color="auto" w:fill="FFFFFF"/>
            <w:vAlign w:val="center"/>
          </w:tcPr>
          <w:p>
            <w:pPr>
              <w:spacing w:line="360" w:lineRule="auto"/>
              <w:jc w:val="center"/>
              <w:rPr>
                <w:rFonts w:ascii="仿宋" w:hAnsi="仿宋" w:eastAsia="仿宋" w:cs="仿宋"/>
                <w:color w:val="auto"/>
                <w:szCs w:val="21"/>
                <w:highlight w:val="none"/>
              </w:rPr>
            </w:pPr>
            <w:r>
              <w:rPr>
                <w:rFonts w:hint="eastAsia" w:ascii="仿宋" w:hAnsi="仿宋" w:eastAsia="仿宋" w:cs="仿宋"/>
                <w:b/>
                <w:bCs/>
                <w:color w:val="auto"/>
                <w:szCs w:val="21"/>
                <w:highlight w:val="none"/>
              </w:rPr>
              <w:t>技术评分合计 45分</w:t>
            </w:r>
          </w:p>
        </w:tc>
      </w:tr>
    </w:tbl>
    <w:p>
      <w:pPr>
        <w:pStyle w:val="164"/>
        <w:ind w:firstLine="0" w:firstLineChars="0"/>
        <w:rPr>
          <w:color w:val="auto"/>
          <w:highlight w:val="none"/>
        </w:rPr>
      </w:pP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备注：仅对资格性和符合性审查合格的投标文件进行评分；评分小数点保留至0.01。</w:t>
      </w:r>
    </w:p>
    <w:p>
      <w:pPr>
        <w:spacing w:line="360" w:lineRule="auto"/>
        <w:rPr>
          <w:rFonts w:hAnsi="宋体" w:cs="宋体"/>
          <w:color w:val="auto"/>
          <w:szCs w:val="21"/>
          <w:highlight w:val="none"/>
        </w:rPr>
      </w:pPr>
    </w:p>
    <w:p>
      <w:pPr>
        <w:spacing w:line="360" w:lineRule="auto"/>
        <w:rPr>
          <w:rFonts w:hAnsi="宋体" w:cs="宋体"/>
          <w:b/>
          <w:color w:val="auto"/>
          <w:szCs w:val="21"/>
          <w:highlight w:val="none"/>
        </w:rPr>
      </w:pPr>
      <w:r>
        <w:rPr>
          <w:rFonts w:hint="eastAsia" w:hAnsi="宋体" w:cs="宋体"/>
          <w:b/>
          <w:color w:val="auto"/>
          <w:szCs w:val="21"/>
          <w:highlight w:val="none"/>
        </w:rPr>
        <w:t>2.价格分值：20分</w:t>
      </w:r>
    </w:p>
    <w:p>
      <w:pPr>
        <w:pStyle w:val="45"/>
        <w:widowControl w:val="0"/>
        <w:spacing w:before="0" w:beforeAutospacing="0" w:after="0" w:afterAutospacing="0" w:line="360" w:lineRule="auto"/>
        <w:ind w:firstLine="420" w:firstLineChars="200"/>
        <w:rPr>
          <w:rFonts w:ascii="仿宋" w:hAnsi="仿宋" w:eastAsia="仿宋" w:cs="仿宋"/>
          <w:b/>
          <w:color w:val="auto"/>
          <w:sz w:val="21"/>
          <w:szCs w:val="21"/>
          <w:highlight w:val="none"/>
        </w:rPr>
      </w:pPr>
      <w:r>
        <w:rPr>
          <w:rFonts w:hint="eastAsia" w:ascii="仿宋" w:hAnsi="仿宋" w:eastAsia="仿宋" w:cs="仿宋"/>
          <w:color w:val="auto"/>
          <w:sz w:val="21"/>
          <w:szCs w:val="21"/>
          <w:highlight w:val="none"/>
        </w:rPr>
        <w:t>本项目的价格分采用低价优先法计算，即通过本项目资格性检查与符合性检查且投标价格最低的投标报价为评标基准价，其价格分为满分,即20分。其他投标人的价格分统一按照下列公式计算：</w:t>
      </w:r>
      <w:r>
        <w:rPr>
          <w:rFonts w:hint="eastAsia" w:ascii="仿宋" w:hAnsi="仿宋" w:eastAsia="仿宋" w:cs="仿宋"/>
          <w:b/>
          <w:color w:val="auto"/>
          <w:sz w:val="21"/>
          <w:szCs w:val="21"/>
          <w:highlight w:val="none"/>
        </w:rPr>
        <w:t>投标报价得分=(评标基准价／投标报价)×20。</w:t>
      </w:r>
    </w:p>
    <w:p>
      <w:pPr>
        <w:pStyle w:val="45"/>
        <w:widowControl w:val="0"/>
        <w:spacing w:before="0" w:beforeAutospacing="0" w:after="0" w:afterAutospacing="0"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pPr>
        <w:pStyle w:val="45"/>
        <w:widowControl w:val="0"/>
        <w:spacing w:before="0" w:beforeAutospacing="0" w:after="0" w:afterAutospacing="0"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1）价格修正：投标人的投标报价中经评标委员会确定为供货范围（包括货物、工程和服务）缺漏项，而进行调整的，调整价为该项目在其他有效投标中的最高报价。</w:t>
      </w:r>
    </w:p>
    <w:p>
      <w:pPr>
        <w:pStyle w:val="45"/>
        <w:widowControl w:val="0"/>
        <w:spacing w:before="0" w:beforeAutospacing="0" w:after="0" w:afterAutospacing="0"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2）评标委员会将按照上述修正错误的方法调整该投标人的投标文件中的投标报价，调整后的价格对投标人具有约束力。如果投标人不接受修正后的投标价格，则其投标将被拒绝。</w:t>
      </w:r>
    </w:p>
    <w:p>
      <w:pPr>
        <w:pStyle w:val="45"/>
        <w:widowControl w:val="0"/>
        <w:spacing w:before="0" w:beforeAutospacing="0" w:after="0" w:afterAutospacing="0"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3）落实的政府采购政策</w:t>
      </w:r>
    </w:p>
    <w:p>
      <w:pPr>
        <w:pStyle w:val="45"/>
        <w:spacing w:beforeAutospacing="0" w:afterAutospacing="0"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3.1）根据《政府采购促进中小企业发展管理办法》(财库(2020)46号)的规定，对小型和微型企业产品的价格给予10%的扣除，用扣除后的价格参与评审；投标产品中仅有部分小型和微型企业产品的，则不得享受价格的扣除。</w:t>
      </w:r>
    </w:p>
    <w:p>
      <w:pPr>
        <w:pStyle w:val="45"/>
        <w:spacing w:beforeAutospacing="0" w:afterAutospacing="0"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3.2）《政府采购促进中小企业发展管理办法》(财库(2020)46号)所称中小企业（含中型、小型、微型企业，下同）是指在中华人民共和国境内依法设立，依据国务院批准的中小企业划分标准确定的中型企业、小型企业和微型企业，但与大企业的负责人为同一人，或者与大企业存在直接控股、管理关系的除外。</w:t>
      </w:r>
    </w:p>
    <w:p>
      <w:pPr>
        <w:pStyle w:val="45"/>
        <w:spacing w:beforeAutospacing="0" w:afterAutospacing="0"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3.3）参加政府采购活动的中小微企业或提供中小微企业生产的产品应当提供《中小企业声明函》。</w:t>
      </w:r>
    </w:p>
    <w:p>
      <w:pPr>
        <w:pStyle w:val="45"/>
        <w:spacing w:beforeAutospacing="0" w:afterAutospacing="0"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3.4）监狱企业产品价格扣除</w:t>
      </w:r>
    </w:p>
    <w:p>
      <w:pPr>
        <w:pStyle w:val="45"/>
        <w:spacing w:beforeAutospacing="0" w:afterAutospacing="0"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3.4.1）监狱企业视同小型、微型企业，按上述3.1）、3.2）条款享受评审中价格扣除。</w:t>
      </w:r>
    </w:p>
    <w:p>
      <w:pPr>
        <w:pStyle w:val="45"/>
        <w:spacing w:beforeAutospacing="0" w:afterAutospacing="0"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3.4.2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45"/>
        <w:spacing w:beforeAutospacing="0" w:afterAutospacing="0"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3.4.3）监狱企业参加政府采购活动时，应当提供由省级以上监狱管理局、戒毒管理局（含新疆生产建设兵团）出具的属于监狱企业的证明文件，否则不予认可。</w:t>
      </w:r>
    </w:p>
    <w:p>
      <w:pPr>
        <w:pStyle w:val="45"/>
        <w:spacing w:beforeAutospacing="0" w:afterAutospacing="0"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3.5）残疾人福利性单位产品价格扣除</w:t>
      </w:r>
    </w:p>
    <w:p>
      <w:pPr>
        <w:pStyle w:val="45"/>
        <w:spacing w:beforeAutospacing="0" w:afterAutospacing="0"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3.5.1）残疾人福利性单位视同小型、微型企业，按上述3.1）、3.2）条款享受评审中价格扣除。</w:t>
      </w:r>
    </w:p>
    <w:p>
      <w:pPr>
        <w:pStyle w:val="45"/>
        <w:spacing w:beforeAutospacing="0" w:afterAutospacing="0"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3.5.2）根据财政部、民政部、中国残疾人联合会印发的《关于促进残疾人就业政府采购政策的通知》（财库〔2017〕141号）的规定，符合条件的残疾人福利性单位在参加政府采购活动时，应当提供该通知规定的《残疾人福利性单位声明函》，并对声明的真实性负责。一旦中标将在中标公告中公告其声明函，接受社会监督。投标人提供的《残疾人福利性单位声明函》与事实不符的，依照《政府采购法》第七十七条第一款的规定追究法律责任。</w:t>
      </w:r>
    </w:p>
    <w:p>
      <w:pPr>
        <w:pStyle w:val="45"/>
        <w:widowControl w:val="0"/>
        <w:spacing w:before="0" w:beforeAutospacing="0" w:after="0" w:afterAutospacing="0"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4）投标人同时为小型、微型企业、监狱企业、残疾人福利性单位任两种或以上情况的，评审中只享受一次价格扣除，不重复进行价格扣除。</w:t>
      </w:r>
    </w:p>
    <w:p>
      <w:pPr>
        <w:pStyle w:val="45"/>
        <w:widowControl w:val="0"/>
        <w:spacing w:before="0" w:beforeAutospacing="0" w:after="0" w:afterAutospacing="0" w:line="360" w:lineRule="auto"/>
        <w:ind w:firstLine="420" w:firstLineChars="200"/>
        <w:rPr>
          <w:rFonts w:ascii="仿宋" w:hAnsi="仿宋" w:eastAsia="仿宋" w:cs="仿宋"/>
          <w:color w:val="auto"/>
          <w:sz w:val="21"/>
          <w:szCs w:val="21"/>
          <w:highlight w:val="none"/>
        </w:rPr>
      </w:pPr>
    </w:p>
    <w:p>
      <w:pPr>
        <w:spacing w:line="360" w:lineRule="auto"/>
        <w:ind w:right="-29" w:rightChars="-14"/>
        <w:jc w:val="both"/>
        <w:rPr>
          <w:rFonts w:hAnsi="宋体" w:cs="宋体"/>
          <w:b/>
          <w:bCs/>
          <w:color w:val="auto"/>
          <w:kern w:val="2"/>
          <w:sz w:val="28"/>
          <w:szCs w:val="28"/>
          <w:highlight w:val="none"/>
          <w:lang w:val="zh-CN"/>
        </w:rPr>
      </w:pPr>
      <w:r>
        <w:rPr>
          <w:rFonts w:hint="eastAsia" w:hAnsi="宋体" w:cs="宋体"/>
          <w:b/>
          <w:bCs/>
          <w:color w:val="auto"/>
          <w:kern w:val="2"/>
          <w:sz w:val="28"/>
          <w:szCs w:val="28"/>
          <w:highlight w:val="none"/>
          <w:lang w:val="zh-CN"/>
        </w:rPr>
        <w:t>附件二：  中标服务费收费标准</w:t>
      </w:r>
    </w:p>
    <w:p>
      <w:pPr>
        <w:pStyle w:val="120"/>
        <w:rPr>
          <w:rFonts w:hAnsi="宋体" w:cs="宋体"/>
          <w:b/>
          <w:bCs/>
          <w:color w:val="auto"/>
          <w:sz w:val="28"/>
          <w:szCs w:val="28"/>
          <w:highlight w:val="none"/>
          <w:lang w:val="zh-CN"/>
        </w:rPr>
      </w:pPr>
    </w:p>
    <w:p>
      <w:pPr>
        <w:jc w:val="center"/>
        <w:rPr>
          <w:rFonts w:ascii="仿宋" w:hAnsi="仿宋" w:eastAsia="仿宋" w:cs="仿宋"/>
          <w:b/>
          <w:bCs/>
          <w:color w:val="auto"/>
          <w:kern w:val="2"/>
          <w:szCs w:val="21"/>
          <w:highlight w:val="none"/>
          <w:lang w:val="zh-CN"/>
        </w:rPr>
      </w:pPr>
      <w:r>
        <w:rPr>
          <w:rFonts w:hint="eastAsia" w:ascii="仿宋" w:hAnsi="仿宋" w:eastAsia="仿宋" w:cs="仿宋"/>
          <w:b/>
          <w:bCs/>
          <w:color w:val="auto"/>
          <w:kern w:val="2"/>
          <w:szCs w:val="21"/>
          <w:highlight w:val="none"/>
          <w:lang w:val="zh-CN"/>
        </w:rPr>
        <w:t>中标服务费收费标准</w:t>
      </w:r>
    </w:p>
    <w:p>
      <w:pPr>
        <w:jc w:val="center"/>
        <w:rPr>
          <w:rFonts w:ascii="仿宋" w:hAnsi="仿宋" w:eastAsia="仿宋" w:cs="仿宋"/>
          <w:b/>
          <w:bCs/>
          <w:color w:val="auto"/>
          <w:kern w:val="2"/>
          <w:szCs w:val="21"/>
          <w:highlight w:val="none"/>
          <w:lang w:val="zh-CN"/>
        </w:rPr>
      </w:pPr>
      <w:r>
        <w:rPr>
          <w:rFonts w:hint="eastAsia" w:ascii="仿宋" w:hAnsi="仿宋" w:eastAsia="仿宋" w:cs="仿宋"/>
          <w:b/>
          <w:color w:val="auto"/>
          <w:szCs w:val="21"/>
          <w:highlight w:val="none"/>
        </w:rPr>
        <w:t>（国家计委文件“计价格[2002]1980号文”附件）</w:t>
      </w:r>
    </w:p>
    <w:p>
      <w:pPr>
        <w:spacing w:line="360" w:lineRule="auto"/>
        <w:jc w:val="both"/>
        <w:rPr>
          <w:rFonts w:ascii="仿宋" w:hAnsi="仿宋" w:eastAsia="仿宋" w:cs="仿宋"/>
          <w:color w:val="auto"/>
          <w:kern w:val="2"/>
          <w:szCs w:val="21"/>
          <w:highlight w:val="none"/>
          <w:lang w:val="zh-CN"/>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5"/>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315" w:type="dxa"/>
          </w:tcPr>
          <w:p>
            <w:pPr>
              <w:ind w:left="210" w:leftChars="100" w:right="-94" w:rightChars="-45" w:firstLine="3525" w:firstLineChars="1672"/>
              <w:rPr>
                <w:rFonts w:ascii="仿宋" w:hAnsi="仿宋" w:eastAsia="仿宋" w:cs="仿宋"/>
                <w:color w:val="auto"/>
                <w:szCs w:val="21"/>
                <w:highlight w:val="none"/>
              </w:rPr>
            </w:pPr>
            <w:r>
              <w:rPr>
                <w:rFonts w:hint="eastAsia" w:ascii="仿宋" w:hAnsi="仿宋" w:eastAsia="仿宋" w:cs="仿宋"/>
                <w:b/>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-64770</wp:posOffset>
                      </wp:positionH>
                      <wp:positionV relativeFrom="paragraph">
                        <wp:posOffset>50165</wp:posOffset>
                      </wp:positionV>
                      <wp:extent cx="4019550" cy="491490"/>
                      <wp:effectExtent l="7620" t="12065" r="11430" b="10795"/>
                      <wp:wrapNone/>
                      <wp:docPr id="5" name="直线 6"/>
                      <wp:cNvGraphicFramePr/>
                      <a:graphic xmlns:a="http://schemas.openxmlformats.org/drawingml/2006/main">
                        <a:graphicData uri="http://schemas.microsoft.com/office/word/2010/wordprocessingShape">
                          <wps:wsp>
                            <wps:cNvCnPr>
                              <a:cxnSpLocks noChangeShapeType="1"/>
                            </wps:cNvCnPr>
                            <wps:spPr bwMode="auto">
                              <a:xfrm flipH="1" flipV="1">
                                <a:off x="0" y="0"/>
                                <a:ext cx="4019550" cy="491490"/>
                              </a:xfrm>
                              <a:prstGeom prst="line">
                                <a:avLst/>
                              </a:prstGeom>
                              <a:noFill/>
                              <a:ln w="9525">
                                <a:solidFill>
                                  <a:srgbClr val="000000"/>
                                </a:solidFill>
                                <a:round/>
                              </a:ln>
                              <a:effectLst/>
                            </wps:spPr>
                            <wps:bodyPr/>
                          </wps:wsp>
                        </a:graphicData>
                      </a:graphic>
                    </wp:anchor>
                  </w:drawing>
                </mc:Choice>
                <mc:Fallback>
                  <w:pict>
                    <v:line id="直线 6" o:spid="_x0000_s1026" o:spt="20" style="position:absolute;left:0pt;flip:x y;margin-left:-5.1pt;margin-top:3.95pt;height:38.7pt;width:316.5pt;z-index:251664384;mso-width-relative:page;mso-height-relative:page;" filled="f" stroked="t" coordsize="21600,21600" o:gfxdata="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SZpU&#10;LNQAAAAIAQAADwAAAAAAAAABACAAAAAiAAAAZHJzL2Rvd25yZXYueG1sUEsBAhQAFAAAAAgAh07i&#10;QI2fWpTtAQAAyAMAAA4AAAAAAAAAAQAgAAAAIwEAAGRycy9lMm9Eb2MueG1sUEsFBgAAAAAGAAYA&#10;WQEAAIIFAAAAAA==&#10;">
                      <v:fill on="f" focussize="0,0"/>
                      <v:stroke color="#000000" joinstyle="round"/>
                      <v:imagedata o:title=""/>
                      <o:lock v:ext="edit" aspectratio="f"/>
                    </v:line>
                  </w:pict>
                </mc:Fallback>
              </mc:AlternateContent>
            </w:r>
            <w:r>
              <w:rPr>
                <w:rFonts w:hint="eastAsia" w:ascii="仿宋" w:hAnsi="仿宋" w:eastAsia="仿宋" w:cs="仿宋"/>
                <w:b/>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-45085</wp:posOffset>
                      </wp:positionH>
                      <wp:positionV relativeFrom="paragraph">
                        <wp:posOffset>38735</wp:posOffset>
                      </wp:positionV>
                      <wp:extent cx="2743835" cy="657860"/>
                      <wp:effectExtent l="8255" t="10160" r="10160" b="8255"/>
                      <wp:wrapNone/>
                      <wp:docPr id="4" name="直线 5"/>
                      <wp:cNvGraphicFramePr/>
                      <a:graphic xmlns:a="http://schemas.openxmlformats.org/drawingml/2006/main">
                        <a:graphicData uri="http://schemas.microsoft.com/office/word/2010/wordprocessingShape">
                          <wps:wsp>
                            <wps:cNvCnPr>
                              <a:cxnSpLocks noChangeShapeType="1"/>
                            </wps:cNvCnPr>
                            <wps:spPr bwMode="auto">
                              <a:xfrm flipH="1" flipV="1">
                                <a:off x="0" y="0"/>
                                <a:ext cx="2743835" cy="657860"/>
                              </a:xfrm>
                              <a:prstGeom prst="line">
                                <a:avLst/>
                              </a:prstGeom>
                              <a:noFill/>
                              <a:ln w="9525">
                                <a:solidFill>
                                  <a:srgbClr val="000000"/>
                                </a:solidFill>
                                <a:round/>
                              </a:ln>
                              <a:effectLst/>
                            </wps:spPr>
                            <wps:bodyPr/>
                          </wps:wsp>
                        </a:graphicData>
                      </a:graphic>
                    </wp:anchor>
                  </w:drawing>
                </mc:Choice>
                <mc:Fallback>
                  <w:pict>
                    <v:line id="直线 5" o:spid="_x0000_s1026" o:spt="20" style="position:absolute;left:0pt;flip:x y;margin-left:-3.55pt;margin-top:3.05pt;height:51.8pt;width:216.05pt;z-index:251663360;mso-width-relative:page;mso-height-relative:page;" filled="f" stroked="t" coordsize="21600,21600" o:gfxdata="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JD&#10;l4HUAAAACAEAAA8AAAAAAAAAAQAgAAAAIgAAAGRycy9kb3ducmV2LnhtbFBLAQIUABQAAAAIAIdO&#10;4kDKLkMB7gEAAMgDAAAOAAAAAAAAAAEAIAAAACMBAABkcnMvZTJvRG9jLnhtbFBLBQYAAAAABgAG&#10;AFkBAACDBQAAAAA=&#10;">
                      <v:fill on="f" focussize="0,0"/>
                      <v:stroke color="#000000" joinstyle="round"/>
                      <v:imagedata o:title=""/>
                      <o:lock v:ext="edit" aspectratio="f"/>
                    </v:line>
                  </w:pict>
                </mc:Fallback>
              </mc:AlternateContent>
            </w:r>
            <w:r>
              <w:rPr>
                <w:rFonts w:hint="eastAsia" w:ascii="仿宋" w:hAnsi="仿宋" w:eastAsia="仿宋" w:cs="仿宋"/>
                <w:b/>
                <w:color w:val="auto"/>
                <w:szCs w:val="21"/>
                <w:highlight w:val="none"/>
              </w:rPr>
              <mc:AlternateContent>
                <mc:Choice Requires="wps">
                  <w:drawing>
                    <wp:anchor distT="0" distB="0" distL="114300" distR="114300" simplePos="0" relativeHeight="251662336" behindDoc="0" locked="0" layoutInCell="0" allowOverlap="1">
                      <wp:simplePos x="0" y="0"/>
                      <wp:positionH relativeFrom="column">
                        <wp:posOffset>-114300</wp:posOffset>
                      </wp:positionH>
                      <wp:positionV relativeFrom="paragraph">
                        <wp:posOffset>-6350</wp:posOffset>
                      </wp:positionV>
                      <wp:extent cx="635" cy="0"/>
                      <wp:effectExtent l="5080" t="6350" r="13335" b="12700"/>
                      <wp:wrapNone/>
                      <wp:docPr id="3" name="直线 4"/>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直线 4" o:spid="_x0000_s1026" o:spt="20" style="position:absolute;left:0pt;margin-left:-9pt;margin-top:-0.5pt;height:0pt;width:0.05pt;z-index:251662336;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rkdN+1QAAAAkBAAAPAAAAAAAAAAEAIAAAACIA&#10;AABkcnMvZG93bnJldi54bWxQSwECFAAUAAAACACHTuJAsG06AdMBAACdAwAADgAAAAAAAAABACAA&#10;AAAkAQAAZHJzL2Uyb0RvYy54bWxQSwUGAAAAAAYABgBZAQAAaQUAAAAA&#10;">
                      <v:fill on="f" focussize="0,0"/>
                      <v:stroke color="#000000" joinstyle="round"/>
                      <v:imagedata o:title=""/>
                      <o:lock v:ext="edit" aspectratio="f"/>
                    </v:line>
                  </w:pict>
                </mc:Fallback>
              </mc:AlternateContent>
            </w:r>
            <w:r>
              <w:rPr>
                <w:rFonts w:hint="eastAsia" w:ascii="仿宋" w:hAnsi="仿宋" w:eastAsia="仿宋" w:cs="仿宋"/>
                <w:b/>
                <w:color w:val="auto"/>
                <w:szCs w:val="21"/>
                <w:highlight w:val="none"/>
              </w:rPr>
              <w:t>招标类型</w:t>
            </w:r>
            <w:r>
              <w:rPr>
                <w:rFonts w:hint="eastAsia" w:ascii="仿宋" w:hAnsi="仿宋" w:eastAsia="仿宋" w:cs="仿宋"/>
                <w:color w:val="auto"/>
                <w:szCs w:val="21"/>
                <w:highlight w:val="none"/>
              </w:rPr>
              <w:t>　　　</w:t>
            </w:r>
          </w:p>
          <w:p>
            <w:pPr>
              <w:ind w:left="210" w:leftChars="100" w:right="-94" w:rightChars="-45" w:firstLine="2463" w:firstLineChars="1173"/>
              <w:rPr>
                <w:rFonts w:ascii="仿宋" w:hAnsi="仿宋" w:eastAsia="仿宋" w:cs="仿宋"/>
                <w:color w:val="auto"/>
                <w:szCs w:val="21"/>
                <w:highlight w:val="none"/>
              </w:rPr>
            </w:pPr>
          </w:p>
          <w:p>
            <w:pPr>
              <w:ind w:left="210" w:leftChars="100" w:right="-94" w:rightChars="-45" w:firstLine="2892" w:firstLineChars="1372"/>
              <w:rPr>
                <w:rFonts w:ascii="仿宋" w:hAnsi="仿宋" w:eastAsia="仿宋" w:cs="仿宋"/>
                <w:b/>
                <w:color w:val="auto"/>
                <w:szCs w:val="21"/>
                <w:highlight w:val="none"/>
              </w:rPr>
            </w:pPr>
            <w:r>
              <w:rPr>
                <w:rFonts w:hint="eastAsia" w:ascii="仿宋" w:hAnsi="仿宋" w:eastAsia="仿宋" w:cs="仿宋"/>
                <w:b/>
                <w:bCs/>
                <w:color w:val="auto"/>
                <w:szCs w:val="21"/>
                <w:highlight w:val="none"/>
              </w:rPr>
              <w:t>中标费率</w:t>
            </w:r>
          </w:p>
          <w:p>
            <w:pPr>
              <w:rPr>
                <w:rFonts w:ascii="仿宋" w:hAnsi="仿宋" w:eastAsia="仿宋" w:cs="仿宋"/>
                <w:b/>
                <w:color w:val="auto"/>
                <w:szCs w:val="21"/>
                <w:highlight w:val="none"/>
              </w:rPr>
            </w:pPr>
            <w:r>
              <w:rPr>
                <w:rFonts w:hint="eastAsia" w:ascii="仿宋" w:hAnsi="仿宋" w:eastAsia="仿宋" w:cs="仿宋"/>
                <w:b/>
                <w:color w:val="auto"/>
                <w:szCs w:val="21"/>
                <w:highlight w:val="none"/>
              </w:rPr>
              <w:t xml:space="preserve">金额（万元） </w:t>
            </w:r>
          </w:p>
        </w:tc>
        <w:tc>
          <w:tcPr>
            <w:tcW w:w="2545" w:type="dxa"/>
            <w:vAlign w:val="center"/>
          </w:tcPr>
          <w:p>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315" w:type="dxa"/>
          </w:tcPr>
          <w:p>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100以下</w:t>
            </w:r>
          </w:p>
        </w:tc>
        <w:tc>
          <w:tcPr>
            <w:tcW w:w="2545" w:type="dxa"/>
          </w:tcPr>
          <w:p>
            <w:pPr>
              <w:jc w:val="center"/>
              <w:rPr>
                <w:rFonts w:ascii="仿宋" w:hAnsi="仿宋" w:eastAsia="仿宋" w:cs="仿宋"/>
                <w:color w:val="auto"/>
                <w:szCs w:val="21"/>
                <w:highlight w:val="none"/>
              </w:rPr>
            </w:pPr>
            <w:r>
              <w:rPr>
                <w:rFonts w:hint="eastAsia"/>
                <w:color w:val="auto"/>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6315" w:type="dxa"/>
          </w:tcPr>
          <w:p>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100-500</w:t>
            </w:r>
          </w:p>
        </w:tc>
        <w:tc>
          <w:tcPr>
            <w:tcW w:w="2545" w:type="dxa"/>
          </w:tcPr>
          <w:p>
            <w:pPr>
              <w:jc w:val="center"/>
              <w:rPr>
                <w:rFonts w:ascii="仿宋" w:hAnsi="仿宋" w:eastAsia="仿宋" w:cs="仿宋"/>
                <w:color w:val="auto"/>
                <w:szCs w:val="21"/>
                <w:highlight w:val="none"/>
              </w:rPr>
            </w:pPr>
            <w:r>
              <w:rPr>
                <w:rFonts w:hint="eastAsia"/>
                <w:color w:val="auto"/>
                <w:szCs w:val="21"/>
                <w:highlight w: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315" w:type="dxa"/>
          </w:tcPr>
          <w:p>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500-1000</w:t>
            </w:r>
          </w:p>
        </w:tc>
        <w:tc>
          <w:tcPr>
            <w:tcW w:w="2545" w:type="dxa"/>
          </w:tcPr>
          <w:p>
            <w:pPr>
              <w:jc w:val="center"/>
              <w:rPr>
                <w:rFonts w:ascii="仿宋" w:hAnsi="仿宋" w:eastAsia="仿宋" w:cs="仿宋"/>
                <w:color w:val="auto"/>
                <w:szCs w:val="21"/>
                <w:highlight w:val="none"/>
              </w:rPr>
            </w:pPr>
            <w:r>
              <w:rPr>
                <w:rFonts w:hint="eastAsia"/>
                <w:color w:val="auto"/>
                <w:szCs w:val="21"/>
                <w:highlight w:val="none"/>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315" w:type="dxa"/>
          </w:tcPr>
          <w:p>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1000-5000</w:t>
            </w:r>
          </w:p>
        </w:tc>
        <w:tc>
          <w:tcPr>
            <w:tcW w:w="2545" w:type="dxa"/>
          </w:tcPr>
          <w:p>
            <w:pPr>
              <w:jc w:val="center"/>
              <w:rPr>
                <w:rFonts w:ascii="仿宋" w:hAnsi="仿宋" w:eastAsia="仿宋" w:cs="仿宋"/>
                <w:color w:val="auto"/>
                <w:szCs w:val="21"/>
                <w:highlight w:val="none"/>
              </w:rPr>
            </w:pPr>
            <w:r>
              <w:rPr>
                <w:rFonts w:hint="eastAsia"/>
                <w:color w:val="auto"/>
                <w:szCs w:val="21"/>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6315" w:type="dxa"/>
          </w:tcPr>
          <w:p>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5000-10000</w:t>
            </w:r>
          </w:p>
        </w:tc>
        <w:tc>
          <w:tcPr>
            <w:tcW w:w="2545" w:type="dxa"/>
          </w:tcPr>
          <w:p>
            <w:pPr>
              <w:jc w:val="center"/>
              <w:rPr>
                <w:rFonts w:ascii="仿宋" w:hAnsi="仿宋" w:eastAsia="仿宋" w:cs="仿宋"/>
                <w:color w:val="auto"/>
                <w:szCs w:val="21"/>
                <w:highlight w:val="none"/>
              </w:rPr>
            </w:pPr>
            <w:r>
              <w:rPr>
                <w:rFonts w:hint="eastAsia"/>
                <w:color w:val="auto"/>
                <w:szCs w:val="21"/>
                <w:highlight w:val="none"/>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315" w:type="dxa"/>
          </w:tcPr>
          <w:p>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10000-100000</w:t>
            </w:r>
          </w:p>
        </w:tc>
        <w:tc>
          <w:tcPr>
            <w:tcW w:w="2545" w:type="dxa"/>
          </w:tcPr>
          <w:p>
            <w:pPr>
              <w:jc w:val="center"/>
              <w:rPr>
                <w:rFonts w:ascii="仿宋" w:hAnsi="仿宋" w:eastAsia="仿宋" w:cs="仿宋"/>
                <w:color w:val="auto"/>
                <w:szCs w:val="21"/>
                <w:highlight w:val="none"/>
              </w:rPr>
            </w:pPr>
            <w:r>
              <w:rPr>
                <w:rFonts w:hint="eastAsia"/>
                <w:color w:val="auto"/>
                <w:szCs w:val="21"/>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6315" w:type="dxa"/>
          </w:tcPr>
          <w:p>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1000000以上</w:t>
            </w:r>
          </w:p>
        </w:tc>
        <w:tc>
          <w:tcPr>
            <w:tcW w:w="2545" w:type="dxa"/>
          </w:tcPr>
          <w:p>
            <w:pPr>
              <w:jc w:val="center"/>
              <w:rPr>
                <w:rFonts w:ascii="仿宋" w:hAnsi="仿宋" w:eastAsia="仿宋" w:cs="仿宋"/>
                <w:color w:val="auto"/>
                <w:szCs w:val="21"/>
                <w:highlight w:val="none"/>
              </w:rPr>
            </w:pPr>
            <w:r>
              <w:rPr>
                <w:rFonts w:hint="eastAsia"/>
                <w:color w:val="auto"/>
                <w:szCs w:val="21"/>
                <w:highlight w:val="none"/>
              </w:rPr>
              <w:t>0.01%</w:t>
            </w:r>
          </w:p>
        </w:tc>
      </w:tr>
    </w:tbl>
    <w:p>
      <w:pPr>
        <w:spacing w:line="360" w:lineRule="auto"/>
        <w:ind w:firstLine="630" w:firstLineChars="300"/>
        <w:jc w:val="both"/>
        <w:rPr>
          <w:rFonts w:hAnsi="宋体" w:cs="宋体"/>
          <w:b/>
          <w:bCs/>
          <w:color w:val="auto"/>
          <w:sz w:val="28"/>
          <w:szCs w:val="28"/>
          <w:highlight w:val="none"/>
          <w:lang w:val="zh-CN"/>
        </w:rPr>
      </w:pPr>
      <w:r>
        <w:rPr>
          <w:rFonts w:hint="eastAsia" w:ascii="仿宋" w:hAnsi="仿宋" w:eastAsia="仿宋" w:cs="仿宋"/>
          <w:color w:val="auto"/>
          <w:kern w:val="2"/>
          <w:szCs w:val="21"/>
          <w:highlight w:val="none"/>
          <w:lang w:val="zh-CN"/>
        </w:rPr>
        <w:t>注：1.采购代理机构服务收费按差额定率累进法计算；</w:t>
      </w:r>
    </w:p>
    <w:p>
      <w:pPr>
        <w:pStyle w:val="120"/>
        <w:rPr>
          <w:rFonts w:hAnsi="宋体" w:cs="宋体"/>
          <w:color w:val="auto"/>
          <w:highlight w:val="none"/>
          <w:lang w:val="zh-CN"/>
        </w:rPr>
      </w:pPr>
    </w:p>
    <w:sectPr>
      <w:headerReference r:id="rId9" w:type="default"/>
      <w:pgSz w:w="11907" w:h="16840"/>
      <w:pgMar w:top="1247" w:right="1843" w:bottom="1247"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time of new roman">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453" w:h="237" w:hRule="exact" w:wrap="around" w:vAnchor="text" w:hAnchor="margin" w:xAlign="center" w:y="3"/>
      <w:rPr>
        <w:rStyle w:val="54"/>
      </w:rPr>
    </w:pPr>
    <w:r>
      <w:fldChar w:fldCharType="begin"/>
    </w:r>
    <w:r>
      <w:rPr>
        <w:rStyle w:val="54"/>
      </w:rPr>
      <w:instrText xml:space="preserve">PAGE  </w:instrText>
    </w:r>
    <w:r>
      <w:fldChar w:fldCharType="separate"/>
    </w:r>
    <w:r>
      <w:rPr>
        <w:rStyle w:val="54"/>
      </w:rPr>
      <w:t>38</w:t>
    </w:r>
    <w:r>
      <w:fldChar w:fldCharType="end"/>
    </w:r>
  </w:p>
  <w:p>
    <w:pPr>
      <w:pStyle w:val="34"/>
      <w:pBdr>
        <w:top w:val="single" w:color="auto" w:sz="6" w:space="1"/>
      </w:pBdr>
      <w:ind w:right="720"/>
      <w:jc w:val="right"/>
    </w:pPr>
    <w:r>
      <w:drawing>
        <wp:anchor distT="0" distB="0" distL="114300" distR="114300" simplePos="0" relativeHeight="251665408" behindDoc="0" locked="0" layoutInCell="1" allowOverlap="1">
          <wp:simplePos x="0" y="0"/>
          <wp:positionH relativeFrom="column">
            <wp:posOffset>109855</wp:posOffset>
          </wp:positionH>
          <wp:positionV relativeFrom="paragraph">
            <wp:posOffset>19685</wp:posOffset>
          </wp:positionV>
          <wp:extent cx="428625" cy="4000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28625" cy="400050"/>
                  </a:xfrm>
                  <a:prstGeom prst="rect">
                    <a:avLst/>
                  </a:prstGeom>
                  <a:noFill/>
                  <a:ln>
                    <a:noFill/>
                  </a:ln>
                </pic:spPr>
              </pic:pic>
            </a:graphicData>
          </a:graphic>
        </wp:anchor>
      </w:drawing>
    </w:r>
    <w:r>
      <w:t xml:space="preserve">                                                     </w:t>
    </w:r>
    <w:r>
      <w:rPr>
        <w:rFonts w:hint="eastAsia"/>
      </w:rPr>
      <w:t xml:space="preserve">  广东远东招标代理有限公司 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4"/>
      </w:rPr>
    </w:pPr>
    <w:r>
      <w:fldChar w:fldCharType="begin"/>
    </w:r>
    <w:r>
      <w:rPr>
        <w:rStyle w:val="54"/>
      </w:rPr>
      <w:instrText xml:space="preserve">PAGE  </w:instrText>
    </w:r>
    <w:r>
      <w:fldChar w:fldCharType="end"/>
    </w:r>
  </w:p>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54"/>
      </w:rPr>
    </w:pPr>
    <w:r>
      <w:fldChar w:fldCharType="begin"/>
    </w:r>
    <w:r>
      <w:rPr>
        <w:rStyle w:val="54"/>
      </w:rPr>
      <w:instrText xml:space="preserve">PAGE  </w:instrText>
    </w:r>
    <w:r>
      <w:fldChar w:fldCharType="separate"/>
    </w:r>
    <w:r>
      <w:rPr>
        <w:rStyle w:val="54"/>
      </w:rPr>
      <w:t>0</w:t>
    </w:r>
    <w:r>
      <w:fldChar w:fldCharType="end"/>
    </w:r>
  </w:p>
  <w:p>
    <w:pPr>
      <w:pStyle w:val="3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single" w:color="auto" w:sz="6" w:space="6"/>
      </w:pBdr>
      <w:tabs>
        <w:tab w:val="left" w:pos="0"/>
      </w:tabs>
      <w:rPr>
        <w:sz w:val="15"/>
        <w:szCs w:val="15"/>
      </w:rPr>
    </w:pPr>
    <w:r>
      <w:rPr>
        <w:rFonts w:hint="eastAsia"/>
        <w:sz w:val="15"/>
        <w:szCs w:val="15"/>
      </w:rPr>
      <w:t>采购编号：GDYD230090                     项目名称：南海海洋预警信息发布和沿海恶劣天气防灾叫应系统(二期)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left"/>
      <w:rPr>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single" w:color="auto" w:sz="6" w:space="6"/>
      </w:pBdr>
      <w:tabs>
        <w:tab w:val="left" w:pos="0"/>
      </w:tabs>
      <w:jc w:val="left"/>
      <w:rPr>
        <w:sz w:val="15"/>
        <w:szCs w:val="15"/>
      </w:rPr>
    </w:pPr>
    <w:r>
      <w:rPr>
        <w:rFonts w:hint="eastAsia"/>
        <w:sz w:val="15"/>
        <w:szCs w:val="15"/>
      </w:rPr>
      <w:t>采购编号：GDYD230090                             项目名称：南海海洋预警信息发布和沿海恶劣天气防灾叫应系统(二期)</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rPr>
        <w:szCs w:val="15"/>
      </w:rPr>
    </w:pPr>
    <w:r>
      <w:rPr>
        <w:rFonts w:hint="eastAsia"/>
        <w:sz w:val="15"/>
        <w:szCs w:val="15"/>
      </w:rPr>
      <w:t>采购编号：GDYD230090                  项目名称：南海海洋预警信息发布和沿海恶劣天气防灾叫应系统(二期)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12F199"/>
    <w:multiLevelType w:val="singleLevel"/>
    <w:tmpl w:val="8D12F199"/>
    <w:lvl w:ilvl="0" w:tentative="0">
      <w:start w:val="2"/>
      <w:numFmt w:val="decimal"/>
      <w:lvlText w:val="%1."/>
      <w:lvlJc w:val="left"/>
      <w:pPr>
        <w:tabs>
          <w:tab w:val="left" w:pos="312"/>
        </w:tabs>
      </w:pPr>
    </w:lvl>
  </w:abstractNum>
  <w:abstractNum w:abstractNumId="1">
    <w:nsid w:val="991C0138"/>
    <w:multiLevelType w:val="singleLevel"/>
    <w:tmpl w:val="991C0138"/>
    <w:lvl w:ilvl="0" w:tentative="0">
      <w:start w:val="5"/>
      <w:numFmt w:val="chineseCounting"/>
      <w:suff w:val="nothing"/>
      <w:lvlText w:val="%1、"/>
      <w:lvlJc w:val="left"/>
      <w:rPr>
        <w:rFonts w:hint="eastAsia"/>
      </w:rPr>
    </w:lvl>
  </w:abstractNum>
  <w:abstractNum w:abstractNumId="2">
    <w:nsid w:val="9DEF51F7"/>
    <w:multiLevelType w:val="singleLevel"/>
    <w:tmpl w:val="9DEF51F7"/>
    <w:lvl w:ilvl="0" w:tentative="0">
      <w:start w:val="9"/>
      <w:numFmt w:val="chineseCounting"/>
      <w:suff w:val="nothing"/>
      <w:lvlText w:val="%1、"/>
      <w:lvlJc w:val="left"/>
      <w:rPr>
        <w:rFonts w:hint="eastAsia"/>
      </w:rPr>
    </w:lvl>
  </w:abstractNum>
  <w:abstractNum w:abstractNumId="3">
    <w:nsid w:val="00000010"/>
    <w:multiLevelType w:val="multilevel"/>
    <w:tmpl w:val="00000010"/>
    <w:lvl w:ilvl="0" w:tentative="0">
      <w:start w:val="1"/>
      <w:numFmt w:val="decimal"/>
      <w:lvlText w:val="（%1）"/>
      <w:lvlJc w:val="left"/>
      <w:pPr>
        <w:tabs>
          <w:tab w:val="left" w:pos="960"/>
        </w:tabs>
        <w:ind w:left="960" w:hanging="420"/>
      </w:pPr>
      <w:rPr>
        <w:rFonts w:hint="eastAsia"/>
      </w:rPr>
    </w:lvl>
    <w:lvl w:ilvl="1" w:tentative="0">
      <w:start w:val="1"/>
      <w:numFmt w:val="lowerLetter"/>
      <w:lvlText w:val="%2)"/>
      <w:lvlJc w:val="left"/>
      <w:pPr>
        <w:tabs>
          <w:tab w:val="left" w:pos="960"/>
        </w:tabs>
        <w:ind w:left="960" w:hanging="420"/>
      </w:pPr>
    </w:lvl>
    <w:lvl w:ilvl="2" w:tentative="0">
      <w:start w:val="1"/>
      <w:numFmt w:val="lowerRoman"/>
      <w:lvlText w:val="%3."/>
      <w:lvlJc w:val="right"/>
      <w:pPr>
        <w:tabs>
          <w:tab w:val="left" w:pos="1380"/>
        </w:tabs>
        <w:ind w:left="1380" w:hanging="420"/>
      </w:pPr>
    </w:lvl>
    <w:lvl w:ilvl="3" w:tentative="0">
      <w:start w:val="1"/>
      <w:numFmt w:val="decimal"/>
      <w:lvlText w:val="%4."/>
      <w:lvlJc w:val="left"/>
      <w:pPr>
        <w:tabs>
          <w:tab w:val="left" w:pos="1800"/>
        </w:tabs>
        <w:ind w:left="1800" w:hanging="420"/>
      </w:pPr>
    </w:lvl>
    <w:lvl w:ilvl="4" w:tentative="0">
      <w:start w:val="1"/>
      <w:numFmt w:val="lowerLetter"/>
      <w:lvlText w:val="%5)"/>
      <w:lvlJc w:val="left"/>
      <w:pPr>
        <w:tabs>
          <w:tab w:val="left" w:pos="2220"/>
        </w:tabs>
        <w:ind w:left="2220" w:hanging="420"/>
      </w:p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abstractNum w:abstractNumId="4">
    <w:nsid w:val="00000012"/>
    <w:multiLevelType w:val="multilevel"/>
    <w:tmpl w:val="00000012"/>
    <w:lvl w:ilvl="0" w:tentative="0">
      <w:start w:val="1"/>
      <w:numFmt w:val="decimal"/>
      <w:pStyle w:val="15"/>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3"/>
    <w:multiLevelType w:val="multilevel"/>
    <w:tmpl w:val="00000013"/>
    <w:lvl w:ilvl="0" w:tentative="0">
      <w:start w:val="1"/>
      <w:numFmt w:val="decimal"/>
      <w:lvlText w:val="%1"/>
      <w:lvlJc w:val="left"/>
      <w:pPr>
        <w:tabs>
          <w:tab w:val="left" w:pos="425"/>
        </w:tabs>
        <w:ind w:left="425" w:hanging="425"/>
      </w:pPr>
    </w:lvl>
    <w:lvl w:ilvl="1" w:tentative="0">
      <w:start w:val="1"/>
      <w:numFmt w:val="decimal"/>
      <w:pStyle w:val="100"/>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
    <w:nsid w:val="00000015"/>
    <w:multiLevelType w:val="multilevel"/>
    <w:tmpl w:val="00000015"/>
    <w:lvl w:ilvl="0" w:tentative="0">
      <w:start w:val="1"/>
      <w:numFmt w:val="chineseCountingThousand"/>
      <w:lvlText w:val="%1、"/>
      <w:lvlJc w:val="left"/>
      <w:pPr>
        <w:tabs>
          <w:tab w:val="left" w:pos="1146"/>
        </w:tabs>
        <w:ind w:left="1146" w:hanging="720"/>
      </w:pPr>
      <w:rPr>
        <w:rFonts w:hint="eastAsia" w:ascii="仿宋" w:hAnsi="仿宋" w:eastAsia="仿宋" w:cs="仿宋"/>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D"/>
    <w:multiLevelType w:val="multilevel"/>
    <w:tmpl w:val="0000001D"/>
    <w:lvl w:ilvl="0" w:tentative="0">
      <w:start w:val="1"/>
      <w:numFmt w:val="decimal"/>
      <w:lvlText w:val="%1"/>
      <w:lvlJc w:val="left"/>
      <w:pPr>
        <w:tabs>
          <w:tab w:val="left" w:pos="615"/>
        </w:tabs>
        <w:ind w:left="615" w:hanging="615"/>
      </w:pPr>
      <w:rPr>
        <w:rFonts w:hint="default"/>
      </w:rPr>
    </w:lvl>
    <w:lvl w:ilvl="1" w:tentative="0">
      <w:start w:val="1"/>
      <w:numFmt w:val="decimal"/>
      <w:lvlText w:val="%1.%2"/>
      <w:lvlJc w:val="left"/>
      <w:pPr>
        <w:tabs>
          <w:tab w:val="left" w:pos="567"/>
        </w:tabs>
        <w:ind w:left="567" w:hanging="567"/>
      </w:pPr>
      <w:rPr>
        <w:rFonts w:hint="default" w:ascii="仿宋" w:hAnsi="仿宋" w:eastAsia="仿宋" w:cs="仿宋"/>
        <w:b w:val="0"/>
        <w:i w:val="0"/>
      </w:rPr>
    </w:lvl>
    <w:lvl w:ilvl="2" w:tentative="0">
      <w:start w:val="1"/>
      <w:numFmt w:val="decimal"/>
      <w:lvlText w:val="%1.%2.%3"/>
      <w:lvlJc w:val="left"/>
      <w:pPr>
        <w:tabs>
          <w:tab w:val="left" w:pos="615"/>
        </w:tabs>
        <w:ind w:left="615" w:hanging="615"/>
      </w:pPr>
      <w:rPr>
        <w:rFonts w:hint="default"/>
      </w:rPr>
    </w:lvl>
    <w:lvl w:ilvl="3" w:tentative="0">
      <w:start w:val="1"/>
      <w:numFmt w:val="decimal"/>
      <w:lvlText w:val="%1.%2.%3.%4"/>
      <w:lvlJc w:val="left"/>
      <w:pPr>
        <w:tabs>
          <w:tab w:val="left" w:pos="615"/>
        </w:tabs>
        <w:ind w:left="615" w:hanging="615"/>
      </w:pPr>
      <w:rPr>
        <w:rFonts w:hint="default"/>
      </w:rPr>
    </w:lvl>
    <w:lvl w:ilvl="4" w:tentative="0">
      <w:start w:val="1"/>
      <w:numFmt w:val="decimal"/>
      <w:lvlText w:val="%1.%2.%3.%4.%5"/>
      <w:lvlJc w:val="left"/>
      <w:pPr>
        <w:tabs>
          <w:tab w:val="left" w:pos="615"/>
        </w:tabs>
        <w:ind w:left="615" w:hanging="615"/>
      </w:pPr>
      <w:rPr>
        <w:rFonts w:hint="default"/>
      </w:rPr>
    </w:lvl>
    <w:lvl w:ilvl="5" w:tentative="0">
      <w:start w:val="1"/>
      <w:numFmt w:val="decimal"/>
      <w:lvlText w:val="%1.%2.%3.%4.%5.%6"/>
      <w:lvlJc w:val="left"/>
      <w:pPr>
        <w:tabs>
          <w:tab w:val="left" w:pos="615"/>
        </w:tabs>
        <w:ind w:left="615" w:hanging="615"/>
      </w:pPr>
      <w:rPr>
        <w:rFonts w:hint="default"/>
      </w:rPr>
    </w:lvl>
    <w:lvl w:ilvl="6" w:tentative="0">
      <w:start w:val="1"/>
      <w:numFmt w:val="decimal"/>
      <w:lvlText w:val="%1.%2.%3.%4.%5.%6.%7"/>
      <w:lvlJc w:val="left"/>
      <w:pPr>
        <w:tabs>
          <w:tab w:val="left" w:pos="615"/>
        </w:tabs>
        <w:ind w:left="615" w:hanging="615"/>
      </w:pPr>
      <w:rPr>
        <w:rFonts w:hint="default"/>
      </w:rPr>
    </w:lvl>
    <w:lvl w:ilvl="7" w:tentative="0">
      <w:start w:val="1"/>
      <w:numFmt w:val="decimal"/>
      <w:lvlText w:val="%1.%2.%3.%4.%5.%6.%7.%8"/>
      <w:lvlJc w:val="left"/>
      <w:pPr>
        <w:tabs>
          <w:tab w:val="left" w:pos="615"/>
        </w:tabs>
        <w:ind w:left="615" w:hanging="615"/>
      </w:pPr>
      <w:rPr>
        <w:rFonts w:hint="default"/>
      </w:rPr>
    </w:lvl>
    <w:lvl w:ilvl="8" w:tentative="0">
      <w:start w:val="1"/>
      <w:numFmt w:val="decimal"/>
      <w:lvlText w:val="%1.%2.%3.%4.%5.%6.%7.%8.%9"/>
      <w:lvlJc w:val="left"/>
      <w:pPr>
        <w:tabs>
          <w:tab w:val="left" w:pos="615"/>
        </w:tabs>
        <w:ind w:left="615" w:hanging="615"/>
      </w:pPr>
      <w:rPr>
        <w:rFonts w:hint="default"/>
      </w:rPr>
    </w:lvl>
  </w:abstractNum>
  <w:abstractNum w:abstractNumId="8">
    <w:nsid w:val="00000021"/>
    <w:multiLevelType w:val="multilevel"/>
    <w:tmpl w:val="00000021"/>
    <w:lvl w:ilvl="0" w:tentative="0">
      <w:start w:val="1"/>
      <w:numFmt w:val="bullet"/>
      <w:pStyle w:val="144"/>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26"/>
    <w:multiLevelType w:val="multilevel"/>
    <w:tmpl w:val="00000026"/>
    <w:lvl w:ilvl="0" w:tentative="0">
      <w:start w:val="1"/>
      <w:numFmt w:val="decimal"/>
      <w:lvlText w:val="%1."/>
      <w:lvlJc w:val="left"/>
      <w:pPr>
        <w:tabs>
          <w:tab w:val="left" w:pos="435"/>
        </w:tabs>
        <w:ind w:left="435" w:hanging="435"/>
      </w:pPr>
      <w:rPr>
        <w:rFonts w:hint="default" w:ascii="Times New Roman"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2C"/>
    <w:multiLevelType w:val="multilevel"/>
    <w:tmpl w:val="0000002C"/>
    <w:lvl w:ilvl="0" w:tentative="0">
      <w:start w:val="1"/>
      <w:numFmt w:val="decimal"/>
      <w:pStyle w:val="16"/>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1">
    <w:nsid w:val="00000030"/>
    <w:multiLevelType w:val="multilevel"/>
    <w:tmpl w:val="00000030"/>
    <w:lvl w:ilvl="0" w:tentative="0">
      <w:start w:val="1"/>
      <w:numFmt w:val="bullet"/>
      <w:pStyle w:val="12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00000031"/>
    <w:multiLevelType w:val="multilevel"/>
    <w:tmpl w:val="00000031"/>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33"/>
    <w:multiLevelType w:val="multilevel"/>
    <w:tmpl w:val="00000033"/>
    <w:lvl w:ilvl="0" w:tentative="0">
      <w:start w:val="1"/>
      <w:numFmt w:val="decimal"/>
      <w:lvlText w:val="%1"/>
      <w:lvlJc w:val="left"/>
      <w:pPr>
        <w:tabs>
          <w:tab w:val="left" w:pos="527"/>
        </w:tabs>
        <w:ind w:left="567" w:hanging="454"/>
      </w:pPr>
      <w:rPr>
        <w:rFonts w:hint="eastAsia"/>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34"/>
    <w:multiLevelType w:val="multilevel"/>
    <w:tmpl w:val="00000034"/>
    <w:lvl w:ilvl="0" w:tentative="0">
      <w:start w:val="1"/>
      <w:numFmt w:val="decimal"/>
      <w:lvlText w:val="%1."/>
      <w:lvlJc w:val="left"/>
      <w:pPr>
        <w:tabs>
          <w:tab w:val="left" w:pos="435"/>
        </w:tabs>
        <w:ind w:left="435" w:hanging="435"/>
      </w:pPr>
      <w:rPr>
        <w:rFonts w:hint="default" w:ascii="Times New Roman"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36"/>
    <w:multiLevelType w:val="multilevel"/>
    <w:tmpl w:val="00000036"/>
    <w:lvl w:ilvl="0" w:tentative="0">
      <w:start w:val="1"/>
      <w:numFmt w:val="bullet"/>
      <w:pStyle w:val="46"/>
      <w:lvlText w:val=""/>
      <w:lvlJc w:val="left"/>
      <w:pPr>
        <w:tabs>
          <w:tab w:val="left" w:pos="2121"/>
        </w:tabs>
        <w:ind w:left="2121" w:hanging="420"/>
      </w:pPr>
      <w:rPr>
        <w:rFonts w:hint="default" w:ascii="Wingdings" w:hAnsi="Wingdings"/>
      </w:rPr>
    </w:lvl>
    <w:lvl w:ilvl="1" w:tentative="0">
      <w:start w:val="1"/>
      <w:numFmt w:val="bullet"/>
      <w:lvlText w:val=""/>
      <w:lvlJc w:val="left"/>
      <w:pPr>
        <w:tabs>
          <w:tab w:val="left" w:pos="2541"/>
        </w:tabs>
        <w:ind w:left="2541" w:hanging="420"/>
      </w:pPr>
      <w:rPr>
        <w:rFonts w:hint="default" w:ascii="Wingdings" w:hAnsi="Wingdings"/>
      </w:rPr>
    </w:lvl>
    <w:lvl w:ilvl="2" w:tentative="0">
      <w:start w:val="1"/>
      <w:numFmt w:val="bullet"/>
      <w:lvlText w:val=""/>
      <w:lvlJc w:val="left"/>
      <w:pPr>
        <w:tabs>
          <w:tab w:val="left" w:pos="2961"/>
        </w:tabs>
        <w:ind w:left="2961" w:hanging="420"/>
      </w:pPr>
      <w:rPr>
        <w:rFonts w:hint="default" w:ascii="Wingdings" w:hAnsi="Wingdings"/>
      </w:rPr>
    </w:lvl>
    <w:lvl w:ilvl="3" w:tentative="0">
      <w:start w:val="1"/>
      <w:numFmt w:val="bullet"/>
      <w:lvlText w:val=""/>
      <w:lvlJc w:val="left"/>
      <w:pPr>
        <w:tabs>
          <w:tab w:val="left" w:pos="3381"/>
        </w:tabs>
        <w:ind w:left="3381" w:hanging="420"/>
      </w:pPr>
      <w:rPr>
        <w:rFonts w:hint="default" w:ascii="Wingdings" w:hAnsi="Wingdings"/>
      </w:rPr>
    </w:lvl>
    <w:lvl w:ilvl="4" w:tentative="0">
      <w:start w:val="1"/>
      <w:numFmt w:val="bullet"/>
      <w:lvlText w:val=""/>
      <w:lvlJc w:val="left"/>
      <w:pPr>
        <w:tabs>
          <w:tab w:val="left" w:pos="3801"/>
        </w:tabs>
        <w:ind w:left="3801" w:hanging="420"/>
      </w:pPr>
      <w:rPr>
        <w:rFonts w:hint="default" w:ascii="Wingdings" w:hAnsi="Wingdings"/>
      </w:rPr>
    </w:lvl>
    <w:lvl w:ilvl="5" w:tentative="0">
      <w:start w:val="1"/>
      <w:numFmt w:val="bullet"/>
      <w:lvlText w:val=""/>
      <w:lvlJc w:val="left"/>
      <w:pPr>
        <w:tabs>
          <w:tab w:val="left" w:pos="4221"/>
        </w:tabs>
        <w:ind w:left="4221" w:hanging="420"/>
      </w:pPr>
      <w:rPr>
        <w:rFonts w:hint="default" w:ascii="Wingdings" w:hAnsi="Wingdings"/>
      </w:rPr>
    </w:lvl>
    <w:lvl w:ilvl="6" w:tentative="0">
      <w:start w:val="1"/>
      <w:numFmt w:val="bullet"/>
      <w:lvlText w:val=""/>
      <w:lvlJc w:val="left"/>
      <w:pPr>
        <w:tabs>
          <w:tab w:val="left" w:pos="4641"/>
        </w:tabs>
        <w:ind w:left="4641" w:hanging="420"/>
      </w:pPr>
      <w:rPr>
        <w:rFonts w:hint="default" w:ascii="Wingdings" w:hAnsi="Wingdings"/>
      </w:rPr>
    </w:lvl>
    <w:lvl w:ilvl="7" w:tentative="0">
      <w:start w:val="1"/>
      <w:numFmt w:val="bullet"/>
      <w:lvlText w:val=""/>
      <w:lvlJc w:val="left"/>
      <w:pPr>
        <w:tabs>
          <w:tab w:val="left" w:pos="5061"/>
        </w:tabs>
        <w:ind w:left="5061" w:hanging="420"/>
      </w:pPr>
      <w:rPr>
        <w:rFonts w:hint="default" w:ascii="Wingdings" w:hAnsi="Wingdings"/>
      </w:rPr>
    </w:lvl>
    <w:lvl w:ilvl="8" w:tentative="0">
      <w:start w:val="1"/>
      <w:numFmt w:val="bullet"/>
      <w:lvlText w:val=""/>
      <w:lvlJc w:val="left"/>
      <w:pPr>
        <w:tabs>
          <w:tab w:val="left" w:pos="5481"/>
        </w:tabs>
        <w:ind w:left="5481" w:hanging="420"/>
      </w:pPr>
      <w:rPr>
        <w:rFonts w:hint="default" w:ascii="Wingdings" w:hAnsi="Wingdings"/>
      </w:rPr>
    </w:lvl>
  </w:abstractNum>
  <w:abstractNum w:abstractNumId="16">
    <w:nsid w:val="153F4863"/>
    <w:multiLevelType w:val="multilevel"/>
    <w:tmpl w:val="153F4863"/>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
    <w:nsid w:val="1560CC83"/>
    <w:multiLevelType w:val="singleLevel"/>
    <w:tmpl w:val="1560CC83"/>
    <w:lvl w:ilvl="0" w:tentative="0">
      <w:start w:val="5"/>
      <w:numFmt w:val="decimal"/>
      <w:suff w:val="nothing"/>
      <w:lvlText w:val="（%1）"/>
      <w:lvlJc w:val="left"/>
    </w:lvl>
  </w:abstractNum>
  <w:abstractNum w:abstractNumId="18">
    <w:nsid w:val="21FC77E1"/>
    <w:multiLevelType w:val="multilevel"/>
    <w:tmpl w:val="21FC77E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AC8EDB2"/>
    <w:multiLevelType w:val="singleLevel"/>
    <w:tmpl w:val="2AC8EDB2"/>
    <w:lvl w:ilvl="0" w:tentative="0">
      <w:start w:val="5"/>
      <w:numFmt w:val="chineseCounting"/>
      <w:suff w:val="nothing"/>
      <w:lvlText w:val="%1、"/>
      <w:lvlJc w:val="left"/>
      <w:rPr>
        <w:rFonts w:hint="eastAsia"/>
      </w:rPr>
    </w:lvl>
  </w:abstractNum>
  <w:abstractNum w:abstractNumId="20">
    <w:nsid w:val="3D66454D"/>
    <w:multiLevelType w:val="multilevel"/>
    <w:tmpl w:val="3D66454D"/>
    <w:lvl w:ilvl="0" w:tentative="0">
      <w:start w:val="1"/>
      <w:numFmt w:val="decimal"/>
      <w:lvlText w:val="%1."/>
      <w:lvlJc w:val="left"/>
      <w:pPr>
        <w:ind w:left="420" w:hanging="42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6B55E5B"/>
    <w:multiLevelType w:val="multilevel"/>
    <w:tmpl w:val="46B55E5B"/>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2">
    <w:nsid w:val="6615066E"/>
    <w:multiLevelType w:val="multilevel"/>
    <w:tmpl w:val="6615066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DDB9169"/>
    <w:multiLevelType w:val="singleLevel"/>
    <w:tmpl w:val="7DDB9169"/>
    <w:lvl w:ilvl="0" w:tentative="0">
      <w:start w:val="2"/>
      <w:numFmt w:val="chineseCounting"/>
      <w:suff w:val="nothing"/>
      <w:lvlText w:val="%1、"/>
      <w:lvlJc w:val="left"/>
      <w:rPr>
        <w:rFonts w:hint="eastAsia"/>
      </w:rPr>
    </w:lvl>
  </w:abstractNum>
  <w:num w:numId="1">
    <w:abstractNumId w:val="4"/>
  </w:num>
  <w:num w:numId="2">
    <w:abstractNumId w:val="10"/>
  </w:num>
  <w:num w:numId="3">
    <w:abstractNumId w:val="15"/>
  </w:num>
  <w:num w:numId="4">
    <w:abstractNumId w:val="5"/>
  </w:num>
  <w:num w:numId="5">
    <w:abstractNumId w:val="11"/>
  </w:num>
  <w:num w:numId="6">
    <w:abstractNumId w:val="8"/>
  </w:num>
  <w:num w:numId="7">
    <w:abstractNumId w:val="6"/>
  </w:num>
  <w:num w:numId="8">
    <w:abstractNumId w:val="3"/>
  </w:num>
  <w:num w:numId="9">
    <w:abstractNumId w:val="21"/>
  </w:num>
  <w:num w:numId="10">
    <w:abstractNumId w:val="1"/>
  </w:num>
  <w:num w:numId="11">
    <w:abstractNumId w:val="2"/>
  </w:num>
  <w:num w:numId="12">
    <w:abstractNumId w:val="20"/>
  </w:num>
  <w:num w:numId="13">
    <w:abstractNumId w:val="22"/>
  </w:num>
  <w:num w:numId="14">
    <w:abstractNumId w:val="18"/>
  </w:num>
  <w:num w:numId="15">
    <w:abstractNumId w:val="16"/>
  </w:num>
  <w:num w:numId="16">
    <w:abstractNumId w:val="23"/>
  </w:num>
  <w:num w:numId="17">
    <w:abstractNumId w:val="17"/>
  </w:num>
  <w:num w:numId="18">
    <w:abstractNumId w:val="19"/>
  </w:num>
  <w:num w:numId="19">
    <w:abstractNumId w:val="13"/>
  </w:num>
  <w:num w:numId="20">
    <w:abstractNumId w:val="0"/>
  </w:num>
  <w:num w:numId="21">
    <w:abstractNumId w:val="7"/>
  </w:num>
  <w:num w:numId="22">
    <w:abstractNumId w:val="9"/>
  </w:num>
  <w:num w:numId="23">
    <w:abstractNumId w:val="1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drawingGridVerticalSpacing w:val="120"/>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2MWY2NWM0YTQzYTA4ZmU1OWFlYzM0NWViM2JkZGUifQ=="/>
  </w:docVars>
  <w:rsids>
    <w:rsidRoot w:val="00172A27"/>
    <w:rsid w:val="000008D0"/>
    <w:rsid w:val="00000A20"/>
    <w:rsid w:val="0000153B"/>
    <w:rsid w:val="00001D62"/>
    <w:rsid w:val="00002458"/>
    <w:rsid w:val="00002474"/>
    <w:rsid w:val="00004151"/>
    <w:rsid w:val="000059CE"/>
    <w:rsid w:val="00005FAB"/>
    <w:rsid w:val="0000669F"/>
    <w:rsid w:val="00006860"/>
    <w:rsid w:val="0000765C"/>
    <w:rsid w:val="00007AE1"/>
    <w:rsid w:val="000112EE"/>
    <w:rsid w:val="0001396D"/>
    <w:rsid w:val="00013EA6"/>
    <w:rsid w:val="0001464E"/>
    <w:rsid w:val="000149CD"/>
    <w:rsid w:val="00015414"/>
    <w:rsid w:val="00016B55"/>
    <w:rsid w:val="00016C19"/>
    <w:rsid w:val="00016F27"/>
    <w:rsid w:val="00017E81"/>
    <w:rsid w:val="000212F8"/>
    <w:rsid w:val="000214FB"/>
    <w:rsid w:val="00022AF1"/>
    <w:rsid w:val="00023B7A"/>
    <w:rsid w:val="00026295"/>
    <w:rsid w:val="00026714"/>
    <w:rsid w:val="000311E5"/>
    <w:rsid w:val="00032D69"/>
    <w:rsid w:val="000332A9"/>
    <w:rsid w:val="00034293"/>
    <w:rsid w:val="00034390"/>
    <w:rsid w:val="00034876"/>
    <w:rsid w:val="00034B6E"/>
    <w:rsid w:val="00036220"/>
    <w:rsid w:val="00037C24"/>
    <w:rsid w:val="0004125E"/>
    <w:rsid w:val="00042226"/>
    <w:rsid w:val="00042559"/>
    <w:rsid w:val="00042F74"/>
    <w:rsid w:val="00043F0D"/>
    <w:rsid w:val="00044E1D"/>
    <w:rsid w:val="00044F65"/>
    <w:rsid w:val="00045330"/>
    <w:rsid w:val="00045612"/>
    <w:rsid w:val="00045E56"/>
    <w:rsid w:val="00045FDB"/>
    <w:rsid w:val="00046A08"/>
    <w:rsid w:val="000474C2"/>
    <w:rsid w:val="000500D8"/>
    <w:rsid w:val="00051096"/>
    <w:rsid w:val="0005214D"/>
    <w:rsid w:val="0005341A"/>
    <w:rsid w:val="00054D17"/>
    <w:rsid w:val="00055444"/>
    <w:rsid w:val="0005553C"/>
    <w:rsid w:val="0005591D"/>
    <w:rsid w:val="00060995"/>
    <w:rsid w:val="00060AD7"/>
    <w:rsid w:val="0006153D"/>
    <w:rsid w:val="00062181"/>
    <w:rsid w:val="000627C2"/>
    <w:rsid w:val="00062AE8"/>
    <w:rsid w:val="000630F5"/>
    <w:rsid w:val="0006360A"/>
    <w:rsid w:val="00064850"/>
    <w:rsid w:val="0006497D"/>
    <w:rsid w:val="0006501B"/>
    <w:rsid w:val="00065074"/>
    <w:rsid w:val="0006662F"/>
    <w:rsid w:val="000666F0"/>
    <w:rsid w:val="00066C71"/>
    <w:rsid w:val="000670F4"/>
    <w:rsid w:val="00067B15"/>
    <w:rsid w:val="00073215"/>
    <w:rsid w:val="00074348"/>
    <w:rsid w:val="00074385"/>
    <w:rsid w:val="00074CAB"/>
    <w:rsid w:val="00074E48"/>
    <w:rsid w:val="00075EB0"/>
    <w:rsid w:val="00076231"/>
    <w:rsid w:val="000762E6"/>
    <w:rsid w:val="0007787D"/>
    <w:rsid w:val="000802FF"/>
    <w:rsid w:val="0008160A"/>
    <w:rsid w:val="00083081"/>
    <w:rsid w:val="000837DF"/>
    <w:rsid w:val="00083AFB"/>
    <w:rsid w:val="00084843"/>
    <w:rsid w:val="00084865"/>
    <w:rsid w:val="00085176"/>
    <w:rsid w:val="0008579B"/>
    <w:rsid w:val="00085F5F"/>
    <w:rsid w:val="00086319"/>
    <w:rsid w:val="00086444"/>
    <w:rsid w:val="000869C4"/>
    <w:rsid w:val="00087862"/>
    <w:rsid w:val="000900E3"/>
    <w:rsid w:val="000911EF"/>
    <w:rsid w:val="00091335"/>
    <w:rsid w:val="00091C22"/>
    <w:rsid w:val="000920D9"/>
    <w:rsid w:val="0009309C"/>
    <w:rsid w:val="00093978"/>
    <w:rsid w:val="000947A0"/>
    <w:rsid w:val="00094C69"/>
    <w:rsid w:val="00094E35"/>
    <w:rsid w:val="00095488"/>
    <w:rsid w:val="00095C9C"/>
    <w:rsid w:val="00096575"/>
    <w:rsid w:val="00096AA4"/>
    <w:rsid w:val="00096F82"/>
    <w:rsid w:val="0009734E"/>
    <w:rsid w:val="0009752A"/>
    <w:rsid w:val="00097B65"/>
    <w:rsid w:val="00097FDD"/>
    <w:rsid w:val="000A0B49"/>
    <w:rsid w:val="000A1423"/>
    <w:rsid w:val="000A1522"/>
    <w:rsid w:val="000A2536"/>
    <w:rsid w:val="000A26FA"/>
    <w:rsid w:val="000A29CD"/>
    <w:rsid w:val="000A2B12"/>
    <w:rsid w:val="000A31A0"/>
    <w:rsid w:val="000A361E"/>
    <w:rsid w:val="000A4C38"/>
    <w:rsid w:val="000A5568"/>
    <w:rsid w:val="000A6AFD"/>
    <w:rsid w:val="000A758D"/>
    <w:rsid w:val="000B2E56"/>
    <w:rsid w:val="000B2F59"/>
    <w:rsid w:val="000B33CA"/>
    <w:rsid w:val="000B53AD"/>
    <w:rsid w:val="000B58F4"/>
    <w:rsid w:val="000B6F84"/>
    <w:rsid w:val="000B75BF"/>
    <w:rsid w:val="000C2954"/>
    <w:rsid w:val="000C3D7F"/>
    <w:rsid w:val="000C4070"/>
    <w:rsid w:val="000C4B84"/>
    <w:rsid w:val="000C69E9"/>
    <w:rsid w:val="000C6D01"/>
    <w:rsid w:val="000C7B52"/>
    <w:rsid w:val="000C7FB8"/>
    <w:rsid w:val="000D18A7"/>
    <w:rsid w:val="000D26EC"/>
    <w:rsid w:val="000D2A7B"/>
    <w:rsid w:val="000D3646"/>
    <w:rsid w:val="000D4E32"/>
    <w:rsid w:val="000D5106"/>
    <w:rsid w:val="000D66B0"/>
    <w:rsid w:val="000D6E8F"/>
    <w:rsid w:val="000D6F10"/>
    <w:rsid w:val="000D7A81"/>
    <w:rsid w:val="000E04C8"/>
    <w:rsid w:val="000E05B9"/>
    <w:rsid w:val="000E14B1"/>
    <w:rsid w:val="000E1CD7"/>
    <w:rsid w:val="000E20B1"/>
    <w:rsid w:val="000E2947"/>
    <w:rsid w:val="000E3887"/>
    <w:rsid w:val="000E4223"/>
    <w:rsid w:val="000E4E6A"/>
    <w:rsid w:val="000E5DDE"/>
    <w:rsid w:val="000E7C9F"/>
    <w:rsid w:val="000F01E3"/>
    <w:rsid w:val="000F1142"/>
    <w:rsid w:val="000F2B74"/>
    <w:rsid w:val="000F30B8"/>
    <w:rsid w:val="000F329C"/>
    <w:rsid w:val="000F3310"/>
    <w:rsid w:val="000F39F3"/>
    <w:rsid w:val="000F5C94"/>
    <w:rsid w:val="000F7667"/>
    <w:rsid w:val="00100318"/>
    <w:rsid w:val="00101D1E"/>
    <w:rsid w:val="00102287"/>
    <w:rsid w:val="00103E68"/>
    <w:rsid w:val="00103FAF"/>
    <w:rsid w:val="001046DA"/>
    <w:rsid w:val="001046E6"/>
    <w:rsid w:val="001052C0"/>
    <w:rsid w:val="0010598D"/>
    <w:rsid w:val="00106F00"/>
    <w:rsid w:val="00106F54"/>
    <w:rsid w:val="001130D2"/>
    <w:rsid w:val="00113A43"/>
    <w:rsid w:val="001142E1"/>
    <w:rsid w:val="00114DAD"/>
    <w:rsid w:val="001158B2"/>
    <w:rsid w:val="001202EF"/>
    <w:rsid w:val="001204A9"/>
    <w:rsid w:val="00121166"/>
    <w:rsid w:val="00121883"/>
    <w:rsid w:val="00122A46"/>
    <w:rsid w:val="00122FF8"/>
    <w:rsid w:val="00124B1D"/>
    <w:rsid w:val="00125687"/>
    <w:rsid w:val="0013186B"/>
    <w:rsid w:val="00131D89"/>
    <w:rsid w:val="00132B6B"/>
    <w:rsid w:val="001330C8"/>
    <w:rsid w:val="00133B6C"/>
    <w:rsid w:val="00134D38"/>
    <w:rsid w:val="001352BB"/>
    <w:rsid w:val="00136724"/>
    <w:rsid w:val="00136A51"/>
    <w:rsid w:val="00136F1F"/>
    <w:rsid w:val="00140206"/>
    <w:rsid w:val="00140663"/>
    <w:rsid w:val="00141555"/>
    <w:rsid w:val="00141573"/>
    <w:rsid w:val="0014160C"/>
    <w:rsid w:val="0014172A"/>
    <w:rsid w:val="001427DC"/>
    <w:rsid w:val="0014314E"/>
    <w:rsid w:val="00144962"/>
    <w:rsid w:val="00144B55"/>
    <w:rsid w:val="0014502D"/>
    <w:rsid w:val="001463E9"/>
    <w:rsid w:val="001479BE"/>
    <w:rsid w:val="00147B99"/>
    <w:rsid w:val="001510A0"/>
    <w:rsid w:val="001510E0"/>
    <w:rsid w:val="0015217D"/>
    <w:rsid w:val="00154A36"/>
    <w:rsid w:val="00154CB2"/>
    <w:rsid w:val="00155106"/>
    <w:rsid w:val="00155AD9"/>
    <w:rsid w:val="00156DE8"/>
    <w:rsid w:val="00157785"/>
    <w:rsid w:val="00160FDB"/>
    <w:rsid w:val="0016108C"/>
    <w:rsid w:val="00161B43"/>
    <w:rsid w:val="00162B64"/>
    <w:rsid w:val="00163515"/>
    <w:rsid w:val="001638A2"/>
    <w:rsid w:val="00163B95"/>
    <w:rsid w:val="001653E9"/>
    <w:rsid w:val="00165A24"/>
    <w:rsid w:val="00166ECA"/>
    <w:rsid w:val="001715A8"/>
    <w:rsid w:val="00171C36"/>
    <w:rsid w:val="00172398"/>
    <w:rsid w:val="00172A27"/>
    <w:rsid w:val="00173F51"/>
    <w:rsid w:val="001745F0"/>
    <w:rsid w:val="00174C59"/>
    <w:rsid w:val="001759DB"/>
    <w:rsid w:val="0017680C"/>
    <w:rsid w:val="00177A18"/>
    <w:rsid w:val="00180FA2"/>
    <w:rsid w:val="0018249C"/>
    <w:rsid w:val="00182592"/>
    <w:rsid w:val="00182871"/>
    <w:rsid w:val="00183CF6"/>
    <w:rsid w:val="0018574B"/>
    <w:rsid w:val="00185DDD"/>
    <w:rsid w:val="00186314"/>
    <w:rsid w:val="00186920"/>
    <w:rsid w:val="0018764F"/>
    <w:rsid w:val="00190A19"/>
    <w:rsid w:val="00190BFF"/>
    <w:rsid w:val="00190E1A"/>
    <w:rsid w:val="00191133"/>
    <w:rsid w:val="0019475D"/>
    <w:rsid w:val="00194A73"/>
    <w:rsid w:val="00196878"/>
    <w:rsid w:val="00196F5B"/>
    <w:rsid w:val="001A0BBB"/>
    <w:rsid w:val="001A21E2"/>
    <w:rsid w:val="001A2BA5"/>
    <w:rsid w:val="001A33FC"/>
    <w:rsid w:val="001A347A"/>
    <w:rsid w:val="001A3B3E"/>
    <w:rsid w:val="001A51C3"/>
    <w:rsid w:val="001A7B2A"/>
    <w:rsid w:val="001B017F"/>
    <w:rsid w:val="001B11C6"/>
    <w:rsid w:val="001B157D"/>
    <w:rsid w:val="001B1F48"/>
    <w:rsid w:val="001B251F"/>
    <w:rsid w:val="001B290B"/>
    <w:rsid w:val="001B354A"/>
    <w:rsid w:val="001B46D4"/>
    <w:rsid w:val="001B487B"/>
    <w:rsid w:val="001C0237"/>
    <w:rsid w:val="001C027E"/>
    <w:rsid w:val="001C02F1"/>
    <w:rsid w:val="001C168C"/>
    <w:rsid w:val="001C24F8"/>
    <w:rsid w:val="001C3B88"/>
    <w:rsid w:val="001C3C35"/>
    <w:rsid w:val="001C54DB"/>
    <w:rsid w:val="001C633F"/>
    <w:rsid w:val="001C7DEB"/>
    <w:rsid w:val="001D056B"/>
    <w:rsid w:val="001D0D9C"/>
    <w:rsid w:val="001D1985"/>
    <w:rsid w:val="001D214E"/>
    <w:rsid w:val="001D30DF"/>
    <w:rsid w:val="001D4AB3"/>
    <w:rsid w:val="001D4FE8"/>
    <w:rsid w:val="001D519F"/>
    <w:rsid w:val="001D57FF"/>
    <w:rsid w:val="001D5AF2"/>
    <w:rsid w:val="001D61BF"/>
    <w:rsid w:val="001D6399"/>
    <w:rsid w:val="001D6FB1"/>
    <w:rsid w:val="001D709A"/>
    <w:rsid w:val="001E04E8"/>
    <w:rsid w:val="001E058C"/>
    <w:rsid w:val="001E105F"/>
    <w:rsid w:val="001E13F3"/>
    <w:rsid w:val="001E14AA"/>
    <w:rsid w:val="001E2717"/>
    <w:rsid w:val="001E2BC0"/>
    <w:rsid w:val="001E33DB"/>
    <w:rsid w:val="001E385F"/>
    <w:rsid w:val="001E3D83"/>
    <w:rsid w:val="001E51C8"/>
    <w:rsid w:val="001E608B"/>
    <w:rsid w:val="001E65B3"/>
    <w:rsid w:val="001E6BE4"/>
    <w:rsid w:val="001F02BF"/>
    <w:rsid w:val="001F0F20"/>
    <w:rsid w:val="001F0F4E"/>
    <w:rsid w:val="001F3368"/>
    <w:rsid w:val="001F33EB"/>
    <w:rsid w:val="001F381F"/>
    <w:rsid w:val="001F53AC"/>
    <w:rsid w:val="001F6D38"/>
    <w:rsid w:val="001F6E44"/>
    <w:rsid w:val="002009DA"/>
    <w:rsid w:val="00204E0B"/>
    <w:rsid w:val="0020691E"/>
    <w:rsid w:val="002108B6"/>
    <w:rsid w:val="002118F2"/>
    <w:rsid w:val="00211D6C"/>
    <w:rsid w:val="00212139"/>
    <w:rsid w:val="00212335"/>
    <w:rsid w:val="0021298C"/>
    <w:rsid w:val="00212C67"/>
    <w:rsid w:val="00212FED"/>
    <w:rsid w:val="0021313A"/>
    <w:rsid w:val="00213B69"/>
    <w:rsid w:val="00214548"/>
    <w:rsid w:val="00214CB3"/>
    <w:rsid w:val="00215F3A"/>
    <w:rsid w:val="00216EF9"/>
    <w:rsid w:val="00217CCE"/>
    <w:rsid w:val="00223ED2"/>
    <w:rsid w:val="00224A64"/>
    <w:rsid w:val="00224B71"/>
    <w:rsid w:val="002251E7"/>
    <w:rsid w:val="00225634"/>
    <w:rsid w:val="00225A8C"/>
    <w:rsid w:val="00226631"/>
    <w:rsid w:val="00226BF5"/>
    <w:rsid w:val="00226D8E"/>
    <w:rsid w:val="00227514"/>
    <w:rsid w:val="002279D2"/>
    <w:rsid w:val="00227AEE"/>
    <w:rsid w:val="00227B1E"/>
    <w:rsid w:val="0023053F"/>
    <w:rsid w:val="00230547"/>
    <w:rsid w:val="002305C9"/>
    <w:rsid w:val="0023234F"/>
    <w:rsid w:val="002333BF"/>
    <w:rsid w:val="00233CE9"/>
    <w:rsid w:val="00234740"/>
    <w:rsid w:val="00235442"/>
    <w:rsid w:val="00235641"/>
    <w:rsid w:val="0023660C"/>
    <w:rsid w:val="0023687D"/>
    <w:rsid w:val="00237E5B"/>
    <w:rsid w:val="002401FD"/>
    <w:rsid w:val="00240911"/>
    <w:rsid w:val="00240C6F"/>
    <w:rsid w:val="0024150F"/>
    <w:rsid w:val="002427B2"/>
    <w:rsid w:val="00242AFB"/>
    <w:rsid w:val="002438AC"/>
    <w:rsid w:val="002446AF"/>
    <w:rsid w:val="00244E7A"/>
    <w:rsid w:val="00245A18"/>
    <w:rsid w:val="00246069"/>
    <w:rsid w:val="002466CC"/>
    <w:rsid w:val="0024672A"/>
    <w:rsid w:val="00246DB5"/>
    <w:rsid w:val="002474A5"/>
    <w:rsid w:val="00251641"/>
    <w:rsid w:val="00251C80"/>
    <w:rsid w:val="002534F3"/>
    <w:rsid w:val="00253527"/>
    <w:rsid w:val="0025361A"/>
    <w:rsid w:val="002539CA"/>
    <w:rsid w:val="0025621F"/>
    <w:rsid w:val="00256C99"/>
    <w:rsid w:val="002577C1"/>
    <w:rsid w:val="00260F7F"/>
    <w:rsid w:val="00261627"/>
    <w:rsid w:val="0026173B"/>
    <w:rsid w:val="002629D8"/>
    <w:rsid w:val="00262B61"/>
    <w:rsid w:val="00262F1E"/>
    <w:rsid w:val="00263A27"/>
    <w:rsid w:val="002658AB"/>
    <w:rsid w:val="00266A86"/>
    <w:rsid w:val="00267066"/>
    <w:rsid w:val="0027029C"/>
    <w:rsid w:val="00270D9E"/>
    <w:rsid w:val="00271043"/>
    <w:rsid w:val="0027166D"/>
    <w:rsid w:val="00271862"/>
    <w:rsid w:val="00271EF9"/>
    <w:rsid w:val="0027234A"/>
    <w:rsid w:val="00272D8C"/>
    <w:rsid w:val="002734BD"/>
    <w:rsid w:val="00273C6B"/>
    <w:rsid w:val="00274406"/>
    <w:rsid w:val="0027490E"/>
    <w:rsid w:val="002765DD"/>
    <w:rsid w:val="002777D1"/>
    <w:rsid w:val="0028173D"/>
    <w:rsid w:val="00282425"/>
    <w:rsid w:val="0028279E"/>
    <w:rsid w:val="002837C5"/>
    <w:rsid w:val="002839D2"/>
    <w:rsid w:val="0028428A"/>
    <w:rsid w:val="00284473"/>
    <w:rsid w:val="002856A6"/>
    <w:rsid w:val="0028651A"/>
    <w:rsid w:val="00287140"/>
    <w:rsid w:val="0028757E"/>
    <w:rsid w:val="00290148"/>
    <w:rsid w:val="00290207"/>
    <w:rsid w:val="0029043E"/>
    <w:rsid w:val="00291C50"/>
    <w:rsid w:val="00292B08"/>
    <w:rsid w:val="002931A6"/>
    <w:rsid w:val="00293A40"/>
    <w:rsid w:val="00294255"/>
    <w:rsid w:val="002950DE"/>
    <w:rsid w:val="002969ED"/>
    <w:rsid w:val="0029744B"/>
    <w:rsid w:val="002A05E0"/>
    <w:rsid w:val="002A2C8B"/>
    <w:rsid w:val="002A3848"/>
    <w:rsid w:val="002A5514"/>
    <w:rsid w:val="002A5DA2"/>
    <w:rsid w:val="002A7EBD"/>
    <w:rsid w:val="002B051B"/>
    <w:rsid w:val="002B19BA"/>
    <w:rsid w:val="002B28EF"/>
    <w:rsid w:val="002B2E1A"/>
    <w:rsid w:val="002B35D7"/>
    <w:rsid w:val="002B45FD"/>
    <w:rsid w:val="002B48B1"/>
    <w:rsid w:val="002B70E7"/>
    <w:rsid w:val="002C0CD4"/>
    <w:rsid w:val="002C0D8B"/>
    <w:rsid w:val="002C11B6"/>
    <w:rsid w:val="002C284F"/>
    <w:rsid w:val="002C2BA1"/>
    <w:rsid w:val="002C334D"/>
    <w:rsid w:val="002C3506"/>
    <w:rsid w:val="002C426C"/>
    <w:rsid w:val="002C465C"/>
    <w:rsid w:val="002C5A8F"/>
    <w:rsid w:val="002C6A08"/>
    <w:rsid w:val="002D03DA"/>
    <w:rsid w:val="002D3117"/>
    <w:rsid w:val="002D387D"/>
    <w:rsid w:val="002D39B7"/>
    <w:rsid w:val="002D3D89"/>
    <w:rsid w:val="002D4ABA"/>
    <w:rsid w:val="002D4EF6"/>
    <w:rsid w:val="002D4F00"/>
    <w:rsid w:val="002D5308"/>
    <w:rsid w:val="002D674A"/>
    <w:rsid w:val="002D6E5C"/>
    <w:rsid w:val="002E0C2F"/>
    <w:rsid w:val="002E202D"/>
    <w:rsid w:val="002E234D"/>
    <w:rsid w:val="002E2FB5"/>
    <w:rsid w:val="002E504E"/>
    <w:rsid w:val="002F0646"/>
    <w:rsid w:val="002F087B"/>
    <w:rsid w:val="002F132E"/>
    <w:rsid w:val="002F160F"/>
    <w:rsid w:val="002F1CE7"/>
    <w:rsid w:val="002F313B"/>
    <w:rsid w:val="002F3A69"/>
    <w:rsid w:val="002F40FD"/>
    <w:rsid w:val="002F5851"/>
    <w:rsid w:val="002F5E07"/>
    <w:rsid w:val="002F6AD7"/>
    <w:rsid w:val="002F74D1"/>
    <w:rsid w:val="002F7D0F"/>
    <w:rsid w:val="00300BFA"/>
    <w:rsid w:val="00301AE8"/>
    <w:rsid w:val="003026E7"/>
    <w:rsid w:val="00302F95"/>
    <w:rsid w:val="00304885"/>
    <w:rsid w:val="00304BBB"/>
    <w:rsid w:val="00305072"/>
    <w:rsid w:val="00305C83"/>
    <w:rsid w:val="00306A39"/>
    <w:rsid w:val="00307CB1"/>
    <w:rsid w:val="00310588"/>
    <w:rsid w:val="00311054"/>
    <w:rsid w:val="003113C6"/>
    <w:rsid w:val="00312A5F"/>
    <w:rsid w:val="00314D70"/>
    <w:rsid w:val="00315C5B"/>
    <w:rsid w:val="00316079"/>
    <w:rsid w:val="003169BB"/>
    <w:rsid w:val="00317012"/>
    <w:rsid w:val="003173AC"/>
    <w:rsid w:val="0032238F"/>
    <w:rsid w:val="0032298B"/>
    <w:rsid w:val="00322D03"/>
    <w:rsid w:val="00322DD9"/>
    <w:rsid w:val="0032351B"/>
    <w:rsid w:val="0032707B"/>
    <w:rsid w:val="00327626"/>
    <w:rsid w:val="00327823"/>
    <w:rsid w:val="00327B50"/>
    <w:rsid w:val="00332298"/>
    <w:rsid w:val="003325FE"/>
    <w:rsid w:val="00333D94"/>
    <w:rsid w:val="00334190"/>
    <w:rsid w:val="0033613B"/>
    <w:rsid w:val="003369C7"/>
    <w:rsid w:val="00337E16"/>
    <w:rsid w:val="003400CF"/>
    <w:rsid w:val="003429B2"/>
    <w:rsid w:val="00342A43"/>
    <w:rsid w:val="00342A4C"/>
    <w:rsid w:val="003432BC"/>
    <w:rsid w:val="00344456"/>
    <w:rsid w:val="003468BD"/>
    <w:rsid w:val="00347030"/>
    <w:rsid w:val="00347782"/>
    <w:rsid w:val="00347ACD"/>
    <w:rsid w:val="00347B08"/>
    <w:rsid w:val="00350E21"/>
    <w:rsid w:val="00352888"/>
    <w:rsid w:val="00352BF2"/>
    <w:rsid w:val="003534A0"/>
    <w:rsid w:val="00353571"/>
    <w:rsid w:val="00353A1A"/>
    <w:rsid w:val="00353BF9"/>
    <w:rsid w:val="00354F35"/>
    <w:rsid w:val="003564AB"/>
    <w:rsid w:val="003579BD"/>
    <w:rsid w:val="00360B2C"/>
    <w:rsid w:val="00362867"/>
    <w:rsid w:val="00362D39"/>
    <w:rsid w:val="003640B4"/>
    <w:rsid w:val="0036499A"/>
    <w:rsid w:val="00366347"/>
    <w:rsid w:val="00366C8B"/>
    <w:rsid w:val="00367743"/>
    <w:rsid w:val="00367C3A"/>
    <w:rsid w:val="00367EB7"/>
    <w:rsid w:val="0037270C"/>
    <w:rsid w:val="00373E38"/>
    <w:rsid w:val="00374A20"/>
    <w:rsid w:val="00375484"/>
    <w:rsid w:val="0037553D"/>
    <w:rsid w:val="00375889"/>
    <w:rsid w:val="00376125"/>
    <w:rsid w:val="003762AD"/>
    <w:rsid w:val="00376BFF"/>
    <w:rsid w:val="00377520"/>
    <w:rsid w:val="00380FD6"/>
    <w:rsid w:val="00381392"/>
    <w:rsid w:val="00381426"/>
    <w:rsid w:val="0038207E"/>
    <w:rsid w:val="00384D3A"/>
    <w:rsid w:val="00385031"/>
    <w:rsid w:val="00386B47"/>
    <w:rsid w:val="003914A6"/>
    <w:rsid w:val="003925BD"/>
    <w:rsid w:val="00396555"/>
    <w:rsid w:val="0039660F"/>
    <w:rsid w:val="00396AA8"/>
    <w:rsid w:val="003A06AA"/>
    <w:rsid w:val="003A10D2"/>
    <w:rsid w:val="003A1C85"/>
    <w:rsid w:val="003A1E07"/>
    <w:rsid w:val="003A2464"/>
    <w:rsid w:val="003A517A"/>
    <w:rsid w:val="003A669B"/>
    <w:rsid w:val="003A7D9A"/>
    <w:rsid w:val="003A7F5B"/>
    <w:rsid w:val="003B226F"/>
    <w:rsid w:val="003B2767"/>
    <w:rsid w:val="003B31A4"/>
    <w:rsid w:val="003B5912"/>
    <w:rsid w:val="003B5AC0"/>
    <w:rsid w:val="003B63B0"/>
    <w:rsid w:val="003B71EA"/>
    <w:rsid w:val="003C0751"/>
    <w:rsid w:val="003C0CAD"/>
    <w:rsid w:val="003C3319"/>
    <w:rsid w:val="003C4D44"/>
    <w:rsid w:val="003C7A3C"/>
    <w:rsid w:val="003C7B50"/>
    <w:rsid w:val="003D0115"/>
    <w:rsid w:val="003D0419"/>
    <w:rsid w:val="003D053F"/>
    <w:rsid w:val="003D0644"/>
    <w:rsid w:val="003D2B13"/>
    <w:rsid w:val="003D473D"/>
    <w:rsid w:val="003D4B77"/>
    <w:rsid w:val="003D4F69"/>
    <w:rsid w:val="003D5B27"/>
    <w:rsid w:val="003D6140"/>
    <w:rsid w:val="003D630E"/>
    <w:rsid w:val="003D6BD5"/>
    <w:rsid w:val="003D6D97"/>
    <w:rsid w:val="003D7B2E"/>
    <w:rsid w:val="003E0133"/>
    <w:rsid w:val="003E1B8F"/>
    <w:rsid w:val="003E2480"/>
    <w:rsid w:val="003E372D"/>
    <w:rsid w:val="003E4108"/>
    <w:rsid w:val="003E4139"/>
    <w:rsid w:val="003E4493"/>
    <w:rsid w:val="003E51FB"/>
    <w:rsid w:val="003E57DB"/>
    <w:rsid w:val="003E5FF6"/>
    <w:rsid w:val="003E6192"/>
    <w:rsid w:val="003E75E8"/>
    <w:rsid w:val="003F011B"/>
    <w:rsid w:val="003F01EE"/>
    <w:rsid w:val="003F057E"/>
    <w:rsid w:val="003F1CE6"/>
    <w:rsid w:val="003F1D56"/>
    <w:rsid w:val="003F3649"/>
    <w:rsid w:val="003F398C"/>
    <w:rsid w:val="003F41F4"/>
    <w:rsid w:val="003F4CA6"/>
    <w:rsid w:val="003F5232"/>
    <w:rsid w:val="003F68C6"/>
    <w:rsid w:val="00400417"/>
    <w:rsid w:val="00400BE6"/>
    <w:rsid w:val="00402454"/>
    <w:rsid w:val="00402E81"/>
    <w:rsid w:val="0040346F"/>
    <w:rsid w:val="0040535D"/>
    <w:rsid w:val="00406601"/>
    <w:rsid w:val="004075DD"/>
    <w:rsid w:val="00407B89"/>
    <w:rsid w:val="00410BB6"/>
    <w:rsid w:val="004116E5"/>
    <w:rsid w:val="00411F39"/>
    <w:rsid w:val="004123A0"/>
    <w:rsid w:val="004131C5"/>
    <w:rsid w:val="004139F5"/>
    <w:rsid w:val="0041428D"/>
    <w:rsid w:val="00414859"/>
    <w:rsid w:val="004148F6"/>
    <w:rsid w:val="0041501D"/>
    <w:rsid w:val="0041536A"/>
    <w:rsid w:val="00415548"/>
    <w:rsid w:val="00415E51"/>
    <w:rsid w:val="00417CB7"/>
    <w:rsid w:val="00417EC3"/>
    <w:rsid w:val="0042040E"/>
    <w:rsid w:val="00420EDE"/>
    <w:rsid w:val="00420F03"/>
    <w:rsid w:val="00421E5C"/>
    <w:rsid w:val="0042259C"/>
    <w:rsid w:val="00422744"/>
    <w:rsid w:val="00423E03"/>
    <w:rsid w:val="00424292"/>
    <w:rsid w:val="00424449"/>
    <w:rsid w:val="0042513E"/>
    <w:rsid w:val="00426421"/>
    <w:rsid w:val="00426EDC"/>
    <w:rsid w:val="00430B57"/>
    <w:rsid w:val="00431840"/>
    <w:rsid w:val="004320EB"/>
    <w:rsid w:val="00432339"/>
    <w:rsid w:val="00432829"/>
    <w:rsid w:val="00432FB4"/>
    <w:rsid w:val="00433994"/>
    <w:rsid w:val="00433EB7"/>
    <w:rsid w:val="004341C5"/>
    <w:rsid w:val="004357C2"/>
    <w:rsid w:val="00435C41"/>
    <w:rsid w:val="004378A2"/>
    <w:rsid w:val="004378B5"/>
    <w:rsid w:val="004401BD"/>
    <w:rsid w:val="00440F88"/>
    <w:rsid w:val="00441977"/>
    <w:rsid w:val="00442BEC"/>
    <w:rsid w:val="00442E93"/>
    <w:rsid w:val="00443285"/>
    <w:rsid w:val="00443F81"/>
    <w:rsid w:val="00444BAC"/>
    <w:rsid w:val="00447CA6"/>
    <w:rsid w:val="00451033"/>
    <w:rsid w:val="004515EF"/>
    <w:rsid w:val="00451712"/>
    <w:rsid w:val="00451C2C"/>
    <w:rsid w:val="00452B23"/>
    <w:rsid w:val="004530BC"/>
    <w:rsid w:val="00453631"/>
    <w:rsid w:val="00454438"/>
    <w:rsid w:val="00454AB4"/>
    <w:rsid w:val="00454FBF"/>
    <w:rsid w:val="0045590B"/>
    <w:rsid w:val="00455942"/>
    <w:rsid w:val="00455B78"/>
    <w:rsid w:val="004564E8"/>
    <w:rsid w:val="004573BA"/>
    <w:rsid w:val="0046051F"/>
    <w:rsid w:val="00460866"/>
    <w:rsid w:val="00460AE7"/>
    <w:rsid w:val="00460FA0"/>
    <w:rsid w:val="00461C2D"/>
    <w:rsid w:val="00461FED"/>
    <w:rsid w:val="0046208E"/>
    <w:rsid w:val="0046291D"/>
    <w:rsid w:val="004633B5"/>
    <w:rsid w:val="0046428F"/>
    <w:rsid w:val="004652EF"/>
    <w:rsid w:val="0046586B"/>
    <w:rsid w:val="0046647C"/>
    <w:rsid w:val="00470885"/>
    <w:rsid w:val="00470DC6"/>
    <w:rsid w:val="004727FD"/>
    <w:rsid w:val="00472EFB"/>
    <w:rsid w:val="00472F45"/>
    <w:rsid w:val="00473D76"/>
    <w:rsid w:val="00474029"/>
    <w:rsid w:val="00474F4B"/>
    <w:rsid w:val="00475252"/>
    <w:rsid w:val="004763DF"/>
    <w:rsid w:val="0047740A"/>
    <w:rsid w:val="004779F3"/>
    <w:rsid w:val="00477A37"/>
    <w:rsid w:val="00480B6F"/>
    <w:rsid w:val="00481D4A"/>
    <w:rsid w:val="00483EBD"/>
    <w:rsid w:val="004844F9"/>
    <w:rsid w:val="00486F82"/>
    <w:rsid w:val="004872B1"/>
    <w:rsid w:val="004906A7"/>
    <w:rsid w:val="004924FB"/>
    <w:rsid w:val="00492BE8"/>
    <w:rsid w:val="00494E2B"/>
    <w:rsid w:val="00495431"/>
    <w:rsid w:val="00495720"/>
    <w:rsid w:val="004964C8"/>
    <w:rsid w:val="00497033"/>
    <w:rsid w:val="004971EE"/>
    <w:rsid w:val="004A038C"/>
    <w:rsid w:val="004A197C"/>
    <w:rsid w:val="004A2414"/>
    <w:rsid w:val="004A2E4E"/>
    <w:rsid w:val="004A42CC"/>
    <w:rsid w:val="004A4592"/>
    <w:rsid w:val="004A4F0F"/>
    <w:rsid w:val="004A5D6F"/>
    <w:rsid w:val="004A757B"/>
    <w:rsid w:val="004B0067"/>
    <w:rsid w:val="004B053F"/>
    <w:rsid w:val="004B0C11"/>
    <w:rsid w:val="004B11CB"/>
    <w:rsid w:val="004B5403"/>
    <w:rsid w:val="004B5813"/>
    <w:rsid w:val="004B6312"/>
    <w:rsid w:val="004B724A"/>
    <w:rsid w:val="004B7380"/>
    <w:rsid w:val="004B7FE8"/>
    <w:rsid w:val="004C0592"/>
    <w:rsid w:val="004C08AD"/>
    <w:rsid w:val="004C1CB4"/>
    <w:rsid w:val="004C3989"/>
    <w:rsid w:val="004C3ABB"/>
    <w:rsid w:val="004C4D0E"/>
    <w:rsid w:val="004C5A75"/>
    <w:rsid w:val="004C6286"/>
    <w:rsid w:val="004C6B66"/>
    <w:rsid w:val="004D0E69"/>
    <w:rsid w:val="004D2C1F"/>
    <w:rsid w:val="004D2D89"/>
    <w:rsid w:val="004D3510"/>
    <w:rsid w:val="004D3590"/>
    <w:rsid w:val="004D46AE"/>
    <w:rsid w:val="004D4736"/>
    <w:rsid w:val="004D5122"/>
    <w:rsid w:val="004D5321"/>
    <w:rsid w:val="004D5337"/>
    <w:rsid w:val="004E0A53"/>
    <w:rsid w:val="004E0E0E"/>
    <w:rsid w:val="004E103C"/>
    <w:rsid w:val="004E2215"/>
    <w:rsid w:val="004E265A"/>
    <w:rsid w:val="004E2F4B"/>
    <w:rsid w:val="004E3B4D"/>
    <w:rsid w:val="004E4FFB"/>
    <w:rsid w:val="004E707B"/>
    <w:rsid w:val="004E7350"/>
    <w:rsid w:val="004E746D"/>
    <w:rsid w:val="004E74F3"/>
    <w:rsid w:val="004E7E4D"/>
    <w:rsid w:val="004F15B6"/>
    <w:rsid w:val="004F2EC7"/>
    <w:rsid w:val="004F2FDB"/>
    <w:rsid w:val="004F38EA"/>
    <w:rsid w:val="004F42D1"/>
    <w:rsid w:val="004F598B"/>
    <w:rsid w:val="004F6102"/>
    <w:rsid w:val="004F6B61"/>
    <w:rsid w:val="0050054F"/>
    <w:rsid w:val="005006BC"/>
    <w:rsid w:val="0050395D"/>
    <w:rsid w:val="0050486C"/>
    <w:rsid w:val="00506548"/>
    <w:rsid w:val="005072F8"/>
    <w:rsid w:val="00510870"/>
    <w:rsid w:val="00511EB1"/>
    <w:rsid w:val="005120C7"/>
    <w:rsid w:val="005127CA"/>
    <w:rsid w:val="0051392C"/>
    <w:rsid w:val="005143CA"/>
    <w:rsid w:val="00516AE3"/>
    <w:rsid w:val="00517019"/>
    <w:rsid w:val="00521389"/>
    <w:rsid w:val="00521EB4"/>
    <w:rsid w:val="005229C9"/>
    <w:rsid w:val="00525454"/>
    <w:rsid w:val="0052545C"/>
    <w:rsid w:val="00525A4E"/>
    <w:rsid w:val="0052707C"/>
    <w:rsid w:val="00527B45"/>
    <w:rsid w:val="00530C26"/>
    <w:rsid w:val="00531075"/>
    <w:rsid w:val="0053171C"/>
    <w:rsid w:val="00531E39"/>
    <w:rsid w:val="00533E70"/>
    <w:rsid w:val="00535627"/>
    <w:rsid w:val="00535943"/>
    <w:rsid w:val="0053671A"/>
    <w:rsid w:val="0053779B"/>
    <w:rsid w:val="005378A4"/>
    <w:rsid w:val="005412CF"/>
    <w:rsid w:val="005412E3"/>
    <w:rsid w:val="005417B1"/>
    <w:rsid w:val="005449C4"/>
    <w:rsid w:val="00545617"/>
    <w:rsid w:val="0054658C"/>
    <w:rsid w:val="00546656"/>
    <w:rsid w:val="00546CBC"/>
    <w:rsid w:val="0054703F"/>
    <w:rsid w:val="00547511"/>
    <w:rsid w:val="00551869"/>
    <w:rsid w:val="0055282E"/>
    <w:rsid w:val="00553822"/>
    <w:rsid w:val="005557DF"/>
    <w:rsid w:val="0055601C"/>
    <w:rsid w:val="005612EF"/>
    <w:rsid w:val="00562D71"/>
    <w:rsid w:val="005633DB"/>
    <w:rsid w:val="005636B7"/>
    <w:rsid w:val="00563F34"/>
    <w:rsid w:val="00564BEE"/>
    <w:rsid w:val="005656AC"/>
    <w:rsid w:val="00565703"/>
    <w:rsid w:val="00565A87"/>
    <w:rsid w:val="00567336"/>
    <w:rsid w:val="00567785"/>
    <w:rsid w:val="00567E5E"/>
    <w:rsid w:val="00572D32"/>
    <w:rsid w:val="00577390"/>
    <w:rsid w:val="00577CF3"/>
    <w:rsid w:val="00577F20"/>
    <w:rsid w:val="0058052A"/>
    <w:rsid w:val="00580589"/>
    <w:rsid w:val="00580DDC"/>
    <w:rsid w:val="0058178D"/>
    <w:rsid w:val="00582BA0"/>
    <w:rsid w:val="00584ECF"/>
    <w:rsid w:val="00586834"/>
    <w:rsid w:val="005918E0"/>
    <w:rsid w:val="00592962"/>
    <w:rsid w:val="00593B1A"/>
    <w:rsid w:val="005944F0"/>
    <w:rsid w:val="00595DC2"/>
    <w:rsid w:val="00596C58"/>
    <w:rsid w:val="005A058B"/>
    <w:rsid w:val="005A0628"/>
    <w:rsid w:val="005A3581"/>
    <w:rsid w:val="005A361F"/>
    <w:rsid w:val="005A3854"/>
    <w:rsid w:val="005A4C22"/>
    <w:rsid w:val="005A5D99"/>
    <w:rsid w:val="005A796E"/>
    <w:rsid w:val="005A7D4A"/>
    <w:rsid w:val="005A7DA2"/>
    <w:rsid w:val="005A7DC5"/>
    <w:rsid w:val="005A7F23"/>
    <w:rsid w:val="005B02F4"/>
    <w:rsid w:val="005B0912"/>
    <w:rsid w:val="005B1938"/>
    <w:rsid w:val="005B22F2"/>
    <w:rsid w:val="005B2469"/>
    <w:rsid w:val="005B2D15"/>
    <w:rsid w:val="005B2E04"/>
    <w:rsid w:val="005B33FA"/>
    <w:rsid w:val="005B37C6"/>
    <w:rsid w:val="005B45CF"/>
    <w:rsid w:val="005B5214"/>
    <w:rsid w:val="005B6012"/>
    <w:rsid w:val="005B7341"/>
    <w:rsid w:val="005B7A6F"/>
    <w:rsid w:val="005C26EF"/>
    <w:rsid w:val="005C2FD2"/>
    <w:rsid w:val="005C4408"/>
    <w:rsid w:val="005C4CEA"/>
    <w:rsid w:val="005C53E3"/>
    <w:rsid w:val="005C57E2"/>
    <w:rsid w:val="005C5C5C"/>
    <w:rsid w:val="005C7233"/>
    <w:rsid w:val="005C736D"/>
    <w:rsid w:val="005C7FA2"/>
    <w:rsid w:val="005D018B"/>
    <w:rsid w:val="005D1606"/>
    <w:rsid w:val="005D19BA"/>
    <w:rsid w:val="005D1EA0"/>
    <w:rsid w:val="005D1FB1"/>
    <w:rsid w:val="005D2062"/>
    <w:rsid w:val="005D2896"/>
    <w:rsid w:val="005D2BA1"/>
    <w:rsid w:val="005D2C3F"/>
    <w:rsid w:val="005D3730"/>
    <w:rsid w:val="005D37A7"/>
    <w:rsid w:val="005D55FD"/>
    <w:rsid w:val="005D5EF2"/>
    <w:rsid w:val="005D7714"/>
    <w:rsid w:val="005E06C5"/>
    <w:rsid w:val="005E10EF"/>
    <w:rsid w:val="005E1A52"/>
    <w:rsid w:val="005E200D"/>
    <w:rsid w:val="005E23BD"/>
    <w:rsid w:val="005E25AA"/>
    <w:rsid w:val="005E37E0"/>
    <w:rsid w:val="005E3B0B"/>
    <w:rsid w:val="005E6260"/>
    <w:rsid w:val="005E69BD"/>
    <w:rsid w:val="005E743C"/>
    <w:rsid w:val="005E77DF"/>
    <w:rsid w:val="005E7ABA"/>
    <w:rsid w:val="005F0BC8"/>
    <w:rsid w:val="005F1C98"/>
    <w:rsid w:val="005F209E"/>
    <w:rsid w:val="005F2E9D"/>
    <w:rsid w:val="005F3918"/>
    <w:rsid w:val="005F403A"/>
    <w:rsid w:val="005F4212"/>
    <w:rsid w:val="005F44CF"/>
    <w:rsid w:val="005F4E39"/>
    <w:rsid w:val="005F5219"/>
    <w:rsid w:val="005F5A93"/>
    <w:rsid w:val="005F5E91"/>
    <w:rsid w:val="005F6C1F"/>
    <w:rsid w:val="006004F6"/>
    <w:rsid w:val="00600C27"/>
    <w:rsid w:val="006010D9"/>
    <w:rsid w:val="00601721"/>
    <w:rsid w:val="00601788"/>
    <w:rsid w:val="0060178C"/>
    <w:rsid w:val="00601B17"/>
    <w:rsid w:val="00601C34"/>
    <w:rsid w:val="00602944"/>
    <w:rsid w:val="00604453"/>
    <w:rsid w:val="00604935"/>
    <w:rsid w:val="006053FD"/>
    <w:rsid w:val="00605833"/>
    <w:rsid w:val="00606A41"/>
    <w:rsid w:val="00611F98"/>
    <w:rsid w:val="006141BB"/>
    <w:rsid w:val="006159A9"/>
    <w:rsid w:val="00615D50"/>
    <w:rsid w:val="00616035"/>
    <w:rsid w:val="00617594"/>
    <w:rsid w:val="00621A59"/>
    <w:rsid w:val="00621D15"/>
    <w:rsid w:val="00621E63"/>
    <w:rsid w:val="0062233B"/>
    <w:rsid w:val="006241BE"/>
    <w:rsid w:val="00624D32"/>
    <w:rsid w:val="00624FCB"/>
    <w:rsid w:val="006256A2"/>
    <w:rsid w:val="00627767"/>
    <w:rsid w:val="00630399"/>
    <w:rsid w:val="006304CA"/>
    <w:rsid w:val="006315D8"/>
    <w:rsid w:val="00631AAA"/>
    <w:rsid w:val="0063244B"/>
    <w:rsid w:val="00632C21"/>
    <w:rsid w:val="00633BDF"/>
    <w:rsid w:val="006344E4"/>
    <w:rsid w:val="006348E7"/>
    <w:rsid w:val="00635682"/>
    <w:rsid w:val="00635A15"/>
    <w:rsid w:val="006368C7"/>
    <w:rsid w:val="00636C7F"/>
    <w:rsid w:val="00640BDE"/>
    <w:rsid w:val="00640DDB"/>
    <w:rsid w:val="00641111"/>
    <w:rsid w:val="0064144F"/>
    <w:rsid w:val="00641633"/>
    <w:rsid w:val="00641FAF"/>
    <w:rsid w:val="0064282A"/>
    <w:rsid w:val="006434DE"/>
    <w:rsid w:val="0064464C"/>
    <w:rsid w:val="00644CD2"/>
    <w:rsid w:val="00645B6D"/>
    <w:rsid w:val="00646B1A"/>
    <w:rsid w:val="00647705"/>
    <w:rsid w:val="00650985"/>
    <w:rsid w:val="006519D6"/>
    <w:rsid w:val="00652620"/>
    <w:rsid w:val="0065286D"/>
    <w:rsid w:val="00652B98"/>
    <w:rsid w:val="00653BCD"/>
    <w:rsid w:val="00654324"/>
    <w:rsid w:val="0065434B"/>
    <w:rsid w:val="006548A9"/>
    <w:rsid w:val="00655A40"/>
    <w:rsid w:val="00660313"/>
    <w:rsid w:val="006604AD"/>
    <w:rsid w:val="00661196"/>
    <w:rsid w:val="0066149F"/>
    <w:rsid w:val="006617C3"/>
    <w:rsid w:val="00661B7C"/>
    <w:rsid w:val="00661CB6"/>
    <w:rsid w:val="0066284D"/>
    <w:rsid w:val="00662C25"/>
    <w:rsid w:val="006635AE"/>
    <w:rsid w:val="0066698E"/>
    <w:rsid w:val="006672BF"/>
    <w:rsid w:val="00671586"/>
    <w:rsid w:val="00671E4E"/>
    <w:rsid w:val="00671FEB"/>
    <w:rsid w:val="0067244C"/>
    <w:rsid w:val="00672F00"/>
    <w:rsid w:val="00673B11"/>
    <w:rsid w:val="00673B9E"/>
    <w:rsid w:val="00674584"/>
    <w:rsid w:val="00674B9E"/>
    <w:rsid w:val="00675311"/>
    <w:rsid w:val="006756AA"/>
    <w:rsid w:val="00675722"/>
    <w:rsid w:val="00675E19"/>
    <w:rsid w:val="006761BE"/>
    <w:rsid w:val="00677611"/>
    <w:rsid w:val="00677CB7"/>
    <w:rsid w:val="0068019F"/>
    <w:rsid w:val="006804CE"/>
    <w:rsid w:val="00680A0C"/>
    <w:rsid w:val="00681104"/>
    <w:rsid w:val="0068142B"/>
    <w:rsid w:val="00682CB0"/>
    <w:rsid w:val="006838CC"/>
    <w:rsid w:val="00685888"/>
    <w:rsid w:val="006858B2"/>
    <w:rsid w:val="0069077F"/>
    <w:rsid w:val="006917A5"/>
    <w:rsid w:val="00691E7D"/>
    <w:rsid w:val="006920E5"/>
    <w:rsid w:val="00692549"/>
    <w:rsid w:val="006939B5"/>
    <w:rsid w:val="006944D7"/>
    <w:rsid w:val="00694BFB"/>
    <w:rsid w:val="00696129"/>
    <w:rsid w:val="006961C0"/>
    <w:rsid w:val="00696C2C"/>
    <w:rsid w:val="00696E6D"/>
    <w:rsid w:val="006972F7"/>
    <w:rsid w:val="0069783A"/>
    <w:rsid w:val="006A0742"/>
    <w:rsid w:val="006A1A2E"/>
    <w:rsid w:val="006A2198"/>
    <w:rsid w:val="006A2F50"/>
    <w:rsid w:val="006A3EEF"/>
    <w:rsid w:val="006A4F7B"/>
    <w:rsid w:val="006A4FC3"/>
    <w:rsid w:val="006A650E"/>
    <w:rsid w:val="006A68FC"/>
    <w:rsid w:val="006A6EC6"/>
    <w:rsid w:val="006B0DEE"/>
    <w:rsid w:val="006B0E5E"/>
    <w:rsid w:val="006B170D"/>
    <w:rsid w:val="006B1C6C"/>
    <w:rsid w:val="006B1F68"/>
    <w:rsid w:val="006B3A8B"/>
    <w:rsid w:val="006B43A5"/>
    <w:rsid w:val="006B5C40"/>
    <w:rsid w:val="006B6380"/>
    <w:rsid w:val="006B6BB4"/>
    <w:rsid w:val="006B70A9"/>
    <w:rsid w:val="006B7E67"/>
    <w:rsid w:val="006C0E34"/>
    <w:rsid w:val="006C20D1"/>
    <w:rsid w:val="006C2206"/>
    <w:rsid w:val="006C2438"/>
    <w:rsid w:val="006C248D"/>
    <w:rsid w:val="006C31BD"/>
    <w:rsid w:val="006C4C8E"/>
    <w:rsid w:val="006C72BC"/>
    <w:rsid w:val="006C72EB"/>
    <w:rsid w:val="006D0041"/>
    <w:rsid w:val="006D0663"/>
    <w:rsid w:val="006D13C6"/>
    <w:rsid w:val="006D13EE"/>
    <w:rsid w:val="006D2BD0"/>
    <w:rsid w:val="006D32DE"/>
    <w:rsid w:val="006D390E"/>
    <w:rsid w:val="006D4A23"/>
    <w:rsid w:val="006D4FAB"/>
    <w:rsid w:val="006D5A9E"/>
    <w:rsid w:val="006E07F4"/>
    <w:rsid w:val="006E0B90"/>
    <w:rsid w:val="006E19B3"/>
    <w:rsid w:val="006E239D"/>
    <w:rsid w:val="006E2593"/>
    <w:rsid w:val="006E3067"/>
    <w:rsid w:val="006E3175"/>
    <w:rsid w:val="006E32D1"/>
    <w:rsid w:val="006E588F"/>
    <w:rsid w:val="006E5E0E"/>
    <w:rsid w:val="006E6F59"/>
    <w:rsid w:val="006E7708"/>
    <w:rsid w:val="006F1CC4"/>
    <w:rsid w:val="006F28FB"/>
    <w:rsid w:val="006F2A0D"/>
    <w:rsid w:val="006F3170"/>
    <w:rsid w:val="006F3C74"/>
    <w:rsid w:val="006F504E"/>
    <w:rsid w:val="006F58B4"/>
    <w:rsid w:val="006F5BCF"/>
    <w:rsid w:val="006F7282"/>
    <w:rsid w:val="006F797D"/>
    <w:rsid w:val="007006E1"/>
    <w:rsid w:val="007009C4"/>
    <w:rsid w:val="00700F9A"/>
    <w:rsid w:val="00701083"/>
    <w:rsid w:val="00701438"/>
    <w:rsid w:val="00702588"/>
    <w:rsid w:val="007033DE"/>
    <w:rsid w:val="007039D1"/>
    <w:rsid w:val="0070450C"/>
    <w:rsid w:val="00704C38"/>
    <w:rsid w:val="00704D70"/>
    <w:rsid w:val="007054AA"/>
    <w:rsid w:val="007061A5"/>
    <w:rsid w:val="007076DB"/>
    <w:rsid w:val="00707A59"/>
    <w:rsid w:val="0071028C"/>
    <w:rsid w:val="00710B02"/>
    <w:rsid w:val="00710D9D"/>
    <w:rsid w:val="00712269"/>
    <w:rsid w:val="007122E5"/>
    <w:rsid w:val="0071517C"/>
    <w:rsid w:val="00716C7D"/>
    <w:rsid w:val="00721318"/>
    <w:rsid w:val="007216AC"/>
    <w:rsid w:val="00721ACA"/>
    <w:rsid w:val="00722119"/>
    <w:rsid w:val="00722D36"/>
    <w:rsid w:val="00723D3A"/>
    <w:rsid w:val="00724B7B"/>
    <w:rsid w:val="00726054"/>
    <w:rsid w:val="0072668A"/>
    <w:rsid w:val="007273EC"/>
    <w:rsid w:val="00732565"/>
    <w:rsid w:val="007329EF"/>
    <w:rsid w:val="007337FA"/>
    <w:rsid w:val="0073586E"/>
    <w:rsid w:val="0073588E"/>
    <w:rsid w:val="00735FA3"/>
    <w:rsid w:val="007373FF"/>
    <w:rsid w:val="007374DC"/>
    <w:rsid w:val="00737E25"/>
    <w:rsid w:val="00742617"/>
    <w:rsid w:val="00743F38"/>
    <w:rsid w:val="00744796"/>
    <w:rsid w:val="007455E0"/>
    <w:rsid w:val="00745778"/>
    <w:rsid w:val="0074699F"/>
    <w:rsid w:val="007500E9"/>
    <w:rsid w:val="00750100"/>
    <w:rsid w:val="0075199F"/>
    <w:rsid w:val="00751C56"/>
    <w:rsid w:val="00752596"/>
    <w:rsid w:val="00753F05"/>
    <w:rsid w:val="0075436F"/>
    <w:rsid w:val="007548B8"/>
    <w:rsid w:val="00757238"/>
    <w:rsid w:val="007577BA"/>
    <w:rsid w:val="0076004D"/>
    <w:rsid w:val="007616F7"/>
    <w:rsid w:val="007629C8"/>
    <w:rsid w:val="00764F47"/>
    <w:rsid w:val="00764FB5"/>
    <w:rsid w:val="007655A5"/>
    <w:rsid w:val="00765C83"/>
    <w:rsid w:val="00766812"/>
    <w:rsid w:val="00767840"/>
    <w:rsid w:val="00767B81"/>
    <w:rsid w:val="00767DD7"/>
    <w:rsid w:val="0077109C"/>
    <w:rsid w:val="00771E8A"/>
    <w:rsid w:val="007727C9"/>
    <w:rsid w:val="00775437"/>
    <w:rsid w:val="00775828"/>
    <w:rsid w:val="00780230"/>
    <w:rsid w:val="00780833"/>
    <w:rsid w:val="007833F0"/>
    <w:rsid w:val="00783797"/>
    <w:rsid w:val="007839CC"/>
    <w:rsid w:val="00784707"/>
    <w:rsid w:val="00784824"/>
    <w:rsid w:val="007857AF"/>
    <w:rsid w:val="00785F35"/>
    <w:rsid w:val="00790D83"/>
    <w:rsid w:val="00791A39"/>
    <w:rsid w:val="00792CE2"/>
    <w:rsid w:val="007937D4"/>
    <w:rsid w:val="00795031"/>
    <w:rsid w:val="00795A1A"/>
    <w:rsid w:val="00795EC9"/>
    <w:rsid w:val="00796C3B"/>
    <w:rsid w:val="00797C22"/>
    <w:rsid w:val="007A3580"/>
    <w:rsid w:val="007B0386"/>
    <w:rsid w:val="007B071E"/>
    <w:rsid w:val="007B0F4F"/>
    <w:rsid w:val="007B42DD"/>
    <w:rsid w:val="007B4B05"/>
    <w:rsid w:val="007B4B1C"/>
    <w:rsid w:val="007B5AE6"/>
    <w:rsid w:val="007B5C2D"/>
    <w:rsid w:val="007B6383"/>
    <w:rsid w:val="007B6D4C"/>
    <w:rsid w:val="007C0798"/>
    <w:rsid w:val="007C0865"/>
    <w:rsid w:val="007C24C2"/>
    <w:rsid w:val="007C28D0"/>
    <w:rsid w:val="007C2990"/>
    <w:rsid w:val="007C372F"/>
    <w:rsid w:val="007C48F3"/>
    <w:rsid w:val="007C4BF8"/>
    <w:rsid w:val="007C515E"/>
    <w:rsid w:val="007C51F2"/>
    <w:rsid w:val="007C615A"/>
    <w:rsid w:val="007C6332"/>
    <w:rsid w:val="007C69DA"/>
    <w:rsid w:val="007C79DA"/>
    <w:rsid w:val="007C7A66"/>
    <w:rsid w:val="007C7A8A"/>
    <w:rsid w:val="007D2697"/>
    <w:rsid w:val="007D3809"/>
    <w:rsid w:val="007D4946"/>
    <w:rsid w:val="007D5AB7"/>
    <w:rsid w:val="007D6828"/>
    <w:rsid w:val="007D7081"/>
    <w:rsid w:val="007E1A00"/>
    <w:rsid w:val="007E2092"/>
    <w:rsid w:val="007E24EC"/>
    <w:rsid w:val="007E39F6"/>
    <w:rsid w:val="007E702D"/>
    <w:rsid w:val="007E7E4E"/>
    <w:rsid w:val="007F01BC"/>
    <w:rsid w:val="007F1912"/>
    <w:rsid w:val="007F230E"/>
    <w:rsid w:val="007F40CA"/>
    <w:rsid w:val="007F4106"/>
    <w:rsid w:val="007F4476"/>
    <w:rsid w:val="007F5186"/>
    <w:rsid w:val="007F64C0"/>
    <w:rsid w:val="007F6E91"/>
    <w:rsid w:val="007F724B"/>
    <w:rsid w:val="007F7266"/>
    <w:rsid w:val="0080337D"/>
    <w:rsid w:val="00804B40"/>
    <w:rsid w:val="008054F0"/>
    <w:rsid w:val="00806BAF"/>
    <w:rsid w:val="00807D97"/>
    <w:rsid w:val="00807DF3"/>
    <w:rsid w:val="008101EF"/>
    <w:rsid w:val="00811D6E"/>
    <w:rsid w:val="00811ED5"/>
    <w:rsid w:val="00811FEB"/>
    <w:rsid w:val="00812233"/>
    <w:rsid w:val="00812BEB"/>
    <w:rsid w:val="00812F5C"/>
    <w:rsid w:val="00813E39"/>
    <w:rsid w:val="00815767"/>
    <w:rsid w:val="0081665F"/>
    <w:rsid w:val="00816797"/>
    <w:rsid w:val="0082064A"/>
    <w:rsid w:val="00821FF8"/>
    <w:rsid w:val="00822C1A"/>
    <w:rsid w:val="00822FFC"/>
    <w:rsid w:val="00823179"/>
    <w:rsid w:val="008232D0"/>
    <w:rsid w:val="0082363F"/>
    <w:rsid w:val="00824199"/>
    <w:rsid w:val="0082447E"/>
    <w:rsid w:val="00824B74"/>
    <w:rsid w:val="0082533D"/>
    <w:rsid w:val="008262B9"/>
    <w:rsid w:val="008263A2"/>
    <w:rsid w:val="00826DDB"/>
    <w:rsid w:val="00826DFA"/>
    <w:rsid w:val="00826E58"/>
    <w:rsid w:val="008275AA"/>
    <w:rsid w:val="0083072B"/>
    <w:rsid w:val="00830987"/>
    <w:rsid w:val="00831CCE"/>
    <w:rsid w:val="00832CE9"/>
    <w:rsid w:val="00833013"/>
    <w:rsid w:val="008344F1"/>
    <w:rsid w:val="00834ED7"/>
    <w:rsid w:val="008355A9"/>
    <w:rsid w:val="008361E1"/>
    <w:rsid w:val="00836D37"/>
    <w:rsid w:val="0084011A"/>
    <w:rsid w:val="00840305"/>
    <w:rsid w:val="008410CA"/>
    <w:rsid w:val="00841918"/>
    <w:rsid w:val="00842206"/>
    <w:rsid w:val="00842341"/>
    <w:rsid w:val="00842FDC"/>
    <w:rsid w:val="008434A4"/>
    <w:rsid w:val="00845DCA"/>
    <w:rsid w:val="00845ECF"/>
    <w:rsid w:val="0084606C"/>
    <w:rsid w:val="00846492"/>
    <w:rsid w:val="008469B8"/>
    <w:rsid w:val="00850BA6"/>
    <w:rsid w:val="008522CC"/>
    <w:rsid w:val="008539DA"/>
    <w:rsid w:val="008548D8"/>
    <w:rsid w:val="00856D36"/>
    <w:rsid w:val="008603C6"/>
    <w:rsid w:val="00861DD4"/>
    <w:rsid w:val="00862A44"/>
    <w:rsid w:val="00863DBA"/>
    <w:rsid w:val="008656D0"/>
    <w:rsid w:val="00865C2E"/>
    <w:rsid w:val="00866D8D"/>
    <w:rsid w:val="008673A1"/>
    <w:rsid w:val="00867598"/>
    <w:rsid w:val="0086764D"/>
    <w:rsid w:val="00867F88"/>
    <w:rsid w:val="00870730"/>
    <w:rsid w:val="0087398E"/>
    <w:rsid w:val="00874281"/>
    <w:rsid w:val="00874B96"/>
    <w:rsid w:val="00874EE2"/>
    <w:rsid w:val="00875163"/>
    <w:rsid w:val="00875C8C"/>
    <w:rsid w:val="00875F93"/>
    <w:rsid w:val="00876287"/>
    <w:rsid w:val="0087645B"/>
    <w:rsid w:val="0087655C"/>
    <w:rsid w:val="008778F8"/>
    <w:rsid w:val="00877BED"/>
    <w:rsid w:val="00881913"/>
    <w:rsid w:val="00882243"/>
    <w:rsid w:val="00883595"/>
    <w:rsid w:val="00885975"/>
    <w:rsid w:val="00887365"/>
    <w:rsid w:val="00891363"/>
    <w:rsid w:val="00892936"/>
    <w:rsid w:val="00893B38"/>
    <w:rsid w:val="0089451B"/>
    <w:rsid w:val="00895D17"/>
    <w:rsid w:val="008960FE"/>
    <w:rsid w:val="00897D81"/>
    <w:rsid w:val="008A0B85"/>
    <w:rsid w:val="008A1676"/>
    <w:rsid w:val="008A1B59"/>
    <w:rsid w:val="008A378E"/>
    <w:rsid w:val="008A3DFE"/>
    <w:rsid w:val="008A504E"/>
    <w:rsid w:val="008A578F"/>
    <w:rsid w:val="008A622D"/>
    <w:rsid w:val="008A6C6C"/>
    <w:rsid w:val="008B053E"/>
    <w:rsid w:val="008B0CE1"/>
    <w:rsid w:val="008B1B5F"/>
    <w:rsid w:val="008B27E5"/>
    <w:rsid w:val="008B287A"/>
    <w:rsid w:val="008B2B15"/>
    <w:rsid w:val="008B375F"/>
    <w:rsid w:val="008B4115"/>
    <w:rsid w:val="008B60BC"/>
    <w:rsid w:val="008B66B9"/>
    <w:rsid w:val="008B692E"/>
    <w:rsid w:val="008B7506"/>
    <w:rsid w:val="008B7945"/>
    <w:rsid w:val="008C086D"/>
    <w:rsid w:val="008C1372"/>
    <w:rsid w:val="008C155D"/>
    <w:rsid w:val="008C2232"/>
    <w:rsid w:val="008C2ABD"/>
    <w:rsid w:val="008C3545"/>
    <w:rsid w:val="008C3569"/>
    <w:rsid w:val="008C39B7"/>
    <w:rsid w:val="008C3D5C"/>
    <w:rsid w:val="008C46E0"/>
    <w:rsid w:val="008C4A63"/>
    <w:rsid w:val="008C5A2D"/>
    <w:rsid w:val="008C5DA9"/>
    <w:rsid w:val="008C5FC0"/>
    <w:rsid w:val="008C6B6D"/>
    <w:rsid w:val="008D037C"/>
    <w:rsid w:val="008D09AD"/>
    <w:rsid w:val="008D0D4D"/>
    <w:rsid w:val="008D0E8C"/>
    <w:rsid w:val="008D11F1"/>
    <w:rsid w:val="008D2DBB"/>
    <w:rsid w:val="008D3171"/>
    <w:rsid w:val="008D5AC1"/>
    <w:rsid w:val="008D65A5"/>
    <w:rsid w:val="008D6C5C"/>
    <w:rsid w:val="008D6CB0"/>
    <w:rsid w:val="008D72C0"/>
    <w:rsid w:val="008D76B5"/>
    <w:rsid w:val="008E0576"/>
    <w:rsid w:val="008E1150"/>
    <w:rsid w:val="008E1158"/>
    <w:rsid w:val="008E11A8"/>
    <w:rsid w:val="008E2654"/>
    <w:rsid w:val="008E3EF0"/>
    <w:rsid w:val="008E4053"/>
    <w:rsid w:val="008E411D"/>
    <w:rsid w:val="008E41A1"/>
    <w:rsid w:val="008E5815"/>
    <w:rsid w:val="008E608A"/>
    <w:rsid w:val="008E6633"/>
    <w:rsid w:val="008F0465"/>
    <w:rsid w:val="008F09A0"/>
    <w:rsid w:val="008F0A0A"/>
    <w:rsid w:val="008F1548"/>
    <w:rsid w:val="008F193B"/>
    <w:rsid w:val="008F1C18"/>
    <w:rsid w:val="008F1D11"/>
    <w:rsid w:val="008F289F"/>
    <w:rsid w:val="008F333E"/>
    <w:rsid w:val="008F4369"/>
    <w:rsid w:val="008F5A62"/>
    <w:rsid w:val="008F633F"/>
    <w:rsid w:val="00900045"/>
    <w:rsid w:val="0090256F"/>
    <w:rsid w:val="00903266"/>
    <w:rsid w:val="009034BB"/>
    <w:rsid w:val="0090507F"/>
    <w:rsid w:val="00905A5E"/>
    <w:rsid w:val="009076B1"/>
    <w:rsid w:val="00907A3E"/>
    <w:rsid w:val="00907C57"/>
    <w:rsid w:val="00907CFE"/>
    <w:rsid w:val="0091093E"/>
    <w:rsid w:val="00910E40"/>
    <w:rsid w:val="0091153B"/>
    <w:rsid w:val="00912760"/>
    <w:rsid w:val="00914C0A"/>
    <w:rsid w:val="00917269"/>
    <w:rsid w:val="00917A48"/>
    <w:rsid w:val="00917F17"/>
    <w:rsid w:val="0092014F"/>
    <w:rsid w:val="00920D90"/>
    <w:rsid w:val="00921567"/>
    <w:rsid w:val="00922B88"/>
    <w:rsid w:val="00923C30"/>
    <w:rsid w:val="00923CC2"/>
    <w:rsid w:val="009242F0"/>
    <w:rsid w:val="00924C7A"/>
    <w:rsid w:val="00924C8C"/>
    <w:rsid w:val="00924F14"/>
    <w:rsid w:val="00925AF1"/>
    <w:rsid w:val="0092692A"/>
    <w:rsid w:val="00927546"/>
    <w:rsid w:val="00927560"/>
    <w:rsid w:val="009275C1"/>
    <w:rsid w:val="00927CE3"/>
    <w:rsid w:val="009310AA"/>
    <w:rsid w:val="00931FA3"/>
    <w:rsid w:val="009328B3"/>
    <w:rsid w:val="009348E8"/>
    <w:rsid w:val="00934E8F"/>
    <w:rsid w:val="0093625B"/>
    <w:rsid w:val="00937001"/>
    <w:rsid w:val="00937468"/>
    <w:rsid w:val="00937488"/>
    <w:rsid w:val="009374D0"/>
    <w:rsid w:val="00937798"/>
    <w:rsid w:val="009401C5"/>
    <w:rsid w:val="0094060B"/>
    <w:rsid w:val="00941647"/>
    <w:rsid w:val="0094364A"/>
    <w:rsid w:val="009437C5"/>
    <w:rsid w:val="0094457A"/>
    <w:rsid w:val="00945CE6"/>
    <w:rsid w:val="00945E87"/>
    <w:rsid w:val="009463EE"/>
    <w:rsid w:val="00947F3E"/>
    <w:rsid w:val="0095073A"/>
    <w:rsid w:val="00951872"/>
    <w:rsid w:val="0095192D"/>
    <w:rsid w:val="00952C58"/>
    <w:rsid w:val="00952CF7"/>
    <w:rsid w:val="00952D30"/>
    <w:rsid w:val="009551AB"/>
    <w:rsid w:val="00955499"/>
    <w:rsid w:val="009554E1"/>
    <w:rsid w:val="00960CED"/>
    <w:rsid w:val="00960F81"/>
    <w:rsid w:val="009619AB"/>
    <w:rsid w:val="00961E6E"/>
    <w:rsid w:val="00962528"/>
    <w:rsid w:val="00962E81"/>
    <w:rsid w:val="00963886"/>
    <w:rsid w:val="00963B6B"/>
    <w:rsid w:val="00964AA8"/>
    <w:rsid w:val="00965095"/>
    <w:rsid w:val="009653D4"/>
    <w:rsid w:val="00965F4E"/>
    <w:rsid w:val="00966028"/>
    <w:rsid w:val="0096682A"/>
    <w:rsid w:val="009669C8"/>
    <w:rsid w:val="0096734F"/>
    <w:rsid w:val="00967908"/>
    <w:rsid w:val="00970730"/>
    <w:rsid w:val="009709F4"/>
    <w:rsid w:val="00970A63"/>
    <w:rsid w:val="00970F2A"/>
    <w:rsid w:val="00971390"/>
    <w:rsid w:val="009714C8"/>
    <w:rsid w:val="009717E6"/>
    <w:rsid w:val="009719AB"/>
    <w:rsid w:val="0097244B"/>
    <w:rsid w:val="0097367F"/>
    <w:rsid w:val="00974802"/>
    <w:rsid w:val="0097508A"/>
    <w:rsid w:val="009750C7"/>
    <w:rsid w:val="00975534"/>
    <w:rsid w:val="00975963"/>
    <w:rsid w:val="00977F50"/>
    <w:rsid w:val="0098017D"/>
    <w:rsid w:val="00980961"/>
    <w:rsid w:val="00980B27"/>
    <w:rsid w:val="00981D78"/>
    <w:rsid w:val="00981E1F"/>
    <w:rsid w:val="00984085"/>
    <w:rsid w:val="00984376"/>
    <w:rsid w:val="00984406"/>
    <w:rsid w:val="00984AE6"/>
    <w:rsid w:val="009859A6"/>
    <w:rsid w:val="0098667B"/>
    <w:rsid w:val="00986795"/>
    <w:rsid w:val="00986C86"/>
    <w:rsid w:val="00990C41"/>
    <w:rsid w:val="00990DA0"/>
    <w:rsid w:val="00991FAE"/>
    <w:rsid w:val="009927E1"/>
    <w:rsid w:val="00993974"/>
    <w:rsid w:val="0099400A"/>
    <w:rsid w:val="0099670D"/>
    <w:rsid w:val="00996772"/>
    <w:rsid w:val="0099730D"/>
    <w:rsid w:val="00997812"/>
    <w:rsid w:val="009A1A4B"/>
    <w:rsid w:val="009A1DD1"/>
    <w:rsid w:val="009A3DEB"/>
    <w:rsid w:val="009A4345"/>
    <w:rsid w:val="009A434C"/>
    <w:rsid w:val="009A4FEB"/>
    <w:rsid w:val="009A609D"/>
    <w:rsid w:val="009B0700"/>
    <w:rsid w:val="009B0AF6"/>
    <w:rsid w:val="009B0DCB"/>
    <w:rsid w:val="009B0E59"/>
    <w:rsid w:val="009B1522"/>
    <w:rsid w:val="009B3E5F"/>
    <w:rsid w:val="009B4734"/>
    <w:rsid w:val="009B499C"/>
    <w:rsid w:val="009B570F"/>
    <w:rsid w:val="009B621A"/>
    <w:rsid w:val="009B7CD2"/>
    <w:rsid w:val="009B7D70"/>
    <w:rsid w:val="009C0DCD"/>
    <w:rsid w:val="009C121B"/>
    <w:rsid w:val="009C278E"/>
    <w:rsid w:val="009C2AAF"/>
    <w:rsid w:val="009C2F8E"/>
    <w:rsid w:val="009C33F5"/>
    <w:rsid w:val="009C4B49"/>
    <w:rsid w:val="009C5185"/>
    <w:rsid w:val="009C622E"/>
    <w:rsid w:val="009C6BC5"/>
    <w:rsid w:val="009C74FC"/>
    <w:rsid w:val="009C7BA4"/>
    <w:rsid w:val="009C7D90"/>
    <w:rsid w:val="009D038F"/>
    <w:rsid w:val="009D0E67"/>
    <w:rsid w:val="009D2152"/>
    <w:rsid w:val="009D27CC"/>
    <w:rsid w:val="009D467C"/>
    <w:rsid w:val="009D626B"/>
    <w:rsid w:val="009D6867"/>
    <w:rsid w:val="009D6FB4"/>
    <w:rsid w:val="009D7992"/>
    <w:rsid w:val="009E0D70"/>
    <w:rsid w:val="009E0DD5"/>
    <w:rsid w:val="009E1854"/>
    <w:rsid w:val="009E20B8"/>
    <w:rsid w:val="009E2303"/>
    <w:rsid w:val="009E303D"/>
    <w:rsid w:val="009E341D"/>
    <w:rsid w:val="009E43F0"/>
    <w:rsid w:val="009E4531"/>
    <w:rsid w:val="009E4C0A"/>
    <w:rsid w:val="009E535B"/>
    <w:rsid w:val="009E5988"/>
    <w:rsid w:val="009E5CDC"/>
    <w:rsid w:val="009E620D"/>
    <w:rsid w:val="009E6613"/>
    <w:rsid w:val="009F14BF"/>
    <w:rsid w:val="009F1A9B"/>
    <w:rsid w:val="009F2E6A"/>
    <w:rsid w:val="009F2E8E"/>
    <w:rsid w:val="009F34BC"/>
    <w:rsid w:val="009F52F4"/>
    <w:rsid w:val="009F56C8"/>
    <w:rsid w:val="009F5E5B"/>
    <w:rsid w:val="009F6BD9"/>
    <w:rsid w:val="009F771C"/>
    <w:rsid w:val="009F7A22"/>
    <w:rsid w:val="00A010C4"/>
    <w:rsid w:val="00A044A2"/>
    <w:rsid w:val="00A04561"/>
    <w:rsid w:val="00A053BB"/>
    <w:rsid w:val="00A06D9C"/>
    <w:rsid w:val="00A0733B"/>
    <w:rsid w:val="00A07D4A"/>
    <w:rsid w:val="00A10E41"/>
    <w:rsid w:val="00A116AF"/>
    <w:rsid w:val="00A12858"/>
    <w:rsid w:val="00A129A0"/>
    <w:rsid w:val="00A12A0E"/>
    <w:rsid w:val="00A13614"/>
    <w:rsid w:val="00A13746"/>
    <w:rsid w:val="00A15C8F"/>
    <w:rsid w:val="00A164DD"/>
    <w:rsid w:val="00A16E7F"/>
    <w:rsid w:val="00A171E2"/>
    <w:rsid w:val="00A20482"/>
    <w:rsid w:val="00A206A0"/>
    <w:rsid w:val="00A22D7F"/>
    <w:rsid w:val="00A24927"/>
    <w:rsid w:val="00A24D8D"/>
    <w:rsid w:val="00A2517E"/>
    <w:rsid w:val="00A252DF"/>
    <w:rsid w:val="00A25E8B"/>
    <w:rsid w:val="00A2730F"/>
    <w:rsid w:val="00A27468"/>
    <w:rsid w:val="00A27799"/>
    <w:rsid w:val="00A277CC"/>
    <w:rsid w:val="00A3213B"/>
    <w:rsid w:val="00A334C9"/>
    <w:rsid w:val="00A33515"/>
    <w:rsid w:val="00A33AA1"/>
    <w:rsid w:val="00A34E7C"/>
    <w:rsid w:val="00A34FB1"/>
    <w:rsid w:val="00A35C6F"/>
    <w:rsid w:val="00A36F5E"/>
    <w:rsid w:val="00A37658"/>
    <w:rsid w:val="00A37B1C"/>
    <w:rsid w:val="00A403ED"/>
    <w:rsid w:val="00A40AEB"/>
    <w:rsid w:val="00A410B5"/>
    <w:rsid w:val="00A42B8C"/>
    <w:rsid w:val="00A42E38"/>
    <w:rsid w:val="00A43CCB"/>
    <w:rsid w:val="00A442A1"/>
    <w:rsid w:val="00A451CC"/>
    <w:rsid w:val="00A45752"/>
    <w:rsid w:val="00A47406"/>
    <w:rsid w:val="00A47CEF"/>
    <w:rsid w:val="00A5045D"/>
    <w:rsid w:val="00A5076D"/>
    <w:rsid w:val="00A51B97"/>
    <w:rsid w:val="00A51E60"/>
    <w:rsid w:val="00A52884"/>
    <w:rsid w:val="00A53551"/>
    <w:rsid w:val="00A53588"/>
    <w:rsid w:val="00A54448"/>
    <w:rsid w:val="00A54555"/>
    <w:rsid w:val="00A54B57"/>
    <w:rsid w:val="00A57471"/>
    <w:rsid w:val="00A61BDD"/>
    <w:rsid w:val="00A62342"/>
    <w:rsid w:val="00A631EA"/>
    <w:rsid w:val="00A64380"/>
    <w:rsid w:val="00A644AB"/>
    <w:rsid w:val="00A645FA"/>
    <w:rsid w:val="00A659A6"/>
    <w:rsid w:val="00A65FB3"/>
    <w:rsid w:val="00A673C2"/>
    <w:rsid w:val="00A71D70"/>
    <w:rsid w:val="00A71D9D"/>
    <w:rsid w:val="00A7308C"/>
    <w:rsid w:val="00A73261"/>
    <w:rsid w:val="00A7457E"/>
    <w:rsid w:val="00A747A2"/>
    <w:rsid w:val="00A74BCF"/>
    <w:rsid w:val="00A75A5E"/>
    <w:rsid w:val="00A75AD3"/>
    <w:rsid w:val="00A75EF5"/>
    <w:rsid w:val="00A76364"/>
    <w:rsid w:val="00A7693D"/>
    <w:rsid w:val="00A76AE3"/>
    <w:rsid w:val="00A76E42"/>
    <w:rsid w:val="00A7780B"/>
    <w:rsid w:val="00A800F7"/>
    <w:rsid w:val="00A82104"/>
    <w:rsid w:val="00A84A6E"/>
    <w:rsid w:val="00A866BF"/>
    <w:rsid w:val="00A86EE4"/>
    <w:rsid w:val="00A87BFB"/>
    <w:rsid w:val="00A87D92"/>
    <w:rsid w:val="00A936EC"/>
    <w:rsid w:val="00A937CE"/>
    <w:rsid w:val="00A93EB6"/>
    <w:rsid w:val="00A93FA8"/>
    <w:rsid w:val="00A94A21"/>
    <w:rsid w:val="00A94CD9"/>
    <w:rsid w:val="00A953BA"/>
    <w:rsid w:val="00A967F2"/>
    <w:rsid w:val="00AA06E7"/>
    <w:rsid w:val="00AA1715"/>
    <w:rsid w:val="00AA2988"/>
    <w:rsid w:val="00AA366D"/>
    <w:rsid w:val="00AA3DFD"/>
    <w:rsid w:val="00AA46E0"/>
    <w:rsid w:val="00AA4C24"/>
    <w:rsid w:val="00AA506A"/>
    <w:rsid w:val="00AA5A74"/>
    <w:rsid w:val="00AA5B51"/>
    <w:rsid w:val="00AA6604"/>
    <w:rsid w:val="00AA6BA8"/>
    <w:rsid w:val="00AB1123"/>
    <w:rsid w:val="00AB1B77"/>
    <w:rsid w:val="00AB1D22"/>
    <w:rsid w:val="00AB1DE6"/>
    <w:rsid w:val="00AB23B9"/>
    <w:rsid w:val="00AB24C1"/>
    <w:rsid w:val="00AB2AEA"/>
    <w:rsid w:val="00AB3196"/>
    <w:rsid w:val="00AB328D"/>
    <w:rsid w:val="00AB3AB8"/>
    <w:rsid w:val="00AB3D91"/>
    <w:rsid w:val="00AB4CE4"/>
    <w:rsid w:val="00AB594B"/>
    <w:rsid w:val="00AB59AF"/>
    <w:rsid w:val="00AB63E1"/>
    <w:rsid w:val="00AB798D"/>
    <w:rsid w:val="00AC0B6D"/>
    <w:rsid w:val="00AC11EA"/>
    <w:rsid w:val="00AC14D3"/>
    <w:rsid w:val="00AC2008"/>
    <w:rsid w:val="00AC28BD"/>
    <w:rsid w:val="00AC3A48"/>
    <w:rsid w:val="00AC3E1F"/>
    <w:rsid w:val="00AC4C9B"/>
    <w:rsid w:val="00AC4E72"/>
    <w:rsid w:val="00AC5293"/>
    <w:rsid w:val="00AC558F"/>
    <w:rsid w:val="00AC5753"/>
    <w:rsid w:val="00AC5FFF"/>
    <w:rsid w:val="00AD0043"/>
    <w:rsid w:val="00AD05A7"/>
    <w:rsid w:val="00AD31D7"/>
    <w:rsid w:val="00AD34DE"/>
    <w:rsid w:val="00AD35E0"/>
    <w:rsid w:val="00AD3846"/>
    <w:rsid w:val="00AD3BD5"/>
    <w:rsid w:val="00AD46B2"/>
    <w:rsid w:val="00AD4738"/>
    <w:rsid w:val="00AD5546"/>
    <w:rsid w:val="00AD5A30"/>
    <w:rsid w:val="00AD5B3D"/>
    <w:rsid w:val="00AD7CF2"/>
    <w:rsid w:val="00AD7FE5"/>
    <w:rsid w:val="00AE10EC"/>
    <w:rsid w:val="00AE1D29"/>
    <w:rsid w:val="00AE2E18"/>
    <w:rsid w:val="00AE30F8"/>
    <w:rsid w:val="00AE3B31"/>
    <w:rsid w:val="00AE4780"/>
    <w:rsid w:val="00AE4F31"/>
    <w:rsid w:val="00AE50C1"/>
    <w:rsid w:val="00AE5F25"/>
    <w:rsid w:val="00AE5F78"/>
    <w:rsid w:val="00AE799A"/>
    <w:rsid w:val="00AE7E58"/>
    <w:rsid w:val="00AF0001"/>
    <w:rsid w:val="00AF0032"/>
    <w:rsid w:val="00AF042F"/>
    <w:rsid w:val="00AF0FC6"/>
    <w:rsid w:val="00AF1133"/>
    <w:rsid w:val="00AF1147"/>
    <w:rsid w:val="00AF14C3"/>
    <w:rsid w:val="00AF1F34"/>
    <w:rsid w:val="00AF3BF8"/>
    <w:rsid w:val="00AF67F4"/>
    <w:rsid w:val="00AF6A30"/>
    <w:rsid w:val="00AF6CEE"/>
    <w:rsid w:val="00AF74C4"/>
    <w:rsid w:val="00B01997"/>
    <w:rsid w:val="00B02478"/>
    <w:rsid w:val="00B03052"/>
    <w:rsid w:val="00B03312"/>
    <w:rsid w:val="00B0350A"/>
    <w:rsid w:val="00B0364B"/>
    <w:rsid w:val="00B03997"/>
    <w:rsid w:val="00B03BE7"/>
    <w:rsid w:val="00B0476B"/>
    <w:rsid w:val="00B0491B"/>
    <w:rsid w:val="00B04CE3"/>
    <w:rsid w:val="00B06C09"/>
    <w:rsid w:val="00B072F7"/>
    <w:rsid w:val="00B07AD3"/>
    <w:rsid w:val="00B07C0C"/>
    <w:rsid w:val="00B07E3C"/>
    <w:rsid w:val="00B10D04"/>
    <w:rsid w:val="00B156C5"/>
    <w:rsid w:val="00B15C3A"/>
    <w:rsid w:val="00B15C69"/>
    <w:rsid w:val="00B20AE6"/>
    <w:rsid w:val="00B21E79"/>
    <w:rsid w:val="00B22BFC"/>
    <w:rsid w:val="00B23091"/>
    <w:rsid w:val="00B233C3"/>
    <w:rsid w:val="00B24E69"/>
    <w:rsid w:val="00B2522F"/>
    <w:rsid w:val="00B25B7B"/>
    <w:rsid w:val="00B25C7A"/>
    <w:rsid w:val="00B26CB4"/>
    <w:rsid w:val="00B26FDA"/>
    <w:rsid w:val="00B302AA"/>
    <w:rsid w:val="00B3087F"/>
    <w:rsid w:val="00B32127"/>
    <w:rsid w:val="00B322E3"/>
    <w:rsid w:val="00B32533"/>
    <w:rsid w:val="00B3253F"/>
    <w:rsid w:val="00B32887"/>
    <w:rsid w:val="00B34F5D"/>
    <w:rsid w:val="00B36E6C"/>
    <w:rsid w:val="00B36F44"/>
    <w:rsid w:val="00B371E4"/>
    <w:rsid w:val="00B4209C"/>
    <w:rsid w:val="00B44AE3"/>
    <w:rsid w:val="00B45071"/>
    <w:rsid w:val="00B45439"/>
    <w:rsid w:val="00B46BB0"/>
    <w:rsid w:val="00B502DF"/>
    <w:rsid w:val="00B50365"/>
    <w:rsid w:val="00B5090E"/>
    <w:rsid w:val="00B50910"/>
    <w:rsid w:val="00B512EF"/>
    <w:rsid w:val="00B51D86"/>
    <w:rsid w:val="00B520F1"/>
    <w:rsid w:val="00B529A3"/>
    <w:rsid w:val="00B52D35"/>
    <w:rsid w:val="00B5317B"/>
    <w:rsid w:val="00B532A6"/>
    <w:rsid w:val="00B535EE"/>
    <w:rsid w:val="00B53AED"/>
    <w:rsid w:val="00B54657"/>
    <w:rsid w:val="00B555BD"/>
    <w:rsid w:val="00B57955"/>
    <w:rsid w:val="00B602FA"/>
    <w:rsid w:val="00B61082"/>
    <w:rsid w:val="00B619AB"/>
    <w:rsid w:val="00B62878"/>
    <w:rsid w:val="00B63A8B"/>
    <w:rsid w:val="00B63E1A"/>
    <w:rsid w:val="00B64143"/>
    <w:rsid w:val="00B64511"/>
    <w:rsid w:val="00B65A84"/>
    <w:rsid w:val="00B66373"/>
    <w:rsid w:val="00B7062A"/>
    <w:rsid w:val="00B70750"/>
    <w:rsid w:val="00B71446"/>
    <w:rsid w:val="00B71478"/>
    <w:rsid w:val="00B734CF"/>
    <w:rsid w:val="00B73892"/>
    <w:rsid w:val="00B739E8"/>
    <w:rsid w:val="00B73CBC"/>
    <w:rsid w:val="00B753C6"/>
    <w:rsid w:val="00B7566B"/>
    <w:rsid w:val="00B76F9E"/>
    <w:rsid w:val="00B81B08"/>
    <w:rsid w:val="00B8466B"/>
    <w:rsid w:val="00B85724"/>
    <w:rsid w:val="00B86846"/>
    <w:rsid w:val="00B86B1F"/>
    <w:rsid w:val="00B86F79"/>
    <w:rsid w:val="00B87A04"/>
    <w:rsid w:val="00B9057B"/>
    <w:rsid w:val="00B90AA6"/>
    <w:rsid w:val="00B91C82"/>
    <w:rsid w:val="00B91E50"/>
    <w:rsid w:val="00B925B6"/>
    <w:rsid w:val="00B92A45"/>
    <w:rsid w:val="00B92A7F"/>
    <w:rsid w:val="00B934BE"/>
    <w:rsid w:val="00B93C90"/>
    <w:rsid w:val="00B93FDA"/>
    <w:rsid w:val="00B94729"/>
    <w:rsid w:val="00B94883"/>
    <w:rsid w:val="00B94ECC"/>
    <w:rsid w:val="00B962E0"/>
    <w:rsid w:val="00B971C6"/>
    <w:rsid w:val="00B9724F"/>
    <w:rsid w:val="00BA0C98"/>
    <w:rsid w:val="00BA0FA1"/>
    <w:rsid w:val="00BA1E3D"/>
    <w:rsid w:val="00BA2785"/>
    <w:rsid w:val="00BA293F"/>
    <w:rsid w:val="00BA2A1D"/>
    <w:rsid w:val="00BA32C2"/>
    <w:rsid w:val="00BA3F55"/>
    <w:rsid w:val="00BA4E1C"/>
    <w:rsid w:val="00BA6665"/>
    <w:rsid w:val="00BA6B0B"/>
    <w:rsid w:val="00BA7F85"/>
    <w:rsid w:val="00BB0462"/>
    <w:rsid w:val="00BB1389"/>
    <w:rsid w:val="00BB1B2E"/>
    <w:rsid w:val="00BB1F65"/>
    <w:rsid w:val="00BB3020"/>
    <w:rsid w:val="00BB4F58"/>
    <w:rsid w:val="00BB5E5A"/>
    <w:rsid w:val="00BB69A7"/>
    <w:rsid w:val="00BB71E3"/>
    <w:rsid w:val="00BB799C"/>
    <w:rsid w:val="00BC0845"/>
    <w:rsid w:val="00BC1928"/>
    <w:rsid w:val="00BC23A4"/>
    <w:rsid w:val="00BC37D6"/>
    <w:rsid w:val="00BC3EC7"/>
    <w:rsid w:val="00BC4359"/>
    <w:rsid w:val="00BC55E3"/>
    <w:rsid w:val="00BC7337"/>
    <w:rsid w:val="00BC74E1"/>
    <w:rsid w:val="00BC76F1"/>
    <w:rsid w:val="00BD1BAD"/>
    <w:rsid w:val="00BD1BFA"/>
    <w:rsid w:val="00BD1E18"/>
    <w:rsid w:val="00BD1E80"/>
    <w:rsid w:val="00BD2755"/>
    <w:rsid w:val="00BD30B4"/>
    <w:rsid w:val="00BD4132"/>
    <w:rsid w:val="00BD5326"/>
    <w:rsid w:val="00BD571F"/>
    <w:rsid w:val="00BD6344"/>
    <w:rsid w:val="00BD711F"/>
    <w:rsid w:val="00BD7D99"/>
    <w:rsid w:val="00BE0839"/>
    <w:rsid w:val="00BE0922"/>
    <w:rsid w:val="00BE231E"/>
    <w:rsid w:val="00BE2D4F"/>
    <w:rsid w:val="00BE3FC6"/>
    <w:rsid w:val="00BE4254"/>
    <w:rsid w:val="00BE48B1"/>
    <w:rsid w:val="00BE5B1A"/>
    <w:rsid w:val="00BE6AF0"/>
    <w:rsid w:val="00BE6D74"/>
    <w:rsid w:val="00BE70A1"/>
    <w:rsid w:val="00BE764F"/>
    <w:rsid w:val="00BF02C7"/>
    <w:rsid w:val="00BF1CEA"/>
    <w:rsid w:val="00BF1FAB"/>
    <w:rsid w:val="00BF2998"/>
    <w:rsid w:val="00BF329A"/>
    <w:rsid w:val="00BF3E69"/>
    <w:rsid w:val="00BF4053"/>
    <w:rsid w:val="00BF47CA"/>
    <w:rsid w:val="00BF562A"/>
    <w:rsid w:val="00BF684D"/>
    <w:rsid w:val="00BF7343"/>
    <w:rsid w:val="00BF7667"/>
    <w:rsid w:val="00C00E6F"/>
    <w:rsid w:val="00C012F0"/>
    <w:rsid w:val="00C0133E"/>
    <w:rsid w:val="00C013F6"/>
    <w:rsid w:val="00C01D18"/>
    <w:rsid w:val="00C020F5"/>
    <w:rsid w:val="00C03CDA"/>
    <w:rsid w:val="00C05D6D"/>
    <w:rsid w:val="00C06A60"/>
    <w:rsid w:val="00C073E4"/>
    <w:rsid w:val="00C074BB"/>
    <w:rsid w:val="00C104C4"/>
    <w:rsid w:val="00C105AB"/>
    <w:rsid w:val="00C10897"/>
    <w:rsid w:val="00C1091F"/>
    <w:rsid w:val="00C1253D"/>
    <w:rsid w:val="00C135D4"/>
    <w:rsid w:val="00C13943"/>
    <w:rsid w:val="00C13C02"/>
    <w:rsid w:val="00C13D68"/>
    <w:rsid w:val="00C14250"/>
    <w:rsid w:val="00C147C9"/>
    <w:rsid w:val="00C14CA6"/>
    <w:rsid w:val="00C14CBC"/>
    <w:rsid w:val="00C163BD"/>
    <w:rsid w:val="00C17A47"/>
    <w:rsid w:val="00C20C40"/>
    <w:rsid w:val="00C21626"/>
    <w:rsid w:val="00C217FC"/>
    <w:rsid w:val="00C21818"/>
    <w:rsid w:val="00C221D5"/>
    <w:rsid w:val="00C23748"/>
    <w:rsid w:val="00C23CC9"/>
    <w:rsid w:val="00C240B3"/>
    <w:rsid w:val="00C24A08"/>
    <w:rsid w:val="00C252D8"/>
    <w:rsid w:val="00C25E64"/>
    <w:rsid w:val="00C272C7"/>
    <w:rsid w:val="00C3041C"/>
    <w:rsid w:val="00C308B5"/>
    <w:rsid w:val="00C30C14"/>
    <w:rsid w:val="00C31024"/>
    <w:rsid w:val="00C33F62"/>
    <w:rsid w:val="00C3427A"/>
    <w:rsid w:val="00C34447"/>
    <w:rsid w:val="00C34ADB"/>
    <w:rsid w:val="00C37737"/>
    <w:rsid w:val="00C40140"/>
    <w:rsid w:val="00C4079A"/>
    <w:rsid w:val="00C41765"/>
    <w:rsid w:val="00C4253A"/>
    <w:rsid w:val="00C42EB5"/>
    <w:rsid w:val="00C4403B"/>
    <w:rsid w:val="00C44F0E"/>
    <w:rsid w:val="00C45C45"/>
    <w:rsid w:val="00C463B3"/>
    <w:rsid w:val="00C517E1"/>
    <w:rsid w:val="00C51B00"/>
    <w:rsid w:val="00C52504"/>
    <w:rsid w:val="00C52622"/>
    <w:rsid w:val="00C534D9"/>
    <w:rsid w:val="00C535F8"/>
    <w:rsid w:val="00C538D5"/>
    <w:rsid w:val="00C539D6"/>
    <w:rsid w:val="00C55E32"/>
    <w:rsid w:val="00C60975"/>
    <w:rsid w:val="00C612D7"/>
    <w:rsid w:val="00C612E6"/>
    <w:rsid w:val="00C617D2"/>
    <w:rsid w:val="00C61B6E"/>
    <w:rsid w:val="00C61F08"/>
    <w:rsid w:val="00C629E8"/>
    <w:rsid w:val="00C63104"/>
    <w:rsid w:val="00C636D6"/>
    <w:rsid w:val="00C6505F"/>
    <w:rsid w:val="00C65E70"/>
    <w:rsid w:val="00C67477"/>
    <w:rsid w:val="00C67C26"/>
    <w:rsid w:val="00C71210"/>
    <w:rsid w:val="00C720A8"/>
    <w:rsid w:val="00C72547"/>
    <w:rsid w:val="00C736E7"/>
    <w:rsid w:val="00C73A1B"/>
    <w:rsid w:val="00C75766"/>
    <w:rsid w:val="00C75EA1"/>
    <w:rsid w:val="00C76301"/>
    <w:rsid w:val="00C763BE"/>
    <w:rsid w:val="00C81EC4"/>
    <w:rsid w:val="00C82E1F"/>
    <w:rsid w:val="00C82FA3"/>
    <w:rsid w:val="00C83466"/>
    <w:rsid w:val="00C83644"/>
    <w:rsid w:val="00C837E9"/>
    <w:rsid w:val="00C83DEF"/>
    <w:rsid w:val="00C84BAF"/>
    <w:rsid w:val="00C84F4E"/>
    <w:rsid w:val="00C855A8"/>
    <w:rsid w:val="00C85BFC"/>
    <w:rsid w:val="00C8618A"/>
    <w:rsid w:val="00C86772"/>
    <w:rsid w:val="00C87414"/>
    <w:rsid w:val="00C87E40"/>
    <w:rsid w:val="00C922C9"/>
    <w:rsid w:val="00C9362D"/>
    <w:rsid w:val="00C93952"/>
    <w:rsid w:val="00C94F49"/>
    <w:rsid w:val="00C954BC"/>
    <w:rsid w:val="00C95798"/>
    <w:rsid w:val="00C95D49"/>
    <w:rsid w:val="00C96041"/>
    <w:rsid w:val="00C9640F"/>
    <w:rsid w:val="00C9667A"/>
    <w:rsid w:val="00C96B61"/>
    <w:rsid w:val="00CA0944"/>
    <w:rsid w:val="00CA0BF7"/>
    <w:rsid w:val="00CA1456"/>
    <w:rsid w:val="00CA1CD8"/>
    <w:rsid w:val="00CA319C"/>
    <w:rsid w:val="00CA3580"/>
    <w:rsid w:val="00CA5500"/>
    <w:rsid w:val="00CA5ACF"/>
    <w:rsid w:val="00CA602E"/>
    <w:rsid w:val="00CA7419"/>
    <w:rsid w:val="00CB02A7"/>
    <w:rsid w:val="00CB05B3"/>
    <w:rsid w:val="00CB0633"/>
    <w:rsid w:val="00CB1590"/>
    <w:rsid w:val="00CB1E61"/>
    <w:rsid w:val="00CB284D"/>
    <w:rsid w:val="00CB5AAE"/>
    <w:rsid w:val="00CB6D74"/>
    <w:rsid w:val="00CB713D"/>
    <w:rsid w:val="00CC004A"/>
    <w:rsid w:val="00CC20F1"/>
    <w:rsid w:val="00CC4164"/>
    <w:rsid w:val="00CC4C9F"/>
    <w:rsid w:val="00CC5207"/>
    <w:rsid w:val="00CC70E6"/>
    <w:rsid w:val="00CC71CA"/>
    <w:rsid w:val="00CD02DC"/>
    <w:rsid w:val="00CD0918"/>
    <w:rsid w:val="00CD1063"/>
    <w:rsid w:val="00CD1FC2"/>
    <w:rsid w:val="00CD2490"/>
    <w:rsid w:val="00CD39DB"/>
    <w:rsid w:val="00CD410E"/>
    <w:rsid w:val="00CD5680"/>
    <w:rsid w:val="00CD5EB8"/>
    <w:rsid w:val="00CD72DA"/>
    <w:rsid w:val="00CE0824"/>
    <w:rsid w:val="00CE6F21"/>
    <w:rsid w:val="00CE740C"/>
    <w:rsid w:val="00CE754A"/>
    <w:rsid w:val="00CE7942"/>
    <w:rsid w:val="00CE7C95"/>
    <w:rsid w:val="00CE7E34"/>
    <w:rsid w:val="00CF0D6F"/>
    <w:rsid w:val="00CF0E0F"/>
    <w:rsid w:val="00CF283A"/>
    <w:rsid w:val="00CF2B80"/>
    <w:rsid w:val="00CF41B4"/>
    <w:rsid w:val="00CF48E7"/>
    <w:rsid w:val="00CF5B6E"/>
    <w:rsid w:val="00CF6F23"/>
    <w:rsid w:val="00CF723D"/>
    <w:rsid w:val="00CF76B5"/>
    <w:rsid w:val="00D01831"/>
    <w:rsid w:val="00D04CF3"/>
    <w:rsid w:val="00D04D3F"/>
    <w:rsid w:val="00D05CF0"/>
    <w:rsid w:val="00D05FAD"/>
    <w:rsid w:val="00D07195"/>
    <w:rsid w:val="00D10092"/>
    <w:rsid w:val="00D1080C"/>
    <w:rsid w:val="00D1163A"/>
    <w:rsid w:val="00D11DDD"/>
    <w:rsid w:val="00D15300"/>
    <w:rsid w:val="00D16E6E"/>
    <w:rsid w:val="00D170B1"/>
    <w:rsid w:val="00D17496"/>
    <w:rsid w:val="00D1753C"/>
    <w:rsid w:val="00D17DEB"/>
    <w:rsid w:val="00D20D79"/>
    <w:rsid w:val="00D225F4"/>
    <w:rsid w:val="00D22B97"/>
    <w:rsid w:val="00D23176"/>
    <w:rsid w:val="00D25117"/>
    <w:rsid w:val="00D261EC"/>
    <w:rsid w:val="00D26D21"/>
    <w:rsid w:val="00D30156"/>
    <w:rsid w:val="00D3039E"/>
    <w:rsid w:val="00D3063C"/>
    <w:rsid w:val="00D32CC7"/>
    <w:rsid w:val="00D32EF5"/>
    <w:rsid w:val="00D346B8"/>
    <w:rsid w:val="00D34D43"/>
    <w:rsid w:val="00D409E0"/>
    <w:rsid w:val="00D40A85"/>
    <w:rsid w:val="00D41F2E"/>
    <w:rsid w:val="00D456C2"/>
    <w:rsid w:val="00D46335"/>
    <w:rsid w:val="00D46BE0"/>
    <w:rsid w:val="00D47A96"/>
    <w:rsid w:val="00D47E51"/>
    <w:rsid w:val="00D50438"/>
    <w:rsid w:val="00D51BEF"/>
    <w:rsid w:val="00D51E26"/>
    <w:rsid w:val="00D51F89"/>
    <w:rsid w:val="00D52C0E"/>
    <w:rsid w:val="00D54303"/>
    <w:rsid w:val="00D5464B"/>
    <w:rsid w:val="00D56966"/>
    <w:rsid w:val="00D60215"/>
    <w:rsid w:val="00D60C8E"/>
    <w:rsid w:val="00D60CF9"/>
    <w:rsid w:val="00D619B2"/>
    <w:rsid w:val="00D61A0B"/>
    <w:rsid w:val="00D62AFF"/>
    <w:rsid w:val="00D63AB5"/>
    <w:rsid w:val="00D63D24"/>
    <w:rsid w:val="00D64552"/>
    <w:rsid w:val="00D653C3"/>
    <w:rsid w:val="00D656AA"/>
    <w:rsid w:val="00D66956"/>
    <w:rsid w:val="00D71429"/>
    <w:rsid w:val="00D7240F"/>
    <w:rsid w:val="00D7278F"/>
    <w:rsid w:val="00D72CE6"/>
    <w:rsid w:val="00D7350C"/>
    <w:rsid w:val="00D73A02"/>
    <w:rsid w:val="00D74A8E"/>
    <w:rsid w:val="00D74C7C"/>
    <w:rsid w:val="00D75750"/>
    <w:rsid w:val="00D75A61"/>
    <w:rsid w:val="00D7617A"/>
    <w:rsid w:val="00D769A9"/>
    <w:rsid w:val="00D76C31"/>
    <w:rsid w:val="00D80107"/>
    <w:rsid w:val="00D80861"/>
    <w:rsid w:val="00D80D5D"/>
    <w:rsid w:val="00D81EDF"/>
    <w:rsid w:val="00D8353F"/>
    <w:rsid w:val="00D8533E"/>
    <w:rsid w:val="00D857FD"/>
    <w:rsid w:val="00D8735D"/>
    <w:rsid w:val="00D90ECC"/>
    <w:rsid w:val="00D9115D"/>
    <w:rsid w:val="00D91AF7"/>
    <w:rsid w:val="00D91CC9"/>
    <w:rsid w:val="00D935A5"/>
    <w:rsid w:val="00D937D2"/>
    <w:rsid w:val="00D93B2F"/>
    <w:rsid w:val="00D96CB1"/>
    <w:rsid w:val="00D97DEA"/>
    <w:rsid w:val="00DA2AF7"/>
    <w:rsid w:val="00DA3F8F"/>
    <w:rsid w:val="00DA4BA2"/>
    <w:rsid w:val="00DA531A"/>
    <w:rsid w:val="00DA7F45"/>
    <w:rsid w:val="00DB01DB"/>
    <w:rsid w:val="00DB062E"/>
    <w:rsid w:val="00DB1385"/>
    <w:rsid w:val="00DB206C"/>
    <w:rsid w:val="00DB2C28"/>
    <w:rsid w:val="00DB2DD3"/>
    <w:rsid w:val="00DB2FC3"/>
    <w:rsid w:val="00DB3590"/>
    <w:rsid w:val="00DB46BB"/>
    <w:rsid w:val="00DB4F44"/>
    <w:rsid w:val="00DB5150"/>
    <w:rsid w:val="00DB610E"/>
    <w:rsid w:val="00DC3654"/>
    <w:rsid w:val="00DC501B"/>
    <w:rsid w:val="00DC5E7D"/>
    <w:rsid w:val="00DC6064"/>
    <w:rsid w:val="00DC6AC6"/>
    <w:rsid w:val="00DC7276"/>
    <w:rsid w:val="00DC758F"/>
    <w:rsid w:val="00DC7DF1"/>
    <w:rsid w:val="00DD02D9"/>
    <w:rsid w:val="00DD0553"/>
    <w:rsid w:val="00DD0C7B"/>
    <w:rsid w:val="00DD249E"/>
    <w:rsid w:val="00DD2719"/>
    <w:rsid w:val="00DD46E9"/>
    <w:rsid w:val="00DD51CF"/>
    <w:rsid w:val="00DD5546"/>
    <w:rsid w:val="00DD606B"/>
    <w:rsid w:val="00DD71ED"/>
    <w:rsid w:val="00DE2321"/>
    <w:rsid w:val="00DE333A"/>
    <w:rsid w:val="00DE33C5"/>
    <w:rsid w:val="00DE35B0"/>
    <w:rsid w:val="00DE3FAA"/>
    <w:rsid w:val="00DE4AC6"/>
    <w:rsid w:val="00DE59C5"/>
    <w:rsid w:val="00DE7354"/>
    <w:rsid w:val="00DF07FA"/>
    <w:rsid w:val="00DF173E"/>
    <w:rsid w:val="00DF180F"/>
    <w:rsid w:val="00DF21EA"/>
    <w:rsid w:val="00DF22EB"/>
    <w:rsid w:val="00DF311B"/>
    <w:rsid w:val="00DF3153"/>
    <w:rsid w:val="00DF3827"/>
    <w:rsid w:val="00DF4969"/>
    <w:rsid w:val="00DF50F7"/>
    <w:rsid w:val="00DF6118"/>
    <w:rsid w:val="00DF6DDB"/>
    <w:rsid w:val="00DF74C6"/>
    <w:rsid w:val="00E007CE"/>
    <w:rsid w:val="00E00DDE"/>
    <w:rsid w:val="00E00F6B"/>
    <w:rsid w:val="00E01553"/>
    <w:rsid w:val="00E031E1"/>
    <w:rsid w:val="00E031FD"/>
    <w:rsid w:val="00E0364E"/>
    <w:rsid w:val="00E03B42"/>
    <w:rsid w:val="00E051D0"/>
    <w:rsid w:val="00E056C5"/>
    <w:rsid w:val="00E0669C"/>
    <w:rsid w:val="00E0783E"/>
    <w:rsid w:val="00E10D2C"/>
    <w:rsid w:val="00E1126E"/>
    <w:rsid w:val="00E11B86"/>
    <w:rsid w:val="00E11D12"/>
    <w:rsid w:val="00E11F1F"/>
    <w:rsid w:val="00E12115"/>
    <w:rsid w:val="00E1229D"/>
    <w:rsid w:val="00E13419"/>
    <w:rsid w:val="00E13432"/>
    <w:rsid w:val="00E13762"/>
    <w:rsid w:val="00E145FA"/>
    <w:rsid w:val="00E159C6"/>
    <w:rsid w:val="00E15A7B"/>
    <w:rsid w:val="00E16331"/>
    <w:rsid w:val="00E1656E"/>
    <w:rsid w:val="00E168CC"/>
    <w:rsid w:val="00E173D3"/>
    <w:rsid w:val="00E2053C"/>
    <w:rsid w:val="00E2097F"/>
    <w:rsid w:val="00E21D42"/>
    <w:rsid w:val="00E223B3"/>
    <w:rsid w:val="00E22D07"/>
    <w:rsid w:val="00E23215"/>
    <w:rsid w:val="00E24221"/>
    <w:rsid w:val="00E24B1F"/>
    <w:rsid w:val="00E2549E"/>
    <w:rsid w:val="00E25B1C"/>
    <w:rsid w:val="00E27BDE"/>
    <w:rsid w:val="00E27EF8"/>
    <w:rsid w:val="00E306A3"/>
    <w:rsid w:val="00E33309"/>
    <w:rsid w:val="00E334B7"/>
    <w:rsid w:val="00E334E5"/>
    <w:rsid w:val="00E3617C"/>
    <w:rsid w:val="00E36556"/>
    <w:rsid w:val="00E3687A"/>
    <w:rsid w:val="00E36A40"/>
    <w:rsid w:val="00E37853"/>
    <w:rsid w:val="00E414E1"/>
    <w:rsid w:val="00E415BB"/>
    <w:rsid w:val="00E42BEC"/>
    <w:rsid w:val="00E42BF5"/>
    <w:rsid w:val="00E42F5D"/>
    <w:rsid w:val="00E437BB"/>
    <w:rsid w:val="00E446FF"/>
    <w:rsid w:val="00E44DEE"/>
    <w:rsid w:val="00E4593E"/>
    <w:rsid w:val="00E46E0D"/>
    <w:rsid w:val="00E47746"/>
    <w:rsid w:val="00E51E35"/>
    <w:rsid w:val="00E52B3C"/>
    <w:rsid w:val="00E56C33"/>
    <w:rsid w:val="00E56E43"/>
    <w:rsid w:val="00E6091E"/>
    <w:rsid w:val="00E617D1"/>
    <w:rsid w:val="00E619B6"/>
    <w:rsid w:val="00E63E35"/>
    <w:rsid w:val="00E64BDA"/>
    <w:rsid w:val="00E65DD4"/>
    <w:rsid w:val="00E670DD"/>
    <w:rsid w:val="00E671B2"/>
    <w:rsid w:val="00E7178F"/>
    <w:rsid w:val="00E7232C"/>
    <w:rsid w:val="00E72A32"/>
    <w:rsid w:val="00E72D9A"/>
    <w:rsid w:val="00E7352C"/>
    <w:rsid w:val="00E73650"/>
    <w:rsid w:val="00E739E0"/>
    <w:rsid w:val="00E745A3"/>
    <w:rsid w:val="00E746E8"/>
    <w:rsid w:val="00E74E3D"/>
    <w:rsid w:val="00E77B8E"/>
    <w:rsid w:val="00E77D42"/>
    <w:rsid w:val="00E804E0"/>
    <w:rsid w:val="00E80C44"/>
    <w:rsid w:val="00E81486"/>
    <w:rsid w:val="00E825D9"/>
    <w:rsid w:val="00E835FE"/>
    <w:rsid w:val="00E84451"/>
    <w:rsid w:val="00E846AA"/>
    <w:rsid w:val="00E856C8"/>
    <w:rsid w:val="00E87063"/>
    <w:rsid w:val="00E87200"/>
    <w:rsid w:val="00E87440"/>
    <w:rsid w:val="00E87665"/>
    <w:rsid w:val="00E90205"/>
    <w:rsid w:val="00E90B11"/>
    <w:rsid w:val="00E92459"/>
    <w:rsid w:val="00E92B00"/>
    <w:rsid w:val="00E94A2A"/>
    <w:rsid w:val="00E94DF0"/>
    <w:rsid w:val="00E95AC5"/>
    <w:rsid w:val="00E95C37"/>
    <w:rsid w:val="00E95FC6"/>
    <w:rsid w:val="00E96BDE"/>
    <w:rsid w:val="00E97C86"/>
    <w:rsid w:val="00EA17AA"/>
    <w:rsid w:val="00EA1A9B"/>
    <w:rsid w:val="00EA1B64"/>
    <w:rsid w:val="00EA1B6C"/>
    <w:rsid w:val="00EA1C4B"/>
    <w:rsid w:val="00EA3B2F"/>
    <w:rsid w:val="00EA424D"/>
    <w:rsid w:val="00EA4881"/>
    <w:rsid w:val="00EA7FB9"/>
    <w:rsid w:val="00EB0217"/>
    <w:rsid w:val="00EB1416"/>
    <w:rsid w:val="00EB1F7C"/>
    <w:rsid w:val="00EB2334"/>
    <w:rsid w:val="00EB325C"/>
    <w:rsid w:val="00EB3554"/>
    <w:rsid w:val="00EB3E25"/>
    <w:rsid w:val="00EB42CB"/>
    <w:rsid w:val="00EB54CC"/>
    <w:rsid w:val="00EB60AA"/>
    <w:rsid w:val="00EC00B7"/>
    <w:rsid w:val="00EC0F23"/>
    <w:rsid w:val="00EC1271"/>
    <w:rsid w:val="00EC13B7"/>
    <w:rsid w:val="00EC466E"/>
    <w:rsid w:val="00EC5643"/>
    <w:rsid w:val="00EC5705"/>
    <w:rsid w:val="00EC5F5C"/>
    <w:rsid w:val="00EC6D8B"/>
    <w:rsid w:val="00EC7132"/>
    <w:rsid w:val="00EC7AA5"/>
    <w:rsid w:val="00EC7DE6"/>
    <w:rsid w:val="00ED0A40"/>
    <w:rsid w:val="00ED19AC"/>
    <w:rsid w:val="00ED2338"/>
    <w:rsid w:val="00ED2D89"/>
    <w:rsid w:val="00ED3124"/>
    <w:rsid w:val="00ED336D"/>
    <w:rsid w:val="00ED3D04"/>
    <w:rsid w:val="00ED414B"/>
    <w:rsid w:val="00ED5D96"/>
    <w:rsid w:val="00ED5F09"/>
    <w:rsid w:val="00ED7CD8"/>
    <w:rsid w:val="00EE1217"/>
    <w:rsid w:val="00EE1AD3"/>
    <w:rsid w:val="00EE1B30"/>
    <w:rsid w:val="00EE1F08"/>
    <w:rsid w:val="00EE2629"/>
    <w:rsid w:val="00EE265D"/>
    <w:rsid w:val="00EE3F22"/>
    <w:rsid w:val="00EE4577"/>
    <w:rsid w:val="00EE4912"/>
    <w:rsid w:val="00EE4C75"/>
    <w:rsid w:val="00EE4DE5"/>
    <w:rsid w:val="00EE6582"/>
    <w:rsid w:val="00EE663B"/>
    <w:rsid w:val="00EE6BBF"/>
    <w:rsid w:val="00EE7176"/>
    <w:rsid w:val="00EF13CC"/>
    <w:rsid w:val="00EF1BBE"/>
    <w:rsid w:val="00EF2074"/>
    <w:rsid w:val="00EF2D82"/>
    <w:rsid w:val="00EF4AF4"/>
    <w:rsid w:val="00EF50E8"/>
    <w:rsid w:val="00EF5B2D"/>
    <w:rsid w:val="00EF79A9"/>
    <w:rsid w:val="00EF7B21"/>
    <w:rsid w:val="00F01E0F"/>
    <w:rsid w:val="00F02ED5"/>
    <w:rsid w:val="00F03076"/>
    <w:rsid w:val="00F0344B"/>
    <w:rsid w:val="00F05B39"/>
    <w:rsid w:val="00F065AC"/>
    <w:rsid w:val="00F0752D"/>
    <w:rsid w:val="00F1080E"/>
    <w:rsid w:val="00F10EBE"/>
    <w:rsid w:val="00F1126F"/>
    <w:rsid w:val="00F1262A"/>
    <w:rsid w:val="00F12AB4"/>
    <w:rsid w:val="00F1401C"/>
    <w:rsid w:val="00F14042"/>
    <w:rsid w:val="00F14D36"/>
    <w:rsid w:val="00F15445"/>
    <w:rsid w:val="00F15B3E"/>
    <w:rsid w:val="00F15BB2"/>
    <w:rsid w:val="00F1730B"/>
    <w:rsid w:val="00F2044F"/>
    <w:rsid w:val="00F2052F"/>
    <w:rsid w:val="00F20AA4"/>
    <w:rsid w:val="00F21052"/>
    <w:rsid w:val="00F220EA"/>
    <w:rsid w:val="00F22B3A"/>
    <w:rsid w:val="00F22DFB"/>
    <w:rsid w:val="00F22E41"/>
    <w:rsid w:val="00F23503"/>
    <w:rsid w:val="00F239DA"/>
    <w:rsid w:val="00F25F62"/>
    <w:rsid w:val="00F2774E"/>
    <w:rsid w:val="00F27CC7"/>
    <w:rsid w:val="00F321EC"/>
    <w:rsid w:val="00F32429"/>
    <w:rsid w:val="00F33259"/>
    <w:rsid w:val="00F33B13"/>
    <w:rsid w:val="00F3436F"/>
    <w:rsid w:val="00F350F0"/>
    <w:rsid w:val="00F356AE"/>
    <w:rsid w:val="00F36C85"/>
    <w:rsid w:val="00F36FA8"/>
    <w:rsid w:val="00F372EC"/>
    <w:rsid w:val="00F37570"/>
    <w:rsid w:val="00F37BF5"/>
    <w:rsid w:val="00F40490"/>
    <w:rsid w:val="00F404FE"/>
    <w:rsid w:val="00F40BFF"/>
    <w:rsid w:val="00F4423B"/>
    <w:rsid w:val="00F450C2"/>
    <w:rsid w:val="00F4638A"/>
    <w:rsid w:val="00F46530"/>
    <w:rsid w:val="00F501DF"/>
    <w:rsid w:val="00F50223"/>
    <w:rsid w:val="00F5071B"/>
    <w:rsid w:val="00F50FE6"/>
    <w:rsid w:val="00F516C2"/>
    <w:rsid w:val="00F51F47"/>
    <w:rsid w:val="00F5279C"/>
    <w:rsid w:val="00F52B4F"/>
    <w:rsid w:val="00F601BA"/>
    <w:rsid w:val="00F62464"/>
    <w:rsid w:val="00F631DB"/>
    <w:rsid w:val="00F65C36"/>
    <w:rsid w:val="00F661FC"/>
    <w:rsid w:val="00F664A0"/>
    <w:rsid w:val="00F6654B"/>
    <w:rsid w:val="00F66E9F"/>
    <w:rsid w:val="00F67892"/>
    <w:rsid w:val="00F7019F"/>
    <w:rsid w:val="00F7104E"/>
    <w:rsid w:val="00F713D9"/>
    <w:rsid w:val="00F74271"/>
    <w:rsid w:val="00F74A57"/>
    <w:rsid w:val="00F7542D"/>
    <w:rsid w:val="00F755B6"/>
    <w:rsid w:val="00F75AE7"/>
    <w:rsid w:val="00F75C55"/>
    <w:rsid w:val="00F768DF"/>
    <w:rsid w:val="00F77994"/>
    <w:rsid w:val="00F8023E"/>
    <w:rsid w:val="00F81230"/>
    <w:rsid w:val="00F81902"/>
    <w:rsid w:val="00F822E5"/>
    <w:rsid w:val="00F8288D"/>
    <w:rsid w:val="00F831AC"/>
    <w:rsid w:val="00F842D7"/>
    <w:rsid w:val="00F86344"/>
    <w:rsid w:val="00F87132"/>
    <w:rsid w:val="00F87439"/>
    <w:rsid w:val="00F87C00"/>
    <w:rsid w:val="00F90BDA"/>
    <w:rsid w:val="00F91328"/>
    <w:rsid w:val="00F91F31"/>
    <w:rsid w:val="00F92E20"/>
    <w:rsid w:val="00F944A2"/>
    <w:rsid w:val="00F956F9"/>
    <w:rsid w:val="00F96501"/>
    <w:rsid w:val="00F971C1"/>
    <w:rsid w:val="00F976FB"/>
    <w:rsid w:val="00F97AC6"/>
    <w:rsid w:val="00FA0A31"/>
    <w:rsid w:val="00FA0ECB"/>
    <w:rsid w:val="00FA1131"/>
    <w:rsid w:val="00FA1B6A"/>
    <w:rsid w:val="00FA52DF"/>
    <w:rsid w:val="00FA58D3"/>
    <w:rsid w:val="00FA5912"/>
    <w:rsid w:val="00FA5F08"/>
    <w:rsid w:val="00FB0C15"/>
    <w:rsid w:val="00FB1B0B"/>
    <w:rsid w:val="00FB201E"/>
    <w:rsid w:val="00FB2ABC"/>
    <w:rsid w:val="00FB2E18"/>
    <w:rsid w:val="00FB30EF"/>
    <w:rsid w:val="00FB47C5"/>
    <w:rsid w:val="00FB4812"/>
    <w:rsid w:val="00FB5760"/>
    <w:rsid w:val="00FB649B"/>
    <w:rsid w:val="00FB76FA"/>
    <w:rsid w:val="00FC052A"/>
    <w:rsid w:val="00FC0711"/>
    <w:rsid w:val="00FC09BE"/>
    <w:rsid w:val="00FC0B6A"/>
    <w:rsid w:val="00FC1801"/>
    <w:rsid w:val="00FC2636"/>
    <w:rsid w:val="00FC29CD"/>
    <w:rsid w:val="00FC4F88"/>
    <w:rsid w:val="00FC552F"/>
    <w:rsid w:val="00FC661C"/>
    <w:rsid w:val="00FC6D5A"/>
    <w:rsid w:val="00FC72A8"/>
    <w:rsid w:val="00FD0249"/>
    <w:rsid w:val="00FD07D6"/>
    <w:rsid w:val="00FD0E37"/>
    <w:rsid w:val="00FD2946"/>
    <w:rsid w:val="00FD32AF"/>
    <w:rsid w:val="00FD4D9A"/>
    <w:rsid w:val="00FD4EE7"/>
    <w:rsid w:val="00FD6EE7"/>
    <w:rsid w:val="00FD6FF8"/>
    <w:rsid w:val="00FE07D4"/>
    <w:rsid w:val="00FE0B4D"/>
    <w:rsid w:val="00FE0FE6"/>
    <w:rsid w:val="00FE22BA"/>
    <w:rsid w:val="00FE27CC"/>
    <w:rsid w:val="00FE37AB"/>
    <w:rsid w:val="00FE471D"/>
    <w:rsid w:val="00FE5724"/>
    <w:rsid w:val="00FE704F"/>
    <w:rsid w:val="00FE7909"/>
    <w:rsid w:val="00FE7FB9"/>
    <w:rsid w:val="00FF0100"/>
    <w:rsid w:val="00FF2D50"/>
    <w:rsid w:val="00FF30C8"/>
    <w:rsid w:val="00FF32D8"/>
    <w:rsid w:val="00FF3B32"/>
    <w:rsid w:val="00FF3C7B"/>
    <w:rsid w:val="00FF4B3F"/>
    <w:rsid w:val="00FF566C"/>
    <w:rsid w:val="00FF596A"/>
    <w:rsid w:val="00FF6408"/>
    <w:rsid w:val="01581DFB"/>
    <w:rsid w:val="017C1AA6"/>
    <w:rsid w:val="01D111DF"/>
    <w:rsid w:val="01F40F97"/>
    <w:rsid w:val="02981CCA"/>
    <w:rsid w:val="0308661F"/>
    <w:rsid w:val="030A261B"/>
    <w:rsid w:val="03852DB2"/>
    <w:rsid w:val="0391667F"/>
    <w:rsid w:val="052E657E"/>
    <w:rsid w:val="059750E7"/>
    <w:rsid w:val="05A42E5C"/>
    <w:rsid w:val="05B67F9C"/>
    <w:rsid w:val="05FA0BF5"/>
    <w:rsid w:val="06A87545"/>
    <w:rsid w:val="06B45DF1"/>
    <w:rsid w:val="06BE0E86"/>
    <w:rsid w:val="06CA1EAE"/>
    <w:rsid w:val="06E26799"/>
    <w:rsid w:val="074E754B"/>
    <w:rsid w:val="07C86D61"/>
    <w:rsid w:val="08224BCA"/>
    <w:rsid w:val="0A487803"/>
    <w:rsid w:val="0A757A90"/>
    <w:rsid w:val="0A887E0C"/>
    <w:rsid w:val="0B051C39"/>
    <w:rsid w:val="0B6F7FC9"/>
    <w:rsid w:val="0B7E2661"/>
    <w:rsid w:val="0BF36CA1"/>
    <w:rsid w:val="0C394516"/>
    <w:rsid w:val="0D7642B9"/>
    <w:rsid w:val="0D991492"/>
    <w:rsid w:val="0DE64670"/>
    <w:rsid w:val="0F436C64"/>
    <w:rsid w:val="107214E6"/>
    <w:rsid w:val="109476ED"/>
    <w:rsid w:val="111303BA"/>
    <w:rsid w:val="118948E8"/>
    <w:rsid w:val="11A01774"/>
    <w:rsid w:val="11C335D8"/>
    <w:rsid w:val="11DD372D"/>
    <w:rsid w:val="11E4597A"/>
    <w:rsid w:val="11E9173B"/>
    <w:rsid w:val="12E93791"/>
    <w:rsid w:val="142939BC"/>
    <w:rsid w:val="14E37D9A"/>
    <w:rsid w:val="158E6C37"/>
    <w:rsid w:val="15A01254"/>
    <w:rsid w:val="15C6232D"/>
    <w:rsid w:val="16184DC0"/>
    <w:rsid w:val="1677430E"/>
    <w:rsid w:val="1700247E"/>
    <w:rsid w:val="171A438C"/>
    <w:rsid w:val="17740CFE"/>
    <w:rsid w:val="177D2A53"/>
    <w:rsid w:val="17A23F2E"/>
    <w:rsid w:val="180651FD"/>
    <w:rsid w:val="19CC21DC"/>
    <w:rsid w:val="1A0C74F0"/>
    <w:rsid w:val="1C974EFB"/>
    <w:rsid w:val="1D00778A"/>
    <w:rsid w:val="1D1B11DA"/>
    <w:rsid w:val="20E16516"/>
    <w:rsid w:val="23457340"/>
    <w:rsid w:val="24A76A05"/>
    <w:rsid w:val="24AC59FC"/>
    <w:rsid w:val="25A018D5"/>
    <w:rsid w:val="25E75DBC"/>
    <w:rsid w:val="265A1CC8"/>
    <w:rsid w:val="26717F1C"/>
    <w:rsid w:val="29121AA7"/>
    <w:rsid w:val="2A182BB1"/>
    <w:rsid w:val="2A9326AA"/>
    <w:rsid w:val="2AB50568"/>
    <w:rsid w:val="2ABD6554"/>
    <w:rsid w:val="2B1B3087"/>
    <w:rsid w:val="2BF610BB"/>
    <w:rsid w:val="2C7434DF"/>
    <w:rsid w:val="2CAF643C"/>
    <w:rsid w:val="2E1B49C8"/>
    <w:rsid w:val="2E5518E2"/>
    <w:rsid w:val="30033712"/>
    <w:rsid w:val="31201937"/>
    <w:rsid w:val="31780C2A"/>
    <w:rsid w:val="31CE40C8"/>
    <w:rsid w:val="32BF00B1"/>
    <w:rsid w:val="3328261E"/>
    <w:rsid w:val="340A56EE"/>
    <w:rsid w:val="34531C7E"/>
    <w:rsid w:val="34BC02C5"/>
    <w:rsid w:val="35B17D16"/>
    <w:rsid w:val="36220611"/>
    <w:rsid w:val="36711294"/>
    <w:rsid w:val="36B76B62"/>
    <w:rsid w:val="37412070"/>
    <w:rsid w:val="37B502A5"/>
    <w:rsid w:val="37D52BA4"/>
    <w:rsid w:val="38190EC1"/>
    <w:rsid w:val="38806043"/>
    <w:rsid w:val="389A0D5F"/>
    <w:rsid w:val="39B16960"/>
    <w:rsid w:val="3CB44AE8"/>
    <w:rsid w:val="3DEA4DAE"/>
    <w:rsid w:val="3E2B6AC8"/>
    <w:rsid w:val="3EB92D24"/>
    <w:rsid w:val="3F495EE1"/>
    <w:rsid w:val="3FA96EBA"/>
    <w:rsid w:val="40C83ED6"/>
    <w:rsid w:val="41361118"/>
    <w:rsid w:val="41A47258"/>
    <w:rsid w:val="41B105AF"/>
    <w:rsid w:val="429A0352"/>
    <w:rsid w:val="43A8759A"/>
    <w:rsid w:val="43F82645"/>
    <w:rsid w:val="44BE7D91"/>
    <w:rsid w:val="46E84FEA"/>
    <w:rsid w:val="472C309D"/>
    <w:rsid w:val="472F5622"/>
    <w:rsid w:val="47875C6D"/>
    <w:rsid w:val="47BF6083"/>
    <w:rsid w:val="49323BBF"/>
    <w:rsid w:val="4A14583B"/>
    <w:rsid w:val="4A2052C8"/>
    <w:rsid w:val="4A4864BA"/>
    <w:rsid w:val="4A714BFD"/>
    <w:rsid w:val="4BE771D0"/>
    <w:rsid w:val="4CEA6D9D"/>
    <w:rsid w:val="4E2D12D1"/>
    <w:rsid w:val="4EEA79CF"/>
    <w:rsid w:val="52E61455"/>
    <w:rsid w:val="53E3401D"/>
    <w:rsid w:val="556957DC"/>
    <w:rsid w:val="58FD106E"/>
    <w:rsid w:val="59AF04E8"/>
    <w:rsid w:val="59E85E60"/>
    <w:rsid w:val="59F8451E"/>
    <w:rsid w:val="5A740CC3"/>
    <w:rsid w:val="5B006678"/>
    <w:rsid w:val="5B2C02E4"/>
    <w:rsid w:val="5B8A3673"/>
    <w:rsid w:val="5D8E0CC0"/>
    <w:rsid w:val="5EC948E9"/>
    <w:rsid w:val="5F17379A"/>
    <w:rsid w:val="5F230BC9"/>
    <w:rsid w:val="5F500C76"/>
    <w:rsid w:val="5F6513BF"/>
    <w:rsid w:val="61A31E59"/>
    <w:rsid w:val="61D8330C"/>
    <w:rsid w:val="62005C0F"/>
    <w:rsid w:val="624D6689"/>
    <w:rsid w:val="62684636"/>
    <w:rsid w:val="62E51784"/>
    <w:rsid w:val="644E706A"/>
    <w:rsid w:val="651B52F3"/>
    <w:rsid w:val="67514366"/>
    <w:rsid w:val="6A49024C"/>
    <w:rsid w:val="6AC0501E"/>
    <w:rsid w:val="6C695D99"/>
    <w:rsid w:val="6D307C81"/>
    <w:rsid w:val="6EB468B0"/>
    <w:rsid w:val="6EEA15E3"/>
    <w:rsid w:val="6F9E7CEB"/>
    <w:rsid w:val="70346B35"/>
    <w:rsid w:val="70E77D2C"/>
    <w:rsid w:val="713E0164"/>
    <w:rsid w:val="71B72B61"/>
    <w:rsid w:val="72867503"/>
    <w:rsid w:val="72C150B9"/>
    <w:rsid w:val="76500237"/>
    <w:rsid w:val="77086F75"/>
    <w:rsid w:val="7791148D"/>
    <w:rsid w:val="78360EBD"/>
    <w:rsid w:val="797D3B33"/>
    <w:rsid w:val="7A5B048D"/>
    <w:rsid w:val="7B6C0E3E"/>
    <w:rsid w:val="7CB71996"/>
    <w:rsid w:val="7DF0087B"/>
    <w:rsid w:val="7EBC0435"/>
    <w:rsid w:val="7F0359F2"/>
    <w:rsid w:val="7F540030"/>
    <w:rsid w:val="7F663B1F"/>
    <w:rsid w:val="7F9A4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1"/>
      <w:szCs w:val="24"/>
      <w:lang w:val="en-US" w:eastAsia="zh-CN" w:bidi="ar-SA"/>
    </w:rPr>
  </w:style>
  <w:style w:type="paragraph" w:styleId="3">
    <w:name w:val="heading 1"/>
    <w:basedOn w:val="1"/>
    <w:next w:val="1"/>
    <w:link w:val="59"/>
    <w:qFormat/>
    <w:uiPriority w:val="0"/>
    <w:pPr>
      <w:outlineLvl w:val="0"/>
    </w:pPr>
    <w:rPr>
      <w:sz w:val="24"/>
    </w:rPr>
  </w:style>
  <w:style w:type="paragraph" w:styleId="4">
    <w:name w:val="heading 2"/>
    <w:basedOn w:val="1"/>
    <w:next w:val="1"/>
    <w:qFormat/>
    <w:uiPriority w:val="0"/>
    <w:pPr>
      <w:outlineLvl w:val="1"/>
    </w:pPr>
  </w:style>
  <w:style w:type="paragraph" w:styleId="5">
    <w:name w:val="heading 3"/>
    <w:basedOn w:val="1"/>
    <w:next w:val="1"/>
    <w:link w:val="60"/>
    <w:qFormat/>
    <w:uiPriority w:val="0"/>
    <w:pPr>
      <w:spacing w:line="480" w:lineRule="auto"/>
      <w:outlineLvl w:val="2"/>
    </w:pPr>
    <w:rPr>
      <w:b/>
      <w:sz w:val="24"/>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widowControl/>
      <w:tabs>
        <w:tab w:val="left" w:pos="1008"/>
      </w:tabs>
      <w:autoSpaceDE/>
      <w:autoSpaceDN/>
      <w:adjustRightInd/>
      <w:spacing w:before="280" w:after="290" w:line="376" w:lineRule="auto"/>
      <w:ind w:left="1008" w:hanging="1008"/>
      <w:outlineLvl w:val="4"/>
    </w:pPr>
    <w:rPr>
      <w:rFonts w:ascii="Times New Roman"/>
      <w:b/>
      <w:bCs/>
      <w:sz w:val="28"/>
      <w:szCs w:val="28"/>
    </w:rPr>
  </w:style>
  <w:style w:type="paragraph" w:styleId="8">
    <w:name w:val="heading 6"/>
    <w:basedOn w:val="1"/>
    <w:next w:val="1"/>
    <w:qFormat/>
    <w:uiPriority w:val="0"/>
    <w:pPr>
      <w:keepNext/>
      <w:keepLines/>
      <w:widowControl/>
      <w:tabs>
        <w:tab w:val="left" w:pos="1152"/>
      </w:tabs>
      <w:autoSpaceDE/>
      <w:autoSpaceDN/>
      <w:adjustRightInd/>
      <w:spacing w:before="240" w:after="64" w:line="320" w:lineRule="auto"/>
      <w:ind w:left="1152" w:hanging="1152"/>
      <w:outlineLvl w:val="5"/>
    </w:pPr>
    <w:rPr>
      <w:rFonts w:ascii="Arial" w:hAnsi="Arial" w:eastAsia="黑体"/>
      <w:b/>
      <w:bCs/>
    </w:rPr>
  </w:style>
  <w:style w:type="paragraph" w:styleId="9">
    <w:name w:val="heading 7"/>
    <w:basedOn w:val="1"/>
    <w:next w:val="1"/>
    <w:qFormat/>
    <w:uiPriority w:val="0"/>
    <w:pPr>
      <w:keepNext/>
      <w:keepLines/>
      <w:widowControl/>
      <w:tabs>
        <w:tab w:val="left" w:pos="1296"/>
      </w:tabs>
      <w:autoSpaceDE/>
      <w:autoSpaceDN/>
      <w:adjustRightInd/>
      <w:spacing w:before="240" w:after="64" w:line="320" w:lineRule="auto"/>
      <w:ind w:left="1296" w:hanging="1296"/>
      <w:outlineLvl w:val="6"/>
    </w:pPr>
    <w:rPr>
      <w:rFonts w:ascii="Times New Roman"/>
      <w:b/>
      <w:bCs/>
    </w:rPr>
  </w:style>
  <w:style w:type="paragraph" w:styleId="10">
    <w:name w:val="heading 8"/>
    <w:basedOn w:val="1"/>
    <w:next w:val="1"/>
    <w:qFormat/>
    <w:uiPriority w:val="0"/>
    <w:pPr>
      <w:keepNext/>
      <w:keepLines/>
      <w:widowControl/>
      <w:tabs>
        <w:tab w:val="left" w:pos="1440"/>
      </w:tabs>
      <w:autoSpaceDE/>
      <w:autoSpaceDN/>
      <w:adjustRightInd/>
      <w:spacing w:before="240" w:after="64" w:line="320" w:lineRule="auto"/>
      <w:ind w:left="1440" w:hanging="1440"/>
      <w:outlineLvl w:val="7"/>
    </w:pPr>
    <w:rPr>
      <w:rFonts w:ascii="Arial" w:hAnsi="Arial" w:eastAsia="黑体"/>
    </w:rPr>
  </w:style>
  <w:style w:type="paragraph" w:styleId="11">
    <w:name w:val="heading 9"/>
    <w:basedOn w:val="1"/>
    <w:next w:val="1"/>
    <w:qFormat/>
    <w:uiPriority w:val="0"/>
    <w:pPr>
      <w:keepNext/>
      <w:keepLines/>
      <w:widowControl/>
      <w:tabs>
        <w:tab w:val="left" w:pos="1584"/>
      </w:tabs>
      <w:autoSpaceDE/>
      <w:autoSpaceDN/>
      <w:adjustRightInd/>
      <w:spacing w:before="240" w:after="64" w:line="320" w:lineRule="auto"/>
      <w:ind w:left="1584" w:hanging="1584"/>
      <w:outlineLvl w:val="8"/>
    </w:pPr>
    <w:rPr>
      <w:rFonts w:ascii="Arial" w:hAnsi="Arial" w:eastAsia="黑体"/>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tabs>
        <w:tab w:val="right" w:leader="dot" w:pos="9629"/>
      </w:tabs>
      <w:autoSpaceDE/>
      <w:autoSpaceDN/>
      <w:adjustRightInd/>
      <w:spacing w:line="360" w:lineRule="auto"/>
      <w:jc w:val="center"/>
    </w:pPr>
    <w:rPr>
      <w:rFonts w:hAnsi="宋体"/>
      <w:bCs/>
      <w:kern w:val="2"/>
    </w:rPr>
  </w:style>
  <w:style w:type="paragraph" w:styleId="12">
    <w:name w:val="toc 7"/>
    <w:basedOn w:val="1"/>
    <w:next w:val="1"/>
    <w:qFormat/>
    <w:uiPriority w:val="0"/>
    <w:pPr>
      <w:autoSpaceDE/>
      <w:autoSpaceDN/>
      <w:adjustRightInd/>
      <w:ind w:left="2520" w:leftChars="1200"/>
      <w:jc w:val="both"/>
    </w:pPr>
    <w:rPr>
      <w:rFonts w:ascii="Times New Roman"/>
      <w:kern w:val="2"/>
    </w:rPr>
  </w:style>
  <w:style w:type="paragraph" w:styleId="13">
    <w:name w:val="Normal Indent"/>
    <w:basedOn w:val="1"/>
    <w:link w:val="61"/>
    <w:qFormat/>
    <w:uiPriority w:val="0"/>
    <w:pPr>
      <w:widowControl/>
      <w:autoSpaceDE/>
      <w:autoSpaceDN/>
      <w:adjustRightInd/>
      <w:ind w:firstLine="420" w:firstLineChars="200"/>
    </w:pPr>
    <w:rPr>
      <w:rFonts w:ascii="Times New Roman"/>
      <w:sz w:val="20"/>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List Bullet"/>
    <w:basedOn w:val="16"/>
    <w:qFormat/>
    <w:uiPriority w:val="0"/>
    <w:pPr>
      <w:widowControl/>
      <w:numPr>
        <w:ilvl w:val="0"/>
        <w:numId w:val="1"/>
      </w:numPr>
      <w:tabs>
        <w:tab w:val="left" w:pos="420"/>
      </w:tabs>
      <w:adjustRightInd/>
      <w:snapToGrid/>
      <w:ind w:right="720"/>
    </w:pPr>
    <w:rPr>
      <w:rFonts w:ascii="Garamond" w:hAnsi="Garamond"/>
      <w:kern w:val="0"/>
      <w:sz w:val="24"/>
      <w:szCs w:val="20"/>
    </w:rPr>
  </w:style>
  <w:style w:type="paragraph" w:styleId="16">
    <w:name w:val="List"/>
    <w:basedOn w:val="1"/>
    <w:qFormat/>
    <w:uiPriority w:val="0"/>
    <w:pPr>
      <w:numPr>
        <w:ilvl w:val="0"/>
        <w:numId w:val="2"/>
      </w:numPr>
      <w:autoSpaceDE/>
      <w:autoSpaceDN/>
      <w:snapToGrid w:val="0"/>
      <w:spacing w:line="300" w:lineRule="auto"/>
      <w:jc w:val="both"/>
    </w:pPr>
    <w:rPr>
      <w:rFonts w:ascii="Times New Roman"/>
      <w:kern w:val="2"/>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napToGrid w:val="0"/>
      <w:spacing w:before="120" w:line="360" w:lineRule="auto"/>
      <w:jc w:val="both"/>
    </w:pPr>
    <w:rPr>
      <w:rFonts w:ascii="Arial" w:hAnsi="Arial"/>
      <w:snapToGrid w:val="0"/>
      <w:color w:val="000000"/>
      <w:szCs w:val="20"/>
    </w:rPr>
  </w:style>
  <w:style w:type="paragraph" w:styleId="19">
    <w:name w:val="annotation text"/>
    <w:basedOn w:val="1"/>
    <w:link w:val="62"/>
    <w:qFormat/>
    <w:uiPriority w:val="0"/>
    <w:pPr>
      <w:widowControl/>
      <w:autoSpaceDE/>
      <w:autoSpaceDN/>
      <w:adjustRightInd/>
    </w:pPr>
    <w:rPr>
      <w:rFonts w:ascii="Times New Roman"/>
      <w:szCs w:val="20"/>
    </w:rPr>
  </w:style>
  <w:style w:type="paragraph" w:styleId="20">
    <w:name w:val="Body Text 3"/>
    <w:basedOn w:val="1"/>
    <w:qFormat/>
    <w:uiPriority w:val="0"/>
    <w:pPr>
      <w:ind w:right="-26"/>
      <w:jc w:val="center"/>
    </w:pPr>
    <w:rPr>
      <w:b/>
      <w:bCs/>
      <w:color w:val="3366FF"/>
      <w:kern w:val="2"/>
      <w:sz w:val="52"/>
      <w:szCs w:val="52"/>
      <w:lang w:val="zh-CN"/>
    </w:rPr>
  </w:style>
  <w:style w:type="paragraph" w:styleId="21">
    <w:name w:val="Body Text"/>
    <w:basedOn w:val="1"/>
    <w:next w:val="1"/>
    <w:qFormat/>
    <w:uiPriority w:val="0"/>
    <w:pPr>
      <w:ind w:right="-26"/>
      <w:jc w:val="center"/>
    </w:pPr>
    <w:rPr>
      <w:b/>
      <w:bCs/>
      <w:kern w:val="2"/>
      <w:sz w:val="84"/>
      <w:szCs w:val="84"/>
      <w:lang w:val="zh-CN"/>
    </w:rPr>
  </w:style>
  <w:style w:type="paragraph" w:styleId="22">
    <w:name w:val="Body Text Indent"/>
    <w:basedOn w:val="1"/>
    <w:next w:val="23"/>
    <w:link w:val="63"/>
    <w:qFormat/>
    <w:uiPriority w:val="0"/>
    <w:pPr>
      <w:autoSpaceDE/>
      <w:autoSpaceDN/>
      <w:adjustRightInd/>
      <w:ind w:left="567" w:leftChars="270"/>
      <w:jc w:val="both"/>
    </w:pPr>
    <w:rPr>
      <w:rFonts w:ascii="Times New Roman"/>
      <w:kern w:val="2"/>
      <w:szCs w:val="20"/>
    </w:rPr>
  </w:style>
  <w:style w:type="paragraph" w:styleId="23">
    <w:name w:val="Body Text First Indent 2"/>
    <w:basedOn w:val="22"/>
    <w:next w:val="1"/>
    <w:qFormat/>
    <w:uiPriority w:val="0"/>
    <w:pPr>
      <w:overflowPunct w:val="0"/>
      <w:adjustRightInd w:val="0"/>
      <w:spacing w:line="500" w:lineRule="exact"/>
      <w:ind w:firstLine="200" w:firstLineChars="200"/>
      <w:textAlignment w:val="baseline"/>
    </w:pPr>
    <w:rPr>
      <w:rFonts w:eastAsia="仿宋_GB2312"/>
      <w:kern w:val="28"/>
      <w:sz w:val="28"/>
    </w:rPr>
  </w:style>
  <w:style w:type="paragraph" w:styleId="24">
    <w:name w:val="List 2"/>
    <w:basedOn w:val="1"/>
    <w:qFormat/>
    <w:uiPriority w:val="0"/>
    <w:pPr>
      <w:widowControl/>
      <w:autoSpaceDE/>
      <w:autoSpaceDN/>
      <w:adjustRightInd/>
      <w:ind w:left="100" w:leftChars="200" w:hanging="200" w:hangingChars="200"/>
    </w:pPr>
    <w:rPr>
      <w:rFonts w:ascii="Times New Roman"/>
      <w:szCs w:val="20"/>
    </w:rPr>
  </w:style>
  <w:style w:type="paragraph" w:styleId="25">
    <w:name w:val="Block Text"/>
    <w:basedOn w:val="1"/>
    <w:qFormat/>
    <w:uiPriority w:val="0"/>
    <w:pPr>
      <w:spacing w:after="120"/>
      <w:ind w:left="1440" w:leftChars="700" w:right="1440" w:rightChars="700"/>
    </w:pPr>
  </w:style>
  <w:style w:type="paragraph" w:styleId="26">
    <w:name w:val="toc 5"/>
    <w:basedOn w:val="1"/>
    <w:next w:val="1"/>
    <w:qFormat/>
    <w:uiPriority w:val="0"/>
    <w:pPr>
      <w:widowControl/>
      <w:autoSpaceDE/>
      <w:autoSpaceDN/>
      <w:adjustRightInd/>
      <w:ind w:left="1680" w:leftChars="800"/>
    </w:pPr>
    <w:rPr>
      <w:rFonts w:ascii="Times New Roman"/>
      <w:szCs w:val="20"/>
    </w:rPr>
  </w:style>
  <w:style w:type="paragraph" w:styleId="27">
    <w:name w:val="toc 3"/>
    <w:basedOn w:val="1"/>
    <w:next w:val="1"/>
    <w:qFormat/>
    <w:uiPriority w:val="0"/>
    <w:pPr>
      <w:autoSpaceDE/>
      <w:autoSpaceDN/>
      <w:adjustRightInd/>
      <w:ind w:left="840" w:leftChars="400"/>
      <w:jc w:val="both"/>
    </w:pPr>
    <w:rPr>
      <w:rFonts w:ascii="Times New Roman"/>
      <w:kern w:val="2"/>
    </w:rPr>
  </w:style>
  <w:style w:type="paragraph" w:styleId="28">
    <w:name w:val="Plain Text"/>
    <w:basedOn w:val="1"/>
    <w:next w:val="1"/>
    <w:link w:val="64"/>
    <w:qFormat/>
    <w:uiPriority w:val="0"/>
    <w:pPr>
      <w:autoSpaceDE/>
      <w:autoSpaceDN/>
      <w:adjustRightInd/>
      <w:jc w:val="both"/>
    </w:pPr>
    <w:rPr>
      <w:rFonts w:hAnsi="Courier New"/>
      <w:kern w:val="2"/>
      <w:szCs w:val="20"/>
    </w:rPr>
  </w:style>
  <w:style w:type="paragraph" w:styleId="29">
    <w:name w:val="toc 8"/>
    <w:basedOn w:val="1"/>
    <w:next w:val="1"/>
    <w:qFormat/>
    <w:uiPriority w:val="0"/>
    <w:pPr>
      <w:autoSpaceDE/>
      <w:autoSpaceDN/>
      <w:adjustRightInd/>
      <w:ind w:left="2940" w:leftChars="1400"/>
      <w:jc w:val="both"/>
    </w:pPr>
    <w:rPr>
      <w:rFonts w:ascii="Times New Roman"/>
      <w:kern w:val="2"/>
    </w:rPr>
  </w:style>
  <w:style w:type="paragraph" w:styleId="30">
    <w:name w:val="Date"/>
    <w:basedOn w:val="1"/>
    <w:next w:val="1"/>
    <w:qFormat/>
    <w:uiPriority w:val="0"/>
    <w:pPr>
      <w:ind w:left="100" w:leftChars="2500"/>
    </w:pPr>
    <w:rPr>
      <w:b/>
      <w:bCs/>
      <w:kern w:val="2"/>
      <w:szCs w:val="21"/>
      <w:lang w:val="zh-CN"/>
    </w:rPr>
  </w:style>
  <w:style w:type="paragraph" w:styleId="31">
    <w:name w:val="Body Text Indent 2"/>
    <w:basedOn w:val="1"/>
    <w:qFormat/>
    <w:uiPriority w:val="0"/>
    <w:pPr>
      <w:tabs>
        <w:tab w:val="left" w:pos="8640"/>
      </w:tabs>
      <w:autoSpaceDE/>
      <w:autoSpaceDN/>
      <w:adjustRightInd/>
      <w:ind w:left="1260"/>
      <w:jc w:val="both"/>
    </w:pPr>
    <w:rPr>
      <w:kern w:val="2"/>
      <w:szCs w:val="20"/>
    </w:rPr>
  </w:style>
  <w:style w:type="paragraph" w:styleId="32">
    <w:name w:val="endnote text"/>
    <w:basedOn w:val="1"/>
    <w:link w:val="65"/>
    <w:qFormat/>
    <w:uiPriority w:val="0"/>
    <w:pPr>
      <w:snapToGrid w:val="0"/>
    </w:pPr>
    <w:rPr>
      <w:sz w:val="24"/>
    </w:rPr>
  </w:style>
  <w:style w:type="paragraph" w:styleId="33">
    <w:name w:val="Balloon Text"/>
    <w:basedOn w:val="1"/>
    <w:qFormat/>
    <w:uiPriority w:val="0"/>
    <w:pPr>
      <w:autoSpaceDE/>
      <w:autoSpaceDN/>
      <w:adjustRightInd/>
      <w:jc w:val="both"/>
    </w:pPr>
    <w:rPr>
      <w:rFonts w:ascii="Times New Roman"/>
      <w:kern w:val="2"/>
      <w:sz w:val="18"/>
      <w:szCs w:val="18"/>
    </w:rPr>
  </w:style>
  <w:style w:type="paragraph" w:styleId="34">
    <w:name w:val="footer"/>
    <w:basedOn w:val="1"/>
    <w:link w:val="66"/>
    <w:qFormat/>
    <w:uiPriority w:val="99"/>
    <w:pPr>
      <w:tabs>
        <w:tab w:val="center" w:pos="4153"/>
        <w:tab w:val="right" w:pos="8306"/>
      </w:tabs>
      <w:snapToGrid w:val="0"/>
    </w:pPr>
    <w:rPr>
      <w:sz w:val="18"/>
      <w:szCs w:val="18"/>
    </w:rPr>
  </w:style>
  <w:style w:type="paragraph" w:styleId="35">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36">
    <w:name w:val="toc 4"/>
    <w:basedOn w:val="1"/>
    <w:next w:val="1"/>
    <w:qFormat/>
    <w:uiPriority w:val="0"/>
    <w:pPr>
      <w:autoSpaceDE/>
      <w:autoSpaceDN/>
      <w:adjustRightInd/>
      <w:ind w:left="1260" w:leftChars="600"/>
      <w:jc w:val="both"/>
    </w:pPr>
    <w:rPr>
      <w:rFonts w:ascii="Times New Roman"/>
      <w:kern w:val="2"/>
    </w:rPr>
  </w:style>
  <w:style w:type="paragraph" w:styleId="37">
    <w:name w:val="index heading"/>
    <w:basedOn w:val="1"/>
    <w:next w:val="38"/>
    <w:qFormat/>
    <w:uiPriority w:val="0"/>
    <w:pPr>
      <w:autoSpaceDE/>
      <w:autoSpaceDN/>
      <w:adjustRightInd/>
      <w:jc w:val="both"/>
    </w:pPr>
    <w:rPr>
      <w:rFonts w:ascii="Times New Roman"/>
      <w:kern w:val="2"/>
      <w:szCs w:val="20"/>
    </w:rPr>
  </w:style>
  <w:style w:type="paragraph" w:styleId="38">
    <w:name w:val="index 1"/>
    <w:basedOn w:val="1"/>
    <w:next w:val="1"/>
    <w:qFormat/>
    <w:uiPriority w:val="0"/>
    <w:pPr>
      <w:autoSpaceDE/>
      <w:autoSpaceDN/>
      <w:adjustRightInd/>
      <w:ind w:left="540" w:leftChars="257"/>
      <w:jc w:val="both"/>
    </w:pPr>
    <w:rPr>
      <w:rFonts w:ascii="Arial" w:hAnsi="Arial" w:cs="Arial"/>
      <w:kern w:val="2"/>
    </w:rPr>
  </w:style>
  <w:style w:type="paragraph" w:styleId="39">
    <w:name w:val="toc 6"/>
    <w:basedOn w:val="1"/>
    <w:next w:val="1"/>
    <w:qFormat/>
    <w:uiPriority w:val="0"/>
    <w:pPr>
      <w:autoSpaceDE/>
      <w:autoSpaceDN/>
      <w:adjustRightInd/>
      <w:ind w:left="2100" w:leftChars="1000"/>
      <w:jc w:val="both"/>
    </w:pPr>
    <w:rPr>
      <w:rFonts w:ascii="Times New Roman"/>
      <w:kern w:val="2"/>
    </w:rPr>
  </w:style>
  <w:style w:type="paragraph" w:styleId="40">
    <w:name w:val="Body Text Indent 3"/>
    <w:basedOn w:val="1"/>
    <w:qFormat/>
    <w:uiPriority w:val="0"/>
    <w:pPr>
      <w:spacing w:line="360" w:lineRule="auto"/>
      <w:ind w:firstLine="480" w:firstLineChars="200"/>
    </w:pPr>
  </w:style>
  <w:style w:type="paragraph" w:styleId="41">
    <w:name w:val="toc 2"/>
    <w:basedOn w:val="1"/>
    <w:next w:val="1"/>
    <w:qFormat/>
    <w:uiPriority w:val="0"/>
    <w:pPr>
      <w:tabs>
        <w:tab w:val="right" w:leader="dot" w:pos="8835"/>
      </w:tabs>
      <w:autoSpaceDE/>
      <w:autoSpaceDN/>
      <w:adjustRightInd/>
      <w:ind w:left="420" w:leftChars="200"/>
      <w:jc w:val="both"/>
    </w:pPr>
    <w:rPr>
      <w:rFonts w:hAnsi="宋体"/>
      <w:kern w:val="2"/>
    </w:rPr>
  </w:style>
  <w:style w:type="paragraph" w:styleId="42">
    <w:name w:val="toc 9"/>
    <w:basedOn w:val="1"/>
    <w:next w:val="1"/>
    <w:qFormat/>
    <w:uiPriority w:val="0"/>
    <w:pPr>
      <w:autoSpaceDE/>
      <w:autoSpaceDN/>
      <w:adjustRightInd/>
      <w:ind w:left="3360" w:leftChars="1600"/>
      <w:jc w:val="both"/>
    </w:pPr>
    <w:rPr>
      <w:rFonts w:ascii="Times New Roman"/>
      <w:kern w:val="2"/>
    </w:rPr>
  </w:style>
  <w:style w:type="paragraph" w:styleId="43">
    <w:name w:val="Body Text 2"/>
    <w:basedOn w:val="1"/>
    <w:qFormat/>
    <w:uiPriority w:val="0"/>
    <w:pPr>
      <w:tabs>
        <w:tab w:val="left" w:pos="0"/>
      </w:tabs>
      <w:autoSpaceDE/>
      <w:autoSpaceDN/>
      <w:adjustRightInd/>
      <w:spacing w:line="400" w:lineRule="atLeast"/>
      <w:jc w:val="both"/>
    </w:pPr>
    <w:rPr>
      <w:rFonts w:ascii="Arial" w:hAnsi="Arial"/>
      <w:color w:val="000000"/>
      <w:kern w:val="2"/>
    </w:rPr>
  </w:style>
  <w:style w:type="paragraph" w:styleId="4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80" w:lineRule="exact"/>
    </w:pPr>
    <w:rPr>
      <w:rFonts w:ascii="黑体" w:hAnsi="Courier New" w:eastAsia="黑体"/>
      <w:sz w:val="20"/>
      <w:szCs w:val="20"/>
    </w:rPr>
  </w:style>
  <w:style w:type="paragraph" w:styleId="45">
    <w:name w:val="Normal (Web)"/>
    <w:basedOn w:val="1"/>
    <w:qFormat/>
    <w:uiPriority w:val="99"/>
    <w:pPr>
      <w:widowControl/>
      <w:autoSpaceDE/>
      <w:autoSpaceDN/>
      <w:adjustRightInd/>
      <w:spacing w:before="100" w:beforeAutospacing="1" w:after="100" w:afterAutospacing="1"/>
    </w:pPr>
    <w:rPr>
      <w:rFonts w:hAnsi="宋体"/>
      <w:sz w:val="15"/>
      <w:szCs w:val="15"/>
    </w:rPr>
  </w:style>
  <w:style w:type="paragraph" w:styleId="46">
    <w:name w:val="Title"/>
    <w:basedOn w:val="1"/>
    <w:next w:val="1"/>
    <w:qFormat/>
    <w:uiPriority w:val="0"/>
    <w:pPr>
      <w:numPr>
        <w:ilvl w:val="0"/>
        <w:numId w:val="3"/>
      </w:numPr>
      <w:tabs>
        <w:tab w:val="clear" w:pos="2121"/>
      </w:tabs>
      <w:autoSpaceDE/>
      <w:autoSpaceDN/>
      <w:snapToGrid w:val="0"/>
      <w:spacing w:before="156" w:beforeLines="50" w:after="156" w:afterLines="50"/>
      <w:ind w:left="0" w:firstLine="0"/>
      <w:jc w:val="center"/>
      <w:outlineLvl w:val="0"/>
    </w:pPr>
    <w:rPr>
      <w:rFonts w:ascii="Arial" w:hAnsi="Arial" w:cs="Arial"/>
      <w:b/>
      <w:bCs/>
      <w:kern w:val="2"/>
      <w:sz w:val="52"/>
      <w:szCs w:val="32"/>
    </w:rPr>
  </w:style>
  <w:style w:type="paragraph" w:styleId="47">
    <w:name w:val="annotation subject"/>
    <w:basedOn w:val="19"/>
    <w:next w:val="19"/>
    <w:qFormat/>
    <w:uiPriority w:val="0"/>
    <w:rPr>
      <w:b/>
      <w:bCs/>
    </w:rPr>
  </w:style>
  <w:style w:type="paragraph" w:styleId="48">
    <w:name w:val="Body Text First Indent"/>
    <w:basedOn w:val="21"/>
    <w:qFormat/>
    <w:uiPriority w:val="0"/>
    <w:pPr>
      <w:widowControl/>
      <w:autoSpaceDE/>
      <w:autoSpaceDN/>
      <w:adjustRightInd/>
      <w:spacing w:after="120"/>
      <w:ind w:right="0" w:firstLine="420" w:firstLineChars="100"/>
      <w:jc w:val="left"/>
    </w:pPr>
    <w:rPr>
      <w:rFonts w:ascii="Times New Roman"/>
      <w:b w:val="0"/>
      <w:bCs w:val="0"/>
      <w:kern w:val="0"/>
      <w:sz w:val="21"/>
      <w:szCs w:val="20"/>
      <w:lang w:val="en-US"/>
    </w:rPr>
  </w:style>
  <w:style w:type="table" w:styleId="50">
    <w:name w:val="Table Grid"/>
    <w:basedOn w:val="4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22"/>
    <w:rPr>
      <w:b/>
      <w:bCs/>
    </w:rPr>
  </w:style>
  <w:style w:type="character" w:styleId="53">
    <w:name w:val="endnote reference"/>
    <w:qFormat/>
    <w:uiPriority w:val="0"/>
    <w:rPr>
      <w:vertAlign w:val="superscript"/>
    </w:rPr>
  </w:style>
  <w:style w:type="character" w:styleId="54">
    <w:name w:val="page number"/>
    <w:qFormat/>
    <w:uiPriority w:val="0"/>
  </w:style>
  <w:style w:type="character" w:styleId="55">
    <w:name w:val="FollowedHyperlink"/>
    <w:qFormat/>
    <w:uiPriority w:val="0"/>
    <w:rPr>
      <w:color w:val="800080"/>
      <w:u w:val="single"/>
    </w:rPr>
  </w:style>
  <w:style w:type="character" w:styleId="56">
    <w:name w:val="Emphasis"/>
    <w:qFormat/>
    <w:uiPriority w:val="0"/>
    <w:rPr>
      <w:i/>
      <w:iCs/>
    </w:rPr>
  </w:style>
  <w:style w:type="character" w:styleId="57">
    <w:name w:val="Hyperlink"/>
    <w:qFormat/>
    <w:uiPriority w:val="0"/>
    <w:rPr>
      <w:color w:val="0000FF"/>
      <w:u w:val="single"/>
    </w:rPr>
  </w:style>
  <w:style w:type="character" w:styleId="58">
    <w:name w:val="annotation reference"/>
    <w:qFormat/>
    <w:uiPriority w:val="0"/>
    <w:rPr>
      <w:sz w:val="21"/>
      <w:szCs w:val="21"/>
    </w:rPr>
  </w:style>
  <w:style w:type="character" w:customStyle="1" w:styleId="59">
    <w:name w:val="标题 1 字符"/>
    <w:link w:val="3"/>
    <w:qFormat/>
    <w:uiPriority w:val="0"/>
    <w:rPr>
      <w:rFonts w:ascii="宋体" w:eastAsia="宋体"/>
      <w:sz w:val="24"/>
      <w:szCs w:val="24"/>
      <w:lang w:val="en-US" w:eastAsia="zh-CN" w:bidi="ar-SA"/>
    </w:rPr>
  </w:style>
  <w:style w:type="character" w:customStyle="1" w:styleId="60">
    <w:name w:val="标题 3 字符"/>
    <w:link w:val="5"/>
    <w:qFormat/>
    <w:uiPriority w:val="0"/>
    <w:rPr>
      <w:rFonts w:ascii="宋体"/>
      <w:b/>
      <w:sz w:val="24"/>
      <w:szCs w:val="24"/>
    </w:rPr>
  </w:style>
  <w:style w:type="character" w:customStyle="1" w:styleId="61">
    <w:name w:val="正文缩进 字符"/>
    <w:link w:val="13"/>
    <w:qFormat/>
    <w:uiPriority w:val="0"/>
    <w:rPr>
      <w:rFonts w:eastAsia="宋体"/>
      <w:lang w:val="en-US" w:eastAsia="zh-CN" w:bidi="ar-SA"/>
    </w:rPr>
  </w:style>
  <w:style w:type="character" w:customStyle="1" w:styleId="62">
    <w:name w:val="批注文字 字符"/>
    <w:link w:val="19"/>
    <w:qFormat/>
    <w:uiPriority w:val="0"/>
    <w:rPr>
      <w:rFonts w:ascii="Times New Roman"/>
      <w:sz w:val="21"/>
    </w:rPr>
  </w:style>
  <w:style w:type="character" w:customStyle="1" w:styleId="63">
    <w:name w:val="正文文本缩进 字符"/>
    <w:link w:val="22"/>
    <w:qFormat/>
    <w:uiPriority w:val="0"/>
    <w:rPr>
      <w:kern w:val="2"/>
      <w:sz w:val="21"/>
    </w:rPr>
  </w:style>
  <w:style w:type="character" w:customStyle="1" w:styleId="64">
    <w:name w:val="纯文本 字符"/>
    <w:link w:val="28"/>
    <w:qFormat/>
    <w:uiPriority w:val="0"/>
    <w:rPr>
      <w:rFonts w:ascii="宋体" w:hAnsi="Courier New" w:eastAsia="宋体"/>
      <w:kern w:val="2"/>
      <w:sz w:val="21"/>
      <w:lang w:val="en-US" w:eastAsia="zh-CN" w:bidi="ar-SA"/>
    </w:rPr>
  </w:style>
  <w:style w:type="character" w:customStyle="1" w:styleId="65">
    <w:name w:val="尾注文本 字符"/>
    <w:link w:val="32"/>
    <w:qFormat/>
    <w:uiPriority w:val="0"/>
    <w:rPr>
      <w:rFonts w:ascii="宋体"/>
      <w:sz w:val="24"/>
      <w:szCs w:val="24"/>
    </w:rPr>
  </w:style>
  <w:style w:type="character" w:customStyle="1" w:styleId="66">
    <w:name w:val="页脚 字符1"/>
    <w:link w:val="34"/>
    <w:qFormat/>
    <w:uiPriority w:val="99"/>
    <w:rPr>
      <w:rFonts w:ascii="宋体"/>
      <w:sz w:val="18"/>
      <w:szCs w:val="18"/>
    </w:rPr>
  </w:style>
  <w:style w:type="character" w:customStyle="1" w:styleId="67">
    <w:name w:val="页眉 字符1"/>
    <w:link w:val="35"/>
    <w:qFormat/>
    <w:uiPriority w:val="99"/>
    <w:rPr>
      <w:rFonts w:ascii="宋体"/>
      <w:sz w:val="18"/>
      <w:szCs w:val="18"/>
    </w:rPr>
  </w:style>
  <w:style w:type="character" w:customStyle="1" w:styleId="68">
    <w:name w:val="页眉 字符"/>
    <w:qFormat/>
    <w:uiPriority w:val="99"/>
    <w:rPr>
      <w:kern w:val="2"/>
      <w:sz w:val="18"/>
      <w:szCs w:val="18"/>
    </w:rPr>
  </w:style>
  <w:style w:type="character" w:customStyle="1" w:styleId="69">
    <w:name w:val="question-title2"/>
    <w:qFormat/>
    <w:uiPriority w:val="0"/>
  </w:style>
  <w:style w:type="character" w:customStyle="1" w:styleId="70">
    <w:name w:val="页脚 字符"/>
    <w:qFormat/>
    <w:uiPriority w:val="99"/>
    <w:rPr>
      <w:kern w:val="2"/>
      <w:sz w:val="18"/>
      <w:szCs w:val="18"/>
    </w:rPr>
  </w:style>
  <w:style w:type="character" w:customStyle="1" w:styleId="71">
    <w:name w:val="p141"/>
    <w:qFormat/>
    <w:uiPriority w:val="0"/>
    <w:rPr>
      <w:sz w:val="21"/>
      <w:szCs w:val="21"/>
    </w:rPr>
  </w:style>
  <w:style w:type="character" w:customStyle="1" w:styleId="72">
    <w:name w:val="正文文本缩进 Char Char"/>
    <w:link w:val="73"/>
    <w:qFormat/>
    <w:uiPriority w:val="0"/>
    <w:rPr>
      <w:rFonts w:eastAsia="宋体"/>
      <w:lang w:bidi="ar-SA"/>
    </w:rPr>
  </w:style>
  <w:style w:type="paragraph" w:customStyle="1" w:styleId="73">
    <w:name w:val="Body Text Indent1"/>
    <w:basedOn w:val="1"/>
    <w:link w:val="72"/>
    <w:qFormat/>
    <w:uiPriority w:val="0"/>
    <w:pPr>
      <w:autoSpaceDE/>
      <w:autoSpaceDN/>
      <w:adjustRightInd/>
      <w:ind w:left="567" w:leftChars="270"/>
      <w:jc w:val="both"/>
    </w:pPr>
    <w:rPr>
      <w:rFonts w:ascii="Times New Roman"/>
      <w:sz w:val="20"/>
      <w:szCs w:val="20"/>
    </w:rPr>
  </w:style>
  <w:style w:type="character" w:customStyle="1" w:styleId="74">
    <w:name w:val="font21"/>
    <w:qFormat/>
    <w:uiPriority w:val="0"/>
    <w:rPr>
      <w:rFonts w:hint="eastAsia" w:ascii="宋体" w:hAnsi="宋体" w:eastAsia="宋体" w:cs="宋体"/>
      <w:color w:val="000000"/>
      <w:sz w:val="20"/>
      <w:szCs w:val="20"/>
      <w:u w:val="none"/>
    </w:rPr>
  </w:style>
  <w:style w:type="character" w:customStyle="1" w:styleId="75">
    <w:name w:val="f141"/>
    <w:qFormat/>
    <w:uiPriority w:val="0"/>
    <w:rPr>
      <w:sz w:val="21"/>
      <w:szCs w:val="21"/>
    </w:rPr>
  </w:style>
  <w:style w:type="character" w:customStyle="1" w:styleId="76">
    <w:name w:val="普通文字 Char Char1"/>
    <w:qFormat/>
    <w:uiPriority w:val="0"/>
    <w:rPr>
      <w:rFonts w:ascii="宋体" w:hAnsi="Courier New" w:eastAsia="宋体"/>
      <w:kern w:val="2"/>
      <w:sz w:val="21"/>
      <w:lang w:val="en-US" w:eastAsia="zh-CN" w:bidi="ar-SA"/>
    </w:rPr>
  </w:style>
  <w:style w:type="character" w:customStyle="1" w:styleId="77">
    <w:name w:val="keyfeatures1"/>
    <w:qFormat/>
    <w:uiPriority w:val="0"/>
    <w:rPr>
      <w:rFonts w:hint="default" w:ascii="Arial" w:hAnsi="Arial" w:cs="Arial"/>
      <w:color w:val="003366"/>
      <w:sz w:val="17"/>
      <w:szCs w:val="17"/>
      <w:u w:val="none"/>
    </w:rPr>
  </w:style>
  <w:style w:type="character" w:customStyle="1" w:styleId="78">
    <w:name w:val="表格文字 Char"/>
    <w:link w:val="79"/>
    <w:qFormat/>
    <w:locked/>
    <w:uiPriority w:val="0"/>
    <w:rPr>
      <w:bCs/>
      <w:spacing w:val="10"/>
      <w:sz w:val="21"/>
    </w:rPr>
  </w:style>
  <w:style w:type="paragraph" w:customStyle="1" w:styleId="79">
    <w:name w:val="表格文字"/>
    <w:basedOn w:val="1"/>
    <w:link w:val="78"/>
    <w:qFormat/>
    <w:uiPriority w:val="0"/>
    <w:pPr>
      <w:autoSpaceDE/>
      <w:autoSpaceDN/>
      <w:adjustRightInd/>
      <w:spacing w:before="25" w:after="25"/>
    </w:pPr>
    <w:rPr>
      <w:rFonts w:ascii="Times New Roman"/>
      <w:bCs/>
      <w:spacing w:val="10"/>
      <w:szCs w:val="20"/>
    </w:rPr>
  </w:style>
  <w:style w:type="character" w:customStyle="1" w:styleId="80">
    <w:name w:val="标题 1 Char1"/>
    <w:qFormat/>
    <w:uiPriority w:val="0"/>
    <w:rPr>
      <w:rFonts w:ascii="宋体" w:eastAsia="宋体"/>
      <w:sz w:val="24"/>
      <w:szCs w:val="24"/>
      <w:lang w:val="en-US" w:eastAsia="zh-CN" w:bidi="ar-SA"/>
    </w:rPr>
  </w:style>
  <w:style w:type="character" w:customStyle="1" w:styleId="81">
    <w:name w:val="style61"/>
    <w:qFormat/>
    <w:uiPriority w:val="0"/>
    <w:rPr>
      <w:b/>
      <w:bCs/>
    </w:rPr>
  </w:style>
  <w:style w:type="character" w:customStyle="1" w:styleId="82">
    <w:name w:val="font31"/>
    <w:qFormat/>
    <w:uiPriority w:val="0"/>
    <w:rPr>
      <w:rFonts w:hint="eastAsia" w:ascii="宋体" w:hAnsi="宋体" w:eastAsia="宋体" w:cs="宋体"/>
      <w:color w:val="000000"/>
      <w:sz w:val="20"/>
      <w:szCs w:val="20"/>
      <w:u w:val="none"/>
    </w:rPr>
  </w:style>
  <w:style w:type="character" w:customStyle="1" w:styleId="83">
    <w:name w:val="未处理的提及1"/>
    <w:unhideWhenUsed/>
    <w:qFormat/>
    <w:uiPriority w:val="99"/>
    <w:rPr>
      <w:color w:val="808080"/>
      <w:shd w:val="clear" w:color="auto" w:fill="E6E6E6"/>
    </w:rPr>
  </w:style>
  <w:style w:type="character" w:customStyle="1" w:styleId="84">
    <w:name w:val="p105"/>
    <w:qFormat/>
    <w:uiPriority w:val="0"/>
  </w:style>
  <w:style w:type="character" w:customStyle="1" w:styleId="85">
    <w:name w:val="标题 1 Char2"/>
    <w:qFormat/>
    <w:uiPriority w:val="0"/>
    <w:rPr>
      <w:rFonts w:ascii="宋体" w:hAnsi="Times New Roman" w:eastAsia="宋体" w:cs="Times New Roman"/>
      <w:kern w:val="0"/>
      <w:sz w:val="24"/>
      <w:szCs w:val="24"/>
    </w:rPr>
  </w:style>
  <w:style w:type="character" w:customStyle="1" w:styleId="86">
    <w:name w:val="ca-4"/>
    <w:qFormat/>
    <w:uiPriority w:val="0"/>
  </w:style>
  <w:style w:type="character" w:customStyle="1" w:styleId="87">
    <w:name w:val="纯文本 Char"/>
    <w:qFormat/>
    <w:uiPriority w:val="0"/>
    <w:rPr>
      <w:rFonts w:ascii="宋体" w:hAnsi="Courier New"/>
      <w:kern w:val="2"/>
      <w:sz w:val="21"/>
    </w:rPr>
  </w:style>
  <w:style w:type="character" w:customStyle="1" w:styleId="88">
    <w:name w:val="15"/>
    <w:qFormat/>
    <w:uiPriority w:val="0"/>
    <w:rPr>
      <w:rFonts w:hint="default" w:ascii="Times New Roman" w:hAnsi="Times New Roman" w:eastAsia="宋体" w:cs="Times New Roman"/>
      <w:kern w:val="2"/>
      <w:sz w:val="24"/>
      <w:szCs w:val="24"/>
    </w:rPr>
  </w:style>
  <w:style w:type="character" w:customStyle="1" w:styleId="89">
    <w:name w:val="正文缩进2格 Char Char"/>
    <w:link w:val="90"/>
    <w:qFormat/>
    <w:uiPriority w:val="0"/>
    <w:rPr>
      <w:rFonts w:ascii="仿宋_GB2312" w:hAnsi="宋体" w:eastAsia="仿宋_GB2312"/>
      <w:kern w:val="2"/>
      <w:sz w:val="31"/>
      <w:szCs w:val="28"/>
      <w:lang w:val="en-US" w:eastAsia="zh-CN" w:bidi="ar-SA"/>
    </w:rPr>
  </w:style>
  <w:style w:type="paragraph" w:customStyle="1" w:styleId="90">
    <w:name w:val="正文缩进2格"/>
    <w:basedOn w:val="1"/>
    <w:link w:val="89"/>
    <w:qFormat/>
    <w:uiPriority w:val="0"/>
    <w:pPr>
      <w:autoSpaceDE/>
      <w:autoSpaceDN/>
      <w:adjustRightInd/>
      <w:spacing w:line="600" w:lineRule="exact"/>
      <w:ind w:firstLine="639" w:firstLineChars="206"/>
      <w:jc w:val="both"/>
    </w:pPr>
    <w:rPr>
      <w:rFonts w:ascii="仿宋_GB2312" w:hAnsi="宋体" w:eastAsia="仿宋_GB2312"/>
      <w:kern w:val="2"/>
      <w:sz w:val="31"/>
      <w:szCs w:val="28"/>
    </w:rPr>
  </w:style>
  <w:style w:type="character" w:customStyle="1" w:styleId="91">
    <w:name w:val="DAS正文 Char Char"/>
    <w:qFormat/>
    <w:uiPriority w:val="0"/>
    <w:rPr>
      <w:rFonts w:ascii="Verdana" w:hAnsi="Verdana" w:eastAsia="宋体"/>
      <w:kern w:val="2"/>
      <w:sz w:val="21"/>
      <w:szCs w:val="21"/>
      <w:lang w:val="en-US" w:eastAsia="zh-CN" w:bidi="ar-SA"/>
    </w:rPr>
  </w:style>
  <w:style w:type="character" w:customStyle="1" w:styleId="92">
    <w:name w:val="font11"/>
    <w:qFormat/>
    <w:uiPriority w:val="0"/>
    <w:rPr>
      <w:rFonts w:hint="eastAsia" w:ascii="宋体" w:hAnsi="宋体" w:eastAsia="宋体" w:cs="宋体"/>
      <w:color w:val="000000"/>
      <w:sz w:val="24"/>
      <w:szCs w:val="24"/>
      <w:u w:val="none"/>
    </w:rPr>
  </w:style>
  <w:style w:type="paragraph" w:customStyle="1" w:styleId="93">
    <w:name w:val="技术响应1"/>
    <w:basedOn w:val="1"/>
    <w:qFormat/>
    <w:uiPriority w:val="0"/>
    <w:pPr>
      <w:widowControl/>
      <w:autoSpaceDE/>
      <w:autoSpaceDN/>
      <w:adjustRightInd/>
      <w:spacing w:line="360" w:lineRule="auto"/>
      <w:ind w:firstLine="588"/>
      <w:jc w:val="center"/>
    </w:pPr>
    <w:rPr>
      <w:b/>
      <w:sz w:val="28"/>
      <w:szCs w:val="20"/>
    </w:rPr>
  </w:style>
  <w:style w:type="paragraph" w:customStyle="1" w:styleId="94">
    <w:name w:val="正文（缩进）"/>
    <w:basedOn w:val="1"/>
    <w:qFormat/>
    <w:uiPriority w:val="0"/>
    <w:pPr>
      <w:autoSpaceDE/>
      <w:autoSpaceDN/>
      <w:adjustRightInd/>
      <w:spacing w:before="156" w:beforeLines="50" w:after="156" w:afterLines="50" w:line="360" w:lineRule="auto"/>
      <w:ind w:firstLine="480" w:firstLineChars="200"/>
      <w:jc w:val="both"/>
    </w:pPr>
    <w:rPr>
      <w:rFonts w:ascii="Times New Roman"/>
      <w:kern w:val="2"/>
    </w:rPr>
  </w:style>
  <w:style w:type="paragraph" w:customStyle="1" w:styleId="95">
    <w:name w:val="进度表"/>
    <w:basedOn w:val="13"/>
    <w:qFormat/>
    <w:uiPriority w:val="0"/>
    <w:pPr>
      <w:widowControl w:val="0"/>
      <w:snapToGrid w:val="0"/>
      <w:spacing w:line="440" w:lineRule="atLeast"/>
      <w:ind w:hanging="130" w:firstLineChars="0"/>
      <w:jc w:val="both"/>
    </w:pPr>
    <w:rPr>
      <w:rFonts w:ascii="宋体"/>
      <w:color w:val="000000"/>
      <w:kern w:val="2"/>
      <w:position w:val="-6"/>
      <w:sz w:val="28"/>
    </w:rPr>
  </w:style>
  <w:style w:type="paragraph" w:customStyle="1" w:styleId="96">
    <w:name w:val="Char Char Char1 Char Char Char Char Char Char Char"/>
    <w:basedOn w:val="1"/>
    <w:qFormat/>
    <w:uiPriority w:val="0"/>
    <w:pPr>
      <w:widowControl/>
      <w:autoSpaceDE/>
      <w:autoSpaceDN/>
      <w:adjustRightInd/>
      <w:spacing w:after="160" w:line="240" w:lineRule="exact"/>
    </w:pPr>
    <w:rPr>
      <w:rFonts w:ascii="Verdana" w:hAnsi="Verdana"/>
      <w:szCs w:val="20"/>
      <w:lang w:eastAsia="en-US"/>
    </w:rPr>
  </w:style>
  <w:style w:type="paragraph" w:customStyle="1" w:styleId="97">
    <w:name w:val="Char1 Char Char Char Char Char Char"/>
    <w:basedOn w:val="1"/>
    <w:qFormat/>
    <w:uiPriority w:val="0"/>
    <w:pPr>
      <w:widowControl/>
      <w:autoSpaceDE/>
      <w:autoSpaceDN/>
      <w:adjustRightInd/>
      <w:spacing w:line="400" w:lineRule="exact"/>
      <w:jc w:val="center"/>
    </w:pPr>
    <w:rPr>
      <w:rFonts w:ascii="Verdana" w:hAnsi="Verdana"/>
      <w:szCs w:val="20"/>
      <w:lang w:eastAsia="en-US"/>
    </w:rPr>
  </w:style>
  <w:style w:type="paragraph" w:customStyle="1" w:styleId="98">
    <w:name w:val="Char Char Char Char Char Char1 Char"/>
    <w:basedOn w:val="1"/>
    <w:qFormat/>
    <w:uiPriority w:val="0"/>
    <w:pPr>
      <w:widowControl/>
      <w:autoSpaceDE/>
      <w:autoSpaceDN/>
      <w:adjustRightInd/>
      <w:spacing w:after="160" w:line="240" w:lineRule="exact"/>
    </w:pPr>
    <w:rPr>
      <w:rFonts w:ascii="Arial" w:hAnsi="Arial" w:eastAsia="楷体_GB2312" w:cs="Verdana"/>
      <w:b/>
      <w:lang w:eastAsia="en-US"/>
    </w:rPr>
  </w:style>
  <w:style w:type="paragraph" w:customStyle="1" w:styleId="99">
    <w:name w:val="保留正文"/>
    <w:basedOn w:val="21"/>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00">
    <w:name w:val="Char Char Char Char"/>
    <w:basedOn w:val="4"/>
    <w:qFormat/>
    <w:uiPriority w:val="0"/>
    <w:pPr>
      <w:keepNext/>
      <w:keepLines/>
      <w:pageBreakBefore/>
      <w:widowControl/>
      <w:numPr>
        <w:ilvl w:val="1"/>
        <w:numId w:val="4"/>
      </w:numPr>
      <w:autoSpaceDE/>
      <w:autoSpaceDN/>
      <w:adjustRightInd/>
      <w:spacing w:before="180" w:after="160" w:line="240" w:lineRule="exact"/>
    </w:pPr>
    <w:rPr>
      <w:rFonts w:ascii="Verdana" w:hAnsi="Verdana" w:eastAsia="黑体"/>
      <w:bCs/>
      <w:sz w:val="32"/>
      <w:szCs w:val="32"/>
      <w:lang w:eastAsia="en-US"/>
    </w:rPr>
  </w:style>
  <w:style w:type="paragraph" w:customStyle="1" w:styleId="101">
    <w:name w:val="Char Char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02">
    <w:name w:val="3 Char"/>
    <w:basedOn w:val="1"/>
    <w:qFormat/>
    <w:uiPriority w:val="0"/>
    <w:pPr>
      <w:widowControl/>
      <w:autoSpaceDE/>
      <w:autoSpaceDN/>
      <w:adjustRightInd/>
      <w:spacing w:line="400" w:lineRule="exact"/>
      <w:jc w:val="center"/>
    </w:pPr>
    <w:rPr>
      <w:rFonts w:ascii="Verdana" w:hAnsi="Verdana"/>
      <w:szCs w:val="20"/>
      <w:lang w:eastAsia="en-US"/>
    </w:rPr>
  </w:style>
  <w:style w:type="paragraph" w:customStyle="1" w:styleId="103">
    <w:name w:val="Char1 Char Char Char"/>
    <w:basedOn w:val="1"/>
    <w:qFormat/>
    <w:uiPriority w:val="0"/>
    <w:pPr>
      <w:autoSpaceDE/>
      <w:autoSpaceDN/>
      <w:adjustRightInd/>
      <w:jc w:val="both"/>
    </w:pPr>
    <w:rPr>
      <w:rFonts w:ascii="Tahoma" w:hAnsi="Tahoma"/>
      <w:kern w:val="2"/>
      <w:szCs w:val="20"/>
    </w:rPr>
  </w:style>
  <w:style w:type="paragraph" w:customStyle="1" w:styleId="104">
    <w:name w:val="Char Char Char"/>
    <w:basedOn w:val="1"/>
    <w:qFormat/>
    <w:uiPriority w:val="0"/>
    <w:pPr>
      <w:autoSpaceDE/>
      <w:autoSpaceDN/>
      <w:adjustRightInd/>
      <w:jc w:val="both"/>
    </w:pPr>
    <w:rPr>
      <w:rFonts w:ascii="Tahoma" w:hAnsi="Tahoma"/>
      <w:b/>
      <w:sz w:val="28"/>
      <w:szCs w:val="20"/>
    </w:rPr>
  </w:style>
  <w:style w:type="paragraph" w:customStyle="1" w:styleId="105">
    <w:name w:val="Char2"/>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0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7">
    <w:name w:val="msolistparagraph"/>
    <w:basedOn w:val="1"/>
    <w:qFormat/>
    <w:uiPriority w:val="0"/>
    <w:pPr>
      <w:ind w:firstLine="420" w:firstLineChars="200"/>
    </w:pPr>
  </w:style>
  <w:style w:type="paragraph" w:customStyle="1" w:styleId="108">
    <w:name w:val="修订1"/>
    <w:semiHidden/>
    <w:qFormat/>
    <w:uiPriority w:val="99"/>
    <w:rPr>
      <w:rFonts w:ascii="宋体" w:hAnsi="Times New Roman" w:eastAsia="宋体" w:cs="Times New Roman"/>
      <w:sz w:val="24"/>
      <w:szCs w:val="24"/>
      <w:lang w:val="en-US" w:eastAsia="zh-CN" w:bidi="ar-SA"/>
    </w:rPr>
  </w:style>
  <w:style w:type="paragraph" w:customStyle="1" w:styleId="109">
    <w:name w:val="font5"/>
    <w:basedOn w:val="1"/>
    <w:qFormat/>
    <w:uiPriority w:val="0"/>
    <w:pPr>
      <w:widowControl/>
      <w:autoSpaceDE/>
      <w:autoSpaceDN/>
      <w:adjustRightInd/>
      <w:spacing w:before="100" w:beforeAutospacing="1" w:after="100" w:afterAutospacing="1"/>
    </w:pPr>
    <w:rPr>
      <w:rFonts w:hAnsi="宋体" w:cs="宋体"/>
      <w:sz w:val="18"/>
      <w:szCs w:val="18"/>
    </w:rPr>
  </w:style>
  <w:style w:type="paragraph" w:styleId="110">
    <w:name w:val="List Paragraph"/>
    <w:basedOn w:val="1"/>
    <w:qFormat/>
    <w:uiPriority w:val="34"/>
    <w:pPr>
      <w:autoSpaceDE/>
      <w:autoSpaceDN/>
      <w:adjustRightInd/>
      <w:ind w:firstLine="420" w:firstLineChars="200"/>
      <w:jc w:val="both"/>
    </w:pPr>
    <w:rPr>
      <w:rFonts w:ascii="Calibri" w:hAnsi="Calibri"/>
      <w:kern w:val="2"/>
      <w:szCs w:val="22"/>
    </w:rPr>
  </w:style>
  <w:style w:type="paragraph" w:customStyle="1" w:styleId="111">
    <w:name w:val="投标文件格式"/>
    <w:basedOn w:val="28"/>
    <w:qFormat/>
    <w:uiPriority w:val="0"/>
    <w:pPr>
      <w:jc w:val="center"/>
    </w:pPr>
    <w:rPr>
      <w:rFonts w:hAnsi="Times New Roman"/>
      <w:b/>
    </w:rPr>
  </w:style>
  <w:style w:type="paragraph" w:customStyle="1" w:styleId="112">
    <w:name w:val="p0"/>
    <w:basedOn w:val="1"/>
    <w:qFormat/>
    <w:uiPriority w:val="0"/>
    <w:pPr>
      <w:widowControl/>
      <w:autoSpaceDE/>
      <w:autoSpaceDN/>
      <w:adjustRightInd/>
      <w:spacing w:line="360" w:lineRule="auto"/>
      <w:ind w:firstLine="425"/>
      <w:jc w:val="both"/>
    </w:pPr>
    <w:rPr>
      <w:rFonts w:hint="eastAsia" w:ascii="Times New Roman"/>
      <w:szCs w:val="21"/>
    </w:rPr>
  </w:style>
  <w:style w:type="paragraph" w:customStyle="1" w:styleId="113">
    <w:name w:val="Standard o abs"/>
    <w:basedOn w:val="1"/>
    <w:qFormat/>
    <w:uiPriority w:val="0"/>
    <w:pPr>
      <w:tabs>
        <w:tab w:val="left" w:pos="2835"/>
        <w:tab w:val="left" w:pos="3119"/>
        <w:tab w:val="left" w:pos="3402"/>
        <w:tab w:val="left" w:pos="3686"/>
        <w:tab w:val="left" w:pos="3969"/>
        <w:tab w:val="left" w:pos="4253"/>
      </w:tabs>
      <w:autoSpaceDE/>
      <w:autoSpaceDN/>
      <w:adjustRightInd/>
      <w:jc w:val="both"/>
    </w:pPr>
    <w:rPr>
      <w:rFonts w:ascii="Times New Roman"/>
      <w:kern w:val="2"/>
    </w:rPr>
  </w:style>
  <w:style w:type="paragraph" w:customStyle="1" w:styleId="114">
    <w:name w:val="Table Paragraph"/>
    <w:basedOn w:val="1"/>
    <w:qFormat/>
    <w:uiPriority w:val="0"/>
    <w:pPr>
      <w:adjustRightInd/>
      <w:ind w:left="107"/>
    </w:pPr>
    <w:rPr>
      <w:rFonts w:hAnsi="宋体" w:cs="宋体"/>
      <w:sz w:val="22"/>
      <w:szCs w:val="22"/>
      <w:lang w:val="zh-CN"/>
    </w:rPr>
  </w:style>
  <w:style w:type="paragraph" w:customStyle="1" w:styleId="115">
    <w:name w:val="Char Char2 Char"/>
    <w:basedOn w:val="1"/>
    <w:qFormat/>
    <w:uiPriority w:val="0"/>
    <w:pPr>
      <w:autoSpaceDE/>
      <w:autoSpaceDN/>
      <w:adjustRightInd/>
      <w:jc w:val="both"/>
    </w:pPr>
    <w:rPr>
      <w:rFonts w:hAnsi="宋体"/>
      <w:b/>
      <w:kern w:val="2"/>
      <w:sz w:val="28"/>
      <w:szCs w:val="28"/>
    </w:rPr>
  </w:style>
  <w:style w:type="paragraph" w:customStyle="1" w:styleId="116">
    <w:name w:val="表头"/>
    <w:basedOn w:val="14"/>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17">
    <w:name w:val="Char1"/>
    <w:basedOn w:val="17"/>
    <w:qFormat/>
    <w:uiPriority w:val="0"/>
    <w:pPr>
      <w:autoSpaceDE/>
      <w:autoSpaceDN/>
      <w:adjustRightInd/>
      <w:jc w:val="both"/>
    </w:pPr>
    <w:rPr>
      <w:rFonts w:ascii="Tahoma" w:hAnsi="Tahoma"/>
      <w:kern w:val="2"/>
    </w:rPr>
  </w:style>
  <w:style w:type="paragraph" w:customStyle="1" w:styleId="118">
    <w:name w:val="List Paragraph2"/>
    <w:basedOn w:val="1"/>
    <w:qFormat/>
    <w:uiPriority w:val="34"/>
    <w:pPr>
      <w:autoSpaceDE/>
      <w:autoSpaceDN/>
      <w:adjustRightInd/>
      <w:ind w:firstLine="420" w:firstLineChars="200"/>
      <w:jc w:val="both"/>
    </w:pPr>
    <w:rPr>
      <w:rFonts w:ascii="Calibri" w:hAnsi="Calibri"/>
      <w:kern w:val="2"/>
      <w:szCs w:val="22"/>
    </w:rPr>
  </w:style>
  <w:style w:type="paragraph" w:customStyle="1" w:styleId="119">
    <w:name w:val="普通 (Web)"/>
    <w:basedOn w:val="1"/>
    <w:qFormat/>
    <w:uiPriority w:val="0"/>
    <w:pPr>
      <w:widowControl/>
      <w:autoSpaceDE/>
      <w:autoSpaceDN/>
      <w:adjustRightInd/>
      <w:spacing w:before="100" w:beforeAutospacing="1" w:after="100" w:afterAutospacing="1"/>
    </w:pPr>
    <w:rPr>
      <w:rFonts w:hAnsi="宋体"/>
    </w:rPr>
  </w:style>
  <w:style w:type="paragraph" w:customStyle="1" w:styleId="120">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1">
    <w:name w:val="Bullet"/>
    <w:basedOn w:val="1"/>
    <w:qFormat/>
    <w:uiPriority w:val="0"/>
    <w:pPr>
      <w:numPr>
        <w:ilvl w:val="0"/>
        <w:numId w:val="5"/>
      </w:numPr>
      <w:autoSpaceDE/>
      <w:autoSpaceDN/>
      <w:adjustRightInd/>
      <w:spacing w:line="360" w:lineRule="exact"/>
      <w:jc w:val="both"/>
    </w:pPr>
    <w:rPr>
      <w:rFonts w:ascii="Times New Roman"/>
      <w:kern w:val="2"/>
      <w:szCs w:val="20"/>
    </w:rPr>
  </w:style>
  <w:style w:type="paragraph" w:customStyle="1" w:styleId="122">
    <w:name w:val="题注4"/>
    <w:basedOn w:val="1"/>
    <w:next w:val="14"/>
    <w:qFormat/>
    <w:uiPriority w:val="0"/>
    <w:pPr>
      <w:autoSpaceDE/>
      <w:autoSpaceDN/>
      <w:adjustRightInd/>
      <w:ind w:left="-132" w:leftChars="-64" w:right="-105" w:rightChars="-50" w:hanging="2"/>
      <w:jc w:val="center"/>
    </w:pPr>
    <w:rPr>
      <w:rFonts w:ascii="Times New Roman"/>
      <w:b/>
      <w:color w:val="FF0000"/>
      <w:kern w:val="2"/>
      <w:szCs w:val="21"/>
      <w:lang w:val="en-GB"/>
    </w:rPr>
  </w:style>
  <w:style w:type="paragraph" w:customStyle="1" w:styleId="123">
    <w:name w:val="List Paragraph1"/>
    <w:basedOn w:val="1"/>
    <w:qFormat/>
    <w:uiPriority w:val="0"/>
    <w:pPr>
      <w:autoSpaceDE/>
      <w:autoSpaceDN/>
      <w:adjustRightInd/>
      <w:ind w:firstLine="420" w:firstLineChars="200"/>
      <w:jc w:val="both"/>
    </w:pPr>
    <w:rPr>
      <w:rFonts w:ascii="Calibri" w:hAnsi="Calibri"/>
      <w:kern w:val="2"/>
      <w:szCs w:val="22"/>
    </w:rPr>
  </w:style>
  <w:style w:type="paragraph" w:customStyle="1" w:styleId="124">
    <w:name w:val="表正文"/>
    <w:basedOn w:val="1"/>
    <w:next w:val="25"/>
    <w:qFormat/>
    <w:uiPriority w:val="0"/>
    <w:pPr>
      <w:autoSpaceDE/>
      <w:autoSpaceDN/>
      <w:adjustRightInd/>
      <w:spacing w:line="360" w:lineRule="auto"/>
      <w:ind w:left="180" w:leftChars="85" w:right="2" w:hanging="2"/>
      <w:jc w:val="both"/>
    </w:pPr>
    <w:rPr>
      <w:rFonts w:ascii="Arial" w:hAnsi="Arial"/>
      <w:kern w:val="2"/>
      <w:szCs w:val="20"/>
    </w:rPr>
  </w:style>
  <w:style w:type="paragraph" w:customStyle="1" w:styleId="125">
    <w:name w:val="正文缩进4格"/>
    <w:basedOn w:val="90"/>
    <w:qFormat/>
    <w:uiPriority w:val="0"/>
    <w:pPr>
      <w:ind w:left="651" w:leftChars="310" w:firstLine="608" w:firstLineChars="196"/>
    </w:pPr>
    <w:rPr>
      <w:color w:val="000000"/>
    </w:rPr>
  </w:style>
  <w:style w:type="paragraph" w:customStyle="1" w:styleId="126">
    <w:name w:val="标题 3.5"/>
    <w:basedOn w:val="5"/>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27">
    <w:name w:val="pa-12"/>
    <w:basedOn w:val="1"/>
    <w:qFormat/>
    <w:uiPriority w:val="0"/>
    <w:pPr>
      <w:widowControl/>
      <w:autoSpaceDE/>
      <w:autoSpaceDN/>
      <w:adjustRightInd/>
      <w:spacing w:before="150" w:after="150"/>
    </w:pPr>
    <w:rPr>
      <w:rFonts w:hAnsi="宋体" w:cs="宋体"/>
    </w:rPr>
  </w:style>
  <w:style w:type="paragraph" w:customStyle="1" w:styleId="128">
    <w:name w:val="题注5"/>
    <w:basedOn w:val="1"/>
    <w:next w:val="14"/>
    <w:qFormat/>
    <w:uiPriority w:val="0"/>
    <w:pPr>
      <w:autoSpaceDE/>
      <w:autoSpaceDN/>
      <w:adjustRightInd/>
      <w:jc w:val="center"/>
    </w:pPr>
    <w:rPr>
      <w:rFonts w:ascii="Times New Roman"/>
      <w:b/>
      <w:color w:val="000000"/>
      <w:kern w:val="2"/>
      <w:szCs w:val="21"/>
    </w:rPr>
  </w:style>
  <w:style w:type="paragraph" w:customStyle="1" w:styleId="129">
    <w:name w:val="xl3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130">
    <w:name w:val="DAS正文"/>
    <w:basedOn w:val="1"/>
    <w:qFormat/>
    <w:uiPriority w:val="0"/>
    <w:pPr>
      <w:autoSpaceDE/>
      <w:autoSpaceDN/>
      <w:adjustRightInd/>
      <w:spacing w:line="360" w:lineRule="exact"/>
      <w:jc w:val="both"/>
    </w:pPr>
    <w:rPr>
      <w:rFonts w:ascii="Verdana" w:hAnsi="Verdana"/>
      <w:kern w:val="2"/>
      <w:szCs w:val="21"/>
    </w:rPr>
  </w:style>
  <w:style w:type="paragraph" w:customStyle="1" w:styleId="131">
    <w:name w:val="Blockquote"/>
    <w:basedOn w:val="1"/>
    <w:qFormat/>
    <w:uiPriority w:val="0"/>
    <w:pPr>
      <w:spacing w:before="100" w:after="100"/>
      <w:ind w:left="360" w:right="360"/>
    </w:pPr>
    <w:rPr>
      <w:sz w:val="24"/>
      <w:szCs w:val="20"/>
    </w:rPr>
  </w:style>
  <w:style w:type="paragraph" w:customStyle="1" w:styleId="132">
    <w:name w:val="Char"/>
    <w:basedOn w:val="1"/>
    <w:qFormat/>
    <w:uiPriority w:val="0"/>
    <w:pPr>
      <w:widowControl/>
      <w:autoSpaceDE/>
      <w:autoSpaceDN/>
      <w:adjustRightInd/>
      <w:spacing w:line="400" w:lineRule="exact"/>
      <w:jc w:val="center"/>
    </w:pPr>
    <w:rPr>
      <w:rFonts w:ascii="Times New Roman"/>
      <w:szCs w:val="20"/>
    </w:rPr>
  </w:style>
  <w:style w:type="paragraph" w:customStyle="1" w:styleId="133">
    <w:name w:val="Char Char Char Char1"/>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34">
    <w:name w:val="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35">
    <w:name w:val="需求书2"/>
    <w:basedOn w:val="1"/>
    <w:qFormat/>
    <w:uiPriority w:val="0"/>
    <w:pPr>
      <w:autoSpaceDE/>
      <w:autoSpaceDN/>
      <w:adjustRightInd/>
      <w:jc w:val="both"/>
    </w:pPr>
    <w:rPr>
      <w:rFonts w:hAnsi="宋体"/>
      <w:spacing w:val="10"/>
      <w:kern w:val="2"/>
      <w:sz w:val="18"/>
      <w:szCs w:val="20"/>
    </w:rPr>
  </w:style>
  <w:style w:type="paragraph" w:customStyle="1" w:styleId="136">
    <w:name w:val="正文缩进6格"/>
    <w:basedOn w:val="125"/>
    <w:qFormat/>
    <w:uiPriority w:val="0"/>
    <w:pPr>
      <w:ind w:left="1758" w:leftChars="854"/>
    </w:pPr>
  </w:style>
  <w:style w:type="paragraph" w:customStyle="1" w:styleId="137">
    <w:name w:val="目录"/>
    <w:basedOn w:val="1"/>
    <w:qFormat/>
    <w:uiPriority w:val="0"/>
    <w:pPr>
      <w:widowControl/>
      <w:autoSpaceDE/>
      <w:autoSpaceDN/>
      <w:adjustRightInd/>
      <w:spacing w:line="480" w:lineRule="auto"/>
      <w:jc w:val="center"/>
    </w:pPr>
    <w:rPr>
      <w:b/>
      <w:szCs w:val="20"/>
    </w:rPr>
  </w:style>
  <w:style w:type="paragraph" w:styleId="13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列出段落1"/>
    <w:basedOn w:val="1"/>
    <w:qFormat/>
    <w:uiPriority w:val="34"/>
    <w:pPr>
      <w:autoSpaceDE/>
      <w:autoSpaceDN/>
      <w:adjustRightInd/>
      <w:ind w:firstLine="420" w:firstLineChars="200"/>
      <w:jc w:val="both"/>
    </w:pPr>
    <w:rPr>
      <w:rFonts w:ascii="Times New Roman"/>
      <w:kern w:val="2"/>
    </w:rPr>
  </w:style>
  <w:style w:type="paragraph" w:customStyle="1" w:styleId="140">
    <w:name w:val="列表正文"/>
    <w:basedOn w:val="1"/>
    <w:qFormat/>
    <w:uiPriority w:val="0"/>
    <w:pPr>
      <w:autoSpaceDE/>
      <w:autoSpaceDN/>
      <w:snapToGrid w:val="0"/>
      <w:spacing w:line="300" w:lineRule="auto"/>
      <w:ind w:left="200" w:leftChars="200" w:firstLine="200" w:firstLineChars="200"/>
      <w:jc w:val="both"/>
    </w:pPr>
    <w:rPr>
      <w:rFonts w:ascii="Times New Roman"/>
      <w:kern w:val="2"/>
    </w:rPr>
  </w:style>
  <w:style w:type="paragraph" w:customStyle="1" w:styleId="141">
    <w:name w:val="p16"/>
    <w:basedOn w:val="1"/>
    <w:qFormat/>
    <w:uiPriority w:val="0"/>
    <w:pPr>
      <w:widowControl/>
      <w:autoSpaceDE/>
      <w:autoSpaceDN/>
      <w:adjustRightInd/>
      <w:spacing w:before="100" w:beforeAutospacing="1" w:after="100" w:afterAutospacing="1"/>
    </w:pPr>
    <w:rPr>
      <w:rFonts w:hAnsi="宋体" w:cs="宋体"/>
    </w:rPr>
  </w:style>
  <w:style w:type="paragraph" w:customStyle="1" w:styleId="142">
    <w:name w:val="xl26"/>
    <w:basedOn w:val="1"/>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143">
    <w:name w:val="标题 3.1"/>
    <w:basedOn w:val="5"/>
    <w:qFormat/>
    <w:uiPriority w:val="0"/>
    <w:pPr>
      <w:keepNext/>
      <w:keepLines/>
      <w:tabs>
        <w:tab w:val="left" w:pos="1440"/>
        <w:tab w:val="left" w:pos="1620"/>
      </w:tabs>
      <w:autoSpaceDE/>
      <w:autoSpaceDN/>
      <w:adjustRightInd/>
      <w:spacing w:before="260" w:after="260" w:line="600" w:lineRule="exact"/>
      <w:jc w:val="both"/>
    </w:pPr>
    <w:rPr>
      <w:rFonts w:hAnsi="宋体"/>
      <w:b w:val="0"/>
      <w:bCs/>
      <w:kern w:val="2"/>
      <w:sz w:val="32"/>
      <w:szCs w:val="32"/>
    </w:rPr>
  </w:style>
  <w:style w:type="paragraph" w:customStyle="1" w:styleId="144">
    <w:name w:val="技术响应2"/>
    <w:basedOn w:val="1"/>
    <w:qFormat/>
    <w:uiPriority w:val="0"/>
    <w:pPr>
      <w:numPr>
        <w:ilvl w:val="0"/>
        <w:numId w:val="6"/>
      </w:numPr>
      <w:autoSpaceDE/>
      <w:autoSpaceDN/>
      <w:adjustRightInd/>
      <w:jc w:val="both"/>
    </w:pPr>
    <w:rPr>
      <w:rFonts w:hAnsi="宋体"/>
      <w:b/>
      <w:bCs/>
      <w:kern w:val="2"/>
      <w:szCs w:val="20"/>
    </w:rPr>
  </w:style>
  <w:style w:type="paragraph" w:customStyle="1" w:styleId="145">
    <w:name w:val="表中文字"/>
    <w:basedOn w:val="1"/>
    <w:qFormat/>
    <w:uiPriority w:val="0"/>
    <w:pPr>
      <w:spacing w:line="400" w:lineRule="atLeast"/>
      <w:ind w:left="35" w:leftChars="14" w:hanging="1"/>
      <w:jc w:val="center"/>
      <w:textAlignment w:val="baseline"/>
    </w:pPr>
    <w:rPr>
      <w:rFonts w:ascii="Verdana" w:hAnsi="Verdana"/>
      <w:szCs w:val="28"/>
    </w:rPr>
  </w:style>
  <w:style w:type="paragraph" w:customStyle="1" w:styleId="146">
    <w:name w:val="样式 标题 3Level 3 HeadH3Heading 3 - oldh3sect1.2.3Head33l3..."/>
    <w:basedOn w:val="5"/>
    <w:qFormat/>
    <w:uiPriority w:val="0"/>
    <w:pPr>
      <w:tabs>
        <w:tab w:val="left" w:pos="720"/>
      </w:tabs>
      <w:autoSpaceDE/>
      <w:autoSpaceDN/>
      <w:adjustRightInd/>
      <w:spacing w:line="360" w:lineRule="auto"/>
      <w:ind w:left="720" w:hanging="720"/>
      <w:jc w:val="both"/>
    </w:pPr>
    <w:rPr>
      <w:rFonts w:ascii="Times New Roman" w:cs="宋体"/>
      <w:kern w:val="2"/>
      <w:sz w:val="21"/>
      <w:szCs w:val="20"/>
    </w:rPr>
  </w:style>
  <w:style w:type="paragraph" w:customStyle="1" w:styleId="147">
    <w:name w:val="图"/>
    <w:basedOn w:val="1"/>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customStyle="1" w:styleId="148">
    <w:name w:val="正文无缩进"/>
    <w:basedOn w:val="90"/>
    <w:qFormat/>
    <w:uiPriority w:val="0"/>
    <w:pPr>
      <w:ind w:firstLine="0" w:firstLineChars="0"/>
    </w:pPr>
  </w:style>
  <w:style w:type="paragraph" w:customStyle="1" w:styleId="149">
    <w:name w:val="标题4"/>
    <w:basedOn w:val="90"/>
    <w:qFormat/>
    <w:uiPriority w:val="0"/>
    <w:pPr>
      <w:spacing w:line="540" w:lineRule="exact"/>
      <w:ind w:firstLine="0" w:firstLineChars="0"/>
    </w:pPr>
    <w:rPr>
      <w:rFonts w:hAnsi="Times New Roman"/>
      <w:szCs w:val="24"/>
    </w:rPr>
  </w:style>
  <w:style w:type="paragraph" w:customStyle="1" w:styleId="150">
    <w:name w:val="默认段落字体 Para Char"/>
    <w:basedOn w:val="1"/>
    <w:qFormat/>
    <w:uiPriority w:val="0"/>
    <w:pPr>
      <w:autoSpaceDE/>
      <w:autoSpaceDN/>
      <w:spacing w:line="360" w:lineRule="auto"/>
      <w:jc w:val="both"/>
    </w:pPr>
    <w:rPr>
      <w:rFonts w:ascii="Times New Roman"/>
      <w:szCs w:val="20"/>
    </w:rPr>
  </w:style>
  <w:style w:type="paragraph" w:customStyle="1" w:styleId="151">
    <w:name w:val="Char Char Char Char Char Char"/>
    <w:basedOn w:val="1"/>
    <w:qFormat/>
    <w:uiPriority w:val="0"/>
    <w:pPr>
      <w:widowControl/>
      <w:autoSpaceDE/>
      <w:autoSpaceDN/>
      <w:adjustRightInd/>
      <w:spacing w:after="160" w:line="240" w:lineRule="exact"/>
    </w:pPr>
    <w:rPr>
      <w:rFonts w:ascii="Times New Roman"/>
      <w:kern w:val="2"/>
      <w:lang w:eastAsia="en-US"/>
    </w:rPr>
  </w:style>
  <w:style w:type="paragraph" w:customStyle="1" w:styleId="152">
    <w:name w:val="日期右"/>
    <w:basedOn w:val="30"/>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53">
    <w:name w:val="列出段落2"/>
    <w:basedOn w:val="1"/>
    <w:qFormat/>
    <w:uiPriority w:val="0"/>
    <w:pPr>
      <w:ind w:firstLine="420" w:firstLineChars="200"/>
    </w:pPr>
    <w:rPr>
      <w:rFonts w:ascii="Calibri" w:hAnsi="Calibri"/>
      <w:szCs w:val="22"/>
    </w:rPr>
  </w:style>
  <w:style w:type="paragraph" w:customStyle="1" w:styleId="154">
    <w:name w:val="xl25"/>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Cs w:val="21"/>
    </w:rPr>
  </w:style>
  <w:style w:type="paragraph" w:customStyle="1" w:styleId="155">
    <w:name w:val="中等深浅底纹 1 - 强调文字颜色 11"/>
    <w:qFormat/>
    <w:uiPriority w:val="1"/>
    <w:rPr>
      <w:rFonts w:ascii="Calibri" w:hAnsi="Calibri" w:eastAsia="宋体" w:cs="Times New Roman"/>
      <w:sz w:val="22"/>
      <w:szCs w:val="22"/>
      <w:lang w:val="en-US" w:eastAsia="zh-CN" w:bidi="ar-SA"/>
    </w:rPr>
  </w:style>
  <w:style w:type="paragraph" w:customStyle="1" w:styleId="156">
    <w:name w:val="Char Char1 Char Char Char Char Char Char Char Char Char Char Char Char Char Char"/>
    <w:basedOn w:val="1"/>
    <w:qFormat/>
    <w:uiPriority w:val="0"/>
    <w:pPr>
      <w:widowControl/>
      <w:autoSpaceDE/>
      <w:autoSpaceDN/>
      <w:adjustRightInd/>
      <w:spacing w:after="160" w:line="240" w:lineRule="exact"/>
    </w:pPr>
    <w:rPr>
      <w:rFonts w:ascii="Verdana" w:hAnsi="Verdana"/>
      <w:sz w:val="20"/>
      <w:szCs w:val="20"/>
      <w:lang w:eastAsia="en-US"/>
    </w:rPr>
  </w:style>
  <w:style w:type="paragraph" w:customStyle="1" w:styleId="157">
    <w:name w:val="Char3"/>
    <w:basedOn w:val="1"/>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158">
    <w:name w:val="xl29"/>
    <w:basedOn w:val="1"/>
    <w:qFormat/>
    <w:uiPriority w:val="0"/>
    <w:pPr>
      <w:widowControl/>
      <w:autoSpaceDE/>
      <w:autoSpaceDN/>
      <w:adjustRightInd/>
      <w:spacing w:before="100" w:beforeAutospacing="1" w:after="100" w:afterAutospacing="1"/>
      <w:jc w:val="center"/>
    </w:pPr>
    <w:rPr>
      <w:rFonts w:hAnsi="宋体"/>
      <w:sz w:val="28"/>
      <w:szCs w:val="28"/>
    </w:rPr>
  </w:style>
  <w:style w:type="paragraph" w:customStyle="1" w:styleId="159">
    <w:name w:val="纯文本1"/>
    <w:basedOn w:val="1"/>
    <w:qFormat/>
    <w:uiPriority w:val="0"/>
    <w:rPr>
      <w:rFonts w:hAnsi="Courier New"/>
      <w:sz w:val="20"/>
      <w:szCs w:val="21"/>
    </w:rPr>
  </w:style>
  <w:style w:type="paragraph" w:customStyle="1" w:styleId="160">
    <w:name w:val="Char Char1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61">
    <w:name w:val="正文居中"/>
    <w:basedOn w:val="1"/>
    <w:next w:val="1"/>
    <w:qFormat/>
    <w:uiPriority w:val="0"/>
    <w:pPr>
      <w:autoSpaceDE/>
      <w:autoSpaceDN/>
      <w:snapToGrid w:val="0"/>
      <w:spacing w:line="300" w:lineRule="auto"/>
      <w:jc w:val="center"/>
    </w:pPr>
    <w:rPr>
      <w:rFonts w:ascii="Times New Roman"/>
      <w:kern w:val="2"/>
    </w:rPr>
  </w:style>
  <w:style w:type="table" w:customStyle="1" w:styleId="162">
    <w:name w:val="Table Normal"/>
    <w:unhideWhenUsed/>
    <w:qFormat/>
    <w:uiPriority w:val="0"/>
    <w:tblPr>
      <w:tblCellMar>
        <w:top w:w="0" w:type="dxa"/>
        <w:left w:w="0" w:type="dxa"/>
        <w:bottom w:w="0" w:type="dxa"/>
        <w:right w:w="0" w:type="dxa"/>
      </w:tblCellMar>
    </w:tblPr>
  </w:style>
  <w:style w:type="paragraph" w:customStyle="1" w:styleId="163">
    <w:name w:val="项目-图表标题"/>
    <w:basedOn w:val="1"/>
    <w:qFormat/>
    <w:uiPriority w:val="0"/>
    <w:pPr>
      <w:spacing w:line="360" w:lineRule="auto"/>
      <w:jc w:val="center"/>
    </w:pPr>
    <w:rPr>
      <w:rFonts w:ascii="仿宋" w:hAnsi="仿宋" w:eastAsia="仿宋"/>
      <w:b/>
      <w:sz w:val="24"/>
      <w:szCs w:val="21"/>
    </w:rPr>
  </w:style>
  <w:style w:type="paragraph" w:customStyle="1" w:styleId="164">
    <w:name w:val="！正文"/>
    <w:basedOn w:val="1"/>
    <w:qFormat/>
    <w:uiPriority w:val="0"/>
    <w:pPr>
      <w:spacing w:line="360" w:lineRule="auto"/>
      <w:ind w:firstLine="200" w:firstLineChars="200"/>
    </w:pPr>
    <w:rPr>
      <w:szCs w:val="28"/>
      <w:lang w:val="zh-CN"/>
    </w:rPr>
  </w:style>
  <w:style w:type="paragraph" w:customStyle="1" w:styleId="165">
    <w:name w:val="表格字体"/>
    <w:basedOn w:val="1"/>
    <w:link w:val="166"/>
    <w:qFormat/>
    <w:uiPriority w:val="0"/>
    <w:pPr>
      <w:spacing w:before="30" w:beforeLines="30" w:after="30" w:afterLines="30"/>
      <w:jc w:val="center"/>
    </w:pPr>
    <w:rPr>
      <w:rFonts w:ascii="Times New Roman"/>
    </w:rPr>
  </w:style>
  <w:style w:type="character" w:customStyle="1" w:styleId="166">
    <w:name w:val="表格字体 Char"/>
    <w:link w:val="165"/>
    <w:qFormat/>
    <w:uiPriority w:val="0"/>
    <w:rPr>
      <w:sz w:val="21"/>
      <w:szCs w:val="24"/>
    </w:rPr>
  </w:style>
  <w:style w:type="character" w:customStyle="1" w:styleId="167">
    <w:name w:val="段 Char"/>
    <w:link w:val="168"/>
    <w:qFormat/>
    <w:uiPriority w:val="0"/>
    <w:rPr>
      <w:rFonts w:ascii="宋体"/>
    </w:rPr>
  </w:style>
  <w:style w:type="paragraph" w:customStyle="1" w:styleId="168">
    <w:name w:val="段"/>
    <w:next w:val="1"/>
    <w:link w:val="167"/>
    <w:qFormat/>
    <w:uiPriority w:val="0"/>
    <w:pPr>
      <w:autoSpaceDE w:val="0"/>
      <w:autoSpaceDN w:val="0"/>
      <w:ind w:firstLine="200" w:firstLineChars="200"/>
      <w:jc w:val="both"/>
    </w:pPr>
    <w:rPr>
      <w:rFonts w:ascii="宋体" w:hAnsi="Times New Roman" w:eastAsia="宋体" w:cs="Times New Roman"/>
      <w:lang w:val="en-US" w:eastAsia="zh-CN" w:bidi="ar-SA"/>
    </w:rPr>
  </w:style>
  <w:style w:type="paragraph" w:customStyle="1" w:styleId="169">
    <w:name w:val="_Style 44"/>
    <w:basedOn w:val="1"/>
    <w:qFormat/>
    <w:uiPriority w:val="0"/>
    <w:pPr>
      <w:ind w:firstLine="420" w:firstLineChars="200"/>
    </w:pPr>
    <w:rPr>
      <w:rFonts w:ascii="Calibri" w:hAnsi="Calibri"/>
      <w:sz w:val="24"/>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theme" Target="theme/theme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41514</Words>
  <Characters>44142</Characters>
  <Lines>352</Lines>
  <Paragraphs>99</Paragraphs>
  <TotalTime>11</TotalTime>
  <ScaleCrop>false</ScaleCrop>
  <LinksUpToDate>false</LinksUpToDate>
  <CharactersWithSpaces>47241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2023-03-10T03:02:00Z</dcterms:created>
  <dc:creator>ChesterCade</dc:creator>
  <cp:lastModifiedBy>EricT</cp:lastModifiedBy>
  <cp:lastPrinted>2021-11-29T01:32:00Z</cp:lastPrinted>
  <dcterms:modified xsi:type="dcterms:W3CDTF">2023-05-08T02:56:36Z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D406C3766D18404790DC4EBF512C2714_13</vt:lpwstr>
  </property>
</Properties>
</file>