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hAnsi="宋体"/>
          <w:color w:val="auto"/>
          <w:sz w:val="52"/>
          <w:szCs w:val="52"/>
          <w:highlight w:val="none"/>
        </w:rPr>
      </w:pPr>
    </w:p>
    <w:p>
      <w:pPr>
        <w:pStyle w:val="21"/>
        <w:rPr>
          <w:rFonts w:hAnsi="宋体"/>
          <w:color w:val="auto"/>
          <w:sz w:val="52"/>
          <w:szCs w:val="52"/>
          <w:highlight w:val="none"/>
        </w:rPr>
      </w:pPr>
      <w:r>
        <w:rPr>
          <w:color w:val="auto"/>
          <w:highlight w:val="none"/>
          <w:lang w:val="en-US"/>
        </w:rPr>
        <w:drawing>
          <wp:inline distT="0" distB="0" distL="0" distR="0">
            <wp:extent cx="2042795" cy="1887855"/>
            <wp:effectExtent l="0" t="0" r="0" b="0"/>
            <wp:docPr id="2" name="图片 12" descr="E:\聊天记录\1740548293\FileRecv\广远logo（新）2017.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E:\聊天记录\1740548293\FileRecv\广远logo（新）2017.3.15.jpg"/>
                    <pic:cNvPicPr>
                      <a:picLocks noChangeAspect="1" noChangeArrowheads="1"/>
                    </pic:cNvPicPr>
                  </pic:nvPicPr>
                  <pic:blipFill>
                    <a:blip r:embed="rId11">
                      <a:extLst>
                        <a:ext uri="{28A0092B-C50C-407E-A947-70E740481C1C}">
                          <a14:useLocalDpi xmlns:a14="http://schemas.microsoft.com/office/drawing/2010/main" val="0"/>
                        </a:ext>
                      </a:extLst>
                    </a:blip>
                    <a:srcRect l="15063" t="19231" r="16025" b="17307"/>
                    <a:stretch>
                      <a:fillRect/>
                    </a:stretch>
                  </pic:blipFill>
                  <pic:spPr>
                    <a:xfrm>
                      <a:off x="0" y="0"/>
                      <a:ext cx="2042795" cy="1887855"/>
                    </a:xfrm>
                    <a:prstGeom prst="rect">
                      <a:avLst/>
                    </a:prstGeom>
                    <a:noFill/>
                    <a:ln>
                      <a:noFill/>
                    </a:ln>
                  </pic:spPr>
                </pic:pic>
              </a:graphicData>
            </a:graphic>
          </wp:inline>
        </w:drawing>
      </w:r>
      <w:r>
        <w:rPr>
          <w:rFonts w:hint="eastAsia" w:hAnsi="宋体"/>
          <w:color w:val="auto"/>
          <w:sz w:val="52"/>
          <w:szCs w:val="52"/>
          <w:highlight w:val="none"/>
        </w:rPr>
        <w:t xml:space="preserve">                 </w:t>
      </w:r>
    </w:p>
    <w:p>
      <w:pPr>
        <w:tabs>
          <w:tab w:val="left" w:pos="420"/>
          <w:tab w:val="left" w:pos="6660"/>
        </w:tabs>
        <w:jc w:val="center"/>
        <w:rPr>
          <w:rFonts w:hAnsi="宋体" w:cs="宋体"/>
          <w:b/>
          <w:color w:val="auto"/>
          <w:sz w:val="44"/>
          <w:szCs w:val="44"/>
          <w:highlight w:val="none"/>
        </w:rPr>
      </w:pPr>
    </w:p>
    <w:p>
      <w:pPr>
        <w:pStyle w:val="2"/>
        <w:rPr>
          <w:rFonts w:cs="宋体"/>
          <w:b/>
          <w:color w:val="auto"/>
          <w:sz w:val="52"/>
          <w:szCs w:val="52"/>
          <w:highlight w:val="none"/>
        </w:rPr>
      </w:pPr>
      <w:r>
        <w:rPr>
          <w:rFonts w:hint="eastAsia" w:cs="宋体"/>
          <w:b/>
          <w:color w:val="auto"/>
          <w:sz w:val="52"/>
          <w:szCs w:val="52"/>
          <w:highlight w:val="none"/>
        </w:rPr>
        <w:t>南海海洋预警信息发布和沿海</w:t>
      </w:r>
    </w:p>
    <w:p>
      <w:pPr>
        <w:pStyle w:val="2"/>
        <w:rPr>
          <w:color w:val="auto"/>
          <w:highlight w:val="none"/>
        </w:rPr>
      </w:pPr>
      <w:r>
        <w:rPr>
          <w:rFonts w:hint="eastAsia" w:cs="宋体"/>
          <w:b/>
          <w:color w:val="auto"/>
          <w:sz w:val="52"/>
          <w:szCs w:val="52"/>
          <w:highlight w:val="none"/>
        </w:rPr>
        <w:t>恶劣天气防灾叫应系统(二期)</w:t>
      </w:r>
    </w:p>
    <w:p>
      <w:pPr>
        <w:tabs>
          <w:tab w:val="left" w:pos="420"/>
          <w:tab w:val="left" w:pos="6660"/>
        </w:tabs>
        <w:spacing w:line="1600" w:lineRule="atLeast"/>
        <w:jc w:val="center"/>
        <w:rPr>
          <w:rFonts w:hAnsi="宋体" w:cs="宋体"/>
          <w:b/>
          <w:color w:val="auto"/>
          <w:sz w:val="72"/>
          <w:szCs w:val="72"/>
          <w:highlight w:val="none"/>
        </w:rPr>
      </w:pPr>
      <w:r>
        <w:rPr>
          <w:rFonts w:hint="eastAsia" w:hAnsi="宋体" w:cs="宋体"/>
          <w:b/>
          <w:color w:val="auto"/>
          <w:sz w:val="72"/>
          <w:szCs w:val="72"/>
          <w:highlight w:val="none"/>
        </w:rPr>
        <w:t>公开招标文件</w:t>
      </w:r>
    </w:p>
    <w:p>
      <w:pPr>
        <w:spacing w:line="500" w:lineRule="exact"/>
        <w:jc w:val="center"/>
        <w:rPr>
          <w:rFonts w:hAnsi="宋体" w:cs="宋体"/>
          <w:b/>
          <w:bCs/>
          <w:color w:val="auto"/>
          <w:sz w:val="28"/>
          <w:szCs w:val="28"/>
          <w:highlight w:val="none"/>
        </w:rPr>
      </w:pPr>
    </w:p>
    <w:p>
      <w:pPr>
        <w:spacing w:line="500" w:lineRule="exact"/>
        <w:rPr>
          <w:rFonts w:hAnsi="宋体" w:cs="宋体"/>
          <w:b/>
          <w:bCs/>
          <w:color w:val="auto"/>
          <w:sz w:val="28"/>
          <w:szCs w:val="28"/>
          <w:highlight w:val="none"/>
        </w:rPr>
      </w:pPr>
    </w:p>
    <w:p>
      <w:pPr>
        <w:spacing w:line="500" w:lineRule="exact"/>
        <w:rPr>
          <w:rFonts w:hAnsi="宋体" w:cs="宋体"/>
          <w:b/>
          <w:bCs/>
          <w:color w:val="auto"/>
          <w:sz w:val="28"/>
          <w:szCs w:val="28"/>
          <w:highlight w:val="none"/>
        </w:rPr>
      </w:pPr>
    </w:p>
    <w:p>
      <w:pPr>
        <w:spacing w:line="500" w:lineRule="exact"/>
        <w:jc w:val="center"/>
        <w:rPr>
          <w:rFonts w:hAnsi="宋体" w:cs="宋体"/>
          <w:b/>
          <w:bCs/>
          <w:color w:val="auto"/>
          <w:sz w:val="28"/>
          <w:szCs w:val="28"/>
          <w:highlight w:val="none"/>
        </w:rPr>
      </w:pPr>
    </w:p>
    <w:p>
      <w:pPr>
        <w:rPr>
          <w:rFonts w:hAnsi="宋体" w:cs="宋体"/>
          <w:color w:val="auto"/>
          <w:highlight w:val="none"/>
          <w:lang w:val="zh-CN"/>
        </w:rPr>
      </w:pPr>
    </w:p>
    <w:p>
      <w:pPr>
        <w:spacing w:line="500" w:lineRule="exact"/>
        <w:jc w:val="center"/>
        <w:rPr>
          <w:rFonts w:hAnsi="宋体" w:cs="宋体"/>
          <w:b/>
          <w:bCs/>
          <w:color w:val="auto"/>
          <w:sz w:val="28"/>
          <w:szCs w:val="28"/>
          <w:highlight w:val="none"/>
        </w:rPr>
      </w:pPr>
      <w:r>
        <w:rPr>
          <w:rFonts w:hint="eastAsia" w:hAnsi="宋体" w:cs="宋体"/>
          <w:b/>
          <w:bCs/>
          <w:color w:val="auto"/>
          <w:sz w:val="28"/>
          <w:szCs w:val="28"/>
          <w:highlight w:val="none"/>
        </w:rPr>
        <w:t>采购编号：GDYD230090</w:t>
      </w:r>
      <w:r>
        <w:rPr>
          <w:rFonts w:hint="eastAsia" w:hAnsi="宋体" w:cs="宋体"/>
          <w:b/>
          <w:bCs/>
          <w:color w:val="auto"/>
          <w:sz w:val="28"/>
          <w:szCs w:val="28"/>
          <w:highlight w:val="none"/>
        </w:rPr>
        <w:fldChar w:fldCharType="begin"/>
      </w:r>
      <w:r>
        <w:rPr>
          <w:rFonts w:hint="eastAsia" w:hAnsi="宋体" w:cs="宋体"/>
          <w:b/>
          <w:bCs/>
          <w:color w:val="auto"/>
          <w:sz w:val="28"/>
          <w:szCs w:val="28"/>
          <w:highlight w:val="none"/>
        </w:rPr>
        <w:instrText xml:space="preserve"> DOCVARIABLE  采购编号  \* MERGEFORMAT </w:instrText>
      </w:r>
      <w:r>
        <w:rPr>
          <w:rFonts w:hint="eastAsia" w:hAnsi="宋体" w:cs="宋体"/>
          <w:b/>
          <w:bCs/>
          <w:color w:val="auto"/>
          <w:sz w:val="28"/>
          <w:szCs w:val="28"/>
          <w:highlight w:val="none"/>
        </w:rPr>
        <w:fldChar w:fldCharType="end"/>
      </w:r>
    </w:p>
    <w:p>
      <w:pPr>
        <w:spacing w:line="360" w:lineRule="auto"/>
        <w:rPr>
          <w:rFonts w:hAnsi="宋体" w:cs="宋体"/>
          <w:b/>
          <w:color w:val="auto"/>
          <w:sz w:val="28"/>
          <w:szCs w:val="28"/>
          <w:highlight w:val="none"/>
        </w:rPr>
      </w:pPr>
    </w:p>
    <w:p>
      <w:pPr>
        <w:spacing w:line="360" w:lineRule="auto"/>
        <w:jc w:val="center"/>
        <w:rPr>
          <w:rFonts w:hAnsi="宋体" w:cs="宋体"/>
          <w:b/>
          <w:bCs/>
          <w:color w:val="auto"/>
          <w:sz w:val="28"/>
          <w:szCs w:val="28"/>
          <w:highlight w:val="none"/>
        </w:rPr>
      </w:pPr>
    </w:p>
    <w:p>
      <w:pPr>
        <w:spacing w:line="360" w:lineRule="auto"/>
        <w:jc w:val="center"/>
        <w:rPr>
          <w:rFonts w:hAnsi="宋体" w:cs="宋体"/>
          <w:b/>
          <w:bCs/>
          <w:color w:val="auto"/>
          <w:sz w:val="28"/>
          <w:szCs w:val="28"/>
          <w:highlight w:val="none"/>
        </w:rPr>
      </w:pPr>
      <w:r>
        <w:rPr>
          <w:rFonts w:hint="eastAsia" w:hAnsi="宋体" w:cs="宋体"/>
          <w:b/>
          <w:bCs/>
          <w:color w:val="auto"/>
          <w:sz w:val="28"/>
          <w:szCs w:val="28"/>
          <w:highlight w:val="none"/>
        </w:rPr>
        <w:t>广东远东招标代理有限公司  编制</w:t>
      </w:r>
    </w:p>
    <w:p>
      <w:pPr>
        <w:spacing w:line="360" w:lineRule="auto"/>
        <w:jc w:val="center"/>
        <w:rPr>
          <w:rFonts w:hAnsi="宋体" w:cs="宋体"/>
          <w:b/>
          <w:bCs/>
          <w:color w:val="auto"/>
          <w:sz w:val="28"/>
          <w:szCs w:val="28"/>
          <w:highlight w:val="none"/>
        </w:rPr>
      </w:pPr>
      <w:r>
        <w:rPr>
          <w:rFonts w:hint="eastAsia" w:hAnsi="宋体" w:cs="宋体"/>
          <w:b/>
          <w:bCs/>
          <w:color w:val="auto"/>
          <w:sz w:val="28"/>
          <w:szCs w:val="28"/>
          <w:highlight w:val="none"/>
        </w:rPr>
        <w:t>发布日期：2023年</w:t>
      </w:r>
      <w:r>
        <w:rPr>
          <w:rFonts w:hint="eastAsia" w:hAnsi="宋体" w:cs="宋体"/>
          <w:b/>
          <w:bCs/>
          <w:color w:val="auto"/>
          <w:sz w:val="28"/>
          <w:szCs w:val="28"/>
          <w:highlight w:val="none"/>
          <w:lang w:val="en-US" w:eastAsia="zh-CN"/>
        </w:rPr>
        <w:t>5</w:t>
      </w:r>
      <w:r>
        <w:rPr>
          <w:rFonts w:hint="eastAsia" w:hAnsi="宋体" w:cs="宋体"/>
          <w:b/>
          <w:bCs/>
          <w:color w:val="auto"/>
          <w:sz w:val="28"/>
          <w:szCs w:val="28"/>
          <w:highlight w:val="none"/>
        </w:rPr>
        <w:t>月</w:t>
      </w:r>
    </w:p>
    <w:p>
      <w:pPr>
        <w:pageBreakBefore/>
        <w:spacing w:line="360" w:lineRule="auto"/>
        <w:ind w:right="-34"/>
        <w:jc w:val="center"/>
        <w:rPr>
          <w:rFonts w:hAnsi="宋体" w:cs="宋体"/>
          <w:b/>
          <w:bCs/>
          <w:color w:val="auto"/>
          <w:kern w:val="2"/>
          <w:sz w:val="32"/>
          <w:szCs w:val="32"/>
          <w:highlight w:val="none"/>
          <w:lang w:val="zh-CN"/>
        </w:rPr>
      </w:pPr>
    </w:p>
    <w:p>
      <w:pPr>
        <w:spacing w:line="360" w:lineRule="auto"/>
        <w:ind w:right="16"/>
        <w:jc w:val="center"/>
        <w:rPr>
          <w:rFonts w:hAnsi="宋体" w:cs="宋体"/>
          <w:b/>
          <w:bCs/>
          <w:color w:val="auto"/>
          <w:kern w:val="2"/>
          <w:sz w:val="36"/>
          <w:szCs w:val="36"/>
          <w:highlight w:val="none"/>
          <w:lang w:val="zh-CN"/>
        </w:rPr>
      </w:pPr>
      <w:r>
        <w:rPr>
          <w:rFonts w:hint="eastAsia" w:hAnsi="宋体" w:cs="宋体"/>
          <w:b/>
          <w:bCs/>
          <w:color w:val="auto"/>
          <w:kern w:val="2"/>
          <w:sz w:val="36"/>
          <w:szCs w:val="36"/>
          <w:highlight w:val="none"/>
          <w:lang w:val="zh-CN"/>
        </w:rPr>
        <w:t>目  录</w:t>
      </w:r>
    </w:p>
    <w:p>
      <w:pPr>
        <w:spacing w:line="360" w:lineRule="auto"/>
        <w:ind w:right="16"/>
        <w:jc w:val="center"/>
        <w:rPr>
          <w:rFonts w:hAnsi="宋体" w:cs="宋体"/>
          <w:b/>
          <w:bCs/>
          <w:color w:val="auto"/>
          <w:kern w:val="2"/>
          <w:sz w:val="32"/>
          <w:szCs w:val="32"/>
          <w:highlight w:val="none"/>
          <w:lang w:val="zh-CN"/>
        </w:rPr>
      </w:pPr>
    </w:p>
    <w:p>
      <w:pPr>
        <w:spacing w:line="360" w:lineRule="auto"/>
        <w:ind w:right="16"/>
        <w:jc w:val="center"/>
        <w:rPr>
          <w:rFonts w:hAnsi="宋体" w:cs="宋体"/>
          <w:color w:val="auto"/>
          <w:kern w:val="2"/>
          <w:szCs w:val="21"/>
          <w:highlight w:val="none"/>
          <w:lang w:val="zh-CN"/>
        </w:rPr>
      </w:pPr>
    </w:p>
    <w:p>
      <w:pPr>
        <w:tabs>
          <w:tab w:val="left" w:pos="855"/>
        </w:tabs>
        <w:spacing w:line="360" w:lineRule="auto"/>
        <w:ind w:left="3165" w:leftChars="1100" w:right="-29" w:rightChars="-14" w:hanging="855"/>
        <w:jc w:val="both"/>
        <w:rPr>
          <w:rFonts w:hAnsi="宋体" w:cs="宋体"/>
          <w:b/>
          <w:bCs/>
          <w:color w:val="auto"/>
          <w:kern w:val="2"/>
          <w:sz w:val="28"/>
          <w:szCs w:val="28"/>
          <w:highlight w:val="none"/>
          <w:lang w:val="zh-CN"/>
        </w:rPr>
      </w:pPr>
      <w:r>
        <w:rPr>
          <w:rFonts w:hint="eastAsia" w:hAnsi="宋体" w:cs="宋体"/>
          <w:b/>
          <w:bCs/>
          <w:color w:val="auto"/>
          <w:kern w:val="2"/>
          <w:sz w:val="28"/>
          <w:szCs w:val="28"/>
          <w:highlight w:val="none"/>
          <w:lang w:val="zh-CN"/>
        </w:rPr>
        <w:t>第一篇  投标邀请书</w:t>
      </w:r>
    </w:p>
    <w:p>
      <w:pPr>
        <w:spacing w:line="360" w:lineRule="auto"/>
        <w:ind w:left="2310" w:leftChars="1100" w:right="-29" w:rightChars="-14"/>
        <w:jc w:val="both"/>
        <w:rPr>
          <w:rFonts w:hAnsi="宋体" w:cs="宋体"/>
          <w:b/>
          <w:bCs/>
          <w:color w:val="auto"/>
          <w:kern w:val="2"/>
          <w:sz w:val="28"/>
          <w:szCs w:val="28"/>
          <w:highlight w:val="none"/>
          <w:lang w:val="zh-CN"/>
        </w:rPr>
      </w:pPr>
    </w:p>
    <w:p>
      <w:pPr>
        <w:tabs>
          <w:tab w:val="left" w:pos="855"/>
        </w:tabs>
        <w:spacing w:line="360" w:lineRule="auto"/>
        <w:ind w:left="3165" w:leftChars="1100" w:right="-29" w:rightChars="-14" w:hanging="855"/>
        <w:jc w:val="both"/>
        <w:rPr>
          <w:rFonts w:hAnsi="宋体" w:cs="宋体"/>
          <w:b/>
          <w:bCs/>
          <w:color w:val="auto"/>
          <w:kern w:val="2"/>
          <w:sz w:val="28"/>
          <w:szCs w:val="28"/>
          <w:highlight w:val="none"/>
          <w:lang w:val="zh-CN"/>
        </w:rPr>
      </w:pPr>
      <w:r>
        <w:rPr>
          <w:rFonts w:hint="eastAsia" w:hAnsi="宋体" w:cs="宋体"/>
          <w:b/>
          <w:bCs/>
          <w:color w:val="auto"/>
          <w:kern w:val="2"/>
          <w:sz w:val="28"/>
          <w:szCs w:val="28"/>
          <w:highlight w:val="none"/>
          <w:lang w:val="zh-CN"/>
        </w:rPr>
        <w:t xml:space="preserve">第二篇  </w:t>
      </w:r>
      <w:r>
        <w:rPr>
          <w:color w:val="auto"/>
          <w:highlight w:val="none"/>
        </w:rPr>
        <w:fldChar w:fldCharType="begin"/>
      </w:r>
      <w:r>
        <w:rPr>
          <w:color w:val="auto"/>
          <w:highlight w:val="none"/>
        </w:rPr>
        <w:instrText xml:space="preserve"> HYPERLINK "file:///C:\\2013年7月11日桌面备份\\海丰中医院\\太和医院\\l" </w:instrText>
      </w:r>
      <w:r>
        <w:rPr>
          <w:color w:val="auto"/>
          <w:highlight w:val="none"/>
        </w:rPr>
        <w:fldChar w:fldCharType="separate"/>
      </w:r>
      <w:r>
        <w:rPr>
          <w:rFonts w:hint="eastAsia" w:hAnsi="宋体" w:cs="宋体"/>
          <w:b/>
          <w:bCs/>
          <w:color w:val="auto"/>
          <w:kern w:val="2"/>
          <w:sz w:val="28"/>
          <w:szCs w:val="28"/>
          <w:highlight w:val="none"/>
          <w:lang w:val="zh-CN"/>
        </w:rPr>
        <w:t xml:space="preserve">投标人须知 </w:t>
      </w:r>
      <w:r>
        <w:rPr>
          <w:rFonts w:hint="eastAsia" w:hAnsi="宋体" w:cs="宋体"/>
          <w:b/>
          <w:bCs/>
          <w:color w:val="auto"/>
          <w:kern w:val="2"/>
          <w:sz w:val="28"/>
          <w:szCs w:val="28"/>
          <w:highlight w:val="none"/>
          <w:lang w:val="zh-CN"/>
        </w:rPr>
        <w:fldChar w:fldCharType="end"/>
      </w:r>
    </w:p>
    <w:p>
      <w:pPr>
        <w:spacing w:line="360" w:lineRule="auto"/>
        <w:ind w:left="2310" w:leftChars="1100" w:right="-29" w:rightChars="-14"/>
        <w:jc w:val="both"/>
        <w:rPr>
          <w:rFonts w:hAnsi="宋体" w:cs="宋体"/>
          <w:b/>
          <w:bCs/>
          <w:color w:val="auto"/>
          <w:kern w:val="2"/>
          <w:sz w:val="28"/>
          <w:szCs w:val="28"/>
          <w:highlight w:val="none"/>
          <w:lang w:val="zh-CN"/>
        </w:rPr>
      </w:pPr>
    </w:p>
    <w:p>
      <w:pPr>
        <w:tabs>
          <w:tab w:val="left" w:pos="855"/>
        </w:tabs>
        <w:spacing w:line="360" w:lineRule="auto"/>
        <w:ind w:left="3165" w:leftChars="1100" w:right="-29" w:rightChars="-14" w:hanging="855"/>
        <w:jc w:val="both"/>
        <w:rPr>
          <w:rFonts w:hAnsi="宋体" w:cs="宋体"/>
          <w:b/>
          <w:bCs/>
          <w:color w:val="auto"/>
          <w:kern w:val="2"/>
          <w:sz w:val="28"/>
          <w:szCs w:val="28"/>
          <w:highlight w:val="none"/>
          <w:lang w:val="zh-CN"/>
        </w:rPr>
      </w:pPr>
      <w:r>
        <w:rPr>
          <w:rFonts w:hint="eastAsia" w:hAnsi="宋体" w:cs="宋体"/>
          <w:b/>
          <w:bCs/>
          <w:color w:val="auto"/>
          <w:kern w:val="2"/>
          <w:sz w:val="28"/>
          <w:szCs w:val="28"/>
          <w:highlight w:val="none"/>
          <w:lang w:val="zh-CN"/>
        </w:rPr>
        <w:t xml:space="preserve">第三篇  </w:t>
      </w:r>
      <w:r>
        <w:rPr>
          <w:color w:val="auto"/>
          <w:highlight w:val="none"/>
        </w:rPr>
        <w:fldChar w:fldCharType="begin"/>
      </w:r>
      <w:r>
        <w:rPr>
          <w:color w:val="auto"/>
          <w:highlight w:val="none"/>
        </w:rPr>
        <w:instrText xml:space="preserve"> HYPERLINK "file:///C:\\2013年7月11日桌面备份\\海丰中医院\\太和医院\\l" </w:instrText>
      </w:r>
      <w:r>
        <w:rPr>
          <w:color w:val="auto"/>
          <w:highlight w:val="none"/>
        </w:rPr>
        <w:fldChar w:fldCharType="separate"/>
      </w:r>
      <w:r>
        <w:rPr>
          <w:rFonts w:hint="eastAsia" w:hAnsi="宋体" w:cs="宋体"/>
          <w:b/>
          <w:bCs/>
          <w:color w:val="auto"/>
          <w:kern w:val="2"/>
          <w:sz w:val="28"/>
          <w:szCs w:val="28"/>
          <w:highlight w:val="none"/>
          <w:lang w:val="zh-CN"/>
        </w:rPr>
        <w:t>合同条款</w:t>
      </w:r>
      <w:r>
        <w:rPr>
          <w:rFonts w:hint="eastAsia" w:hAnsi="宋体" w:cs="宋体"/>
          <w:b/>
          <w:bCs/>
          <w:color w:val="auto"/>
          <w:kern w:val="2"/>
          <w:sz w:val="28"/>
          <w:szCs w:val="28"/>
          <w:highlight w:val="none"/>
          <w:lang w:val="zh-CN"/>
        </w:rPr>
        <w:fldChar w:fldCharType="end"/>
      </w:r>
      <w:r>
        <w:rPr>
          <w:rFonts w:hint="eastAsia" w:hAnsi="宋体" w:cs="宋体"/>
          <w:b/>
          <w:bCs/>
          <w:color w:val="auto"/>
          <w:kern w:val="2"/>
          <w:sz w:val="28"/>
          <w:szCs w:val="28"/>
          <w:highlight w:val="none"/>
          <w:lang w:val="zh-CN"/>
        </w:rPr>
        <w:t>格式</w:t>
      </w:r>
    </w:p>
    <w:p>
      <w:pPr>
        <w:spacing w:line="360" w:lineRule="auto"/>
        <w:ind w:left="2310" w:leftChars="1100" w:right="-29" w:rightChars="-14"/>
        <w:jc w:val="both"/>
        <w:rPr>
          <w:rFonts w:hAnsi="宋体" w:cs="宋体"/>
          <w:b/>
          <w:bCs/>
          <w:color w:val="auto"/>
          <w:kern w:val="2"/>
          <w:sz w:val="28"/>
          <w:szCs w:val="28"/>
          <w:highlight w:val="none"/>
          <w:lang w:val="zh-CN"/>
        </w:rPr>
      </w:pPr>
    </w:p>
    <w:p>
      <w:pPr>
        <w:tabs>
          <w:tab w:val="left" w:pos="855"/>
        </w:tabs>
        <w:spacing w:line="360" w:lineRule="auto"/>
        <w:ind w:left="3165" w:leftChars="1100" w:right="-29" w:rightChars="-14" w:hanging="855"/>
        <w:jc w:val="both"/>
        <w:rPr>
          <w:rFonts w:hAnsi="宋体" w:cs="宋体"/>
          <w:b/>
          <w:bCs/>
          <w:color w:val="auto"/>
          <w:kern w:val="2"/>
          <w:sz w:val="28"/>
          <w:szCs w:val="28"/>
          <w:highlight w:val="none"/>
          <w:lang w:val="zh-CN"/>
        </w:rPr>
      </w:pPr>
      <w:r>
        <w:rPr>
          <w:rFonts w:hint="eastAsia" w:hAnsi="宋体" w:cs="宋体"/>
          <w:b/>
          <w:bCs/>
          <w:color w:val="auto"/>
          <w:kern w:val="2"/>
          <w:sz w:val="28"/>
          <w:szCs w:val="28"/>
          <w:highlight w:val="none"/>
          <w:lang w:val="zh-CN"/>
        </w:rPr>
        <w:t>第四篇  用户需求书</w:t>
      </w:r>
    </w:p>
    <w:p>
      <w:pPr>
        <w:spacing w:line="360" w:lineRule="auto"/>
        <w:ind w:left="2310" w:leftChars="1100" w:right="-29" w:rightChars="-14"/>
        <w:jc w:val="both"/>
        <w:rPr>
          <w:rFonts w:hAnsi="宋体" w:cs="宋体"/>
          <w:b/>
          <w:bCs/>
          <w:color w:val="auto"/>
          <w:kern w:val="2"/>
          <w:sz w:val="28"/>
          <w:szCs w:val="28"/>
          <w:highlight w:val="none"/>
          <w:lang w:val="zh-CN"/>
        </w:rPr>
      </w:pPr>
    </w:p>
    <w:p>
      <w:pPr>
        <w:tabs>
          <w:tab w:val="left" w:pos="855"/>
        </w:tabs>
        <w:spacing w:line="360" w:lineRule="auto"/>
        <w:ind w:left="3165" w:leftChars="1100" w:right="-29" w:rightChars="-14" w:hanging="855"/>
        <w:jc w:val="both"/>
        <w:rPr>
          <w:rFonts w:hAnsi="宋体" w:cs="宋体"/>
          <w:b/>
          <w:bCs/>
          <w:color w:val="auto"/>
          <w:kern w:val="2"/>
          <w:sz w:val="28"/>
          <w:szCs w:val="28"/>
          <w:highlight w:val="none"/>
          <w:lang w:val="zh-CN"/>
        </w:rPr>
      </w:pPr>
      <w:r>
        <w:rPr>
          <w:rFonts w:hint="eastAsia" w:hAnsi="宋体" w:cs="宋体"/>
          <w:b/>
          <w:bCs/>
          <w:color w:val="auto"/>
          <w:kern w:val="2"/>
          <w:sz w:val="28"/>
          <w:szCs w:val="28"/>
          <w:highlight w:val="none"/>
          <w:lang w:val="zh-CN"/>
        </w:rPr>
        <w:t>第五篇  投标文件格式</w:t>
      </w:r>
    </w:p>
    <w:p>
      <w:pPr>
        <w:spacing w:line="360" w:lineRule="auto"/>
        <w:ind w:left="2310" w:leftChars="1100" w:right="-29" w:rightChars="-14"/>
        <w:jc w:val="both"/>
        <w:rPr>
          <w:rFonts w:hAnsi="宋体" w:cs="宋体"/>
          <w:b/>
          <w:bCs/>
          <w:color w:val="auto"/>
          <w:kern w:val="2"/>
          <w:sz w:val="28"/>
          <w:szCs w:val="28"/>
          <w:highlight w:val="none"/>
          <w:lang w:val="zh-CN"/>
        </w:rPr>
      </w:pPr>
    </w:p>
    <w:p>
      <w:pPr>
        <w:spacing w:line="360" w:lineRule="auto"/>
        <w:ind w:left="2310" w:leftChars="1100" w:right="-29" w:rightChars="-14"/>
        <w:jc w:val="both"/>
        <w:rPr>
          <w:rFonts w:hAnsi="宋体" w:cs="宋体"/>
          <w:b/>
          <w:bCs/>
          <w:color w:val="auto"/>
          <w:kern w:val="2"/>
          <w:sz w:val="28"/>
          <w:szCs w:val="28"/>
          <w:highlight w:val="none"/>
          <w:lang w:val="zh-CN"/>
        </w:rPr>
      </w:pPr>
      <w:r>
        <w:rPr>
          <w:rFonts w:hint="eastAsia" w:hAnsi="宋体" w:cs="宋体"/>
          <w:b/>
          <w:bCs/>
          <w:color w:val="auto"/>
          <w:kern w:val="2"/>
          <w:sz w:val="28"/>
          <w:szCs w:val="28"/>
          <w:highlight w:val="none"/>
          <w:lang w:val="zh-CN"/>
        </w:rPr>
        <w:t xml:space="preserve">附件一： </w:t>
      </w:r>
      <w:r>
        <w:rPr>
          <w:rFonts w:hAnsi="宋体" w:cs="宋体"/>
          <w:b/>
          <w:bCs/>
          <w:color w:val="auto"/>
          <w:kern w:val="2"/>
          <w:sz w:val="28"/>
          <w:szCs w:val="28"/>
          <w:highlight w:val="none"/>
          <w:lang w:val="zh-CN"/>
        </w:rPr>
        <w:t xml:space="preserve"> </w:t>
      </w:r>
      <w:r>
        <w:rPr>
          <w:rFonts w:hint="eastAsia" w:hAnsi="宋体" w:cs="宋体"/>
          <w:b/>
          <w:bCs/>
          <w:color w:val="auto"/>
          <w:kern w:val="2"/>
          <w:sz w:val="28"/>
          <w:szCs w:val="28"/>
          <w:highlight w:val="none"/>
          <w:lang w:val="zh-CN"/>
        </w:rPr>
        <w:t>评标工作大纲</w:t>
      </w:r>
    </w:p>
    <w:p>
      <w:pPr>
        <w:spacing w:line="360" w:lineRule="auto"/>
        <w:ind w:left="2310" w:leftChars="1100" w:right="-29" w:rightChars="-14"/>
        <w:jc w:val="both"/>
        <w:rPr>
          <w:rFonts w:hAnsi="宋体" w:cs="宋体"/>
          <w:b/>
          <w:bCs/>
          <w:color w:val="auto"/>
          <w:kern w:val="2"/>
          <w:sz w:val="28"/>
          <w:szCs w:val="28"/>
          <w:highlight w:val="none"/>
          <w:lang w:val="zh-CN"/>
        </w:rPr>
      </w:pPr>
    </w:p>
    <w:p>
      <w:pPr>
        <w:spacing w:line="360" w:lineRule="auto"/>
        <w:ind w:left="2310" w:leftChars="1100" w:right="-29" w:rightChars="-14"/>
        <w:jc w:val="both"/>
        <w:rPr>
          <w:rFonts w:hAnsi="宋体" w:cs="宋体"/>
          <w:b/>
          <w:bCs/>
          <w:color w:val="auto"/>
          <w:kern w:val="2"/>
          <w:sz w:val="28"/>
          <w:szCs w:val="28"/>
          <w:highlight w:val="none"/>
          <w:lang w:val="zh-CN"/>
        </w:rPr>
      </w:pPr>
      <w:r>
        <w:rPr>
          <w:rFonts w:hint="eastAsia" w:hAnsi="宋体" w:cs="宋体"/>
          <w:b/>
          <w:bCs/>
          <w:color w:val="auto"/>
          <w:kern w:val="2"/>
          <w:sz w:val="28"/>
          <w:szCs w:val="28"/>
          <w:highlight w:val="none"/>
          <w:lang w:val="zh-CN"/>
        </w:rPr>
        <w:t xml:space="preserve">附件二： </w:t>
      </w:r>
      <w:r>
        <w:rPr>
          <w:rFonts w:hAnsi="宋体" w:cs="宋体"/>
          <w:b/>
          <w:bCs/>
          <w:color w:val="auto"/>
          <w:kern w:val="2"/>
          <w:sz w:val="28"/>
          <w:szCs w:val="28"/>
          <w:highlight w:val="none"/>
          <w:lang w:val="zh-CN"/>
        </w:rPr>
        <w:t xml:space="preserve"> </w:t>
      </w:r>
      <w:r>
        <w:rPr>
          <w:rFonts w:hint="eastAsia" w:hAnsi="宋体" w:cs="宋体"/>
          <w:b/>
          <w:bCs/>
          <w:color w:val="auto"/>
          <w:kern w:val="2"/>
          <w:sz w:val="28"/>
          <w:szCs w:val="28"/>
          <w:highlight w:val="none"/>
          <w:lang w:val="zh-CN"/>
        </w:rPr>
        <w:t>中标服务费收费标准</w:t>
      </w:r>
    </w:p>
    <w:p>
      <w:pPr>
        <w:pStyle w:val="3"/>
        <w:keepNext/>
        <w:keepLines/>
        <w:pageBreakBefore/>
        <w:tabs>
          <w:tab w:val="left" w:pos="1080"/>
        </w:tabs>
        <w:spacing w:line="360" w:lineRule="auto"/>
        <w:ind w:left="567" w:hanging="567"/>
        <w:jc w:val="center"/>
        <w:rPr>
          <w:rFonts w:hAnsi="宋体" w:cs="宋体"/>
          <w:b/>
          <w:bCs/>
          <w:color w:val="auto"/>
          <w:kern w:val="44"/>
          <w:sz w:val="32"/>
          <w:szCs w:val="32"/>
          <w:highlight w:val="none"/>
          <w:lang w:val="zh-CN"/>
        </w:rPr>
      </w:pPr>
      <w:r>
        <w:rPr>
          <w:rFonts w:hint="eastAsia" w:hAnsi="宋体" w:cs="宋体"/>
          <w:b/>
          <w:bCs/>
          <w:color w:val="auto"/>
          <w:kern w:val="44"/>
          <w:sz w:val="32"/>
          <w:szCs w:val="32"/>
          <w:highlight w:val="none"/>
          <w:lang w:val="zh-CN"/>
        </w:rPr>
        <w:t>第一篇</w:t>
      </w:r>
      <w:r>
        <w:rPr>
          <w:rFonts w:hint="eastAsia" w:hAnsi="宋体" w:cs="宋体"/>
          <w:b/>
          <w:bCs/>
          <w:color w:val="auto"/>
          <w:kern w:val="44"/>
          <w:sz w:val="32"/>
          <w:szCs w:val="32"/>
          <w:highlight w:val="none"/>
          <w:lang w:val="zh-CN"/>
        </w:rPr>
        <w:tab/>
      </w:r>
      <w:r>
        <w:rPr>
          <w:rFonts w:hint="eastAsia" w:hAnsi="宋体" w:cs="宋体"/>
          <w:b/>
          <w:bCs/>
          <w:color w:val="auto"/>
          <w:kern w:val="44"/>
          <w:sz w:val="32"/>
          <w:szCs w:val="32"/>
          <w:highlight w:val="none"/>
          <w:lang w:val="zh-CN"/>
        </w:rPr>
        <w:t>投标邀请书</w:t>
      </w:r>
    </w:p>
    <w:p>
      <w:pPr>
        <w:widowControl/>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u w:val="single"/>
        </w:rPr>
        <w:t>广东远东招标代理有限公司</w:t>
      </w:r>
      <w:r>
        <w:rPr>
          <w:rFonts w:hint="eastAsia" w:ascii="仿宋" w:hAnsi="仿宋" w:eastAsia="仿宋" w:cs="仿宋"/>
          <w:color w:val="auto"/>
          <w:szCs w:val="21"/>
          <w:highlight w:val="none"/>
        </w:rPr>
        <w:t>受</w:t>
      </w:r>
      <w:r>
        <w:rPr>
          <w:rFonts w:hint="eastAsia" w:ascii="仿宋" w:hAnsi="仿宋" w:eastAsia="仿宋" w:cs="仿宋"/>
          <w:color w:val="auto"/>
          <w:szCs w:val="21"/>
          <w:highlight w:val="none"/>
          <w:u w:val="single"/>
        </w:rPr>
        <w:t>广东省气象局</w:t>
      </w:r>
      <w:r>
        <w:rPr>
          <w:rFonts w:hint="eastAsia" w:ascii="仿宋" w:hAnsi="仿宋" w:eastAsia="仿宋" w:cs="仿宋"/>
          <w:color w:val="auto"/>
          <w:szCs w:val="21"/>
          <w:highlight w:val="none"/>
        </w:rPr>
        <w:t>的委托，对</w:t>
      </w:r>
      <w:r>
        <w:rPr>
          <w:rFonts w:hint="eastAsia" w:ascii="仿宋" w:hAnsi="仿宋" w:eastAsia="仿宋" w:cs="仿宋"/>
          <w:bCs/>
          <w:color w:val="auto"/>
          <w:szCs w:val="21"/>
          <w:highlight w:val="none"/>
          <w:u w:val="single"/>
          <w:lang w:val="zh-CN"/>
        </w:rPr>
        <w:t>南海海洋预警信息发布和沿海恶劣天气防灾叫应系统(二期)</w:t>
      </w:r>
      <w:r>
        <w:rPr>
          <w:rFonts w:hint="eastAsia" w:ascii="仿宋" w:hAnsi="仿宋" w:eastAsia="仿宋" w:cs="仿宋"/>
          <w:color w:val="auto"/>
          <w:szCs w:val="21"/>
          <w:highlight w:val="none"/>
        </w:rPr>
        <w:t>进行公开招标采购，欢迎符合资格条件的供应商投标。</w:t>
      </w:r>
    </w:p>
    <w:p>
      <w:pPr>
        <w:widowControl/>
        <w:spacing w:line="360" w:lineRule="auto"/>
        <w:ind w:firstLine="560"/>
        <w:rPr>
          <w:rFonts w:ascii="仿宋" w:hAnsi="仿宋" w:eastAsia="仿宋" w:cs="仿宋"/>
          <w:color w:val="auto"/>
          <w:szCs w:val="21"/>
          <w:highlight w:val="none"/>
        </w:rPr>
      </w:pPr>
      <w:r>
        <w:rPr>
          <w:rFonts w:hint="eastAsia" w:ascii="仿宋" w:hAnsi="仿宋" w:eastAsia="仿宋" w:cs="仿宋"/>
          <w:color w:val="auto"/>
          <w:szCs w:val="21"/>
          <w:highlight w:val="none"/>
        </w:rPr>
        <w:t>一、采购编号：</w:t>
      </w:r>
      <w:r>
        <w:rPr>
          <w:rFonts w:hint="eastAsia" w:ascii="仿宋" w:hAnsi="仿宋" w:eastAsia="仿宋" w:cs="仿宋"/>
          <w:color w:val="auto"/>
          <w:kern w:val="2"/>
          <w:szCs w:val="21"/>
          <w:highlight w:val="none"/>
          <w:lang w:val="zh-CN"/>
        </w:rPr>
        <w:t>GDYD230090</w:t>
      </w:r>
    </w:p>
    <w:p>
      <w:pPr>
        <w:widowControl/>
        <w:spacing w:line="360" w:lineRule="auto"/>
        <w:ind w:firstLine="560"/>
        <w:rPr>
          <w:rFonts w:ascii="仿宋" w:hAnsi="仿宋" w:eastAsia="仿宋" w:cs="仿宋"/>
          <w:color w:val="auto"/>
          <w:szCs w:val="21"/>
          <w:highlight w:val="none"/>
        </w:rPr>
      </w:pPr>
      <w:r>
        <w:rPr>
          <w:rFonts w:hint="eastAsia" w:ascii="仿宋" w:hAnsi="仿宋" w:eastAsia="仿宋" w:cs="仿宋"/>
          <w:color w:val="auto"/>
          <w:szCs w:val="21"/>
          <w:highlight w:val="none"/>
        </w:rPr>
        <w:t>二、采购项目名称：南海海洋预警信息发布和沿海恶劣天气防灾叫应系统(二期)</w:t>
      </w:r>
    </w:p>
    <w:p>
      <w:pPr>
        <w:widowControl/>
        <w:spacing w:line="360" w:lineRule="auto"/>
        <w:ind w:firstLine="560"/>
        <w:rPr>
          <w:rFonts w:ascii="仿宋" w:hAnsi="仿宋" w:eastAsia="仿宋" w:cs="仿宋"/>
          <w:color w:val="auto"/>
          <w:szCs w:val="21"/>
          <w:highlight w:val="none"/>
        </w:rPr>
      </w:pPr>
      <w:r>
        <w:rPr>
          <w:rFonts w:hint="eastAsia" w:ascii="仿宋" w:hAnsi="仿宋" w:eastAsia="仿宋" w:cs="仿宋"/>
          <w:color w:val="auto"/>
          <w:szCs w:val="21"/>
          <w:highlight w:val="none"/>
        </w:rPr>
        <w:t>三、采购预算：人民币</w:t>
      </w:r>
      <w:r>
        <w:rPr>
          <w:rFonts w:ascii="仿宋" w:hAnsi="仿宋" w:eastAsia="仿宋" w:cs="仿宋"/>
          <w:color w:val="auto"/>
          <w:szCs w:val="21"/>
          <w:highlight w:val="none"/>
        </w:rPr>
        <w:t>5</w:t>
      </w:r>
      <w:r>
        <w:rPr>
          <w:rFonts w:hint="eastAsia" w:ascii="仿宋" w:hAnsi="仿宋" w:eastAsia="仿宋" w:cs="仿宋"/>
          <w:color w:val="auto"/>
          <w:szCs w:val="21"/>
          <w:highlight w:val="none"/>
        </w:rPr>
        <w:t>,</w:t>
      </w:r>
      <w:r>
        <w:rPr>
          <w:rFonts w:ascii="仿宋" w:hAnsi="仿宋" w:eastAsia="仿宋" w:cs="仿宋"/>
          <w:color w:val="auto"/>
          <w:szCs w:val="21"/>
          <w:highlight w:val="none"/>
        </w:rPr>
        <w:t>300</w:t>
      </w:r>
      <w:r>
        <w:rPr>
          <w:rFonts w:hint="eastAsia" w:ascii="仿宋" w:hAnsi="仿宋" w:eastAsia="仿宋" w:cs="仿宋"/>
          <w:color w:val="auto"/>
          <w:szCs w:val="21"/>
          <w:highlight w:val="none"/>
        </w:rPr>
        <w:t>,</w:t>
      </w:r>
      <w:r>
        <w:rPr>
          <w:rFonts w:ascii="仿宋" w:hAnsi="仿宋" w:eastAsia="仿宋" w:cs="仿宋"/>
          <w:color w:val="auto"/>
          <w:szCs w:val="21"/>
          <w:highlight w:val="none"/>
        </w:rPr>
        <w:t>0</w:t>
      </w:r>
      <w:r>
        <w:rPr>
          <w:rFonts w:hint="eastAsia" w:ascii="仿宋" w:hAnsi="仿宋" w:eastAsia="仿宋" w:cs="仿宋"/>
          <w:color w:val="auto"/>
          <w:szCs w:val="21"/>
          <w:highlight w:val="none"/>
        </w:rPr>
        <w:t>00.00元</w:t>
      </w:r>
    </w:p>
    <w:p>
      <w:pPr>
        <w:widowControl/>
        <w:spacing w:line="360" w:lineRule="auto"/>
        <w:ind w:firstLine="560"/>
        <w:rPr>
          <w:rFonts w:ascii="仿宋" w:hAnsi="仿宋" w:eastAsia="仿宋" w:cs="仿宋"/>
          <w:color w:val="auto"/>
          <w:szCs w:val="21"/>
          <w:highlight w:val="none"/>
        </w:rPr>
      </w:pPr>
      <w:r>
        <w:rPr>
          <w:rFonts w:hint="eastAsia" w:ascii="仿宋" w:hAnsi="仿宋" w:eastAsia="仿宋" w:cs="仿宋"/>
          <w:color w:val="auto"/>
          <w:szCs w:val="21"/>
          <w:highlight w:val="none"/>
        </w:rPr>
        <w:t>四、项目内容及需求：(采购项目技术规格、参数及要求)</w:t>
      </w:r>
    </w:p>
    <w:p>
      <w:pPr>
        <w:widowControl/>
        <w:spacing w:line="360" w:lineRule="auto"/>
        <w:ind w:firstLine="560"/>
        <w:rPr>
          <w:rFonts w:ascii="仿宋" w:hAnsi="仿宋" w:eastAsia="仿宋" w:cs="仿宋"/>
          <w:color w:val="auto"/>
          <w:szCs w:val="21"/>
          <w:highlight w:val="none"/>
        </w:rPr>
      </w:pPr>
      <w:r>
        <w:rPr>
          <w:rFonts w:hint="eastAsia" w:ascii="仿宋" w:hAnsi="仿宋" w:eastAsia="仿宋" w:cs="仿宋"/>
          <w:color w:val="auto"/>
          <w:szCs w:val="21"/>
          <w:highlight w:val="none"/>
        </w:rPr>
        <w:t>1.采购项目内容及最高限价</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2"/>
        <w:gridCol w:w="3248"/>
        <w:gridCol w:w="1590"/>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0" w:type="auto"/>
            <w:vMerge w:val="restart"/>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项目名称</w:t>
            </w:r>
          </w:p>
        </w:tc>
        <w:tc>
          <w:tcPr>
            <w:tcW w:w="0" w:type="auto"/>
            <w:vMerge w:val="restart"/>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分项内容</w:t>
            </w:r>
          </w:p>
        </w:tc>
        <w:tc>
          <w:tcPr>
            <w:tcW w:w="0" w:type="auto"/>
            <w:gridSpan w:val="2"/>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最高限价（人民币）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0" w:type="auto"/>
            <w:vMerge w:val="continue"/>
            <w:shd w:val="clear" w:color="auto" w:fill="EEECE1"/>
            <w:vAlign w:val="center"/>
          </w:tcPr>
          <w:p>
            <w:pPr>
              <w:widowControl/>
              <w:jc w:val="center"/>
              <w:rPr>
                <w:rFonts w:ascii="仿宋" w:hAnsi="仿宋" w:eastAsia="仿宋" w:cs="宋体"/>
                <w:color w:val="auto"/>
                <w:highlight w:val="none"/>
              </w:rPr>
            </w:pPr>
          </w:p>
        </w:tc>
        <w:tc>
          <w:tcPr>
            <w:tcW w:w="0" w:type="auto"/>
            <w:vMerge w:val="continue"/>
            <w:shd w:val="clear" w:color="auto" w:fill="EEECE1"/>
            <w:vAlign w:val="center"/>
          </w:tcPr>
          <w:p>
            <w:pPr>
              <w:widowControl/>
              <w:jc w:val="center"/>
              <w:rPr>
                <w:rFonts w:ascii="仿宋" w:hAnsi="仿宋" w:eastAsia="仿宋" w:cs="宋体"/>
                <w:color w:val="auto"/>
                <w:highlight w:val="none"/>
              </w:rPr>
            </w:pPr>
          </w:p>
        </w:tc>
        <w:tc>
          <w:tcPr>
            <w:tcW w:w="0" w:type="auto"/>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分项限价</w:t>
            </w:r>
          </w:p>
        </w:tc>
        <w:tc>
          <w:tcPr>
            <w:tcW w:w="0" w:type="auto"/>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总限价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vMerge w:val="restart"/>
            <w:vAlign w:val="center"/>
          </w:tcPr>
          <w:p>
            <w:pPr>
              <w:widowControl/>
              <w:jc w:val="center"/>
              <w:rPr>
                <w:rFonts w:ascii="仿宋" w:hAnsi="仿宋" w:eastAsia="仿宋"/>
                <w:color w:val="auto"/>
                <w:highlight w:val="none"/>
              </w:rPr>
            </w:pPr>
            <w:r>
              <w:rPr>
                <w:rFonts w:hint="eastAsia" w:ascii="仿宋" w:hAnsi="仿宋" w:eastAsia="仿宋" w:cs="宋体"/>
                <w:color w:val="auto"/>
                <w:highlight w:val="none"/>
              </w:rPr>
              <w:t>南海海洋预警信息发布和沿海恶劣天气防灾叫应系统(二期)</w:t>
            </w:r>
          </w:p>
        </w:tc>
        <w:tc>
          <w:tcPr>
            <w:tcW w:w="0" w:type="auto"/>
            <w:vAlign w:val="center"/>
          </w:tcPr>
          <w:p>
            <w:pPr>
              <w:widowControl/>
              <w:rPr>
                <w:rFonts w:ascii="仿宋" w:hAnsi="仿宋" w:eastAsia="仿宋" w:cs="宋体"/>
                <w:color w:val="auto"/>
                <w:highlight w:val="none"/>
              </w:rPr>
            </w:pPr>
            <w:r>
              <w:rPr>
                <w:rFonts w:hint="eastAsia" w:ascii="仿宋" w:hAnsi="仿宋" w:eastAsia="仿宋" w:cs="宋体"/>
                <w:color w:val="auto"/>
                <w:highlight w:val="none"/>
              </w:rPr>
              <w:t>预警信息采集、发布与质控和预警信息发布系统运营服务</w:t>
            </w:r>
          </w:p>
        </w:tc>
        <w:tc>
          <w:tcPr>
            <w:tcW w:w="0" w:type="auto"/>
            <w:vAlign w:val="center"/>
          </w:tcPr>
          <w:p>
            <w:pPr>
              <w:widowControl/>
              <w:jc w:val="center"/>
              <w:rPr>
                <w:rFonts w:ascii="仿宋" w:hAnsi="仿宋" w:eastAsia="仿宋" w:cs="仿宋"/>
                <w:color w:val="auto"/>
                <w:szCs w:val="21"/>
                <w:highlight w:val="none"/>
              </w:rPr>
            </w:pPr>
            <w:r>
              <w:rPr>
                <w:rFonts w:hint="eastAsia" w:ascii="仿宋" w:hAnsi="仿宋" w:eastAsia="仿宋" w:cs="仿宋"/>
                <w:color w:val="auto"/>
                <w:szCs w:val="21"/>
                <w:highlight w:val="none"/>
              </w:rPr>
              <w:t>4</w:t>
            </w:r>
            <w:r>
              <w:rPr>
                <w:rFonts w:ascii="仿宋" w:hAnsi="仿宋" w:eastAsia="仿宋" w:cs="仿宋"/>
                <w:color w:val="auto"/>
                <w:szCs w:val="21"/>
                <w:highlight w:val="none"/>
              </w:rPr>
              <w:t>,393,400.00</w:t>
            </w:r>
            <w:r>
              <w:rPr>
                <w:rFonts w:hint="eastAsia" w:ascii="仿宋" w:hAnsi="仿宋" w:eastAsia="仿宋" w:cs="仿宋"/>
                <w:color w:val="auto"/>
                <w:szCs w:val="21"/>
                <w:highlight w:val="none"/>
              </w:rPr>
              <w:t>元</w:t>
            </w:r>
          </w:p>
        </w:tc>
        <w:tc>
          <w:tcPr>
            <w:tcW w:w="0" w:type="auto"/>
            <w:vMerge w:val="restart"/>
            <w:vAlign w:val="center"/>
          </w:tcPr>
          <w:p>
            <w:pPr>
              <w:widowControl/>
              <w:jc w:val="center"/>
              <w:rPr>
                <w:rFonts w:ascii="仿宋" w:hAnsi="仿宋" w:eastAsia="仿宋" w:cs="宋体"/>
                <w:color w:val="auto"/>
                <w:highlight w:val="none"/>
              </w:rPr>
            </w:pPr>
            <w:r>
              <w:rPr>
                <w:rFonts w:ascii="仿宋" w:hAnsi="仿宋" w:eastAsia="仿宋" w:cs="仿宋"/>
                <w:color w:val="auto"/>
                <w:szCs w:val="21"/>
                <w:highlight w:val="none"/>
              </w:rPr>
              <w:t>5,300,000.00</w:t>
            </w:r>
            <w:r>
              <w:rPr>
                <w:rFonts w:hint="eastAsia" w:ascii="仿宋" w:hAnsi="仿宋" w:eastAsia="仿宋" w:cs="仿宋"/>
                <w:color w:val="auto"/>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vMerge w:val="continue"/>
            <w:vAlign w:val="center"/>
          </w:tcPr>
          <w:p>
            <w:pPr>
              <w:widowControl/>
              <w:jc w:val="center"/>
              <w:rPr>
                <w:rFonts w:ascii="仿宋" w:hAnsi="仿宋" w:eastAsia="仿宋"/>
                <w:color w:val="auto"/>
                <w:highlight w:val="none"/>
              </w:rPr>
            </w:pPr>
          </w:p>
        </w:tc>
        <w:tc>
          <w:tcPr>
            <w:tcW w:w="0" w:type="auto"/>
            <w:vAlign w:val="center"/>
          </w:tcPr>
          <w:p>
            <w:pPr>
              <w:widowControl/>
              <w:rPr>
                <w:rFonts w:ascii="仿宋" w:hAnsi="仿宋" w:eastAsia="仿宋" w:cs="宋体"/>
                <w:color w:val="auto"/>
                <w:highlight w:val="none"/>
              </w:rPr>
            </w:pPr>
            <w:r>
              <w:rPr>
                <w:rFonts w:hint="eastAsia" w:ascii="仿宋" w:hAnsi="仿宋" w:eastAsia="仿宋" w:cs="宋体"/>
                <w:color w:val="auto"/>
                <w:highlight w:val="none"/>
              </w:rPr>
              <w:t>报灾系统运营服务</w:t>
            </w:r>
          </w:p>
        </w:tc>
        <w:tc>
          <w:tcPr>
            <w:tcW w:w="0" w:type="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9</w:t>
            </w:r>
            <w:r>
              <w:rPr>
                <w:rFonts w:ascii="仿宋" w:hAnsi="仿宋" w:eastAsia="仿宋" w:cs="宋体"/>
                <w:color w:val="auto"/>
                <w:highlight w:val="none"/>
              </w:rPr>
              <w:t>06,600.00</w:t>
            </w:r>
            <w:r>
              <w:rPr>
                <w:rFonts w:hint="eastAsia" w:ascii="仿宋" w:hAnsi="仿宋" w:eastAsia="仿宋" w:cs="宋体"/>
                <w:color w:val="auto"/>
                <w:highlight w:val="none"/>
              </w:rPr>
              <w:t>元</w:t>
            </w:r>
          </w:p>
        </w:tc>
        <w:tc>
          <w:tcPr>
            <w:tcW w:w="0" w:type="auto"/>
            <w:vMerge w:val="continue"/>
            <w:vAlign w:val="center"/>
          </w:tcPr>
          <w:p>
            <w:pPr>
              <w:widowControl/>
              <w:jc w:val="center"/>
              <w:rPr>
                <w:rFonts w:ascii="仿宋" w:hAnsi="仿宋" w:eastAsia="仿宋" w:cs="宋体"/>
                <w:color w:val="auto"/>
                <w:highlight w:val="none"/>
              </w:rPr>
            </w:pPr>
          </w:p>
        </w:tc>
      </w:tr>
    </w:tbl>
    <w:p>
      <w:pPr>
        <w:widowControl/>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1.1 本项目属于按照《政府采购促进中小企业发展管理办法》(财库(2020)46号)规定预留采购份额无法确保充分供应、充分竞争，或者存在可能影响政府采购目标实现的情形，因此不专门面向中小企业预留采购份额。不允许投标人只对其中部分内容进行投标。产品详细技术参数及执行标准、规格等详见招标文件中的第四篇用户需求书。</w:t>
      </w:r>
    </w:p>
    <w:p>
      <w:pPr>
        <w:widowControl/>
        <w:spacing w:line="360" w:lineRule="auto"/>
        <w:ind w:left="420"/>
        <w:rPr>
          <w:rFonts w:ascii="仿宋" w:hAnsi="仿宋" w:eastAsia="仿宋" w:cs="仿宋"/>
          <w:color w:val="auto"/>
          <w:szCs w:val="21"/>
          <w:highlight w:val="none"/>
        </w:rPr>
      </w:pPr>
      <w:r>
        <w:rPr>
          <w:rFonts w:hint="eastAsia" w:ascii="仿宋" w:hAnsi="仿宋" w:eastAsia="仿宋" w:cs="仿宋"/>
          <w:color w:val="auto"/>
          <w:szCs w:val="21"/>
          <w:highlight w:val="none"/>
        </w:rPr>
        <w:t>1.2 本项目适用的扶持性政策</w:t>
      </w:r>
    </w:p>
    <w:p>
      <w:pPr>
        <w:widowControl/>
        <w:spacing w:line="360" w:lineRule="auto"/>
        <w:ind w:left="840"/>
        <w:rPr>
          <w:rFonts w:ascii="仿宋" w:hAnsi="仿宋" w:eastAsia="仿宋" w:cs="仿宋"/>
          <w:color w:val="auto"/>
          <w:szCs w:val="21"/>
          <w:highlight w:val="none"/>
        </w:rPr>
      </w:pPr>
      <w:r>
        <w:rPr>
          <w:rFonts w:hint="eastAsia" w:ascii="仿宋" w:hAnsi="仿宋" w:eastAsia="仿宋" w:cs="仿宋"/>
          <w:color w:val="auto"/>
          <w:szCs w:val="21"/>
          <w:highlight w:val="none"/>
        </w:rPr>
        <w:t>1.2.1 《政府采购促进中小企业发展管理办法》(财库(2020)46号)</w:t>
      </w:r>
    </w:p>
    <w:p>
      <w:pPr>
        <w:widowControl/>
        <w:spacing w:line="360" w:lineRule="auto"/>
        <w:ind w:left="840"/>
        <w:rPr>
          <w:rFonts w:ascii="仿宋" w:hAnsi="仿宋" w:eastAsia="仿宋" w:cs="仿宋"/>
          <w:color w:val="auto"/>
          <w:szCs w:val="21"/>
          <w:highlight w:val="none"/>
        </w:rPr>
      </w:pPr>
      <w:r>
        <w:rPr>
          <w:rFonts w:hint="eastAsia" w:ascii="仿宋" w:hAnsi="仿宋" w:eastAsia="仿宋" w:cs="仿宋"/>
          <w:color w:val="auto"/>
          <w:szCs w:val="21"/>
          <w:highlight w:val="none"/>
        </w:rPr>
        <w:t>1.2.2 《关于政府采购支持监狱企业发展有关问题的通知》(财库〔2014〕68号)</w:t>
      </w:r>
    </w:p>
    <w:p>
      <w:pPr>
        <w:widowControl/>
        <w:spacing w:line="360" w:lineRule="auto"/>
        <w:ind w:left="840"/>
        <w:rPr>
          <w:rFonts w:ascii="仿宋" w:hAnsi="仿宋" w:eastAsia="仿宋" w:cs="仿宋"/>
          <w:color w:val="auto"/>
          <w:szCs w:val="21"/>
          <w:highlight w:val="none"/>
        </w:rPr>
      </w:pPr>
      <w:r>
        <w:rPr>
          <w:rFonts w:hint="eastAsia" w:ascii="仿宋" w:hAnsi="仿宋" w:eastAsia="仿宋" w:cs="仿宋"/>
          <w:color w:val="auto"/>
          <w:szCs w:val="21"/>
          <w:highlight w:val="none"/>
        </w:rPr>
        <w:t>1.2.3 《关于促进残疾人就业政府采购政策的通知》（财库〔2017〕141号)</w:t>
      </w:r>
    </w:p>
    <w:p>
      <w:pPr>
        <w:widowControl/>
        <w:spacing w:line="360" w:lineRule="auto"/>
        <w:ind w:left="840"/>
        <w:rPr>
          <w:rFonts w:ascii="仿宋" w:hAnsi="仿宋" w:eastAsia="仿宋" w:cs="仿宋"/>
          <w:color w:val="auto"/>
          <w:szCs w:val="21"/>
          <w:highlight w:val="none"/>
        </w:rPr>
      </w:pPr>
      <w:r>
        <w:rPr>
          <w:rFonts w:hint="eastAsia" w:ascii="仿宋" w:hAnsi="仿宋" w:eastAsia="仿宋" w:cs="仿宋"/>
          <w:color w:val="auto"/>
          <w:szCs w:val="21"/>
          <w:highlight w:val="none"/>
        </w:rPr>
        <w:t>1.2.4 《关于环境标志产品政府采购实施的意见》（财库〔2006〕90号）</w:t>
      </w:r>
    </w:p>
    <w:p>
      <w:pPr>
        <w:widowControl/>
        <w:spacing w:line="360" w:lineRule="auto"/>
        <w:ind w:left="840"/>
        <w:rPr>
          <w:rFonts w:ascii="仿宋" w:hAnsi="仿宋" w:eastAsia="仿宋" w:cs="仿宋"/>
          <w:color w:val="auto"/>
          <w:szCs w:val="21"/>
          <w:highlight w:val="none"/>
        </w:rPr>
      </w:pPr>
      <w:r>
        <w:rPr>
          <w:rFonts w:hint="eastAsia" w:ascii="仿宋" w:hAnsi="仿宋" w:eastAsia="仿宋" w:cs="仿宋"/>
          <w:color w:val="auto"/>
          <w:szCs w:val="21"/>
          <w:highlight w:val="none"/>
        </w:rPr>
        <w:t>1.2.5 《节能产品政府采购实施意见》的通知（财库〔2004〕185号）</w:t>
      </w:r>
    </w:p>
    <w:p>
      <w:pPr>
        <w:widowControl/>
        <w:spacing w:line="360" w:lineRule="auto"/>
        <w:ind w:left="840"/>
        <w:rPr>
          <w:rFonts w:ascii="仿宋" w:hAnsi="仿宋" w:eastAsia="仿宋" w:cs="仿宋"/>
          <w:color w:val="auto"/>
          <w:szCs w:val="21"/>
          <w:highlight w:val="none"/>
        </w:rPr>
      </w:pPr>
      <w:r>
        <w:rPr>
          <w:rFonts w:hint="eastAsia" w:ascii="仿宋" w:hAnsi="仿宋" w:eastAsia="仿宋" w:cs="仿宋"/>
          <w:color w:val="auto"/>
          <w:szCs w:val="21"/>
          <w:highlight w:val="none"/>
        </w:rPr>
        <w:t>1.2.6 《关于开展政府采购信用担保试点工作方案》（财库〔2011〕124号）</w:t>
      </w:r>
    </w:p>
    <w:p>
      <w:pPr>
        <w:widowControl/>
        <w:spacing w:line="360" w:lineRule="auto"/>
        <w:ind w:left="420"/>
        <w:rPr>
          <w:rFonts w:ascii="仿宋" w:hAnsi="仿宋" w:eastAsia="仿宋" w:cs="仿宋"/>
          <w:color w:val="auto"/>
          <w:szCs w:val="21"/>
          <w:highlight w:val="none"/>
        </w:rPr>
      </w:pPr>
      <w:r>
        <w:rPr>
          <w:rFonts w:hint="eastAsia" w:ascii="仿宋" w:hAnsi="仿宋" w:eastAsia="仿宋" w:cs="仿宋"/>
          <w:color w:val="auto"/>
          <w:szCs w:val="21"/>
          <w:highlight w:val="none"/>
        </w:rPr>
        <w:t>2.采购项目品目：C</w:t>
      </w:r>
      <w:r>
        <w:rPr>
          <w:rFonts w:ascii="仿宋" w:hAnsi="仿宋" w:eastAsia="仿宋" w:cs="仿宋"/>
          <w:color w:val="auto"/>
          <w:szCs w:val="21"/>
          <w:highlight w:val="none"/>
        </w:rPr>
        <w:t>0903</w:t>
      </w:r>
      <w:r>
        <w:rPr>
          <w:rFonts w:hint="eastAsia" w:ascii="仿宋" w:hAnsi="仿宋" w:eastAsia="仿宋" w:cs="仿宋"/>
          <w:color w:val="auto"/>
          <w:szCs w:val="21"/>
          <w:highlight w:val="none"/>
        </w:rPr>
        <w:t xml:space="preserve"> 气象服务</w:t>
      </w:r>
    </w:p>
    <w:p>
      <w:pPr>
        <w:widowControl/>
        <w:spacing w:line="360" w:lineRule="auto"/>
        <w:ind w:firstLine="588"/>
        <w:rPr>
          <w:rFonts w:ascii="仿宋" w:hAnsi="仿宋" w:eastAsia="仿宋" w:cs="仿宋"/>
          <w:color w:val="auto"/>
          <w:szCs w:val="21"/>
          <w:highlight w:val="none"/>
        </w:rPr>
      </w:pPr>
      <w:r>
        <w:rPr>
          <w:rFonts w:hint="eastAsia" w:ascii="仿宋" w:hAnsi="仿宋" w:eastAsia="仿宋" w:cs="仿宋"/>
          <w:color w:val="auto"/>
          <w:szCs w:val="21"/>
          <w:highlight w:val="none"/>
        </w:rPr>
        <w:t>五、申请人的资格：</w:t>
      </w:r>
    </w:p>
    <w:p>
      <w:pPr>
        <w:spacing w:line="360" w:lineRule="auto"/>
        <w:ind w:right="-34" w:firstLine="567" w:firstLineChars="270"/>
        <w:jc w:val="both"/>
        <w:rPr>
          <w:rFonts w:ascii="仿宋" w:hAnsi="仿宋" w:eastAsia="仿宋" w:cs="仿宋"/>
          <w:color w:val="auto"/>
          <w:szCs w:val="21"/>
          <w:highlight w:val="none"/>
        </w:rPr>
      </w:pPr>
      <w:r>
        <w:rPr>
          <w:rFonts w:hint="eastAsia" w:ascii="仿宋" w:hAnsi="仿宋" w:eastAsia="仿宋" w:cs="仿宋"/>
          <w:color w:val="auto"/>
          <w:szCs w:val="21"/>
          <w:highlight w:val="none"/>
        </w:rPr>
        <w:t>1.投标供应商应具备《政府采购法》第二十二条规定的条件，提供下列材料：</w:t>
      </w:r>
    </w:p>
    <w:p>
      <w:pPr>
        <w:spacing w:line="360" w:lineRule="auto"/>
        <w:ind w:right="-34" w:firstLine="569" w:firstLineChars="270"/>
        <w:jc w:val="both"/>
        <w:rPr>
          <w:rFonts w:hint="eastAsia" w:ascii="仿宋" w:hAnsi="仿宋" w:eastAsia="仿宋" w:cs="仿宋"/>
          <w:color w:val="auto"/>
          <w:szCs w:val="21"/>
          <w:highlight w:val="none"/>
          <w:lang w:eastAsia="zh-CN"/>
        </w:rPr>
      </w:pPr>
      <w:r>
        <w:rPr>
          <w:rFonts w:hint="eastAsia" w:ascii="仿宋" w:hAnsi="仿宋" w:eastAsia="仿宋" w:cs="仿宋"/>
          <w:b/>
          <w:color w:val="auto"/>
          <w:szCs w:val="21"/>
          <w:highlight w:val="none"/>
        </w:rPr>
        <w:t>1）具有独立承担民事责任的能力：</w:t>
      </w:r>
      <w:r>
        <w:rPr>
          <w:rFonts w:hint="eastAsia" w:ascii="仿宋" w:hAnsi="仿宋" w:eastAsia="仿宋" w:cs="仿宋"/>
          <w:b w:val="0"/>
          <w:bCs/>
          <w:color w:val="000000"/>
          <w:szCs w:val="21"/>
          <w:highlight w:val="none"/>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r>
        <w:rPr>
          <w:rFonts w:hint="eastAsia" w:ascii="仿宋" w:hAnsi="仿宋" w:eastAsia="仿宋" w:cs="仿宋"/>
          <w:color w:val="auto"/>
          <w:szCs w:val="21"/>
          <w:highlight w:val="none"/>
          <w:lang w:eastAsia="zh-CN"/>
        </w:rPr>
        <w:t>。</w:t>
      </w:r>
    </w:p>
    <w:p>
      <w:pPr>
        <w:spacing w:line="360" w:lineRule="auto"/>
        <w:ind w:right="-34" w:firstLine="569" w:firstLineChars="270"/>
        <w:jc w:val="both"/>
        <w:rPr>
          <w:rFonts w:hint="eastAsia" w:ascii="仿宋" w:hAnsi="仿宋" w:eastAsia="仿宋" w:cs="仿宋"/>
          <w:color w:val="auto"/>
          <w:szCs w:val="21"/>
          <w:highlight w:val="none"/>
          <w:lang w:eastAsia="zh-CN"/>
        </w:rPr>
      </w:pPr>
      <w:r>
        <w:rPr>
          <w:rFonts w:hint="eastAsia" w:ascii="仿宋" w:hAnsi="仿宋" w:eastAsia="仿宋" w:cs="仿宋"/>
          <w:b/>
          <w:color w:val="auto"/>
          <w:szCs w:val="21"/>
          <w:highlight w:val="none"/>
        </w:rPr>
        <w:t>2）有依法缴纳税收和社会保障资金的良好记录：</w:t>
      </w:r>
      <w:r>
        <w:rPr>
          <w:rFonts w:hint="eastAsia" w:ascii="仿宋" w:hAnsi="仿宋" w:eastAsia="仿宋" w:cs="仿宋"/>
          <w:color w:val="auto"/>
          <w:szCs w:val="21"/>
          <w:highlight w:val="none"/>
          <w:lang w:eastAsia="zh-CN"/>
        </w:rPr>
        <w:t>提供投标截止日前6个月内任意1个月依法缴纳税收和社会保障资金的相关材料。如依法免税或不需要缴纳社会保障资金的，提供相应证明材料。</w:t>
      </w:r>
    </w:p>
    <w:p>
      <w:pPr>
        <w:spacing w:line="360" w:lineRule="auto"/>
        <w:ind w:right="-34" w:firstLine="569" w:firstLineChars="270"/>
        <w:jc w:val="both"/>
        <w:rPr>
          <w:rFonts w:hint="eastAsia" w:ascii="仿宋" w:hAnsi="仿宋" w:eastAsia="仿宋" w:cs="仿宋"/>
          <w:color w:val="auto"/>
          <w:szCs w:val="21"/>
          <w:highlight w:val="none"/>
          <w:lang w:eastAsia="zh-CN"/>
        </w:rPr>
      </w:pPr>
      <w:r>
        <w:rPr>
          <w:rFonts w:hint="eastAsia" w:ascii="仿宋" w:hAnsi="仿宋" w:eastAsia="仿宋" w:cs="仿宋"/>
          <w:b/>
          <w:color w:val="auto"/>
          <w:szCs w:val="21"/>
          <w:highlight w:val="none"/>
        </w:rPr>
        <w:t>3）具有良好的商业信誉和健全的财务会计制度：</w:t>
      </w:r>
      <w:r>
        <w:rPr>
          <w:rFonts w:hint="eastAsia" w:ascii="仿宋" w:hAnsi="仿宋" w:eastAsia="仿宋" w:cs="仿宋"/>
          <w:color w:val="auto"/>
          <w:szCs w:val="21"/>
          <w:highlight w:val="none"/>
          <w:lang w:eastAsia="zh-CN"/>
        </w:rPr>
        <w:t>供应商必须具有良好的商业信誉和健全的财务会计制度（提供2021年度财务状况报告或基本开户行出具的资信证明）。</w:t>
      </w:r>
    </w:p>
    <w:p>
      <w:pPr>
        <w:spacing w:line="360" w:lineRule="auto"/>
        <w:ind w:right="-34" w:firstLine="569" w:firstLineChars="270"/>
        <w:jc w:val="both"/>
        <w:rPr>
          <w:rFonts w:hint="eastAsia" w:ascii="仿宋" w:hAnsi="仿宋" w:eastAsia="仿宋" w:cs="仿宋"/>
          <w:color w:val="auto"/>
          <w:szCs w:val="21"/>
          <w:highlight w:val="none"/>
          <w:lang w:eastAsia="zh-CN"/>
        </w:rPr>
      </w:pPr>
      <w:r>
        <w:rPr>
          <w:rFonts w:hint="eastAsia" w:ascii="仿宋" w:hAnsi="仿宋" w:eastAsia="仿宋" w:cs="仿宋"/>
          <w:b/>
          <w:color w:val="auto"/>
          <w:szCs w:val="21"/>
          <w:highlight w:val="none"/>
        </w:rPr>
        <w:t>4）履行合同所</w:t>
      </w:r>
      <w:r>
        <w:rPr>
          <w:rFonts w:hint="eastAsia" w:ascii="仿宋" w:hAnsi="仿宋" w:eastAsia="仿宋" w:cs="仿宋"/>
          <w:b/>
          <w:color w:val="auto"/>
          <w:szCs w:val="21"/>
          <w:highlight w:val="none"/>
          <w:lang w:eastAsia="zh-CN"/>
        </w:rPr>
        <w:t>所必需的</w:t>
      </w:r>
      <w:r>
        <w:rPr>
          <w:rFonts w:hint="eastAsia" w:ascii="仿宋" w:hAnsi="仿宋" w:eastAsia="仿宋" w:cs="仿宋"/>
          <w:b/>
          <w:color w:val="auto"/>
          <w:szCs w:val="21"/>
          <w:highlight w:val="none"/>
        </w:rPr>
        <w:t>备和专业技术能力：</w:t>
      </w:r>
      <w:r>
        <w:rPr>
          <w:rFonts w:hint="eastAsia" w:ascii="仿宋" w:hAnsi="仿宋" w:eastAsia="仿宋" w:cs="仿宋"/>
          <w:color w:val="auto"/>
          <w:szCs w:val="21"/>
          <w:highlight w:val="none"/>
          <w:lang w:eastAsia="zh-CN"/>
        </w:rPr>
        <w:t>填报所必需的设备及专业技术能力情况。（格式自拟）</w:t>
      </w:r>
    </w:p>
    <w:p>
      <w:pPr>
        <w:pStyle w:val="45"/>
        <w:shd w:val="clear" w:color="auto" w:fill="FFFFFF"/>
        <w:spacing w:before="0" w:beforeAutospacing="0" w:after="0" w:afterAutospacing="0" w:line="360" w:lineRule="auto"/>
        <w:ind w:firstLine="480"/>
        <w:textAlignment w:val="baseline"/>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rPr>
        <w:t>5）参加采购活动前3年内，在经营活动中没有重大违法记录：</w:t>
      </w:r>
      <w:r>
        <w:rPr>
          <w:rFonts w:hint="eastAsia" w:ascii="仿宋" w:hAnsi="仿宋" w:eastAsia="仿宋" w:cs="仿宋"/>
          <w:color w:val="auto"/>
          <w:sz w:val="21"/>
          <w:szCs w:val="21"/>
          <w:highlight w:val="none"/>
          <w:lang w:eastAsia="zh-CN"/>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spacing w:line="360" w:lineRule="auto"/>
        <w:ind w:right="-34" w:firstLine="569" w:firstLineChars="270"/>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2.落实政府采购政策需满足的资格要求：</w:t>
      </w:r>
      <w:r>
        <w:rPr>
          <w:rFonts w:hint="eastAsia" w:ascii="仿宋" w:hAnsi="仿宋" w:eastAsia="仿宋" w:cs="仿宋"/>
          <w:color w:val="auto"/>
          <w:szCs w:val="21"/>
          <w:highlight w:val="none"/>
        </w:rPr>
        <w:t>无</w:t>
      </w:r>
    </w:p>
    <w:p>
      <w:pPr>
        <w:spacing w:line="360" w:lineRule="auto"/>
        <w:ind w:right="-34" w:firstLine="569" w:firstLineChars="270"/>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3.本项目的特定资格要求：</w:t>
      </w:r>
    </w:p>
    <w:p>
      <w:pPr>
        <w:spacing w:line="360" w:lineRule="auto"/>
        <w:ind w:right="-34" w:firstLine="569" w:firstLineChars="270"/>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1）信用记录：</w:t>
      </w:r>
      <w:r>
        <w:rPr>
          <w:rFonts w:hint="eastAsia" w:ascii="仿宋" w:hAnsi="仿宋" w:eastAsia="仿宋" w:cs="仿宋"/>
          <w:color w:val="auto"/>
          <w:szCs w:val="21"/>
          <w:highlight w:val="none"/>
        </w:rPr>
        <w:t>供应商未被列入“信用中国”网站(www.creditchina.gov.cn)“记录失信被执行人或重大税收违法案件当事人名单”记录名单； 不处于中国政府采购网(www.ccgp.gov.cn)“政府采购严重违法失信行为信息记录”中的禁止参加政府采购活动期间。 （以采购代理机构于投标（响应） 截止时间当天在“信用中国”网站（www.creditchina.gov.cn） 及中国政府采购网（http://www.ccgp.gov.cn/） 查询结果为准， 如相关失信记录已失效，供应商需提供相关证明资料） 。</w:t>
      </w:r>
    </w:p>
    <w:p>
      <w:pPr>
        <w:pStyle w:val="23"/>
        <w:spacing w:line="360" w:lineRule="auto"/>
        <w:ind w:left="0" w:leftChars="0" w:firstLine="632" w:firstLineChars="300"/>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2）</w:t>
      </w:r>
      <w:r>
        <w:rPr>
          <w:rFonts w:hint="eastAsia" w:ascii="仿宋" w:hAnsi="仿宋" w:eastAsia="仿宋" w:cs="仿宋"/>
          <w:color w:val="auto"/>
          <w:kern w:val="0"/>
          <w:sz w:val="21"/>
          <w:szCs w:val="21"/>
          <w:highlight w:val="none"/>
        </w:rPr>
        <w:t>单位负责人为同一人或者存在直接控股、管理关系的不同供应商，不得同时参加本采购项目（或采购包）投标（响应）。为本项目提供整体设计、规范编制或者项目管理、 监理、检测等服务的供应商，不得再参与本项目投标（响应）。投标（报价） 函相关承诺要求内容。</w:t>
      </w:r>
    </w:p>
    <w:p>
      <w:pPr>
        <w:pStyle w:val="23"/>
        <w:spacing w:line="360" w:lineRule="auto"/>
        <w:ind w:left="0" w:leftChars="0" w:firstLine="632" w:firstLineChars="300"/>
        <w:rPr>
          <w:rFonts w:ascii="仿宋" w:hAnsi="仿宋" w:eastAsia="仿宋" w:cs="仿宋"/>
          <w:color w:val="auto"/>
          <w:kern w:val="0"/>
          <w:sz w:val="21"/>
          <w:szCs w:val="21"/>
          <w:highlight w:val="none"/>
        </w:rPr>
      </w:pPr>
      <w:r>
        <w:rPr>
          <w:rFonts w:hint="eastAsia" w:ascii="仿宋" w:hAnsi="仿宋" w:eastAsia="仿宋" w:cs="仿宋"/>
          <w:b/>
          <w:bCs/>
          <w:color w:val="auto"/>
          <w:kern w:val="0"/>
          <w:sz w:val="21"/>
          <w:szCs w:val="21"/>
          <w:highlight w:val="none"/>
        </w:rPr>
        <w:t>3）</w:t>
      </w:r>
      <w:r>
        <w:rPr>
          <w:rFonts w:hint="eastAsia" w:ascii="仿宋" w:hAnsi="仿宋" w:eastAsia="仿宋" w:cs="仿宋"/>
          <w:color w:val="auto"/>
          <w:kern w:val="0"/>
          <w:sz w:val="21"/>
          <w:szCs w:val="21"/>
          <w:highlight w:val="none"/>
        </w:rPr>
        <w:t>已办理报名并成功购买本招标文件的供应商。</w:t>
      </w:r>
    </w:p>
    <w:p>
      <w:pPr>
        <w:spacing w:line="360" w:lineRule="auto"/>
        <w:ind w:right="-34" w:firstLine="567" w:firstLineChars="270"/>
        <w:jc w:val="both"/>
        <w:rPr>
          <w:rFonts w:ascii="仿宋" w:hAnsi="仿宋" w:eastAsia="仿宋" w:cs="仿宋"/>
          <w:color w:val="auto"/>
          <w:szCs w:val="21"/>
          <w:highlight w:val="none"/>
        </w:rPr>
      </w:pPr>
      <w:r>
        <w:rPr>
          <w:rFonts w:hint="eastAsia" w:ascii="仿宋" w:hAnsi="仿宋" w:eastAsia="仿宋" w:cs="仿宋"/>
          <w:color w:val="auto"/>
          <w:szCs w:val="21"/>
          <w:highlight w:val="none"/>
        </w:rPr>
        <w:t>获取招标文件方式：投标人直接在（远东电子交易平台http://www.gdydzb.com/）上报名。</w:t>
      </w:r>
    </w:p>
    <w:p>
      <w:pPr>
        <w:spacing w:line="360" w:lineRule="auto"/>
        <w:ind w:right="-34" w:firstLine="210" w:firstLineChars="100"/>
        <w:jc w:val="both"/>
        <w:rPr>
          <w:rFonts w:ascii="仿宋" w:hAnsi="仿宋" w:eastAsia="仿宋" w:cs="仿宋"/>
          <w:color w:val="auto"/>
          <w:szCs w:val="21"/>
          <w:highlight w:val="none"/>
        </w:rPr>
      </w:pPr>
      <w:r>
        <w:rPr>
          <w:rFonts w:hint="eastAsia" w:ascii="仿宋" w:hAnsi="仿宋" w:eastAsia="仿宋" w:cs="仿宋"/>
          <w:color w:val="auto"/>
          <w:szCs w:val="21"/>
          <w:highlight w:val="none"/>
        </w:rPr>
        <w:t>【备注】：</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1.已办理报名并成功购买招标文件的供应商参加投标的，不代表通过资格性审查、符合性审查。</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2.本项目招标文件只在远东电子交易平台在线上发售，投标供应商在购买招标文件之前，登录广东远东招标代理有限公司网站http://www.gdydzb.com或远东电子交易平台http://trade.gdydzb.com进行网上注册（已注册请忽略，直接登录进行报名与购标操作），具体流程操作见网站http://www.gdydzb.com“下载专区——投标人操作手册”或远东电子交易平台http://trade.gdydzb.com </w:t>
      </w:r>
      <w:r>
        <w:rPr>
          <w:rFonts w:hint="eastAsia" w:ascii="仿宋" w:hAnsi="仿宋" w:eastAsia="仿宋" w:cs="仿宋"/>
          <w:color w:val="auto"/>
          <w:szCs w:val="21"/>
          <w:highlight w:val="none"/>
          <w:lang w:eastAsia="zh-CN"/>
        </w:rPr>
        <w:t>登录窗口</w:t>
      </w:r>
      <w:r>
        <w:rPr>
          <w:rFonts w:hint="eastAsia" w:ascii="仿宋" w:hAnsi="仿宋" w:eastAsia="仿宋" w:cs="仿宋"/>
          <w:color w:val="auto"/>
          <w:szCs w:val="21"/>
          <w:highlight w:val="none"/>
        </w:rPr>
        <w:t>的“操作手册”。</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3.符合资格的供应商在网上注册成功后方可报名与购买招标文件，购买方式：网上购买，主要操作过程如下：</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1）注册：在远东电子交易平台(http://trade.gdydzb.com)完成注册（详细可查看《投标人操作手册》）；</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2）选择项目：登录后，在“所有项目”中，搜索到需要参与的项目，点击"投标</w:t>
      </w:r>
      <w:bookmarkStart w:id="51" w:name="_GoBack"/>
      <w:bookmarkEnd w:id="51"/>
      <w:r>
        <w:rPr>
          <w:rFonts w:hint="eastAsia" w:ascii="仿宋" w:hAnsi="仿宋" w:eastAsia="仿宋" w:cs="仿宋"/>
          <w:color w:val="auto"/>
          <w:szCs w:val="21"/>
          <w:highlight w:val="none"/>
        </w:rPr>
        <w:t>"；</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3）报名参与：选择相应的标段/子包报名登记资料（请根据供应商资格提交相应的资料扫描件，如有多个请全部压缩成一个文件再上传），提交后请等待审核；</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4）购买招标文件：在登记资料通过审核后，请在“标书购买”中选择相应的标段，通过网上支付方式完成支付并下载招标文件。</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5）标书款发票：申请开票后，电子发票下载地址会发给投标人所留的手机号码与邮箱。</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六、符合资格的供应商应当在2023年</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日起至2023年</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15</w:t>
      </w:r>
      <w:r>
        <w:rPr>
          <w:rFonts w:hint="eastAsia" w:ascii="仿宋" w:hAnsi="仿宋" w:eastAsia="仿宋" w:cs="仿宋"/>
          <w:color w:val="auto"/>
          <w:szCs w:val="21"/>
          <w:highlight w:val="none"/>
        </w:rPr>
        <w:t>日期间（办公时间内：上午9:00分至12:00；下午14:30至17:30，法定节假日除外）网上购买招标文件，招标文件售价300元（人民币），售后不退。</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七、投标截止时间：2023年</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29</w:t>
      </w:r>
      <w:r>
        <w:rPr>
          <w:rFonts w:hint="eastAsia" w:ascii="仿宋" w:hAnsi="仿宋" w:eastAsia="仿宋" w:cs="仿宋"/>
          <w:color w:val="auto"/>
          <w:szCs w:val="21"/>
          <w:highlight w:val="none"/>
        </w:rPr>
        <w:t>日09时30分</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八、投标文件递交地点：广州市越秀区越秀北路222号越良大厦13楼开标室</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九、开标评标时间：2023年</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29</w:t>
      </w:r>
      <w:r>
        <w:rPr>
          <w:rFonts w:hint="eastAsia" w:ascii="仿宋" w:hAnsi="仿宋" w:eastAsia="仿宋" w:cs="仿宋"/>
          <w:color w:val="auto"/>
          <w:szCs w:val="21"/>
          <w:highlight w:val="none"/>
        </w:rPr>
        <w:t>日09时30分</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十、开标评标地点：广州市越秀区越秀北路222号越良大厦13楼开标室</w:t>
      </w:r>
    </w:p>
    <w:p>
      <w:pPr>
        <w:spacing w:line="360" w:lineRule="auto"/>
        <w:ind w:right="-34"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十一、本公告期限（5个工作日）自2023年</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日至2023年</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15</w:t>
      </w:r>
      <w:r>
        <w:rPr>
          <w:rFonts w:hint="eastAsia" w:ascii="仿宋" w:hAnsi="仿宋" w:eastAsia="仿宋" w:cs="仿宋"/>
          <w:color w:val="auto"/>
          <w:szCs w:val="21"/>
          <w:highlight w:val="none"/>
        </w:rPr>
        <w:t>日止。</w:t>
      </w:r>
    </w:p>
    <w:tbl>
      <w:tblPr>
        <w:tblStyle w:val="49"/>
        <w:tblW w:w="0" w:type="auto"/>
        <w:tblInd w:w="160" w:type="dxa"/>
        <w:tblLayout w:type="fixed"/>
        <w:tblCellMar>
          <w:top w:w="0" w:type="dxa"/>
          <w:left w:w="0" w:type="dxa"/>
          <w:bottom w:w="0" w:type="dxa"/>
          <w:right w:w="0" w:type="dxa"/>
        </w:tblCellMar>
      </w:tblPr>
      <w:tblGrid>
        <w:gridCol w:w="1933"/>
        <w:gridCol w:w="3415"/>
        <w:gridCol w:w="1620"/>
        <w:gridCol w:w="2619"/>
      </w:tblGrid>
      <w:tr>
        <w:tblPrEx>
          <w:tblCellMar>
            <w:top w:w="0" w:type="dxa"/>
            <w:left w:w="0" w:type="dxa"/>
            <w:bottom w:w="0" w:type="dxa"/>
            <w:right w:w="0" w:type="dxa"/>
          </w:tblCellMar>
        </w:tblPrEx>
        <w:trPr>
          <w:trHeight w:val="227" w:hRule="atLeast"/>
        </w:trPr>
        <w:tc>
          <w:tcPr>
            <w:tcW w:w="1933"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代理机构联系人：</w:t>
            </w:r>
          </w:p>
        </w:tc>
        <w:tc>
          <w:tcPr>
            <w:tcW w:w="3415" w:type="dxa"/>
            <w:tcMar>
              <w:top w:w="0" w:type="dxa"/>
              <w:left w:w="108" w:type="dxa"/>
              <w:bottom w:w="0" w:type="dxa"/>
              <w:right w:w="108" w:type="dxa"/>
            </w:tcMar>
          </w:tcPr>
          <w:p>
            <w:pPr>
              <w:widowControl/>
              <w:snapToGrid w:val="0"/>
              <w:spacing w:line="360" w:lineRule="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rPr>
              <w:t>高小姐</w:t>
            </w:r>
          </w:p>
        </w:tc>
        <w:tc>
          <w:tcPr>
            <w:tcW w:w="1620"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采购人联系人：</w:t>
            </w:r>
          </w:p>
        </w:tc>
        <w:tc>
          <w:tcPr>
            <w:tcW w:w="2619"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张先生</w:t>
            </w:r>
          </w:p>
        </w:tc>
      </w:tr>
      <w:tr>
        <w:tblPrEx>
          <w:tblCellMar>
            <w:top w:w="0" w:type="dxa"/>
            <w:left w:w="0" w:type="dxa"/>
            <w:bottom w:w="0" w:type="dxa"/>
            <w:right w:w="0" w:type="dxa"/>
          </w:tblCellMar>
        </w:tblPrEx>
        <w:trPr>
          <w:trHeight w:val="227" w:hRule="atLeast"/>
        </w:trPr>
        <w:tc>
          <w:tcPr>
            <w:tcW w:w="1933"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3415" w:type="dxa"/>
            <w:tcMar>
              <w:top w:w="0" w:type="dxa"/>
              <w:left w:w="108" w:type="dxa"/>
              <w:bottom w:w="0" w:type="dxa"/>
              <w:right w:w="108" w:type="dxa"/>
            </w:tcMar>
          </w:tcPr>
          <w:p>
            <w:pPr>
              <w:widowControl/>
              <w:snapToGrid w:val="0"/>
              <w:spacing w:line="360" w:lineRule="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rPr>
              <w:t>020-83642820转826</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823</w:t>
            </w:r>
          </w:p>
        </w:tc>
        <w:tc>
          <w:tcPr>
            <w:tcW w:w="1620"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2619"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020-87776918</w:t>
            </w:r>
          </w:p>
        </w:tc>
      </w:tr>
      <w:tr>
        <w:tblPrEx>
          <w:tblCellMar>
            <w:top w:w="0" w:type="dxa"/>
            <w:left w:w="0" w:type="dxa"/>
            <w:bottom w:w="0" w:type="dxa"/>
            <w:right w:w="0" w:type="dxa"/>
          </w:tblCellMar>
        </w:tblPrEx>
        <w:trPr>
          <w:trHeight w:val="227" w:hRule="atLeast"/>
        </w:trPr>
        <w:tc>
          <w:tcPr>
            <w:tcW w:w="1933"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传真：</w:t>
            </w:r>
          </w:p>
        </w:tc>
        <w:tc>
          <w:tcPr>
            <w:tcW w:w="3415"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020-83642820转822</w:t>
            </w:r>
          </w:p>
        </w:tc>
        <w:tc>
          <w:tcPr>
            <w:tcW w:w="1620"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传真：</w:t>
            </w:r>
          </w:p>
        </w:tc>
        <w:tc>
          <w:tcPr>
            <w:tcW w:w="2619"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020-87776918</w:t>
            </w:r>
          </w:p>
        </w:tc>
      </w:tr>
      <w:tr>
        <w:tblPrEx>
          <w:tblCellMar>
            <w:top w:w="0" w:type="dxa"/>
            <w:left w:w="0" w:type="dxa"/>
            <w:bottom w:w="0" w:type="dxa"/>
            <w:right w:w="0" w:type="dxa"/>
          </w:tblCellMar>
        </w:tblPrEx>
        <w:trPr>
          <w:trHeight w:val="227" w:hRule="atLeast"/>
        </w:trPr>
        <w:tc>
          <w:tcPr>
            <w:tcW w:w="1933"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联系地址：</w:t>
            </w:r>
          </w:p>
        </w:tc>
        <w:tc>
          <w:tcPr>
            <w:tcW w:w="3415"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广州市越秀区越秀北路222号越良大厦6楼</w:t>
            </w:r>
          </w:p>
        </w:tc>
        <w:tc>
          <w:tcPr>
            <w:tcW w:w="1620"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联系地址：</w:t>
            </w:r>
          </w:p>
        </w:tc>
        <w:tc>
          <w:tcPr>
            <w:tcW w:w="2619" w:type="dxa"/>
            <w:tcMar>
              <w:top w:w="0" w:type="dxa"/>
              <w:left w:w="108" w:type="dxa"/>
              <w:bottom w:w="0" w:type="dxa"/>
              <w:right w:w="108" w:type="dxa"/>
            </w:tcMar>
          </w:tcPr>
          <w:p>
            <w:pPr>
              <w:widowControl/>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广州市越秀区福今路6号</w:t>
            </w:r>
          </w:p>
        </w:tc>
      </w:tr>
    </w:tbl>
    <w:p>
      <w:pPr>
        <w:widowControl/>
        <w:spacing w:line="360" w:lineRule="auto"/>
        <w:ind w:firstLine="4340"/>
        <w:jc w:val="right"/>
        <w:rPr>
          <w:rFonts w:ascii="仿宋" w:hAnsi="仿宋" w:eastAsia="仿宋" w:cs="仿宋"/>
          <w:color w:val="auto"/>
          <w:szCs w:val="21"/>
          <w:highlight w:val="none"/>
        </w:rPr>
      </w:pPr>
      <w:r>
        <w:rPr>
          <w:rFonts w:hint="eastAsia" w:ascii="仿宋" w:hAnsi="仿宋" w:eastAsia="仿宋" w:cs="仿宋"/>
          <w:color w:val="auto"/>
          <w:szCs w:val="21"/>
          <w:highlight w:val="none"/>
        </w:rPr>
        <w:t>广东远东招标代理有限公司</w:t>
      </w:r>
    </w:p>
    <w:p>
      <w:pPr>
        <w:widowControl/>
        <w:spacing w:line="360" w:lineRule="auto"/>
        <w:ind w:right="315" w:firstLine="3920"/>
        <w:jc w:val="right"/>
        <w:rPr>
          <w:rFonts w:ascii="仿宋" w:hAnsi="仿宋" w:eastAsia="仿宋" w:cs="仿宋"/>
          <w:color w:val="auto"/>
          <w:szCs w:val="21"/>
          <w:highlight w:val="none"/>
        </w:rPr>
      </w:pPr>
      <w:r>
        <w:rPr>
          <w:rFonts w:hint="eastAsia" w:ascii="仿宋" w:hAnsi="仿宋" w:eastAsia="仿宋" w:cs="仿宋"/>
          <w:color w:val="auto"/>
          <w:szCs w:val="21"/>
          <w:highlight w:val="none"/>
        </w:rPr>
        <w:t>2023年</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日</w:t>
      </w:r>
    </w:p>
    <w:p>
      <w:pPr>
        <w:pStyle w:val="3"/>
        <w:keepNext/>
        <w:keepLines/>
        <w:pageBreakBefore/>
        <w:tabs>
          <w:tab w:val="left" w:pos="1080"/>
        </w:tabs>
        <w:spacing w:line="360" w:lineRule="auto"/>
        <w:ind w:left="567" w:hanging="567"/>
        <w:jc w:val="center"/>
        <w:rPr>
          <w:rFonts w:hAnsi="宋体" w:cs="宋体"/>
          <w:b/>
          <w:bCs/>
          <w:color w:val="auto"/>
          <w:kern w:val="44"/>
          <w:sz w:val="32"/>
          <w:szCs w:val="32"/>
          <w:highlight w:val="none"/>
          <w:lang w:val="zh-CN"/>
        </w:rPr>
      </w:pPr>
      <w:r>
        <w:rPr>
          <w:rFonts w:hint="eastAsia" w:hAnsi="宋体" w:cs="宋体"/>
          <w:b/>
          <w:bCs/>
          <w:color w:val="auto"/>
          <w:kern w:val="44"/>
          <w:sz w:val="32"/>
          <w:szCs w:val="32"/>
          <w:highlight w:val="none"/>
          <w:lang w:val="zh-CN"/>
        </w:rPr>
        <w:t xml:space="preserve">第二篇 </w:t>
      </w:r>
      <w:r>
        <w:rPr>
          <w:rFonts w:hint="eastAsia" w:hAnsi="宋体" w:cs="宋体"/>
          <w:b/>
          <w:bCs/>
          <w:color w:val="auto"/>
          <w:kern w:val="44"/>
          <w:sz w:val="32"/>
          <w:szCs w:val="32"/>
          <w:highlight w:val="none"/>
          <w:lang w:val="zh-CN"/>
        </w:rPr>
        <w:tab/>
      </w:r>
      <w:r>
        <w:rPr>
          <w:rFonts w:hint="eastAsia" w:hAnsi="宋体" w:cs="宋体"/>
          <w:b/>
          <w:bCs/>
          <w:color w:val="auto"/>
          <w:kern w:val="44"/>
          <w:sz w:val="32"/>
          <w:szCs w:val="32"/>
          <w:highlight w:val="none"/>
          <w:lang w:val="zh-CN"/>
        </w:rPr>
        <w:t>投标人须知</w:t>
      </w:r>
    </w:p>
    <w:p>
      <w:pPr>
        <w:pStyle w:val="3"/>
        <w:keepNext/>
        <w:keepLines/>
        <w:tabs>
          <w:tab w:val="left" w:pos="1134"/>
        </w:tabs>
        <w:spacing w:line="360" w:lineRule="auto"/>
        <w:ind w:left="1134" w:hanging="567"/>
        <w:jc w:val="center"/>
        <w:rPr>
          <w:rFonts w:hAnsi="宋体" w:cs="宋体"/>
          <w:b/>
          <w:bCs/>
          <w:color w:val="auto"/>
          <w:kern w:val="44"/>
          <w:highlight w:val="none"/>
          <w:lang w:val="zh-CN"/>
        </w:rPr>
      </w:pPr>
      <w:r>
        <w:rPr>
          <w:rFonts w:hint="eastAsia" w:hAnsi="宋体" w:cs="宋体"/>
          <w:b/>
          <w:bCs/>
          <w:color w:val="auto"/>
          <w:kern w:val="44"/>
          <w:highlight w:val="none"/>
          <w:lang w:val="zh-CN"/>
        </w:rPr>
        <w:t>一、投标须知前附表</w:t>
      </w:r>
    </w:p>
    <w:tbl>
      <w:tblPr>
        <w:tblStyle w:val="4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921"/>
        <w:gridCol w:w="67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blHeader/>
          <w:jc w:val="center"/>
        </w:trPr>
        <w:tc>
          <w:tcPr>
            <w:tcW w:w="699" w:type="dxa"/>
            <w:tcBorders>
              <w:top w:val="doub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项目</w:t>
            </w:r>
          </w:p>
        </w:tc>
        <w:tc>
          <w:tcPr>
            <w:tcW w:w="1921" w:type="dxa"/>
            <w:tcBorders>
              <w:top w:val="doub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内容</w:t>
            </w:r>
          </w:p>
        </w:tc>
        <w:tc>
          <w:tcPr>
            <w:tcW w:w="6756" w:type="dxa"/>
            <w:tcBorders>
              <w:top w:val="double" w:color="auto" w:sz="4" w:space="0"/>
              <w:left w:val="single" w:color="auto" w:sz="4" w:space="0"/>
              <w:bottom w:val="single" w:color="auto" w:sz="4" w:space="0"/>
              <w:right w:val="doub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资金来源</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财政资金。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699" w:type="dxa"/>
            <w:vMerge w:val="restart"/>
            <w:tcBorders>
              <w:top w:val="single" w:color="auto" w:sz="4" w:space="0"/>
              <w:left w:val="doub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合格的投标人</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lang w:val="zh-CN"/>
              </w:rPr>
              <w:t>具体要求见本招标文件第一篇第五点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699" w:type="dxa"/>
            <w:vMerge w:val="continue"/>
            <w:tcBorders>
              <w:left w:val="double" w:color="auto" w:sz="4" w:space="0"/>
              <w:right w:val="single" w:color="auto" w:sz="4" w:space="0"/>
            </w:tcBorders>
            <w:vAlign w:val="center"/>
          </w:tcPr>
          <w:p>
            <w:pPr>
              <w:spacing w:line="360" w:lineRule="auto"/>
              <w:ind w:left="125"/>
              <w:jc w:val="center"/>
              <w:rPr>
                <w:rFonts w:ascii="仿宋" w:hAnsi="仿宋" w:eastAsia="仿宋" w:cs="仿宋"/>
                <w:color w:val="auto"/>
                <w:szCs w:val="21"/>
                <w:highlight w:val="none"/>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关于联合体</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ind w:right="-195" w:rightChars="-93"/>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本项目不允许联合体投标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699" w:type="dxa"/>
            <w:vMerge w:val="continue"/>
            <w:tcBorders>
              <w:left w:val="double" w:color="auto" w:sz="4" w:space="0"/>
              <w:right w:val="single" w:color="auto" w:sz="4" w:space="0"/>
            </w:tcBorders>
            <w:vAlign w:val="center"/>
          </w:tcPr>
          <w:p>
            <w:pPr>
              <w:spacing w:line="360" w:lineRule="auto"/>
              <w:ind w:left="125"/>
              <w:jc w:val="center"/>
              <w:rPr>
                <w:rFonts w:ascii="仿宋" w:hAnsi="仿宋" w:eastAsia="仿宋" w:cs="仿宋"/>
                <w:color w:val="auto"/>
                <w:szCs w:val="21"/>
                <w:highlight w:val="none"/>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投标人所投货物必须满足条件</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详见第一篇《投标邀请书》中的规定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699" w:type="dxa"/>
            <w:tcBorders>
              <w:left w:val="doub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踏勘现场</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本项目不适用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定义</w:t>
            </w:r>
          </w:p>
        </w:tc>
        <w:tc>
          <w:tcPr>
            <w:tcW w:w="6756" w:type="dxa"/>
            <w:tcBorders>
              <w:top w:val="single" w:color="auto" w:sz="4" w:space="0"/>
              <w:left w:val="single" w:color="auto" w:sz="4" w:space="0"/>
              <w:bottom w:val="single" w:color="auto" w:sz="4" w:space="0"/>
              <w:right w:val="double" w:color="auto" w:sz="4" w:space="0"/>
            </w:tcBorders>
            <w:vAlign w:val="center"/>
          </w:tcPr>
          <w:p>
            <w:pPr>
              <w:tabs>
                <w:tab w:val="left" w:pos="19"/>
                <w:tab w:val="left" w:pos="586"/>
              </w:tabs>
              <w:spacing w:line="360" w:lineRule="auto"/>
              <w:jc w:val="both"/>
              <w:rPr>
                <w:rFonts w:ascii="仿宋" w:hAnsi="仿宋" w:eastAsia="仿宋" w:cs="仿宋"/>
                <w:color w:val="auto"/>
                <w:highlight w:val="none"/>
                <w:lang w:val="zh-CN"/>
              </w:rPr>
            </w:pPr>
            <w:r>
              <w:rPr>
                <w:rFonts w:hint="eastAsia" w:ascii="仿宋" w:hAnsi="仿宋" w:eastAsia="仿宋" w:cs="仿宋"/>
                <w:color w:val="auto"/>
                <w:highlight w:val="none"/>
                <w:lang w:val="zh-CN"/>
              </w:rPr>
              <w:t>1.采购人：本项目的采购人是</w:t>
            </w:r>
            <w:r>
              <w:rPr>
                <w:rFonts w:hint="eastAsia" w:ascii="仿宋" w:hAnsi="仿宋" w:eastAsia="仿宋" w:cs="仿宋"/>
                <w:color w:val="auto"/>
                <w:highlight w:val="none"/>
              </w:rPr>
              <w:t>广东省气象局</w:t>
            </w:r>
            <w:r>
              <w:rPr>
                <w:rFonts w:hint="eastAsia" w:ascii="仿宋" w:hAnsi="仿宋" w:eastAsia="仿宋" w:cs="仿宋"/>
                <w:color w:val="auto"/>
                <w:highlight w:val="none"/>
                <w:lang w:val="zh-CN"/>
              </w:rPr>
              <w:t>。</w:t>
            </w:r>
          </w:p>
          <w:p>
            <w:pPr>
              <w:tabs>
                <w:tab w:val="left" w:pos="19"/>
                <w:tab w:val="left" w:pos="586"/>
              </w:tabs>
              <w:spacing w:line="360" w:lineRule="auto"/>
              <w:jc w:val="both"/>
              <w:rPr>
                <w:rFonts w:ascii="仿宋" w:hAnsi="仿宋" w:eastAsia="仿宋" w:cs="仿宋"/>
                <w:color w:val="auto"/>
                <w:highlight w:val="none"/>
                <w:lang w:val="zh-CN"/>
              </w:rPr>
            </w:pPr>
            <w:r>
              <w:rPr>
                <w:rFonts w:hint="eastAsia" w:ascii="仿宋" w:hAnsi="仿宋" w:eastAsia="仿宋" w:cs="仿宋"/>
                <w:color w:val="auto"/>
                <w:highlight w:val="none"/>
                <w:lang w:val="zh-CN"/>
              </w:rPr>
              <w:t>2.采购代理机构：系指 广东远东招标代理有限公司。</w:t>
            </w:r>
          </w:p>
          <w:p>
            <w:pPr>
              <w:tabs>
                <w:tab w:val="left" w:pos="19"/>
                <w:tab w:val="left" w:pos="586"/>
              </w:tabs>
              <w:spacing w:line="360" w:lineRule="auto"/>
              <w:jc w:val="both"/>
              <w:rPr>
                <w:rFonts w:ascii="仿宋" w:hAnsi="仿宋" w:eastAsia="仿宋" w:cs="仿宋"/>
                <w:color w:val="auto"/>
                <w:highlight w:val="none"/>
              </w:rPr>
            </w:pPr>
            <w:r>
              <w:rPr>
                <w:rFonts w:hint="eastAsia" w:ascii="仿宋" w:hAnsi="仿宋" w:eastAsia="仿宋" w:cs="仿宋"/>
                <w:color w:val="auto"/>
                <w:highlight w:val="none"/>
                <w:lang w:val="zh-CN"/>
              </w:rPr>
              <w:t>3.政府采购监督管理部门：</w:t>
            </w:r>
            <w:r>
              <w:rPr>
                <w:rFonts w:hint="eastAsia" w:ascii="仿宋" w:hAnsi="仿宋" w:eastAsia="仿宋" w:cs="仿宋"/>
                <w:color w:val="auto"/>
                <w:highlight w:val="none"/>
              </w:rPr>
              <w:t>中华人民共和国财政部</w:t>
            </w:r>
            <w:r>
              <w:rPr>
                <w:rFonts w:hint="eastAsia" w:ascii="仿宋" w:hAnsi="仿宋" w:eastAsia="仿宋" w:cs="仿宋"/>
                <w:color w:val="auto"/>
                <w:highlight w:val="none"/>
                <w:lang w:val="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5</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招标文件的澄清</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1.采购人不统一组织答疑会</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2.投标人质疑期限：招标文件公示期间或者自期满之日起7个工作日内以书面形式向采购人或招标代理机构提出质疑</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3.采购人澄清、修补或答疑期限：在投标截止日期前</w:t>
            </w:r>
            <w:r>
              <w:rPr>
                <w:rFonts w:hint="eastAsia" w:ascii="仿宋" w:hAnsi="仿宋" w:eastAsia="仿宋" w:cs="仿宋"/>
                <w:color w:val="auto"/>
                <w:szCs w:val="21"/>
                <w:highlight w:val="none"/>
                <w:u w:val="single"/>
              </w:rPr>
              <w:t>15</w:t>
            </w:r>
            <w:r>
              <w:rPr>
                <w:rFonts w:hint="eastAsia" w:ascii="仿宋" w:hAnsi="仿宋" w:eastAsia="仿宋" w:cs="仿宋"/>
                <w:color w:val="auto"/>
                <w:szCs w:val="21"/>
                <w:highlight w:val="none"/>
              </w:rPr>
              <w:t xml:space="preserve"> 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99" w:type="dxa"/>
            <w:tcBorders>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6</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投标样板</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本项目不适用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7</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投标报价</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本采购项目最高投标限价为：详见第一篇《投标邀请书》中的规定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8</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证明投标人的资格性的证明文件</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ind w:right="-34"/>
              <w:jc w:val="both"/>
              <w:rPr>
                <w:rFonts w:ascii="仿宋" w:hAnsi="仿宋" w:eastAsia="仿宋" w:cs="仿宋"/>
                <w:color w:val="auto"/>
                <w:szCs w:val="21"/>
                <w:highlight w:val="none"/>
              </w:rPr>
            </w:pPr>
            <w:r>
              <w:rPr>
                <w:rFonts w:hint="eastAsia" w:ascii="仿宋" w:hAnsi="仿宋" w:eastAsia="仿宋" w:cs="仿宋"/>
                <w:color w:val="auto"/>
                <w:szCs w:val="21"/>
                <w:highlight w:val="none"/>
              </w:rPr>
              <w:t>1.投标供应商应具备《政府采购法》第二十二条规定的条件，提供下列材料：</w:t>
            </w:r>
          </w:p>
          <w:p>
            <w:pPr>
              <w:spacing w:line="360" w:lineRule="auto"/>
              <w:ind w:right="-34"/>
              <w:jc w:val="both"/>
              <w:rPr>
                <w:rFonts w:hint="eastAsia" w:ascii="仿宋" w:hAnsi="仿宋" w:eastAsia="仿宋" w:cs="仿宋"/>
                <w:b/>
                <w:color w:val="auto"/>
                <w:szCs w:val="21"/>
                <w:highlight w:val="none"/>
                <w:lang w:eastAsia="zh-CN"/>
              </w:rPr>
            </w:pPr>
            <w:r>
              <w:rPr>
                <w:rFonts w:hint="eastAsia" w:ascii="仿宋" w:hAnsi="仿宋" w:eastAsia="仿宋" w:cs="仿宋"/>
                <w:b/>
                <w:color w:val="auto"/>
                <w:szCs w:val="21"/>
                <w:highlight w:val="none"/>
              </w:rPr>
              <w:t>1）具有独立承担民事责任的能力：</w:t>
            </w:r>
            <w:r>
              <w:rPr>
                <w:rFonts w:hint="eastAsia" w:ascii="仿宋" w:hAnsi="仿宋" w:eastAsia="仿宋" w:cs="仿宋"/>
                <w:bCs/>
                <w:color w:val="auto"/>
                <w:szCs w:val="21"/>
                <w:highlight w:val="none"/>
                <w:lang w:eastAsia="zh-CN"/>
              </w:rPr>
              <w:t>提供投标截止日前6个月内任意1个月依法缴纳税收和社会保障资金的相关材料。如依法免税或不需要缴纳社会保障资金的，提供相应证明材料。</w:t>
            </w:r>
          </w:p>
          <w:p>
            <w:pPr>
              <w:pStyle w:val="45"/>
              <w:shd w:val="clear" w:color="auto" w:fill="FFFFFF"/>
              <w:spacing w:before="0" w:beforeAutospacing="0" w:after="0" w:afterAutospacing="0" w:line="360" w:lineRule="auto"/>
              <w:textAlignment w:val="baseline"/>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2）有依法缴纳税收和社会保障资金的良好记录：</w:t>
            </w:r>
            <w:r>
              <w:rPr>
                <w:rFonts w:hint="eastAsia" w:ascii="仿宋" w:hAnsi="仿宋" w:eastAsia="仿宋" w:cs="仿宋"/>
                <w:bCs/>
                <w:color w:val="auto"/>
                <w:sz w:val="21"/>
                <w:szCs w:val="21"/>
                <w:highlight w:val="none"/>
              </w:rPr>
              <w:t>有依法缴纳税收和社会保障资金的良好记录（提供承诺函，格式自拟）。</w:t>
            </w:r>
          </w:p>
          <w:p>
            <w:pPr>
              <w:pStyle w:val="45"/>
              <w:shd w:val="clear" w:color="auto" w:fill="FFFFFF"/>
              <w:spacing w:before="0" w:beforeAutospacing="0" w:after="0" w:afterAutospacing="0" w:line="360" w:lineRule="auto"/>
              <w:textAlignment w:val="baseline"/>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rPr>
              <w:t>3）具有良好的商业信誉和健全的财务会计制度：</w:t>
            </w:r>
            <w:r>
              <w:rPr>
                <w:rFonts w:hint="eastAsia" w:ascii="仿宋" w:hAnsi="仿宋" w:eastAsia="仿宋" w:cs="仿宋"/>
                <w:bCs/>
                <w:color w:val="auto"/>
                <w:sz w:val="21"/>
                <w:szCs w:val="21"/>
                <w:highlight w:val="none"/>
                <w:lang w:eastAsia="zh-CN"/>
              </w:rPr>
              <w:t>供应商必须具有良好的商业信誉和健全的财务会计制度（提供2021年度财务状况报告或基本开户行出具的资信证明）。</w:t>
            </w:r>
          </w:p>
          <w:p>
            <w:pPr>
              <w:pStyle w:val="45"/>
              <w:shd w:val="clear" w:color="auto" w:fill="FFFFFF"/>
              <w:spacing w:before="0" w:beforeAutospacing="0" w:after="0" w:afterAutospacing="0" w:line="360" w:lineRule="auto"/>
              <w:textAlignment w:val="baseline"/>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rPr>
              <w:t>4）履行合同所必需的设备和专业技术能力：</w:t>
            </w:r>
            <w:r>
              <w:rPr>
                <w:rFonts w:hint="eastAsia" w:ascii="仿宋" w:hAnsi="仿宋" w:eastAsia="仿宋" w:cs="仿宋"/>
                <w:bCs/>
                <w:color w:val="auto"/>
                <w:sz w:val="21"/>
                <w:szCs w:val="21"/>
                <w:highlight w:val="none"/>
                <w:lang w:eastAsia="zh-CN"/>
              </w:rPr>
              <w:t>填报所必需的设备及专业技术能力情况。（格式自拟）</w:t>
            </w:r>
          </w:p>
          <w:p>
            <w:pPr>
              <w:pStyle w:val="45"/>
              <w:shd w:val="clear" w:color="auto" w:fill="FFFFFF"/>
              <w:spacing w:before="0" w:beforeAutospacing="0" w:after="0" w:afterAutospacing="0" w:line="360" w:lineRule="auto"/>
              <w:textAlignment w:val="baseline"/>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rPr>
              <w:t>5）参加采购活动前3年内，在经营活动中没有重大违法记录：</w:t>
            </w:r>
            <w:r>
              <w:rPr>
                <w:rFonts w:hint="eastAsia" w:ascii="仿宋" w:hAnsi="仿宋" w:eastAsia="仿宋" w:cs="仿宋"/>
                <w:bCs/>
                <w:color w:val="auto"/>
                <w:sz w:val="21"/>
                <w:szCs w:val="21"/>
                <w:highlight w:val="none"/>
                <w:lang w:eastAsia="zh-CN"/>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spacing w:line="360" w:lineRule="auto"/>
              <w:ind w:right="-34"/>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2.落实政府采购政策需满足的资格要求：</w:t>
            </w:r>
            <w:r>
              <w:rPr>
                <w:rFonts w:hint="eastAsia" w:ascii="仿宋" w:hAnsi="仿宋" w:eastAsia="仿宋" w:cs="仿宋"/>
                <w:color w:val="auto"/>
                <w:szCs w:val="21"/>
                <w:highlight w:val="none"/>
              </w:rPr>
              <w:t>无</w:t>
            </w:r>
          </w:p>
          <w:p>
            <w:pPr>
              <w:spacing w:line="360" w:lineRule="auto"/>
              <w:ind w:right="-34"/>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3.本项目的特定资格要求：</w:t>
            </w:r>
          </w:p>
          <w:p>
            <w:pPr>
              <w:spacing w:line="360" w:lineRule="auto"/>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1）信用记录：</w:t>
            </w:r>
            <w:r>
              <w:rPr>
                <w:rFonts w:hint="eastAsia" w:ascii="仿宋" w:hAnsi="仿宋" w:eastAsia="仿宋" w:cs="仿宋"/>
                <w:color w:val="auto"/>
                <w:szCs w:val="21"/>
                <w:highlight w:val="none"/>
              </w:rPr>
              <w:t>供应商未被列入“信用中国”网站(www.creditchina.gov.cn)“记录失信被执行人或重大税收违法案件当事人名单”记录名单；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 查询结果为准， 如相关失信记录已失效，供应商需提供相关证明资料） 。</w:t>
            </w:r>
          </w:p>
          <w:p>
            <w:pPr>
              <w:pStyle w:val="23"/>
              <w:spacing w:line="360" w:lineRule="auto"/>
              <w:ind w:left="0" w:leftChars="0" w:firstLineChars="0"/>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2）</w:t>
            </w:r>
            <w:r>
              <w:rPr>
                <w:rFonts w:hint="eastAsia" w:ascii="仿宋" w:hAnsi="仿宋" w:eastAsia="仿宋" w:cs="仿宋"/>
                <w:color w:val="auto"/>
                <w:kern w:val="0"/>
                <w:sz w:val="21"/>
                <w:szCs w:val="21"/>
                <w:highlight w:val="none"/>
              </w:rPr>
              <w:t>单位负责人为同一人或者存在直接控股、管理关系的不同供应商，不得同时参加本采购项目（或采购包）投标（响应）。为本项目提供整体设计、规范编制或者项目管理、 监理、检测等服务的供应商，不得再参与本项目投标（响应）。投标（报价） 函相关承诺要求内容。</w:t>
            </w:r>
          </w:p>
          <w:p>
            <w:pPr>
              <w:pStyle w:val="23"/>
              <w:spacing w:line="360" w:lineRule="auto"/>
              <w:ind w:left="0" w:leftChars="0" w:firstLineChars="0"/>
              <w:rPr>
                <w:rFonts w:ascii="仿宋" w:hAnsi="仿宋" w:eastAsia="仿宋" w:cs="仿宋"/>
                <w:color w:val="auto"/>
                <w:highlight w:val="none"/>
              </w:rPr>
            </w:pPr>
            <w:r>
              <w:rPr>
                <w:rFonts w:hint="eastAsia" w:ascii="仿宋" w:hAnsi="仿宋" w:eastAsia="仿宋" w:cs="仿宋"/>
                <w:b/>
                <w:bCs/>
                <w:color w:val="auto"/>
                <w:kern w:val="0"/>
                <w:sz w:val="21"/>
                <w:szCs w:val="21"/>
                <w:highlight w:val="none"/>
              </w:rPr>
              <w:t>3）</w:t>
            </w:r>
            <w:r>
              <w:rPr>
                <w:rFonts w:hint="eastAsia" w:ascii="仿宋" w:hAnsi="仿宋" w:eastAsia="仿宋" w:cs="仿宋"/>
                <w:color w:val="auto"/>
                <w:kern w:val="0"/>
                <w:sz w:val="21"/>
                <w:szCs w:val="21"/>
                <w:highlight w:val="none"/>
              </w:rPr>
              <w:t>已办理报名并成功购买本招标文件的供应商。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9</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投标保证金</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ascii="仿宋" w:hAnsi="仿宋" w:eastAsia="仿宋" w:cs="仿宋"/>
                <w:bCs/>
                <w:color w:val="auto"/>
                <w:szCs w:val="21"/>
                <w:highlight w:val="none"/>
              </w:rPr>
            </w:pPr>
            <w:r>
              <w:rPr>
                <w:rFonts w:hint="eastAsia" w:ascii="仿宋" w:hAnsi="仿宋" w:eastAsia="仿宋" w:cs="仿宋"/>
                <w:bCs/>
                <w:color w:val="auto"/>
                <w:szCs w:val="21"/>
                <w:highlight w:val="none"/>
              </w:rPr>
              <w:t>本项目不适用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10</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投标有效期</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ascii="仿宋" w:hAnsi="仿宋" w:eastAsia="仿宋" w:cs="仿宋"/>
                <w:bCs/>
                <w:color w:val="auto"/>
                <w:szCs w:val="21"/>
                <w:highlight w:val="none"/>
              </w:rPr>
            </w:pPr>
            <w:r>
              <w:rPr>
                <w:rFonts w:hint="eastAsia" w:ascii="仿宋" w:hAnsi="仿宋" w:eastAsia="仿宋" w:cs="仿宋"/>
                <w:bCs/>
                <w:color w:val="auto"/>
                <w:kern w:val="2"/>
                <w:szCs w:val="21"/>
                <w:highlight w:val="none"/>
                <w:lang w:val="zh-CN"/>
              </w:rPr>
              <w:t>递交投标文件截止日后90天内有效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11</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投标文件份数</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ind w:left="315" w:hanging="315" w:hangingChars="150"/>
              <w:jc w:val="both"/>
              <w:rPr>
                <w:rFonts w:ascii="仿宋" w:hAnsi="仿宋" w:eastAsia="仿宋" w:cs="仿宋"/>
                <w:color w:val="auto"/>
                <w:szCs w:val="21"/>
                <w:highlight w:val="none"/>
              </w:rPr>
            </w:pPr>
            <w:r>
              <w:rPr>
                <w:rFonts w:hint="eastAsia" w:ascii="仿宋" w:hAnsi="仿宋" w:eastAsia="仿宋" w:cs="仿宋"/>
                <w:color w:val="auto"/>
                <w:szCs w:val="21"/>
                <w:highlight w:val="none"/>
              </w:rPr>
              <w:t>1.投标文件由自查表、商务技术文件、经济文件</w:t>
            </w:r>
            <w:r>
              <w:rPr>
                <w:rFonts w:hint="eastAsia" w:ascii="仿宋" w:hAnsi="仿宋" w:eastAsia="仿宋" w:cs="仿宋"/>
                <w:color w:val="auto"/>
                <w:kern w:val="2"/>
                <w:szCs w:val="21"/>
                <w:highlight w:val="none"/>
                <w:lang w:val="zh-CN"/>
              </w:rPr>
              <w:t>三部分</w:t>
            </w:r>
            <w:r>
              <w:rPr>
                <w:rFonts w:hint="eastAsia" w:ascii="仿宋" w:hAnsi="仿宋" w:eastAsia="仿宋" w:cs="仿宋"/>
                <w:color w:val="auto"/>
                <w:szCs w:val="21"/>
                <w:highlight w:val="none"/>
              </w:rPr>
              <w:t>组成，合编成一本投标文件。</w:t>
            </w:r>
          </w:p>
          <w:p>
            <w:pPr>
              <w:autoSpaceDE/>
              <w:autoSpaceDN/>
              <w:adjustRightInd/>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2.唱标信封一份。</w:t>
            </w:r>
          </w:p>
          <w:p>
            <w:pPr>
              <w:autoSpaceDE/>
              <w:autoSpaceDN/>
              <w:adjustRightInd/>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3.电子文件一份。</w:t>
            </w:r>
          </w:p>
          <w:p>
            <w:pPr>
              <w:autoSpaceDE/>
              <w:autoSpaceDN/>
              <w:adjustRightInd/>
              <w:spacing w:line="360" w:lineRule="auto"/>
              <w:ind w:left="210" w:leftChars="100"/>
              <w:jc w:val="both"/>
              <w:rPr>
                <w:rFonts w:ascii="仿宋" w:hAnsi="仿宋" w:eastAsia="仿宋" w:cs="仿宋"/>
                <w:color w:val="auto"/>
                <w:szCs w:val="21"/>
                <w:highlight w:val="none"/>
              </w:rPr>
            </w:pPr>
            <w:r>
              <w:rPr>
                <w:rFonts w:hint="eastAsia" w:ascii="仿宋" w:hAnsi="仿宋" w:eastAsia="仿宋" w:cs="仿宋"/>
                <w:color w:val="auto"/>
                <w:szCs w:val="21"/>
                <w:highlight w:val="none"/>
              </w:rPr>
              <w:t>投标文件一式五份，其中，一份正本，四份副本。</w:t>
            </w:r>
          </w:p>
          <w:p>
            <w:pPr>
              <w:autoSpaceDE/>
              <w:autoSpaceDN/>
              <w:adjustRightInd/>
              <w:spacing w:line="360" w:lineRule="auto"/>
              <w:ind w:left="210" w:leftChars="100"/>
              <w:jc w:val="both"/>
              <w:rPr>
                <w:rFonts w:ascii="仿宋" w:hAnsi="仿宋" w:eastAsia="仿宋" w:cs="仿宋"/>
                <w:color w:val="auto"/>
                <w:szCs w:val="21"/>
                <w:highlight w:val="none"/>
              </w:rPr>
            </w:pPr>
            <w:r>
              <w:rPr>
                <w:rFonts w:hint="eastAsia" w:ascii="仿宋" w:hAnsi="仿宋" w:eastAsia="仿宋" w:cs="仿宋"/>
                <w:color w:val="auto"/>
                <w:szCs w:val="21"/>
                <w:highlight w:val="none"/>
              </w:rPr>
              <w:t>投标文件密封包封为1包（内含投标文件正本及副本）</w:t>
            </w:r>
          </w:p>
          <w:p>
            <w:pPr>
              <w:autoSpaceDE/>
              <w:autoSpaceDN/>
              <w:adjustRightInd/>
              <w:spacing w:line="360" w:lineRule="auto"/>
              <w:ind w:left="210" w:leftChars="100"/>
              <w:jc w:val="both"/>
              <w:rPr>
                <w:rFonts w:ascii="仿宋" w:hAnsi="仿宋" w:eastAsia="仿宋" w:cs="仿宋"/>
                <w:color w:val="auto"/>
                <w:szCs w:val="21"/>
                <w:highlight w:val="none"/>
              </w:rPr>
            </w:pPr>
            <w:r>
              <w:rPr>
                <w:rFonts w:hint="eastAsia" w:ascii="仿宋" w:hAnsi="仿宋" w:eastAsia="仿宋" w:cs="仿宋"/>
                <w:color w:val="auto"/>
                <w:szCs w:val="21"/>
                <w:highlight w:val="none"/>
              </w:rPr>
              <w:t>唱标信封密封包封为1包（内含唱标信封1份，投标文件电子文件1份）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12</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bCs/>
                <w:color w:val="auto"/>
                <w:szCs w:val="21"/>
                <w:highlight w:val="none"/>
              </w:rPr>
              <w:t>投标文件的递交、接收和密封</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详见《投标邀请书》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13</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bCs/>
                <w:color w:val="auto"/>
                <w:szCs w:val="21"/>
                <w:highlight w:val="none"/>
              </w:rPr>
            </w:pPr>
            <w:r>
              <w:rPr>
                <w:rFonts w:hint="eastAsia" w:ascii="仿宋" w:hAnsi="仿宋" w:eastAsia="仿宋" w:cs="仿宋"/>
                <w:bCs/>
                <w:color w:val="auto"/>
                <w:szCs w:val="21"/>
                <w:highlight w:val="none"/>
              </w:rPr>
              <w:t>开标时间、地点</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详见《投标邀请书》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14</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bCs/>
                <w:color w:val="auto"/>
                <w:szCs w:val="21"/>
                <w:highlight w:val="none"/>
              </w:rPr>
            </w:pPr>
            <w:r>
              <w:rPr>
                <w:rFonts w:hint="eastAsia" w:ascii="仿宋" w:hAnsi="仿宋" w:eastAsia="仿宋" w:cs="仿宋"/>
                <w:bCs/>
                <w:color w:val="auto"/>
                <w:szCs w:val="21"/>
                <w:highlight w:val="none"/>
              </w:rPr>
              <w:t>评标委员会</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评标委员会成员共</w:t>
            </w:r>
            <w:r>
              <w:rPr>
                <w:rFonts w:hint="eastAsia" w:ascii="仿宋" w:hAnsi="仿宋" w:eastAsia="仿宋" w:cs="仿宋"/>
                <w:color w:val="auto"/>
                <w:szCs w:val="21"/>
                <w:highlight w:val="none"/>
                <w:u w:val="single"/>
              </w:rPr>
              <w:t>5</w:t>
            </w:r>
            <w:r>
              <w:rPr>
                <w:rFonts w:hint="eastAsia" w:ascii="仿宋" w:hAnsi="仿宋" w:eastAsia="仿宋" w:cs="仿宋"/>
                <w:color w:val="auto"/>
                <w:szCs w:val="21"/>
                <w:highlight w:val="none"/>
              </w:rPr>
              <w:t>人：</w:t>
            </w:r>
            <w:r>
              <w:rPr>
                <w:rFonts w:hint="eastAsia" w:ascii="仿宋" w:hAnsi="仿宋" w:eastAsia="仿宋" w:cs="仿宋"/>
                <w:color w:val="auto"/>
                <w:kern w:val="2"/>
                <w:szCs w:val="21"/>
                <w:highlight w:val="none"/>
                <w:lang w:val="zh-CN"/>
              </w:rPr>
              <w:t>其中采购人代表1名；技术、经济等方面的专家</w:t>
            </w:r>
            <w:r>
              <w:rPr>
                <w:rFonts w:hint="eastAsia" w:ascii="仿宋" w:hAnsi="仿宋" w:eastAsia="仿宋" w:cs="仿宋"/>
                <w:color w:val="auto"/>
                <w:szCs w:val="21"/>
                <w:highlight w:val="none"/>
                <w:u w:val="single"/>
              </w:rPr>
              <w:t>4</w:t>
            </w:r>
            <w:r>
              <w:rPr>
                <w:rFonts w:hint="eastAsia" w:ascii="仿宋" w:hAnsi="仿宋" w:eastAsia="仿宋" w:cs="仿宋"/>
                <w:color w:val="auto"/>
                <w:szCs w:val="21"/>
                <w:highlight w:val="none"/>
              </w:rPr>
              <w:t>人</w:t>
            </w:r>
            <w:r>
              <w:rPr>
                <w:rFonts w:hint="eastAsia" w:ascii="仿宋" w:hAnsi="仿宋" w:eastAsia="仿宋" w:cs="仿宋"/>
                <w:color w:val="auto"/>
                <w:kern w:val="2"/>
                <w:szCs w:val="21"/>
                <w:highlight w:val="none"/>
                <w:lang w:val="zh-CN"/>
              </w:rPr>
              <w:t>由</w:t>
            </w:r>
            <w:r>
              <w:rPr>
                <w:rFonts w:hint="eastAsia" w:ascii="仿宋" w:hAnsi="仿宋" w:eastAsia="仿宋" w:cs="仿宋"/>
                <w:color w:val="auto"/>
                <w:kern w:val="2"/>
                <w:szCs w:val="21"/>
                <w:highlight w:val="none"/>
              </w:rPr>
              <w:t>财政部</w:t>
            </w:r>
            <w:r>
              <w:rPr>
                <w:rFonts w:hint="eastAsia" w:ascii="仿宋" w:hAnsi="仿宋" w:eastAsia="仿宋" w:cs="仿宋"/>
                <w:color w:val="auto"/>
                <w:kern w:val="2"/>
                <w:szCs w:val="21"/>
                <w:highlight w:val="none"/>
                <w:lang w:val="zh-CN"/>
              </w:rPr>
              <w:t>政府采购专家库中</w:t>
            </w:r>
            <w:r>
              <w:rPr>
                <w:rFonts w:hint="eastAsia" w:ascii="仿宋" w:hAnsi="仿宋" w:eastAsia="仿宋" w:cs="仿宋"/>
                <w:color w:val="auto"/>
                <w:szCs w:val="21"/>
                <w:highlight w:val="none"/>
              </w:rPr>
              <w:t>随机抽取确定。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15</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bCs/>
                <w:color w:val="auto"/>
                <w:szCs w:val="21"/>
                <w:highlight w:val="none"/>
              </w:rPr>
            </w:pPr>
            <w:r>
              <w:rPr>
                <w:rFonts w:hint="eastAsia" w:ascii="仿宋" w:hAnsi="仿宋" w:eastAsia="仿宋" w:cs="仿宋"/>
                <w:bCs/>
                <w:color w:val="auto"/>
                <w:szCs w:val="21"/>
                <w:highlight w:val="none"/>
              </w:rPr>
              <w:t>评标方法</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综合评分法</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16</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信息发布媒体</w:t>
            </w:r>
          </w:p>
        </w:tc>
        <w:tc>
          <w:tcPr>
            <w:tcW w:w="6756" w:type="dxa"/>
            <w:tcBorders>
              <w:top w:val="single" w:color="auto" w:sz="4" w:space="0"/>
              <w:left w:val="single" w:color="auto" w:sz="4" w:space="0"/>
              <w:bottom w:val="single" w:color="auto" w:sz="4" w:space="0"/>
              <w:right w:val="double" w:color="auto" w:sz="4" w:space="0"/>
            </w:tcBorders>
            <w:vAlign w:val="center"/>
          </w:tcPr>
          <w:p>
            <w:pPr>
              <w:pStyle w:val="2"/>
              <w:jc w:val="both"/>
              <w:rPr>
                <w:rFonts w:ascii="仿宋" w:hAnsi="仿宋" w:eastAsia="仿宋" w:cs="仿宋"/>
                <w:color w:val="auto"/>
                <w:szCs w:val="21"/>
                <w:highlight w:val="none"/>
              </w:rPr>
            </w:pPr>
            <w:r>
              <w:rPr>
                <w:rFonts w:hint="eastAsia" w:ascii="仿宋" w:hAnsi="仿宋" w:eastAsia="仿宋" w:cs="仿宋"/>
                <w:color w:val="auto"/>
                <w:szCs w:val="21"/>
                <w:highlight w:val="none"/>
              </w:rPr>
              <w:t>1.中国政府采购网（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color w:val="auto"/>
                <w:szCs w:val="21"/>
                <w:highlight w:val="none"/>
              </w:rPr>
              <w:t>http://www.ccgp.gov.cn</w:t>
            </w:r>
            <w:r>
              <w:rPr>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w:t>
            </w:r>
          </w:p>
          <w:p>
            <w:pPr>
              <w:pStyle w:val="2"/>
              <w:jc w:val="both"/>
              <w:rPr>
                <w:rFonts w:ascii="仿宋" w:hAnsi="仿宋" w:eastAsia="仿宋" w:cs="仿宋"/>
                <w:color w:val="auto"/>
                <w:highlight w:val="none"/>
              </w:rPr>
            </w:pPr>
            <w:r>
              <w:rPr>
                <w:rFonts w:hint="eastAsia" w:ascii="仿宋" w:hAnsi="仿宋" w:eastAsia="仿宋" w:cs="仿宋"/>
                <w:color w:val="auto"/>
                <w:szCs w:val="21"/>
                <w:highlight w:val="none"/>
              </w:rPr>
              <w:t>2.广东远东招标代理有限公司网（http://www.gdydzb.com）</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17</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bCs/>
                <w:color w:val="auto"/>
                <w:szCs w:val="21"/>
                <w:highlight w:val="none"/>
              </w:rPr>
            </w:pPr>
            <w:r>
              <w:rPr>
                <w:rFonts w:hint="eastAsia" w:ascii="仿宋" w:hAnsi="仿宋" w:eastAsia="仿宋" w:cs="仿宋"/>
                <w:bCs/>
                <w:color w:val="auto"/>
                <w:szCs w:val="21"/>
                <w:highlight w:val="none"/>
              </w:rPr>
              <w:t>履约保证金</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highlight w:val="none"/>
              </w:rPr>
              <w:t>中标人须提交合同总额5%的银行保函</w:t>
            </w:r>
            <w:r>
              <w:rPr>
                <w:rFonts w:ascii="仿宋" w:hAnsi="仿宋" w:eastAsia="仿宋" w:cs="仿宋"/>
                <w:color w:val="auto"/>
                <w:highlight w:val="none"/>
              </w:rPr>
              <w:t>（项目完成后且中标人无违约行为，甲方退还该</w:t>
            </w:r>
            <w:r>
              <w:rPr>
                <w:rFonts w:hint="eastAsia" w:ascii="仿宋" w:hAnsi="仿宋" w:eastAsia="仿宋" w:cs="仿宋"/>
                <w:color w:val="auto"/>
                <w:highlight w:val="none"/>
              </w:rPr>
              <w:t>银行</w:t>
            </w:r>
            <w:r>
              <w:rPr>
                <w:rFonts w:ascii="仿宋" w:hAnsi="仿宋" w:eastAsia="仿宋" w:cs="仿宋"/>
                <w:color w:val="auto"/>
                <w:highlight w:val="none"/>
              </w:rPr>
              <w:t>保函）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18</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仿宋" w:hAnsi="仿宋" w:eastAsia="仿宋" w:cs="仿宋"/>
                <w:bCs/>
                <w:color w:val="auto"/>
                <w:szCs w:val="21"/>
                <w:highlight w:val="none"/>
              </w:rPr>
            </w:pPr>
            <w:r>
              <w:rPr>
                <w:rFonts w:hint="eastAsia" w:ascii="仿宋" w:hAnsi="仿宋" w:eastAsia="仿宋" w:cs="仿宋"/>
                <w:bCs/>
                <w:color w:val="auto"/>
                <w:szCs w:val="21"/>
                <w:highlight w:val="none"/>
              </w:rPr>
              <w:t>招标代理服务费</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ascii="仿宋" w:hAnsi="仿宋" w:eastAsia="仿宋" w:cs="仿宋"/>
                <w:bCs/>
                <w:color w:val="auto"/>
                <w:szCs w:val="21"/>
                <w:highlight w:val="none"/>
              </w:rPr>
            </w:pPr>
            <w:r>
              <w:rPr>
                <w:rFonts w:hint="eastAsia" w:ascii="仿宋" w:hAnsi="仿宋" w:eastAsia="仿宋" w:cs="仿宋"/>
                <w:color w:val="auto"/>
                <w:szCs w:val="21"/>
                <w:highlight w:val="none"/>
              </w:rPr>
              <w:t>中标服务费由中标人在领取《中标通知书》原件前向采购代理机构一次性支付，按照国家计委颁布的«招标代理服务收费管理暂行办法»（计价格[2002]1980号）和国家发改委办公厅颁布的«国家发改委办公厅关于招标代理服务收费有关问题的通知»（发改办价格[2003]857号）的规定下浮2</w:t>
            </w:r>
            <w:r>
              <w:rPr>
                <w:rFonts w:ascii="仿宋" w:hAnsi="仿宋" w:eastAsia="仿宋" w:cs="仿宋"/>
                <w:color w:val="auto"/>
                <w:szCs w:val="21"/>
                <w:highlight w:val="none"/>
              </w:rPr>
              <w:t>0%</w:t>
            </w:r>
            <w:r>
              <w:rPr>
                <w:rFonts w:hint="eastAsia" w:ascii="仿宋" w:hAnsi="仿宋" w:eastAsia="仿宋" w:cs="仿宋"/>
                <w:color w:val="auto"/>
                <w:szCs w:val="21"/>
                <w:highlight w:val="none"/>
              </w:rPr>
              <w:t>收取中标服务费。</w:t>
            </w:r>
          </w:p>
        </w:tc>
      </w:tr>
    </w:tbl>
    <w:p>
      <w:pPr>
        <w:tabs>
          <w:tab w:val="left" w:pos="567"/>
        </w:tabs>
        <w:spacing w:line="312" w:lineRule="auto"/>
        <w:ind w:left="567" w:hanging="567"/>
        <w:jc w:val="both"/>
        <w:rPr>
          <w:rFonts w:hAnsi="宋体" w:cs="宋体"/>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pPr>
        <w:pStyle w:val="3"/>
        <w:keepNext/>
        <w:keepLines/>
        <w:tabs>
          <w:tab w:val="left" w:pos="1134"/>
        </w:tabs>
        <w:spacing w:line="360" w:lineRule="auto"/>
        <w:jc w:val="center"/>
        <w:rPr>
          <w:rFonts w:hAnsi="宋体" w:cs="宋体"/>
          <w:b/>
          <w:bCs/>
          <w:color w:val="auto"/>
          <w:kern w:val="44"/>
          <w:highlight w:val="none"/>
          <w:lang w:val="zh-CN"/>
        </w:rPr>
      </w:pPr>
      <w:r>
        <w:rPr>
          <w:rFonts w:hint="eastAsia" w:hAnsi="宋体" w:cs="宋体"/>
          <w:b/>
          <w:bCs/>
          <w:color w:val="auto"/>
          <w:kern w:val="44"/>
          <w:highlight w:val="none"/>
          <w:lang w:val="zh-CN"/>
        </w:rPr>
        <w:br w:type="page"/>
      </w:r>
      <w:r>
        <w:rPr>
          <w:rFonts w:hint="eastAsia" w:hAnsi="宋体" w:cs="宋体"/>
          <w:b/>
          <w:bCs/>
          <w:color w:val="auto"/>
          <w:kern w:val="44"/>
          <w:highlight w:val="none"/>
          <w:lang w:val="zh-CN"/>
        </w:rPr>
        <w:t>二、投标须知</w:t>
      </w:r>
    </w:p>
    <w:p>
      <w:pPr>
        <w:pStyle w:val="5"/>
        <w:spacing w:line="360" w:lineRule="auto"/>
        <w:rPr>
          <w:rFonts w:hAnsi="宋体" w:cs="宋体"/>
          <w:color w:val="auto"/>
          <w:kern w:val="44"/>
          <w:szCs w:val="21"/>
          <w:highlight w:val="none"/>
          <w:lang w:val="zh-CN"/>
        </w:rPr>
      </w:pPr>
      <w:bookmarkStart w:id="0" w:name="_Toc413396489"/>
      <w:r>
        <w:rPr>
          <w:rFonts w:hint="eastAsia" w:hAnsi="宋体" w:cs="宋体"/>
          <w:color w:val="auto"/>
          <w:kern w:val="44"/>
          <w:szCs w:val="21"/>
          <w:highlight w:val="none"/>
          <w:lang w:val="zh-CN"/>
        </w:rPr>
        <w:t>（一）总则</w:t>
      </w:r>
      <w:bookmarkEnd w:id="0"/>
    </w:p>
    <w:p>
      <w:pPr>
        <w:tabs>
          <w:tab w:val="left" w:pos="567"/>
        </w:tabs>
        <w:spacing w:line="360" w:lineRule="auto"/>
        <w:ind w:left="567" w:hanging="567"/>
        <w:jc w:val="both"/>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资金来源：详见</w:t>
      </w:r>
      <w:r>
        <w:rPr>
          <w:rFonts w:hint="eastAsia" w:ascii="仿宋" w:hAnsi="仿宋" w:eastAsia="仿宋" w:cs="仿宋"/>
          <w:color w:val="auto"/>
          <w:szCs w:val="21"/>
          <w:highlight w:val="none"/>
        </w:rPr>
        <w:t>《投标须知前附表》。</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2    </w:t>
      </w:r>
      <w:r>
        <w:rPr>
          <w:rFonts w:hint="eastAsia" w:ascii="仿宋" w:hAnsi="仿宋" w:eastAsia="仿宋" w:cs="仿宋"/>
          <w:color w:val="auto"/>
          <w:kern w:val="2"/>
          <w:szCs w:val="21"/>
          <w:highlight w:val="none"/>
          <w:lang w:val="zh-CN"/>
        </w:rPr>
        <w:t>招标适用范围：本招标文件仅适用于本次投标邀请中所叙述的货物及服务采购。本次招标采用一次报价一次评标定标的方式，投标人的报价必须固定，且只能作一个最有竞争力的报价和方案，否则将作无效投标处理。</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     招标适用的法律：本次招标适用的主要法律法规为《中华人民共和国政府采购法》、《中华人民共和国政府采购法实施条例》（国务院第658号）、《政府采购货物和服务招标投标管理办法》（财政部令第87号）及国家和广东省政府采购相关法规。</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合格的投标人</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符合招标文件规定的资格要求及特殊条件要求，合格投标人的条件详见《投标须知前附表》的“合格的投标人”。</w:t>
      </w:r>
    </w:p>
    <w:p>
      <w:pPr>
        <w:tabs>
          <w:tab w:val="left" w:pos="567"/>
          <w:tab w:val="left" w:pos="720"/>
          <w:tab w:val="left" w:pos="3460"/>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投标人必须按《中华人民共和国政府采购法》及国家和地方政府采购相关法规的规定进行投标。</w:t>
      </w:r>
    </w:p>
    <w:p>
      <w:pPr>
        <w:tabs>
          <w:tab w:val="left" w:pos="1260"/>
        </w:tabs>
        <w:autoSpaceDE/>
        <w:autoSpaceDN/>
        <w:adjustRightInd/>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4.3  不同的投标人之间有下列情形之一的，不接受作为参与同一采购项目竞争的供应商：</w:t>
      </w:r>
    </w:p>
    <w:p>
      <w:pPr>
        <w:tabs>
          <w:tab w:val="left" w:pos="567"/>
        </w:tabs>
        <w:spacing w:line="360" w:lineRule="auto"/>
        <w:ind w:left="504" w:leftChars="220" w:hanging="42" w:hangingChars="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4.3.1单位负责人为同一人或者存在直接控股、管理关系的不同供应商彼此存在投资与被投资关系的；</w:t>
      </w:r>
    </w:p>
    <w:p>
      <w:pPr>
        <w:tabs>
          <w:tab w:val="left" w:pos="567"/>
        </w:tabs>
        <w:spacing w:line="360" w:lineRule="auto"/>
        <w:ind w:left="504" w:leftChars="220" w:hanging="42" w:hangingChars="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4.3.2为采购项目提供整体设计、规范编制或者项目管理、监理、检测等服务的供应商。</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4.4  本项目不允许联合体投标。</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5</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纪律与保密事项</w:t>
      </w:r>
    </w:p>
    <w:p>
      <w:pPr>
        <w:autoSpaceDE/>
        <w:autoSpaceDN/>
        <w:adjustRightInd/>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5.1  投标人不得相互串通投标报价，或以不正当的手段妨碍、排挤其他投标人，扰乱招标市场，破坏公平竞争原则，不得损害采购人或其他投标人的合法权益，投标人不得以向采购人、评标委员会成员行贿或者采取其他不正当手段谋取中标。</w:t>
      </w:r>
    </w:p>
    <w:p>
      <w:pPr>
        <w:autoSpaceDE/>
        <w:autoSpaceDN/>
        <w:adjustRightInd/>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5.2  获得本招标文件者，应对文件进行保密，不得用作本次投标以外的任何用途。若有要求，开标后，投标人应归还招标文件中保密的文件和资料。</w:t>
      </w:r>
    </w:p>
    <w:p>
      <w:pPr>
        <w:tabs>
          <w:tab w:val="left" w:pos="720"/>
          <w:tab w:val="left" w:pos="3460"/>
        </w:tabs>
        <w:autoSpaceDE/>
        <w:autoSpaceDN/>
        <w:adjustRightInd/>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5.3  由采购人向投标人提供的图纸、详细资料、样品、模型、模件和所有其他资料，被视为保密资料，仅被用于它所规定的用途。除非得到采购人的同意，不能向任何第三方透露。开标结束后，应采购人要求，投标人应归还所有从采购人处获得的保密资料。</w:t>
      </w:r>
    </w:p>
    <w:p>
      <w:pPr>
        <w:tabs>
          <w:tab w:val="left" w:pos="720"/>
          <w:tab w:val="left" w:pos="3460"/>
        </w:tabs>
        <w:autoSpaceDE/>
        <w:autoSpaceDN/>
        <w:adjustRightInd/>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5.4  除投标人被要求对投标文件进行澄清外，在确定中标供应商之前，投标人不得与采购人就投标价格、投标方案等实质性内容进行谈判，也不得私下接触评标委员会成员。</w:t>
      </w:r>
    </w:p>
    <w:p>
      <w:pPr>
        <w:autoSpaceDE/>
        <w:autoSpaceDN/>
        <w:adjustRightInd/>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5.5  从递交投标文件截止之日起至授予合同期间，在投标文件的审查、澄清、比较和评价阶段，投标人试图对评标委员会和采购代理机构施加任何影响或对采购人的比较及授予合同的决定产生影响，都可能导致其投标文件被拒绝。</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6    其它说明</w:t>
      </w:r>
    </w:p>
    <w:p>
      <w:pPr>
        <w:tabs>
          <w:tab w:val="left" w:pos="567"/>
        </w:tabs>
        <w:spacing w:line="360" w:lineRule="auto"/>
        <w:ind w:left="567" w:hanging="567" w:hangingChars="27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6.1  投标费用：不论投标结果如何，投标人应承担自身因投标文件编制、递交及其他参加本招标活动所涉及的一切费用，采购人对上述费用不负任何责任。</w:t>
      </w:r>
    </w:p>
    <w:p>
      <w:pPr>
        <w:tabs>
          <w:tab w:val="left" w:pos="567"/>
          <w:tab w:val="left" w:pos="927"/>
        </w:tabs>
        <w:spacing w:line="360" w:lineRule="auto"/>
        <w:ind w:left="630" w:hanging="630" w:hangingChars="3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6.2  踏勘现场</w:t>
      </w:r>
      <w:r>
        <w:rPr>
          <w:rFonts w:hint="eastAsia" w:ascii="仿宋" w:hAnsi="仿宋" w:eastAsia="仿宋" w:cs="仿宋"/>
          <w:color w:val="auto"/>
          <w:highlight w:val="none"/>
        </w:rPr>
        <w:t>（本项目不适用）</w:t>
      </w:r>
    </w:p>
    <w:p>
      <w:pPr>
        <w:spacing w:line="360" w:lineRule="auto"/>
        <w:ind w:left="462" w:leftChars="220" w:firstLine="315" w:firstLineChars="150"/>
        <w:rPr>
          <w:rFonts w:hAnsi="宋体" w:cs="宋体"/>
          <w:color w:val="auto"/>
          <w:kern w:val="2"/>
          <w:szCs w:val="21"/>
          <w:highlight w:val="none"/>
          <w:lang w:val="zh-CN"/>
        </w:rPr>
      </w:pPr>
    </w:p>
    <w:p>
      <w:pPr>
        <w:pStyle w:val="5"/>
        <w:spacing w:line="360" w:lineRule="auto"/>
        <w:rPr>
          <w:rFonts w:hAnsi="宋体" w:cs="宋体"/>
          <w:color w:val="auto"/>
          <w:kern w:val="44"/>
          <w:szCs w:val="21"/>
          <w:highlight w:val="none"/>
          <w:lang w:val="zh-CN"/>
        </w:rPr>
      </w:pPr>
      <w:bookmarkStart w:id="1" w:name="_Toc413396490"/>
      <w:r>
        <w:rPr>
          <w:rFonts w:hint="eastAsia" w:hAnsi="宋体" w:cs="宋体"/>
          <w:color w:val="auto"/>
          <w:kern w:val="44"/>
          <w:szCs w:val="21"/>
          <w:highlight w:val="none"/>
          <w:lang w:val="zh-CN"/>
        </w:rPr>
        <w:t>（二）招标文件</w:t>
      </w:r>
      <w:bookmarkEnd w:id="1"/>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7</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招标文件的构成</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7.1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招标文件包括：</w:t>
      </w:r>
    </w:p>
    <w:p>
      <w:pPr>
        <w:tabs>
          <w:tab w:val="left" w:pos="1890"/>
        </w:tabs>
        <w:spacing w:line="360" w:lineRule="auto"/>
        <w:ind w:left="1890" w:hanging="10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第一篇</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投标邀请书</w:t>
      </w:r>
    </w:p>
    <w:p>
      <w:pPr>
        <w:spacing w:line="360" w:lineRule="auto"/>
        <w:ind w:left="1890" w:hanging="10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第二篇</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投标人须知</w:t>
      </w:r>
    </w:p>
    <w:p>
      <w:pPr>
        <w:spacing w:line="360" w:lineRule="auto"/>
        <w:ind w:left="1890" w:hanging="10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第三篇</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合同条款格式</w:t>
      </w:r>
    </w:p>
    <w:p>
      <w:pPr>
        <w:spacing w:line="360" w:lineRule="auto"/>
        <w:ind w:left="1890" w:hanging="10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第四篇</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用户需求书</w:t>
      </w:r>
    </w:p>
    <w:p>
      <w:pPr>
        <w:spacing w:line="360" w:lineRule="auto"/>
        <w:ind w:left="1890" w:hanging="10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第五篇</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投标文件格式</w:t>
      </w:r>
    </w:p>
    <w:p>
      <w:pPr>
        <w:spacing w:line="360" w:lineRule="auto"/>
        <w:ind w:left="1890" w:hanging="10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附件一：  评标工作大纲</w:t>
      </w:r>
    </w:p>
    <w:p>
      <w:pPr>
        <w:spacing w:line="360" w:lineRule="auto"/>
        <w:ind w:left="1890" w:hanging="10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附件二：  中标服务费收费标准</w:t>
      </w:r>
    </w:p>
    <w:p>
      <w:pPr>
        <w:spacing w:line="360" w:lineRule="auto"/>
        <w:ind w:left="420" w:hanging="420" w:hangingChars="2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7.2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应认真阅读、并充分理解招标文件的全部内容（包括所有的补充、修改内容、重要事项、格式、条款和技术规范、参数及要求等）。投标人没有按照招标文件要求提交全部资料，或者投标没有对招标文件在各方面都作出实质性响应是投标人的风险，有可能导致其投标被拒绝，或被认定为无效投标或被确定为投标无效。</w:t>
      </w:r>
    </w:p>
    <w:p>
      <w:pPr>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7.3 本招标文件使用的词语有如下定义：</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“采购人”系指</w:t>
      </w:r>
      <w:r>
        <w:rPr>
          <w:rFonts w:hint="eastAsia" w:ascii="仿宋" w:hAnsi="仿宋" w:eastAsia="仿宋" w:cs="仿宋"/>
          <w:bCs/>
          <w:color w:val="auto"/>
          <w:szCs w:val="21"/>
          <w:highlight w:val="none"/>
          <w:u w:val="single"/>
          <w:lang w:val="zh-CN"/>
        </w:rPr>
        <w:t>广东省气象局</w:t>
      </w:r>
      <w:r>
        <w:rPr>
          <w:rFonts w:hint="eastAsia" w:ascii="仿宋" w:hAnsi="仿宋" w:eastAsia="仿宋" w:cs="仿宋"/>
          <w:color w:val="auto"/>
          <w:kern w:val="2"/>
          <w:szCs w:val="21"/>
          <w:highlight w:val="none"/>
          <w:lang w:val="zh-CN"/>
        </w:rPr>
        <w:t>。</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“采购代理机构”系指广东远东招标代理有限公司。</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“投标人”系指响应招标、参加投标竞争的具有独立民事责任的法人、其他组织或者自然人，并取得合法工商执照或者其他法人（负责人）证书。</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“中标人”系指由评标委员会评审推荐，经法定程序确定获得本项目中标资格的投标人。</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“评标委员会” 系指依法组建，负责本次招标的评标工作机构。</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“甲方”系指在合同条款中指明的采购人。</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“乙方”系指在合同条款中指明的本合同项下提供货物和相关服务的公司或实体。</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“招标文件”系指由采购代理机构发出的本招标文件，包括全部章节和附件。</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“投标文件”系指投标人根据本招标文件向采购代理机构提交的全部文件。</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“书面函件”系统手写、打字或印刷的函件，包括电传、电报和传真。</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“合同”系统由本次采购所产生的合同或合约文件。</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“日期”系指公历日。</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“时间”系指北京时间。</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货物”系指投标人须向采购人提供的符合招标文件要求的货物等，其来源地均应为中华人民共和国或与中华人民共和国有官方贸易关系的国家或地区。招标文件中没有提及招标货物来源地的，根据《政府采购法》的相关规定均应是本国货物，优先采购自主创新、节能、环保产品。投标的货物必须是合法生产的符合国家有关标准要求的全新原厂生产的产品，并满足政府采购招标文件规定的规格、参数、质量、价格、有效期、售后服务等要求。所有国内制造的货物必须具备出厂合格证和相关检测报告；所有进口货物必须均为合法正当渠道进口的且具备原产地证明、中国商检证明及合法进货渠道全套单证。在验收货物时，中标供应商必须提供上述全部相关资料及证明文件。</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“服务”系指与本项目有关的除货物和工程以外的其他政府采购对象，其中包括：投标人须承担的运输、安装、技术支持、培训以及招标文件规定的其它服务。</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xml:space="preserve"> “实质性响应”系指符合招标文件的所有要求、条款、条件和规定，且没有不利于项目实施质量效果和服务保障的重大偏离或保留。</w:t>
      </w:r>
    </w:p>
    <w:p>
      <w:pPr>
        <w:numPr>
          <w:ilvl w:val="0"/>
          <w:numId w:val="7"/>
        </w:numPr>
        <w:tabs>
          <w:tab w:val="left" w:pos="993"/>
        </w:tabs>
        <w:spacing w:line="360" w:lineRule="auto"/>
        <w:ind w:left="1134" w:hanging="70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“重大偏离或保留”系指影响到招标文件规定的范围、质量和性能或限制了采购人的权力和投标人义务的规定，而纠正这些偏离将影响到其他投标人的公平竞争地位。</w:t>
      </w:r>
    </w:p>
    <w:p>
      <w:pPr>
        <w:numPr>
          <w:ilvl w:val="0"/>
          <w:numId w:val="7"/>
        </w:numPr>
        <w:tabs>
          <w:tab w:val="left" w:pos="846"/>
        </w:tabs>
        <w:spacing w:line="360" w:lineRule="auto"/>
        <w:ind w:left="846" w:hanging="420"/>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政府采购法第二十二条第一款第五项所称重大违法记录，是指供应商因违法经营受到刑事处罚或责令停产停业、吊销许可证或者执照、较大数额罚款等行政处罚。</w:t>
      </w:r>
    </w:p>
    <w:p>
      <w:pPr>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7.4 知识产权</w:t>
      </w:r>
    </w:p>
    <w:p>
      <w:pPr>
        <w:spacing w:line="360" w:lineRule="auto"/>
        <w:ind w:left="462" w:leftChars="220" w:firstLine="315" w:firstLineChars="150"/>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投标人必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8</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招标文件的澄清</w:t>
      </w:r>
    </w:p>
    <w:p>
      <w:pPr>
        <w:tabs>
          <w:tab w:val="left" w:pos="567"/>
        </w:tabs>
        <w:spacing w:line="360" w:lineRule="auto"/>
        <w:ind w:left="567" w:hanging="567"/>
        <w:jc w:val="both"/>
        <w:rPr>
          <w:rFonts w:ascii="仿宋" w:hAnsi="仿宋" w:eastAsia="仿宋" w:cs="仿宋"/>
          <w:bCs/>
          <w:color w:val="auto"/>
          <w:kern w:val="2"/>
          <w:szCs w:val="21"/>
          <w:highlight w:val="none"/>
          <w:lang w:val="zh-CN"/>
        </w:rPr>
      </w:pPr>
      <w:r>
        <w:rPr>
          <w:rFonts w:hint="eastAsia" w:ascii="仿宋" w:hAnsi="仿宋" w:eastAsia="仿宋" w:cs="仿宋"/>
          <w:color w:val="auto"/>
          <w:kern w:val="2"/>
          <w:szCs w:val="21"/>
          <w:highlight w:val="none"/>
          <w:lang w:val="zh-CN"/>
        </w:rPr>
        <w:t>8.1</w:t>
      </w:r>
      <w:r>
        <w:rPr>
          <w:rFonts w:hint="eastAsia" w:ascii="仿宋" w:hAnsi="仿宋" w:eastAsia="仿宋" w:cs="仿宋"/>
          <w:color w:val="auto"/>
          <w:kern w:val="2"/>
          <w:szCs w:val="21"/>
          <w:highlight w:val="none"/>
          <w:lang w:val="zh-CN"/>
        </w:rPr>
        <w:tab/>
      </w:r>
      <w:r>
        <w:rPr>
          <w:rFonts w:hint="eastAsia" w:ascii="仿宋" w:hAnsi="仿宋" w:eastAsia="仿宋" w:cs="仿宋"/>
          <w:bCs/>
          <w:color w:val="auto"/>
          <w:kern w:val="2"/>
          <w:szCs w:val="21"/>
          <w:highlight w:val="none"/>
          <w:lang w:val="zh-CN"/>
        </w:rPr>
        <w:t>投标人对本招标文件如有技术和商务的疑问，请按投标邀请书中载明的邮政地址以书面形式（包括信函或传真等（应加盖公章），下同）向采购代理机构提出询问, 采购代理机构在三个工作日内对供应商提出的询问作出答复。</w:t>
      </w:r>
    </w:p>
    <w:p>
      <w:pPr>
        <w:tabs>
          <w:tab w:val="left" w:pos="567"/>
        </w:tabs>
        <w:spacing w:line="360" w:lineRule="auto"/>
        <w:ind w:left="567" w:hanging="567"/>
        <w:jc w:val="both"/>
        <w:rPr>
          <w:rFonts w:ascii="仿宋" w:hAnsi="仿宋" w:eastAsia="仿宋" w:cs="仿宋"/>
          <w:bCs/>
          <w:color w:val="auto"/>
          <w:kern w:val="2"/>
          <w:szCs w:val="21"/>
          <w:highlight w:val="none"/>
          <w:lang w:val="zh-CN"/>
        </w:rPr>
      </w:pPr>
      <w:r>
        <w:rPr>
          <w:rFonts w:hint="eastAsia" w:ascii="仿宋" w:hAnsi="仿宋" w:eastAsia="仿宋" w:cs="仿宋"/>
          <w:bCs/>
          <w:color w:val="auto"/>
          <w:kern w:val="2"/>
          <w:szCs w:val="21"/>
          <w:highlight w:val="none"/>
          <w:lang w:val="zh-CN"/>
        </w:rPr>
        <w:t>8.2</w:t>
      </w:r>
      <w:r>
        <w:rPr>
          <w:rFonts w:hint="eastAsia" w:ascii="仿宋" w:hAnsi="仿宋" w:eastAsia="仿宋" w:cs="仿宋"/>
          <w:bCs/>
          <w:color w:val="auto"/>
          <w:kern w:val="2"/>
          <w:szCs w:val="21"/>
          <w:highlight w:val="none"/>
          <w:lang w:val="zh-CN"/>
        </w:rPr>
        <w:tab/>
      </w:r>
      <w:r>
        <w:rPr>
          <w:rFonts w:hint="eastAsia" w:ascii="仿宋" w:hAnsi="仿宋" w:eastAsia="仿宋" w:cs="仿宋"/>
          <w:bCs/>
          <w:color w:val="auto"/>
          <w:kern w:val="2"/>
          <w:szCs w:val="21"/>
          <w:highlight w:val="none"/>
          <w:lang w:val="zh-CN"/>
        </w:rPr>
        <w:t>根据需要，采购代理机构和采购人可组织相关专家在《投标须知前附表》规定的时间和地点召开投标答疑会，解答投标人在此之前以书面或当场提出的对招标文件的澄清要求，随后以书面形式通知本招标文件的所有收受人。答疑或澄清文件作为招标文件的组成部分，如与招标文件的内容不一致的，以答疑或澄清文件的内容为准。</w:t>
      </w:r>
    </w:p>
    <w:p>
      <w:pPr>
        <w:tabs>
          <w:tab w:val="left" w:pos="567"/>
        </w:tabs>
        <w:spacing w:line="360" w:lineRule="auto"/>
        <w:ind w:left="567" w:hanging="567"/>
        <w:jc w:val="both"/>
        <w:rPr>
          <w:rFonts w:ascii="仿宋" w:hAnsi="仿宋" w:eastAsia="仿宋" w:cs="仿宋"/>
          <w:bCs/>
          <w:color w:val="auto"/>
          <w:kern w:val="2"/>
          <w:szCs w:val="21"/>
          <w:highlight w:val="none"/>
          <w:lang w:val="zh-CN"/>
        </w:rPr>
      </w:pPr>
      <w:r>
        <w:rPr>
          <w:rFonts w:hint="eastAsia" w:ascii="仿宋" w:hAnsi="仿宋" w:eastAsia="仿宋" w:cs="仿宋"/>
          <w:bCs/>
          <w:color w:val="auto"/>
          <w:kern w:val="2"/>
          <w:szCs w:val="21"/>
          <w:highlight w:val="none"/>
          <w:lang w:val="zh-CN"/>
        </w:rPr>
        <w:t>8.3  投标人在规定的时间内未对招标文件澄清或提出疑问的，采购代理机构和采购人将视其为无异议。对招标文件中描述有歧义或前后不一致的地方，评标委员会有权进行评判，但对同一条款的评判应适用于每个投标人。</w:t>
      </w:r>
    </w:p>
    <w:p>
      <w:pPr>
        <w:tabs>
          <w:tab w:val="left" w:pos="567"/>
        </w:tabs>
        <w:spacing w:line="360" w:lineRule="auto"/>
        <w:ind w:left="567" w:hanging="567"/>
        <w:jc w:val="both"/>
        <w:rPr>
          <w:rFonts w:ascii="仿宋" w:hAnsi="仿宋" w:eastAsia="仿宋" w:cs="仿宋"/>
          <w:bCs/>
          <w:color w:val="auto"/>
          <w:kern w:val="2"/>
          <w:szCs w:val="21"/>
          <w:highlight w:val="none"/>
          <w:lang w:val="zh-CN"/>
        </w:rPr>
      </w:pPr>
      <w:r>
        <w:rPr>
          <w:rFonts w:hint="eastAsia" w:ascii="仿宋" w:hAnsi="仿宋" w:eastAsia="仿宋" w:cs="仿宋"/>
          <w:bCs/>
          <w:color w:val="auto"/>
          <w:kern w:val="2"/>
          <w:szCs w:val="21"/>
          <w:highlight w:val="none"/>
          <w:lang w:val="zh-CN"/>
        </w:rPr>
        <w:t>8.4  招标过程中的一切修改文件或补充文件一旦确认后与招标文件具有同等法律效力，投标人有责任履行相应的义务。</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9</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招标文件的修改</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9.1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在递交投标文件截止日期前的任何时候，无论何故，采购代理机构可主动地或在答复投标人提出澄清的问题,同时经采购人同意后对招标文件进行澄清或修改，但不得改变采购标的和资格条件。澄清或者修改应当在原公告发布媒体上发布澄清公告。澄清或者修改的内容为招标文件、资格预审文件、投标邀请书的组成部分。采购代理机构在投标截止时间至少15日前，以书面的形式通知所有获取招标文件的潜在投标人；不足15日的，采购代理机构应当顺延提交投标文件的截止时间。</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9.2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招标文件的修改将以书面函件形式通知所有购买招标文件的投标人，并对其具有约束力。投标人在收到上述通知后</w:t>
      </w:r>
      <w:r>
        <w:rPr>
          <w:rFonts w:hint="eastAsia" w:ascii="仿宋" w:hAnsi="仿宋" w:eastAsia="仿宋" w:cs="仿宋"/>
          <w:bCs/>
          <w:color w:val="auto"/>
          <w:kern w:val="2"/>
          <w:szCs w:val="21"/>
          <w:highlight w:val="none"/>
          <w:lang w:val="zh-CN"/>
        </w:rPr>
        <w:t>24小时内</w:t>
      </w:r>
      <w:r>
        <w:rPr>
          <w:rFonts w:hint="eastAsia" w:ascii="仿宋" w:hAnsi="仿宋" w:eastAsia="仿宋" w:cs="仿宋"/>
          <w:color w:val="auto"/>
          <w:kern w:val="2"/>
          <w:szCs w:val="21"/>
          <w:highlight w:val="none"/>
          <w:lang w:val="zh-CN"/>
        </w:rPr>
        <w:t>应立即以书面</w:t>
      </w:r>
      <w:r>
        <w:rPr>
          <w:rFonts w:hint="eastAsia" w:ascii="仿宋" w:hAnsi="仿宋" w:eastAsia="仿宋" w:cs="仿宋"/>
          <w:bCs/>
          <w:color w:val="auto"/>
          <w:kern w:val="2"/>
          <w:szCs w:val="21"/>
          <w:highlight w:val="none"/>
          <w:lang w:val="zh-CN"/>
        </w:rPr>
        <w:t>形式（应加盖公章）</w:t>
      </w:r>
      <w:r>
        <w:rPr>
          <w:rFonts w:hint="eastAsia" w:ascii="仿宋" w:hAnsi="仿宋" w:eastAsia="仿宋" w:cs="仿宋"/>
          <w:color w:val="auto"/>
          <w:kern w:val="2"/>
          <w:szCs w:val="21"/>
          <w:highlight w:val="none"/>
          <w:lang w:val="zh-CN"/>
        </w:rPr>
        <w:t>向采购代理机构确认</w:t>
      </w:r>
      <w:r>
        <w:rPr>
          <w:rFonts w:hint="eastAsia" w:ascii="仿宋" w:hAnsi="仿宋" w:eastAsia="仿宋" w:cs="仿宋"/>
          <w:bCs/>
          <w:color w:val="auto"/>
          <w:kern w:val="2"/>
          <w:szCs w:val="21"/>
          <w:highlight w:val="none"/>
          <w:lang w:val="zh-CN"/>
        </w:rPr>
        <w:t>，逾期不提交书面确认的，视为已确认。</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9.3</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为使投标人在准备投标文件时有合理的时间考虑招标文件的修改，采购代理机构可酌情推迟本项目递交投标文件截止日期，但应发布公告并书面通知所有购买招标文件的潜在投标人。</w:t>
      </w:r>
    </w:p>
    <w:p>
      <w:pPr>
        <w:spacing w:line="360" w:lineRule="auto"/>
        <w:ind w:left="567" w:hanging="567"/>
        <w:jc w:val="both"/>
        <w:rPr>
          <w:rFonts w:hAnsi="宋体" w:cs="宋体"/>
          <w:color w:val="auto"/>
          <w:kern w:val="2"/>
          <w:szCs w:val="21"/>
          <w:highlight w:val="none"/>
          <w:lang w:val="zh-CN"/>
        </w:rPr>
      </w:pPr>
    </w:p>
    <w:p>
      <w:pPr>
        <w:pStyle w:val="5"/>
        <w:spacing w:line="360" w:lineRule="auto"/>
        <w:rPr>
          <w:rFonts w:hAnsi="宋体" w:cs="宋体"/>
          <w:color w:val="auto"/>
          <w:kern w:val="44"/>
          <w:szCs w:val="21"/>
          <w:highlight w:val="none"/>
          <w:lang w:val="zh-CN"/>
        </w:rPr>
      </w:pPr>
      <w:bookmarkStart w:id="2" w:name="_Toc413396491"/>
      <w:r>
        <w:rPr>
          <w:rFonts w:hint="eastAsia" w:hAnsi="宋体" w:cs="宋体"/>
          <w:color w:val="auto"/>
          <w:kern w:val="44"/>
          <w:szCs w:val="21"/>
          <w:highlight w:val="none"/>
          <w:lang w:val="zh-CN"/>
        </w:rPr>
        <w:t>（三）投标文件的编制</w:t>
      </w:r>
      <w:bookmarkEnd w:id="2"/>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10</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投标使用的文字及度量衡单位。</w:t>
      </w:r>
    </w:p>
    <w:p>
      <w:pPr>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10.1  投标人应仔细阅读招标文件的所有内容，并按招标文件的规定及附件要求的内容和格式，提交完整的投标文件，并保证所提供全部资料的真实性，所有不完整的投标将被拒绝。</w:t>
      </w:r>
    </w:p>
    <w:p>
      <w:pPr>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10.2  投标文件使用的度量衡单位采用中华人民共和国法定计量单位。</w:t>
      </w:r>
    </w:p>
    <w:p>
      <w:pPr>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10.3  投标人提交的投标文件以及投标人与采购代理机构就有关投标的所有来往函电均应使用中文。投标人提交的支持文件或印刷的资料可以用另一种语言，但相应内容应附有中文翻译本，对不同文字文本投标文件的解释发生异议的，以中文文本为准。对中文翻译有异议的，以权威机构的译本为准。</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10.4  招标文件中，如标有“★”的条款均为必须完全满足指标，投标人须进行实质性响应，投标人若有一项带“★”的条款未响应或不满足，将按无效投标处理。</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10.5  招标文件中，如标有“▲”的条款均为评审的重要评分指标，投标人若有部分“▲”条款未响应或不满足，将导致其响应性评审严重扣分。</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10.6  投标人应对投标内容提供完整的、详细的、清晰的技术说明，如投标人对指定的技术要求建议做任何改动，应在投标文件中清楚地注明；投标人对招标文件的对应要求应当给予唯一的实质性响应，否则将视为不响应。技术参数要求中标注有具体数值要求的，投标人必须在技术规格响应表中标注实际数值，不标注数值者视为不响应。</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10.7  投标人响应招标需求应具体、明确，含糊不清、不确切、直接复制招标文件中技术规格或参数要求的，或伪造、变造证明材料的，按照不完全响应或完全不响应处理。构成提供虚假材料的，移送监管部门查处。</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10.8  投标人对招标文件的商务合同不允许实质性偏离，否则将视为不响应。</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10.9  资格文件视为投标文件不可分割的一部分，投标人应提供相关证件、证明文件的复印件，否则，评标委员会有权不予采信。评审结果确定后，招标代理机构将按照采购人的要求通知评标委员会推荐的第一中标候选人在2个工作日内，按招标文件中所列需要核对原件的资料（标注“○”的文件），包括相关证件、证明文件、合同、中标通知书或验收报告等的原件送采购人核对与投标文件中的复印件是否一致。投标人的相关证件、证明文件、合同和其他文件的原件、复印件没有按招标文件规定提交或提交的原件与复印件不一致的，其投标无效。</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10.10  投标文件按规定加盖的投标人公章必须为企业投标人公章，且与投标人名称一致，不能以其它业务章或附属机构章代替。需签名之处必须由当事人</w:t>
      </w:r>
      <w:r>
        <w:rPr>
          <w:rFonts w:hint="eastAsia" w:ascii="仿宋" w:hAnsi="仿宋" w:eastAsia="仿宋" w:cs="仿宋"/>
          <w:color w:val="auto"/>
          <w:szCs w:val="21"/>
          <w:highlight w:val="none"/>
        </w:rPr>
        <w:t>签字或盖章</w:t>
      </w:r>
      <w:r>
        <w:rPr>
          <w:rFonts w:hint="eastAsia" w:ascii="仿宋" w:hAnsi="仿宋" w:eastAsia="仿宋" w:cs="仿宋"/>
          <w:color w:val="auto"/>
          <w:kern w:val="2"/>
          <w:szCs w:val="21"/>
          <w:highlight w:val="none"/>
          <w:lang w:val="zh-CN"/>
        </w:rPr>
        <w:t>。</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11</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投标文件的组成</w:t>
      </w:r>
    </w:p>
    <w:p>
      <w:pPr>
        <w:spacing w:line="360" w:lineRule="auto"/>
        <w:ind w:left="630" w:hanging="630" w:hangingChars="3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11.1 投标文件由自查表、商务技术文件、经济文件组成，三部分合编成一本文件</w:t>
      </w:r>
      <w:r>
        <w:rPr>
          <w:rFonts w:hint="eastAsia" w:ascii="仿宋" w:hAnsi="仿宋" w:eastAsia="仿宋" w:cs="仿宋"/>
          <w:color w:val="auto"/>
          <w:szCs w:val="21"/>
          <w:highlight w:val="none"/>
          <w:lang w:val="zh-CN"/>
        </w:rPr>
        <w:t>（格式见第五篇投标文件格式）</w:t>
      </w:r>
      <w:r>
        <w:rPr>
          <w:rFonts w:hint="eastAsia" w:ascii="仿宋" w:hAnsi="仿宋" w:eastAsia="仿宋" w:cs="仿宋"/>
          <w:color w:val="auto"/>
          <w:kern w:val="2"/>
          <w:szCs w:val="21"/>
          <w:highlight w:val="none"/>
          <w:lang w:val="zh-CN"/>
        </w:rPr>
        <w:t>。</w:t>
      </w:r>
    </w:p>
    <w:p>
      <w:pPr>
        <w:spacing w:line="360" w:lineRule="auto"/>
        <w:ind w:firstLine="422"/>
        <w:rPr>
          <w:rFonts w:ascii="仿宋" w:hAnsi="仿宋" w:eastAsia="仿宋" w:cs="仿宋"/>
          <w:bCs/>
          <w:color w:val="auto"/>
          <w:szCs w:val="21"/>
          <w:highlight w:val="none"/>
          <w:lang w:val="zh-CN"/>
        </w:rPr>
      </w:pPr>
      <w:r>
        <w:rPr>
          <w:rFonts w:hint="eastAsia" w:ascii="仿宋" w:hAnsi="仿宋" w:eastAsia="仿宋" w:cs="仿宋"/>
          <w:bCs/>
          <w:color w:val="auto"/>
          <w:szCs w:val="21"/>
          <w:highlight w:val="none"/>
          <w:lang w:val="zh-CN"/>
        </w:rPr>
        <w:t>第一节、自查表</w:t>
      </w:r>
    </w:p>
    <w:p>
      <w:pPr>
        <w:spacing w:line="360" w:lineRule="auto"/>
        <w:ind w:firstLine="422"/>
        <w:rPr>
          <w:rFonts w:ascii="仿宋" w:hAnsi="仿宋" w:eastAsia="仿宋" w:cs="仿宋"/>
          <w:bCs/>
          <w:color w:val="auto"/>
          <w:kern w:val="2"/>
          <w:szCs w:val="21"/>
          <w:highlight w:val="none"/>
          <w:lang w:val="zh-CN"/>
        </w:rPr>
      </w:pPr>
      <w:r>
        <w:rPr>
          <w:rFonts w:hint="eastAsia" w:ascii="仿宋" w:hAnsi="仿宋" w:eastAsia="仿宋" w:cs="仿宋"/>
          <w:bCs/>
          <w:color w:val="auto"/>
          <w:szCs w:val="21"/>
          <w:highlight w:val="none"/>
          <w:lang w:val="zh-CN"/>
        </w:rPr>
        <w:t>第二节、</w:t>
      </w:r>
      <w:r>
        <w:rPr>
          <w:rFonts w:hint="eastAsia" w:ascii="仿宋" w:hAnsi="仿宋" w:eastAsia="仿宋" w:cs="仿宋"/>
          <w:bCs/>
          <w:color w:val="auto"/>
          <w:kern w:val="2"/>
          <w:szCs w:val="21"/>
          <w:highlight w:val="none"/>
          <w:lang w:val="zh-CN"/>
        </w:rPr>
        <w:t>商务技术文件</w:t>
      </w:r>
    </w:p>
    <w:p>
      <w:pPr>
        <w:spacing w:line="360" w:lineRule="auto"/>
        <w:ind w:firstLine="422"/>
        <w:rPr>
          <w:rFonts w:ascii="仿宋" w:hAnsi="仿宋" w:eastAsia="仿宋" w:cs="仿宋"/>
          <w:bCs/>
          <w:color w:val="auto"/>
          <w:szCs w:val="21"/>
          <w:highlight w:val="none"/>
        </w:rPr>
      </w:pPr>
      <w:r>
        <w:rPr>
          <w:rFonts w:hint="eastAsia" w:ascii="仿宋" w:hAnsi="仿宋" w:eastAsia="仿宋" w:cs="仿宋"/>
          <w:bCs/>
          <w:color w:val="auto"/>
          <w:szCs w:val="21"/>
          <w:highlight w:val="none"/>
          <w:lang w:val="zh-CN"/>
        </w:rPr>
        <w:t>第三节、经济文件</w:t>
      </w:r>
    </w:p>
    <w:p>
      <w:pPr>
        <w:spacing w:line="360" w:lineRule="auto"/>
        <w:jc w:val="both"/>
        <w:rPr>
          <w:rFonts w:ascii="仿宋" w:hAnsi="仿宋" w:eastAsia="仿宋" w:cs="仿宋"/>
          <w:bCs/>
          <w:color w:val="auto"/>
          <w:szCs w:val="21"/>
          <w:highlight w:val="none"/>
          <w:lang w:val="zh-CN"/>
        </w:rPr>
      </w:pPr>
      <w:r>
        <w:rPr>
          <w:rFonts w:hint="eastAsia" w:ascii="仿宋" w:hAnsi="仿宋" w:eastAsia="仿宋" w:cs="仿宋"/>
          <w:color w:val="auto"/>
          <w:szCs w:val="21"/>
          <w:highlight w:val="none"/>
        </w:rPr>
        <w:t>11</w:t>
      </w:r>
      <w:r>
        <w:rPr>
          <w:rFonts w:hint="eastAsia" w:ascii="仿宋" w:hAnsi="仿宋" w:eastAsia="仿宋" w:cs="仿宋"/>
          <w:bCs/>
          <w:color w:val="auto"/>
          <w:kern w:val="2"/>
          <w:szCs w:val="21"/>
          <w:highlight w:val="none"/>
          <w:lang w:val="zh-CN"/>
        </w:rPr>
        <w:t>.2 唱标信封</w:t>
      </w:r>
    </w:p>
    <w:p>
      <w:pPr>
        <w:spacing w:line="360" w:lineRule="auto"/>
        <w:ind w:firstLine="210" w:firstLineChars="100"/>
        <w:jc w:val="both"/>
        <w:rPr>
          <w:rFonts w:ascii="仿宋" w:hAnsi="仿宋" w:eastAsia="仿宋" w:cs="仿宋"/>
          <w:bCs/>
          <w:color w:val="auto"/>
          <w:kern w:val="2"/>
          <w:szCs w:val="21"/>
          <w:highlight w:val="none"/>
          <w:lang w:val="zh-CN"/>
        </w:rPr>
      </w:pPr>
      <w:r>
        <w:rPr>
          <w:rFonts w:hint="eastAsia" w:ascii="仿宋" w:hAnsi="仿宋" w:eastAsia="仿宋" w:cs="仿宋"/>
          <w:bCs/>
          <w:color w:val="auto"/>
          <w:kern w:val="2"/>
          <w:szCs w:val="21"/>
          <w:highlight w:val="none"/>
          <w:lang w:val="zh-CN"/>
        </w:rPr>
        <w:t>1)  投标函（从投标文件正本中复印，加盖投标人公章）；</w:t>
      </w:r>
    </w:p>
    <w:p>
      <w:pPr>
        <w:spacing w:line="360" w:lineRule="auto"/>
        <w:ind w:firstLine="210" w:firstLineChars="100"/>
        <w:jc w:val="both"/>
        <w:rPr>
          <w:rFonts w:ascii="仿宋" w:hAnsi="仿宋" w:eastAsia="仿宋" w:cs="仿宋"/>
          <w:bCs/>
          <w:color w:val="auto"/>
          <w:kern w:val="2"/>
          <w:szCs w:val="21"/>
          <w:highlight w:val="none"/>
          <w:lang w:val="zh-CN"/>
        </w:rPr>
      </w:pPr>
      <w:r>
        <w:rPr>
          <w:rFonts w:hint="eastAsia" w:ascii="仿宋" w:hAnsi="仿宋" w:eastAsia="仿宋" w:cs="仿宋"/>
          <w:bCs/>
          <w:color w:val="auto"/>
          <w:kern w:val="2"/>
          <w:szCs w:val="21"/>
          <w:highlight w:val="none"/>
          <w:lang w:val="zh-CN"/>
        </w:rPr>
        <w:t>2)  投标报价总表（从投标文件正本中复印，该表内容如与正本不一致的，以正本内容为准，加盖投标人公章）；</w:t>
      </w:r>
    </w:p>
    <w:p>
      <w:pPr>
        <w:spacing w:line="360" w:lineRule="auto"/>
        <w:ind w:firstLine="210" w:firstLineChars="100"/>
        <w:jc w:val="both"/>
        <w:rPr>
          <w:rFonts w:ascii="仿宋" w:hAnsi="仿宋" w:eastAsia="仿宋" w:cs="仿宋"/>
          <w:bCs/>
          <w:color w:val="auto"/>
          <w:kern w:val="2"/>
          <w:szCs w:val="21"/>
          <w:highlight w:val="none"/>
          <w:lang w:val="zh-CN"/>
        </w:rPr>
      </w:pPr>
      <w:r>
        <w:rPr>
          <w:rFonts w:hint="eastAsia" w:ascii="仿宋" w:hAnsi="仿宋" w:eastAsia="仿宋" w:cs="仿宋"/>
          <w:bCs/>
          <w:color w:val="auto"/>
          <w:kern w:val="2"/>
          <w:szCs w:val="21"/>
          <w:highlight w:val="none"/>
          <w:lang w:val="zh-CN"/>
        </w:rPr>
        <w:t>3） 法定代表人\负责人证明书及法人授权证明书（原件）；</w:t>
      </w:r>
    </w:p>
    <w:p>
      <w:pPr>
        <w:spacing w:line="360" w:lineRule="auto"/>
        <w:ind w:firstLine="210" w:firstLineChars="100"/>
        <w:jc w:val="both"/>
        <w:rPr>
          <w:rFonts w:ascii="仿宋" w:hAnsi="仿宋" w:eastAsia="仿宋" w:cs="仿宋"/>
          <w:bCs/>
          <w:color w:val="auto"/>
          <w:kern w:val="2"/>
          <w:szCs w:val="21"/>
          <w:highlight w:val="none"/>
          <w:lang w:val="zh-CN"/>
        </w:rPr>
      </w:pPr>
      <w:r>
        <w:rPr>
          <w:rFonts w:hint="eastAsia" w:ascii="仿宋" w:hAnsi="仿宋" w:eastAsia="仿宋" w:cs="仿宋"/>
          <w:bCs/>
          <w:color w:val="auto"/>
          <w:kern w:val="2"/>
          <w:szCs w:val="21"/>
          <w:highlight w:val="none"/>
          <w:lang w:val="zh-CN"/>
        </w:rPr>
        <w:t>4） 电子文件（含投标文件经济文件、商务技术文件, 电子投标文件采用U盘装载，其中经济部分需用MS office的excel格式提供。）</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lang w:val="zh-CN"/>
        </w:rPr>
        <w:t>11.3 投标人编制投标文件必须包括但不限于上述内容。</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12</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投标报价</w:t>
      </w:r>
    </w:p>
    <w:p>
      <w:pPr>
        <w:autoSpaceDE/>
        <w:autoSpaceDN/>
        <w:adjustRightInd/>
        <w:spacing w:line="360" w:lineRule="auto"/>
        <w:ind w:left="630" w:hanging="630" w:hangingChars="300"/>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12.1</w:t>
      </w:r>
      <w:r>
        <w:rPr>
          <w:rFonts w:hint="eastAsia" w:ascii="仿宋" w:hAnsi="仿宋" w:eastAsia="仿宋" w:cs="仿宋"/>
          <w:color w:val="auto"/>
          <w:kern w:val="2"/>
          <w:szCs w:val="21"/>
          <w:highlight w:val="none"/>
          <w:lang w:val="zh-CN"/>
        </w:rPr>
        <w:tab/>
      </w:r>
      <w:r>
        <w:rPr>
          <w:rFonts w:hint="eastAsia" w:ascii="仿宋" w:hAnsi="仿宋" w:eastAsia="仿宋" w:cs="仿宋"/>
          <w:color w:val="auto"/>
          <w:szCs w:val="21"/>
          <w:highlight w:val="none"/>
        </w:rPr>
        <w:t>本次招标必须对该项目的全部内容进行报价，少报漏报将导致其无效。</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12.2  投标人投标总价是以投标人可独立完成本项目，并在通过准确核算后，可满足预期实施效果、验收标准和符合自身合法利益的前提下所作出的综合性合理最终含税报价，对在投标文件和合同书中未有明确列述、投标方案设计遗漏失误、市场剧变、汇率、利率因素和不可预见的费用等均视为已完全考虑到并包括在投标总价之内。投标人应自行增加项目正常、合法、安全运行及使用所必需但招标文件没有列明或包含的内容及费用，并在投标文件中加以详细说明，如果投标人在中标并签署合同后，在提供招标范围内的服务工作中出现的任何遗漏，均由中标人免费提供，采购人将不再支付任何费用。对超出常规、具有特别意义或会引起竞争非议的报价须作出特别说明。</w:t>
      </w:r>
    </w:p>
    <w:p>
      <w:pPr>
        <w:tabs>
          <w:tab w:val="left" w:pos="567"/>
        </w:tabs>
        <w:spacing w:line="360" w:lineRule="auto"/>
        <w:ind w:left="567" w:hanging="567"/>
        <w:jc w:val="both"/>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12.3</w:t>
      </w:r>
      <w:r>
        <w:rPr>
          <w:rFonts w:hint="eastAsia" w:ascii="仿宋" w:hAnsi="仿宋" w:eastAsia="仿宋" w:cs="仿宋"/>
          <w:color w:val="auto"/>
          <w:kern w:val="2"/>
          <w:szCs w:val="21"/>
          <w:highlight w:val="none"/>
          <w:lang w:val="zh-CN"/>
        </w:rPr>
        <w:tab/>
      </w:r>
      <w:r>
        <w:rPr>
          <w:rFonts w:hint="eastAsia" w:ascii="仿宋" w:hAnsi="仿宋" w:eastAsia="仿宋" w:cs="仿宋"/>
          <w:color w:val="auto"/>
          <w:szCs w:val="21"/>
          <w:highlight w:val="none"/>
        </w:rPr>
        <w:t>投标报价不是唯一的或不是固定不变的投标文件将被作为非响应性投标而予以拒绝。投标人所报的投标价在合同执行期间是固定不变的，投标人不得以任何理由予以变更。</w:t>
      </w:r>
    </w:p>
    <w:p>
      <w:pPr>
        <w:autoSpaceDE/>
        <w:autoSpaceDN/>
        <w:adjustRightInd/>
        <w:spacing w:line="360" w:lineRule="auto"/>
        <w:ind w:left="630" w:hanging="630" w:hangingChars="300"/>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12.4</w:t>
      </w:r>
      <w:r>
        <w:rPr>
          <w:rFonts w:hint="eastAsia" w:ascii="仿宋" w:hAnsi="仿宋" w:eastAsia="仿宋" w:cs="仿宋"/>
          <w:color w:val="auto"/>
          <w:kern w:val="2"/>
          <w:szCs w:val="21"/>
          <w:highlight w:val="none"/>
          <w:lang w:val="zh-CN"/>
        </w:rPr>
        <w:tab/>
      </w:r>
      <w:r>
        <w:rPr>
          <w:rFonts w:hint="eastAsia" w:ascii="仿宋" w:hAnsi="仿宋" w:eastAsia="仿宋" w:cs="仿宋"/>
          <w:color w:val="auto"/>
          <w:szCs w:val="21"/>
          <w:highlight w:val="none"/>
        </w:rPr>
        <w:t>合同项下，买方需要的服务和附带备品、配件所需的费用，如果投标人是另外单独报价的，评分时计入投标报价总价。确定中标人后，在合同规定的承包范围内中标人不得以任何理由追加设备费用、辅材费用或其他费用。</w:t>
      </w:r>
    </w:p>
    <w:p>
      <w:pPr>
        <w:spacing w:line="360" w:lineRule="auto"/>
        <w:ind w:left="567" w:hanging="567"/>
        <w:jc w:val="both"/>
        <w:rPr>
          <w:rFonts w:ascii="仿宋" w:hAnsi="仿宋" w:eastAsia="仿宋" w:cs="仿宋"/>
          <w:bCs/>
          <w:color w:val="auto"/>
          <w:szCs w:val="21"/>
          <w:highlight w:val="none"/>
        </w:rPr>
      </w:pPr>
      <w:r>
        <w:rPr>
          <w:rFonts w:hint="eastAsia" w:ascii="仿宋" w:hAnsi="仿宋" w:eastAsia="仿宋" w:cs="仿宋"/>
          <w:color w:val="auto"/>
          <w:kern w:val="2"/>
          <w:szCs w:val="21"/>
          <w:highlight w:val="none"/>
          <w:lang w:val="zh-CN"/>
        </w:rPr>
        <w:t>12.5</w:t>
      </w:r>
      <w:r>
        <w:rPr>
          <w:rFonts w:hint="eastAsia" w:ascii="仿宋" w:hAnsi="仿宋" w:eastAsia="仿宋" w:cs="仿宋"/>
          <w:color w:val="auto"/>
          <w:kern w:val="2"/>
          <w:szCs w:val="21"/>
          <w:highlight w:val="none"/>
          <w:lang w:val="zh-CN"/>
        </w:rPr>
        <w:tab/>
      </w:r>
      <w:r>
        <w:rPr>
          <w:rFonts w:hint="eastAsia" w:ascii="仿宋" w:hAnsi="仿宋" w:eastAsia="仿宋" w:cs="仿宋"/>
          <w:bCs/>
          <w:color w:val="auto"/>
          <w:szCs w:val="21"/>
          <w:highlight w:val="none"/>
        </w:rPr>
        <w:t>本次招标实行“最高限价”和“最高服务费提取比例限值”制度。投标人的投标报价高于最高限价的或服务费提取比例高于最高限值的，该投标人的投标文件将被视为非响应性报价予以废标。</w:t>
      </w:r>
    </w:p>
    <w:p>
      <w:pPr>
        <w:tabs>
          <w:tab w:val="left" w:pos="720"/>
          <w:tab w:val="left" w:pos="346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12.6  投标人必须以人民币报价，以其它货币标价的投标将予以拒绝。投标文件的大写金额和小写金额不一致的，以大写金额为准；总价金额与按单价汇总金额不一致的，以单价金额计算结果为准；单价金额小数点有明显错位的，应以总价为准，并修改单价。</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13</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证明投标人的合格性的证明文件</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13.1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根据</w:t>
      </w:r>
      <w:r>
        <w:rPr>
          <w:color w:val="auto"/>
          <w:highlight w:val="none"/>
        </w:rPr>
        <w:fldChar w:fldCharType="begin"/>
      </w:r>
      <w:r>
        <w:rPr>
          <w:color w:val="auto"/>
          <w:highlight w:val="none"/>
        </w:rPr>
        <w:instrText xml:space="preserve"> HYPERLINK "file:///C:\\Users\\hhy\\Desktop\\l" </w:instrText>
      </w:r>
      <w:r>
        <w:rPr>
          <w:color w:val="auto"/>
          <w:highlight w:val="none"/>
        </w:rPr>
        <w:fldChar w:fldCharType="separate"/>
      </w:r>
      <w:r>
        <w:rPr>
          <w:rFonts w:hint="eastAsia" w:ascii="仿宋" w:hAnsi="仿宋" w:eastAsia="仿宋" w:cs="仿宋"/>
          <w:color w:val="auto"/>
          <w:kern w:val="2"/>
          <w:szCs w:val="21"/>
          <w:highlight w:val="none"/>
          <w:lang w:val="zh-CN"/>
        </w:rPr>
        <w:t>第13.2款</w:t>
      </w:r>
      <w:r>
        <w:rPr>
          <w:rFonts w:hint="eastAsia" w:ascii="仿宋" w:hAnsi="仿宋" w:eastAsia="仿宋" w:cs="仿宋"/>
          <w:color w:val="auto"/>
          <w:kern w:val="2"/>
          <w:szCs w:val="21"/>
          <w:highlight w:val="none"/>
          <w:lang w:val="zh-CN"/>
        </w:rPr>
        <w:fldChar w:fldCharType="end"/>
      </w:r>
      <w:r>
        <w:rPr>
          <w:rFonts w:hint="eastAsia" w:ascii="仿宋" w:hAnsi="仿宋" w:eastAsia="仿宋" w:cs="仿宋"/>
          <w:color w:val="auto"/>
          <w:kern w:val="2"/>
          <w:szCs w:val="21"/>
          <w:highlight w:val="none"/>
          <w:lang w:val="zh-CN"/>
        </w:rPr>
        <w:t>规定，投标人须提交证明其有资格进行投标和有能力履行合同的文件，作为投标文件的一部分。</w:t>
      </w:r>
    </w:p>
    <w:p>
      <w:pPr>
        <w:spacing w:line="360" w:lineRule="auto"/>
        <w:ind w:left="567" w:hanging="567"/>
        <w:jc w:val="both"/>
        <w:rPr>
          <w:rFonts w:ascii="仿宋" w:hAnsi="仿宋" w:eastAsia="仿宋" w:cs="仿宋"/>
          <w:color w:val="auto"/>
          <w:kern w:val="2"/>
          <w:szCs w:val="21"/>
          <w:highlight w:val="none"/>
          <w:vertAlign w:val="superscript"/>
          <w:lang w:val="zh-CN"/>
        </w:rPr>
      </w:pPr>
      <w:r>
        <w:rPr>
          <w:rFonts w:hint="eastAsia" w:ascii="仿宋" w:hAnsi="仿宋" w:eastAsia="仿宋" w:cs="仿宋"/>
          <w:color w:val="auto"/>
          <w:kern w:val="2"/>
          <w:szCs w:val="21"/>
          <w:highlight w:val="none"/>
          <w:lang w:val="zh-CN"/>
        </w:rPr>
        <w:t>13.2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投标人提供的履行合同的资格证明文件</w:t>
      </w:r>
      <w:r>
        <w:rPr>
          <w:rFonts w:hint="eastAsia" w:ascii="仿宋" w:hAnsi="仿宋" w:eastAsia="仿宋" w:cs="仿宋"/>
          <w:color w:val="auto"/>
          <w:szCs w:val="21"/>
          <w:highlight w:val="none"/>
        </w:rPr>
        <w:t>：详</w:t>
      </w:r>
      <w:r>
        <w:rPr>
          <w:rFonts w:hint="eastAsia" w:ascii="仿宋" w:hAnsi="仿宋" w:eastAsia="仿宋" w:cs="仿宋"/>
          <w:color w:val="auto"/>
          <w:kern w:val="2"/>
          <w:szCs w:val="21"/>
          <w:highlight w:val="none"/>
          <w:lang w:val="zh-CN"/>
        </w:rPr>
        <w:t>见</w:t>
      </w:r>
      <w:r>
        <w:rPr>
          <w:rFonts w:hint="eastAsia" w:ascii="仿宋" w:hAnsi="仿宋" w:eastAsia="仿宋" w:cs="仿宋"/>
          <w:color w:val="auto"/>
          <w:szCs w:val="21"/>
          <w:highlight w:val="none"/>
        </w:rPr>
        <w:t>《投标须知前附表》。</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14</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证明货物和服务的合格性并符合招标文件规定的声明文件</w:t>
      </w:r>
    </w:p>
    <w:p>
      <w:pPr>
        <w:tabs>
          <w:tab w:val="left" w:pos="675"/>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15.1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投标人须提交证明其所提供的服务和货物的合格性并符合招标文件规定的声明文件，作为投标文件的一部分。</w:t>
      </w:r>
    </w:p>
    <w:p>
      <w:pPr>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15.2  证明货物和服务与招标文件的要求相一致的文件可以是文字资料、图纸和数据资料。</w:t>
      </w:r>
    </w:p>
    <w:p>
      <w:pPr>
        <w:spacing w:line="360" w:lineRule="auto"/>
        <w:ind w:left="630" w:hanging="630" w:hangingChars="3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15.3  为说明第15.1款的规定，投标人应注意本招标文件在《用户需求书》中</w:t>
      </w:r>
      <w:r>
        <w:rPr>
          <w:rFonts w:hint="eastAsia" w:ascii="仿宋" w:hAnsi="仿宋" w:eastAsia="仿宋" w:cs="仿宋"/>
          <w:color w:val="auto"/>
          <w:szCs w:val="21"/>
          <w:highlight w:val="none"/>
        </w:rPr>
        <w:t>对服务、技术要求所描述的特征或说明</w:t>
      </w:r>
      <w:r>
        <w:rPr>
          <w:rFonts w:hint="eastAsia" w:ascii="仿宋" w:hAnsi="仿宋" w:eastAsia="仿宋" w:cs="仿宋"/>
          <w:color w:val="auto"/>
          <w:kern w:val="2"/>
          <w:szCs w:val="21"/>
          <w:highlight w:val="none"/>
          <w:lang w:val="zh-CN"/>
        </w:rPr>
        <w:t xml:space="preserve">等仅系说明并非进行限制，投标人按行业技术和以往的服务经验，投标人可提出替代方案，但该替代方案应相当于或优胜于《用户需求书》中的规定，合格优质地完成招标内容和包含的全部实际工序及服务，以使采购人满意。 </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15</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投标保证金：（本项目不适用）</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16</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投标有效期</w:t>
      </w:r>
    </w:p>
    <w:p>
      <w:pPr>
        <w:tabs>
          <w:tab w:val="left" w:pos="567"/>
        </w:tabs>
        <w:spacing w:line="360" w:lineRule="auto"/>
        <w:ind w:left="567" w:hanging="567"/>
        <w:jc w:val="both"/>
        <w:rPr>
          <w:rFonts w:ascii="仿宋" w:hAnsi="仿宋" w:eastAsia="仿宋" w:cs="仿宋"/>
          <w:b/>
          <w:bCs/>
          <w:color w:val="auto"/>
          <w:kern w:val="2"/>
          <w:szCs w:val="21"/>
          <w:highlight w:val="none"/>
          <w:lang w:val="zh-CN"/>
        </w:rPr>
      </w:pPr>
      <w:r>
        <w:rPr>
          <w:rFonts w:hint="eastAsia" w:ascii="仿宋" w:hAnsi="仿宋" w:eastAsia="仿宋" w:cs="仿宋"/>
          <w:color w:val="auto"/>
          <w:kern w:val="2"/>
          <w:szCs w:val="21"/>
          <w:highlight w:val="none"/>
          <w:lang w:val="zh-CN"/>
        </w:rPr>
        <w:t>16.1</w:t>
      </w:r>
      <w:r>
        <w:rPr>
          <w:rFonts w:hint="eastAsia" w:ascii="仿宋" w:hAnsi="仿宋" w:eastAsia="仿宋" w:cs="仿宋"/>
          <w:color w:val="auto"/>
          <w:kern w:val="2"/>
          <w:szCs w:val="21"/>
          <w:highlight w:val="none"/>
          <w:lang w:val="zh-CN"/>
        </w:rPr>
        <w:tab/>
      </w:r>
      <w:r>
        <w:rPr>
          <w:rFonts w:hint="eastAsia" w:ascii="仿宋" w:hAnsi="仿宋" w:eastAsia="仿宋" w:cs="仿宋"/>
          <w:b/>
          <w:color w:val="auto"/>
          <w:kern w:val="2"/>
          <w:szCs w:val="21"/>
          <w:highlight w:val="none"/>
          <w:lang w:val="zh-CN"/>
        </w:rPr>
        <w:t>投标文件应在</w:t>
      </w:r>
      <w:r>
        <w:rPr>
          <w:rFonts w:hint="eastAsia" w:ascii="仿宋" w:hAnsi="仿宋" w:eastAsia="仿宋" w:cs="仿宋"/>
          <w:b/>
          <w:color w:val="auto"/>
          <w:szCs w:val="21"/>
          <w:highlight w:val="none"/>
        </w:rPr>
        <w:t>《投标须知前附表》</w:t>
      </w:r>
      <w:r>
        <w:rPr>
          <w:rFonts w:hint="eastAsia" w:ascii="仿宋" w:hAnsi="仿宋" w:eastAsia="仿宋" w:cs="仿宋"/>
          <w:b/>
          <w:color w:val="auto"/>
          <w:kern w:val="2"/>
          <w:szCs w:val="21"/>
          <w:highlight w:val="none"/>
          <w:lang w:val="zh-CN"/>
        </w:rPr>
        <w:t>规定的时间内保持有效。投标有效期比规定时间短的将被视为非响应性投标而予以拒绝。</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16.2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中标人的投标文件作为合同附件，合同失效时同时失效。</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16.3</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在特殊情况下，采购代理机构可于投标有效期满之前要求投标人同意延长有效期。要求与答复均应为书面形式往来。投标人可以拒绝上述要求。对于同意该要求的投标人，既不要求也不允许其修改投标文件。</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17</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投标文件的式样和签署</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17.1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投标人应准备投标文件一份正本和</w:t>
      </w:r>
      <w:r>
        <w:rPr>
          <w:rFonts w:hint="eastAsia" w:ascii="仿宋" w:hAnsi="仿宋" w:eastAsia="仿宋" w:cs="仿宋"/>
          <w:color w:val="auto"/>
          <w:szCs w:val="21"/>
          <w:highlight w:val="none"/>
        </w:rPr>
        <w:t>《投标须知前附表》</w:t>
      </w:r>
      <w:r>
        <w:rPr>
          <w:rFonts w:hint="eastAsia" w:ascii="仿宋" w:hAnsi="仿宋" w:eastAsia="仿宋" w:cs="仿宋"/>
          <w:color w:val="auto"/>
          <w:kern w:val="2"/>
          <w:szCs w:val="21"/>
          <w:highlight w:val="none"/>
          <w:lang w:val="zh-CN"/>
        </w:rPr>
        <w:t>规定的副本份数，</w:t>
      </w:r>
      <w:r>
        <w:rPr>
          <w:rFonts w:hint="eastAsia" w:ascii="仿宋" w:hAnsi="仿宋" w:eastAsia="仿宋" w:cs="仿宋"/>
          <w:color w:val="auto"/>
          <w:szCs w:val="21"/>
          <w:highlight w:val="none"/>
        </w:rPr>
        <w:t>每一份投标文件均需编上页次，装订成册（不允许使用活页夹），并要明确注明 “正本”或“副本”字样，一旦正本和副本发现差异，以正本为准。</w:t>
      </w:r>
      <w:r>
        <w:rPr>
          <w:rFonts w:hint="eastAsia" w:ascii="仿宋" w:hAnsi="仿宋" w:eastAsia="仿宋" w:cs="仿宋"/>
          <w:color w:val="auto"/>
          <w:kern w:val="2"/>
          <w:szCs w:val="21"/>
          <w:highlight w:val="none"/>
          <w:lang w:val="zh-CN"/>
        </w:rPr>
        <w:t>所有投标文件必须封入密封完好的信封或包装，封口加盖投标人公章。</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17.2</w:t>
      </w:r>
      <w:r>
        <w:rPr>
          <w:rFonts w:hint="eastAsia" w:ascii="仿宋" w:hAnsi="仿宋" w:eastAsia="仿宋" w:cs="仿宋"/>
          <w:color w:val="auto"/>
          <w:kern w:val="2"/>
          <w:szCs w:val="21"/>
          <w:highlight w:val="none"/>
          <w:lang w:val="zh-CN"/>
        </w:rPr>
        <w:tab/>
      </w:r>
      <w:r>
        <w:rPr>
          <w:rFonts w:hint="eastAsia" w:ascii="仿宋" w:hAnsi="仿宋" w:eastAsia="仿宋" w:cs="仿宋"/>
          <w:bCs/>
          <w:color w:val="auto"/>
          <w:kern w:val="2"/>
          <w:szCs w:val="21"/>
          <w:highlight w:val="none"/>
          <w:lang w:val="zh-CN"/>
        </w:rPr>
        <w:t>投标文件正本和副本须打印或用不褪色墨水书写，由投标人法定代表人\负责人或其授权代表签字，后者须将“法人授权委托证明书”以书面形式附在投标文件中。</w:t>
      </w:r>
      <w:r>
        <w:rPr>
          <w:rFonts w:hint="eastAsia" w:ascii="仿宋" w:hAnsi="仿宋" w:eastAsia="仿宋" w:cs="仿宋"/>
          <w:color w:val="auto"/>
          <w:kern w:val="2"/>
          <w:szCs w:val="21"/>
          <w:highlight w:val="none"/>
          <w:lang w:val="zh-CN"/>
        </w:rPr>
        <w:t>副本文件可由正本文件复印而成。</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17.3</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投标文件须由投标人的合法授权代表正式签署，投标人除可对投标文件的错处作必要修改外，投标文件中不许有加行、涂抹或改写。</w:t>
      </w:r>
      <w:r>
        <w:rPr>
          <w:rFonts w:hint="eastAsia" w:ascii="仿宋" w:hAnsi="仿宋" w:eastAsia="仿宋" w:cs="仿宋"/>
          <w:b/>
          <w:color w:val="auto"/>
          <w:kern w:val="2"/>
          <w:szCs w:val="21"/>
          <w:highlight w:val="none"/>
          <w:lang w:val="zh-CN"/>
        </w:rPr>
        <w:t>任何涂改或修正（如有）须由原签署人签字确认</w:t>
      </w:r>
      <w:r>
        <w:rPr>
          <w:rFonts w:hint="eastAsia" w:ascii="仿宋" w:hAnsi="仿宋" w:eastAsia="仿宋" w:cs="仿宋"/>
          <w:b/>
          <w:bCs/>
          <w:color w:val="auto"/>
          <w:kern w:val="2"/>
          <w:szCs w:val="21"/>
          <w:highlight w:val="none"/>
          <w:lang w:val="zh-CN"/>
        </w:rPr>
        <w:t>，并加盖投标人公章。</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17.4</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投标文件的[正本]及所有[副本]的</w:t>
      </w:r>
      <w:r>
        <w:rPr>
          <w:rFonts w:hint="eastAsia" w:ascii="仿宋" w:hAnsi="仿宋" w:eastAsia="仿宋" w:cs="仿宋"/>
          <w:b/>
          <w:color w:val="auto"/>
          <w:kern w:val="2"/>
          <w:szCs w:val="21"/>
          <w:highlight w:val="none"/>
          <w:lang w:val="zh-CN"/>
        </w:rPr>
        <w:t>封面及骑缝</w:t>
      </w:r>
      <w:r>
        <w:rPr>
          <w:rFonts w:hint="eastAsia" w:ascii="仿宋" w:hAnsi="仿宋" w:eastAsia="仿宋" w:cs="仿宋"/>
          <w:color w:val="auto"/>
          <w:kern w:val="2"/>
          <w:szCs w:val="21"/>
          <w:highlight w:val="none"/>
          <w:lang w:val="zh-CN"/>
        </w:rPr>
        <w:t>均须由投标人加盖投标人公章。</w:t>
      </w:r>
    </w:p>
    <w:p>
      <w:pPr>
        <w:spacing w:line="360" w:lineRule="auto"/>
        <w:ind w:left="567" w:hanging="567"/>
        <w:jc w:val="both"/>
        <w:rPr>
          <w:rFonts w:ascii="仿宋" w:hAnsi="仿宋" w:eastAsia="仿宋" w:cs="仿宋"/>
          <w:b/>
          <w:bCs/>
          <w:color w:val="auto"/>
          <w:kern w:val="2"/>
          <w:szCs w:val="21"/>
          <w:highlight w:val="none"/>
          <w:u w:val="single"/>
          <w:lang w:val="zh-CN"/>
        </w:rPr>
      </w:pPr>
      <w:r>
        <w:rPr>
          <w:rFonts w:hint="eastAsia" w:ascii="仿宋" w:hAnsi="仿宋" w:eastAsia="仿宋" w:cs="仿宋"/>
          <w:color w:val="auto"/>
          <w:kern w:val="2"/>
          <w:szCs w:val="21"/>
          <w:highlight w:val="none"/>
          <w:lang w:val="zh-CN"/>
        </w:rPr>
        <w:t>17.5</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投标文件的封面应注明“采购项目名称、采购编号、投标人名称、投标日期等”。</w:t>
      </w:r>
    </w:p>
    <w:p>
      <w:pPr>
        <w:spacing w:line="360" w:lineRule="auto"/>
        <w:ind w:left="567" w:hanging="567"/>
        <w:jc w:val="both"/>
        <w:rPr>
          <w:rFonts w:ascii="仿宋" w:hAnsi="仿宋" w:eastAsia="仿宋" w:cs="仿宋"/>
          <w:b/>
          <w:bCs/>
          <w:color w:val="auto"/>
          <w:kern w:val="2"/>
          <w:szCs w:val="21"/>
          <w:highlight w:val="none"/>
          <w:lang w:val="zh-CN"/>
        </w:rPr>
      </w:pPr>
      <w:r>
        <w:rPr>
          <w:rFonts w:hint="eastAsia" w:ascii="仿宋" w:hAnsi="仿宋" w:eastAsia="仿宋" w:cs="仿宋"/>
          <w:color w:val="auto"/>
          <w:kern w:val="2"/>
          <w:szCs w:val="21"/>
          <w:highlight w:val="none"/>
          <w:lang w:val="zh-CN"/>
        </w:rPr>
        <w:t>17.6</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电子文件用U盘储存，并密封于“唱标信封”内。</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17.7</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电报、电传、传真的投标概不接受。</w:t>
      </w:r>
    </w:p>
    <w:p>
      <w:pPr>
        <w:spacing w:line="360" w:lineRule="auto"/>
        <w:ind w:left="567" w:hanging="567"/>
        <w:jc w:val="both"/>
        <w:rPr>
          <w:rFonts w:hAnsi="宋体" w:cs="宋体"/>
          <w:color w:val="auto"/>
          <w:kern w:val="2"/>
          <w:szCs w:val="21"/>
          <w:highlight w:val="none"/>
          <w:u w:val="single"/>
          <w:lang w:val="zh-CN"/>
        </w:rPr>
      </w:pPr>
    </w:p>
    <w:p>
      <w:pPr>
        <w:pStyle w:val="5"/>
        <w:spacing w:line="360" w:lineRule="auto"/>
        <w:rPr>
          <w:rFonts w:hAnsi="宋体" w:cs="宋体"/>
          <w:color w:val="auto"/>
          <w:kern w:val="44"/>
          <w:szCs w:val="21"/>
          <w:highlight w:val="none"/>
          <w:lang w:val="zh-CN"/>
        </w:rPr>
      </w:pPr>
      <w:bookmarkStart w:id="3" w:name="_Toc413396492"/>
      <w:r>
        <w:rPr>
          <w:rFonts w:hint="eastAsia" w:hAnsi="宋体" w:cs="宋体"/>
          <w:color w:val="auto"/>
          <w:kern w:val="44"/>
          <w:szCs w:val="21"/>
          <w:highlight w:val="none"/>
          <w:lang w:val="zh-CN"/>
        </w:rPr>
        <w:t>（四）投标文件的递交</w:t>
      </w:r>
      <w:bookmarkEnd w:id="3"/>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18</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投标文件的密封和标记：</w:t>
      </w:r>
    </w:p>
    <w:p>
      <w:pPr>
        <w:tabs>
          <w:tab w:val="left" w:pos="567"/>
        </w:tabs>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18.1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投标人应将投标文件（不含唱标信封）一起密封在一个不透明的外层封装中。</w:t>
      </w:r>
    </w:p>
    <w:p>
      <w:pPr>
        <w:tabs>
          <w:tab w:val="left" w:pos="567"/>
        </w:tabs>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18.2</w:t>
      </w:r>
      <w:r>
        <w:rPr>
          <w:rFonts w:hint="eastAsia" w:ascii="仿宋" w:hAnsi="仿宋" w:eastAsia="仿宋" w:cs="仿宋"/>
          <w:color w:val="auto"/>
          <w:kern w:val="2"/>
          <w:szCs w:val="21"/>
          <w:highlight w:val="none"/>
          <w:lang w:val="zh-CN"/>
        </w:rPr>
        <w:tab/>
      </w:r>
      <w:r>
        <w:rPr>
          <w:rFonts w:hint="eastAsia" w:ascii="仿宋" w:hAnsi="仿宋" w:eastAsia="仿宋" w:cs="仿宋"/>
          <w:b/>
          <w:bCs/>
          <w:color w:val="auto"/>
          <w:kern w:val="2"/>
          <w:szCs w:val="21"/>
          <w:highlight w:val="none"/>
          <w:lang w:val="zh-CN"/>
        </w:rPr>
        <w:t>唱标信封应单独密封并加盖投标人公章，与投标文件一同提交。</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18.3</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文件密封封装标记：外层密封封装表面应正确标明投标人名称、地址、项目名称、包号（如有）、投标文件名称、并注明投标文件递交截止时间之前不得开封（在封口位置的封条上标注注明），封口位置须加盖投标人公章；</w:t>
      </w:r>
    </w:p>
    <w:p>
      <w:pPr>
        <w:tabs>
          <w:tab w:val="left" w:pos="567"/>
        </w:tabs>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18.4</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如果因密封封装未按本款规定密封和标记，导致采购代理机构对投标文件误投、提前拆封或错放的，由投标承担责任。对由此造成提前开封的投标文件，采购代理机构予以拒绝，并退回投标人。</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19</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bCs/>
          <w:color w:val="auto"/>
          <w:szCs w:val="21"/>
          <w:highlight w:val="none"/>
        </w:rPr>
        <w:t>投标文件的递交、接收和密封</w:t>
      </w:r>
    </w:p>
    <w:p>
      <w:pPr>
        <w:tabs>
          <w:tab w:val="left" w:pos="0"/>
        </w:tabs>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19.1 投标人代表应按《投标须知前附表》所规定的时间和地点向代理机构递交投标文件。</w:t>
      </w:r>
    </w:p>
    <w:p>
      <w:pPr>
        <w:tabs>
          <w:tab w:val="left" w:pos="567"/>
        </w:tabs>
        <w:spacing w:line="360" w:lineRule="auto"/>
        <w:ind w:left="569" w:hanging="569" w:hangingChars="270"/>
        <w:jc w:val="both"/>
        <w:rPr>
          <w:rFonts w:ascii="仿宋" w:hAnsi="仿宋" w:eastAsia="仿宋" w:cs="仿宋"/>
          <w:b/>
          <w:color w:val="auto"/>
          <w:kern w:val="2"/>
          <w:szCs w:val="21"/>
          <w:highlight w:val="none"/>
          <w:lang w:val="zh-CN"/>
        </w:rPr>
      </w:pPr>
      <w:r>
        <w:rPr>
          <w:rFonts w:hint="eastAsia" w:ascii="仿宋" w:hAnsi="仿宋" w:eastAsia="仿宋" w:cs="仿宋"/>
          <w:b/>
          <w:color w:val="auto"/>
          <w:kern w:val="2"/>
          <w:szCs w:val="21"/>
          <w:highlight w:val="none"/>
          <w:lang w:val="zh-CN"/>
        </w:rPr>
        <w:t>19.2 投标人应凭</w:t>
      </w:r>
      <w:r>
        <w:rPr>
          <w:rFonts w:hint="eastAsia" w:ascii="仿宋" w:hAnsi="仿宋" w:eastAsia="仿宋" w:cs="仿宋"/>
          <w:b/>
          <w:color w:val="auto"/>
          <w:szCs w:val="21"/>
          <w:highlight w:val="none"/>
          <w:lang w:val="zh-CN"/>
        </w:rPr>
        <w:t>以下资料递交投标文件：法定代表人\负责人证明书原件、法定代表人\负责人授权委托书原件（非法投标人应凭定代表人参加时提供）、投标人授权代表本人身份证原件；</w:t>
      </w:r>
    </w:p>
    <w:p>
      <w:pPr>
        <w:tabs>
          <w:tab w:val="left" w:pos="0"/>
        </w:tabs>
        <w:spacing w:line="360" w:lineRule="auto"/>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19.3 若出现以下情况，采购人将拒绝接收投标文件：</w:t>
      </w:r>
    </w:p>
    <w:p>
      <w:pPr>
        <w:tabs>
          <w:tab w:val="left" w:pos="0"/>
        </w:tabs>
        <w:spacing w:line="360" w:lineRule="auto"/>
        <w:ind w:firstLine="525" w:firstLine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19.3.1 在投标截止时间后逾期或未在指定地点递交投标文件的；</w:t>
      </w:r>
    </w:p>
    <w:p>
      <w:pPr>
        <w:tabs>
          <w:tab w:val="left" w:pos="0"/>
        </w:tabs>
        <w:spacing w:line="360" w:lineRule="auto"/>
        <w:ind w:firstLine="525" w:firstLine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19.3.2 投标文件未密封的；</w:t>
      </w:r>
    </w:p>
    <w:p>
      <w:pPr>
        <w:tabs>
          <w:tab w:val="left" w:pos="0"/>
        </w:tabs>
        <w:spacing w:line="360" w:lineRule="auto"/>
        <w:ind w:left="1200" w:leftChars="220" w:hanging="738" w:hangingChars="350"/>
        <w:jc w:val="both"/>
        <w:rPr>
          <w:rFonts w:ascii="仿宋" w:hAnsi="仿宋" w:eastAsia="仿宋" w:cs="仿宋"/>
          <w:b/>
          <w:color w:val="auto"/>
          <w:kern w:val="2"/>
          <w:szCs w:val="21"/>
          <w:highlight w:val="none"/>
          <w:lang w:val="zh-CN"/>
        </w:rPr>
      </w:pPr>
      <w:r>
        <w:rPr>
          <w:rFonts w:hint="eastAsia" w:ascii="仿宋" w:hAnsi="仿宋" w:eastAsia="仿宋" w:cs="仿宋"/>
          <w:b/>
          <w:color w:val="auto"/>
          <w:kern w:val="2"/>
          <w:szCs w:val="21"/>
          <w:highlight w:val="none"/>
          <w:lang w:val="zh-CN"/>
        </w:rPr>
        <w:t>19.3.3 在投标截止时，投标人授权代表未凭法定代表人\负责人证明书原件、法定代表人\负责人授权委托书原件（非法定代表人\负责人参加时提供）、本人身份证原件递交投标文件的。</w:t>
      </w:r>
    </w:p>
    <w:p>
      <w:pPr>
        <w:tabs>
          <w:tab w:val="left" w:pos="0"/>
        </w:tabs>
        <w:spacing w:line="360" w:lineRule="auto"/>
        <w:ind w:left="420" w:hanging="420" w:hangingChars="2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19.4 如投标文件不能在接收标书当天开启时，须按机密件集中封存在指定的地点，并由投标人全体见证密封，开标前再从封标室解封、取出。</w:t>
      </w:r>
    </w:p>
    <w:p>
      <w:pPr>
        <w:tabs>
          <w:tab w:val="left" w:pos="0"/>
        </w:tabs>
        <w:spacing w:line="360" w:lineRule="auto"/>
        <w:ind w:left="420" w:hanging="420" w:hangingChars="2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19.5 全体投标人应见证封标及标书的解封、取出过程,如投标人不参加见证封标及标书的解封、取出过程，视同认可投标文件的封存的解封、取出过程与结果。</w:t>
      </w:r>
    </w:p>
    <w:p>
      <w:pPr>
        <w:tabs>
          <w:tab w:val="left" w:pos="0"/>
        </w:tabs>
        <w:spacing w:line="360" w:lineRule="auto"/>
        <w:ind w:left="525" w:hanging="525" w:hangingChars="25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19.6 采购人可按照第7款的规定修改招标文件并酌情延长递交投标文件的截止时间，因此，业已规定的采购代理机构和投标人的一切权利和义务将按延期后的递交投标文件截止时间履行。</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迟交的投标文件</w:t>
      </w:r>
    </w:p>
    <w:p>
      <w:pPr>
        <w:spacing w:line="360" w:lineRule="auto"/>
        <w:ind w:firstLine="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根据第19款规定，采购代理机构将拒绝任何晚于递交投标文件截止时间交到的投标文件。</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21</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投标文件的修改和撤回</w:t>
      </w:r>
    </w:p>
    <w:p>
      <w:pPr>
        <w:tabs>
          <w:tab w:val="left" w:pos="567"/>
        </w:tabs>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21.1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投标人可在递交投标文件截止时间前对其递交的投标文件进行修改或撤回，但须在递交投标文件截止时间前向采购代理机构提出修改或撤回的书面通知。</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21.2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投标人对投标文件的修改或撤回的通知应按第17款和第18款规定进行准备、密封、标注和递送。</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21.3</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递交投标文件截止时间后，投标人不得修改投标文件。</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21.4</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投标人不得在递交投标文件截止时间起至第16款规定的投标有效期期满前撤回其投标文件。</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21.5  采购代理机构收到投标文件后，应当如实记载投标文件的送达时间和密封情况，签收保存，并向投标人出具签收回执。任何单位和个人不得在开标前开启投标文件。</w:t>
      </w:r>
    </w:p>
    <w:p>
      <w:pPr>
        <w:pStyle w:val="120"/>
        <w:rPr>
          <w:color w:val="auto"/>
          <w:highlight w:val="none"/>
          <w:lang w:val="zh-CN"/>
        </w:rPr>
      </w:pPr>
    </w:p>
    <w:p>
      <w:pPr>
        <w:pStyle w:val="5"/>
        <w:spacing w:line="360" w:lineRule="auto"/>
        <w:rPr>
          <w:rFonts w:hAnsi="宋体" w:cs="宋体"/>
          <w:color w:val="auto"/>
          <w:kern w:val="44"/>
          <w:szCs w:val="21"/>
          <w:highlight w:val="none"/>
          <w:lang w:val="zh-CN"/>
        </w:rPr>
      </w:pPr>
      <w:bookmarkStart w:id="4" w:name="_Toc413396493"/>
      <w:r>
        <w:rPr>
          <w:rFonts w:hint="eastAsia" w:hAnsi="宋体" w:cs="宋体"/>
          <w:color w:val="auto"/>
          <w:kern w:val="44"/>
          <w:szCs w:val="21"/>
          <w:highlight w:val="none"/>
          <w:lang w:val="zh-CN"/>
        </w:rPr>
        <w:t>（五）开标、评标与定标</w:t>
      </w:r>
      <w:bookmarkEnd w:id="4"/>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22</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开标</w:t>
      </w:r>
    </w:p>
    <w:p>
      <w:pPr>
        <w:tabs>
          <w:tab w:val="left" w:pos="567"/>
        </w:tabs>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22.1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采购代理机构在投标人代表自愿出席的情况下，在</w:t>
      </w:r>
      <w:r>
        <w:rPr>
          <w:rFonts w:hint="eastAsia" w:ascii="仿宋" w:hAnsi="仿宋" w:eastAsia="仿宋" w:cs="仿宋"/>
          <w:color w:val="auto"/>
          <w:szCs w:val="21"/>
          <w:highlight w:val="none"/>
        </w:rPr>
        <w:t>《投标须知前附表》</w:t>
      </w:r>
      <w:r>
        <w:rPr>
          <w:rFonts w:hint="eastAsia" w:ascii="仿宋" w:hAnsi="仿宋" w:eastAsia="仿宋" w:cs="仿宋"/>
          <w:color w:val="auto"/>
          <w:kern w:val="2"/>
          <w:szCs w:val="21"/>
          <w:highlight w:val="none"/>
          <w:lang w:val="zh-CN"/>
        </w:rPr>
        <w:t>规定的地点和时间开标, 出席代表需登记以示出席。如投标人代表（法定代表人\负责人或其授权代表）不到开标现场，视同认可开标结果。</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22.2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按照第21款规定，提交了可接受的“撤回”通知的投标文件将不予开封。</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22.3  递交投标文件截止时间后，</w:t>
      </w:r>
      <w:r>
        <w:rPr>
          <w:rFonts w:hint="eastAsia" w:ascii="仿宋" w:hAnsi="仿宋" w:eastAsia="仿宋" w:cs="仿宋"/>
          <w:color w:val="auto"/>
          <w:szCs w:val="21"/>
          <w:highlight w:val="none"/>
          <w:lang w:val="zh-CN"/>
        </w:rPr>
        <w:t>监督人员和投标人代表将对所有的投标文件的密封性进行检查。</w:t>
      </w:r>
      <w:r>
        <w:rPr>
          <w:rFonts w:hint="eastAsia" w:ascii="仿宋" w:hAnsi="仿宋" w:eastAsia="仿宋" w:cs="仿宋"/>
          <w:color w:val="auto"/>
          <w:kern w:val="2"/>
          <w:szCs w:val="21"/>
          <w:highlight w:val="none"/>
          <w:lang w:val="zh-CN"/>
        </w:rPr>
        <w:t>采购代理机构将当众宣读投标人名称、投标报价、折扣声明，以及招标文件规定要宣布的其他内容。若采购代理机构宣读的结果与投标文件不符时，投标人有权在开标现场提出异议，经有关监督人员或公证人员当场核查确认之后，可重新宣读其投标文件。若投标人现场未提出异议，则视为投标人确认宣读的结果。</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22.4</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文件的投标报价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xml:space="preserve">22.5 </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pPr>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22.6  开标过程由采购代理机构负责记录，由参加开标的各投标人代表和相关工作人员签字确认后随采购文件一并存档。</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23</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szCs w:val="21"/>
          <w:highlight w:val="none"/>
        </w:rPr>
        <w:t>评标过程的保密性</w:t>
      </w:r>
    </w:p>
    <w:p>
      <w:pPr>
        <w:tabs>
          <w:tab w:val="left" w:pos="567"/>
        </w:tabs>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23.1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递交投标文件后，直至向中标人授予合同时止，凡与审查、澄清、评估和比较投标报价的有关资料以及</w:t>
      </w:r>
      <w:r>
        <w:rPr>
          <w:rFonts w:hint="eastAsia" w:ascii="仿宋" w:hAnsi="仿宋" w:eastAsia="仿宋" w:cs="仿宋"/>
          <w:color w:val="auto"/>
          <w:szCs w:val="21"/>
          <w:highlight w:val="none"/>
        </w:rPr>
        <w:t>授标</w:t>
      </w:r>
      <w:r>
        <w:rPr>
          <w:rFonts w:hint="eastAsia" w:ascii="仿宋" w:hAnsi="仿宋" w:eastAsia="仿宋" w:cs="仿宋"/>
          <w:color w:val="auto"/>
          <w:kern w:val="2"/>
          <w:szCs w:val="21"/>
          <w:highlight w:val="none"/>
          <w:lang w:val="zh-CN"/>
        </w:rPr>
        <w:t>意见等，</w:t>
      </w:r>
      <w:r>
        <w:rPr>
          <w:rFonts w:hint="eastAsia" w:ascii="仿宋" w:hAnsi="仿宋" w:eastAsia="仿宋" w:cs="仿宋"/>
          <w:color w:val="auto"/>
          <w:szCs w:val="21"/>
          <w:highlight w:val="none"/>
        </w:rPr>
        <w:t>参与评标工作的有关人员</w:t>
      </w:r>
      <w:r>
        <w:rPr>
          <w:rFonts w:hint="eastAsia" w:ascii="仿宋" w:hAnsi="仿宋" w:eastAsia="仿宋" w:cs="仿宋"/>
          <w:color w:val="auto"/>
          <w:kern w:val="2"/>
          <w:szCs w:val="21"/>
          <w:highlight w:val="none"/>
          <w:lang w:val="zh-CN"/>
        </w:rPr>
        <w:t>均不得向投标人及与评审无关的其他人透露，否则追究有关当事人的法律责任。</w:t>
      </w:r>
    </w:p>
    <w:p>
      <w:pPr>
        <w:tabs>
          <w:tab w:val="left" w:pos="567"/>
        </w:tabs>
        <w:spacing w:line="360" w:lineRule="auto"/>
        <w:ind w:left="567" w:right="18"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23.2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在评标过程中，如果投标人试图在投标文件审查、澄清、比较及授予合同方面向采购代理机构和采购人施加任何影响，其投标文件将被拒绝。</w:t>
      </w:r>
    </w:p>
    <w:p>
      <w:pPr>
        <w:autoSpaceDE/>
        <w:autoSpaceDN/>
        <w:adjustRightInd/>
        <w:spacing w:line="360" w:lineRule="auto"/>
        <w:ind w:left="525" w:hanging="525" w:hangingChars="250"/>
        <w:jc w:val="both"/>
        <w:rPr>
          <w:rFonts w:ascii="仿宋" w:hAnsi="仿宋" w:eastAsia="仿宋" w:cs="仿宋"/>
          <w:color w:val="auto"/>
          <w:szCs w:val="21"/>
          <w:highlight w:val="none"/>
        </w:rPr>
      </w:pPr>
      <w:r>
        <w:rPr>
          <w:rFonts w:hint="eastAsia" w:ascii="仿宋" w:hAnsi="仿宋" w:eastAsia="仿宋" w:cs="仿宋"/>
          <w:color w:val="auto"/>
          <w:szCs w:val="21"/>
          <w:highlight w:val="none"/>
          <w:lang w:val="zh-CN"/>
        </w:rPr>
        <w:t xml:space="preserve">23.3  </w:t>
      </w:r>
      <w:r>
        <w:rPr>
          <w:rFonts w:hint="eastAsia" w:ascii="仿宋" w:hAnsi="仿宋" w:eastAsia="仿宋" w:cs="仿宋"/>
          <w:color w:val="auto"/>
          <w:szCs w:val="21"/>
          <w:highlight w:val="none"/>
        </w:rPr>
        <w:t>凡参与评标工作的有关人员均应自觉接受相关政府采购主管部门的监督，不得向他人透露已获得招标文件的潜在投标人的名称、数量以及可能影响公平竞争的有关投标报价的其他情况。</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24</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评标委员会</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采购代理机构依法组建评标委员会。评标委员会成员由采购人的代表和技术、经济等方面的专家组成，成员为</w:t>
      </w:r>
      <w:r>
        <w:rPr>
          <w:rFonts w:hint="eastAsia" w:ascii="仿宋" w:hAnsi="仿宋" w:eastAsia="仿宋" w:cs="仿宋"/>
          <w:color w:val="auto"/>
          <w:kern w:val="2"/>
          <w:szCs w:val="21"/>
          <w:highlight w:val="none"/>
          <w:u w:val="single"/>
          <w:lang w:val="zh-CN"/>
        </w:rPr>
        <w:t xml:space="preserve"> </w:t>
      </w:r>
      <w:r>
        <w:rPr>
          <w:rFonts w:hint="eastAsia" w:ascii="仿宋" w:hAnsi="仿宋" w:eastAsia="仿宋" w:cs="仿宋"/>
          <w:color w:val="auto"/>
          <w:kern w:val="2"/>
          <w:szCs w:val="21"/>
          <w:highlight w:val="none"/>
          <w:u w:val="single"/>
        </w:rPr>
        <w:t xml:space="preserve">5 </w:t>
      </w:r>
      <w:r>
        <w:rPr>
          <w:rFonts w:hint="eastAsia" w:ascii="仿宋" w:hAnsi="仿宋" w:eastAsia="仿宋" w:cs="仿宋"/>
          <w:color w:val="auto"/>
          <w:kern w:val="2"/>
          <w:szCs w:val="21"/>
          <w:highlight w:val="none"/>
          <w:lang w:val="zh-CN"/>
        </w:rPr>
        <w:t>名或以上单数，其中，采购人代表1名，技术、经济等方面的专家在开标前两个工作日内由</w:t>
      </w:r>
      <w:r>
        <w:rPr>
          <w:rFonts w:hint="eastAsia" w:ascii="仿宋" w:hAnsi="仿宋" w:eastAsia="仿宋" w:cs="仿宋"/>
          <w:color w:val="auto"/>
          <w:kern w:val="2"/>
          <w:szCs w:val="21"/>
          <w:highlight w:val="none"/>
        </w:rPr>
        <w:t>财政部</w:t>
      </w:r>
      <w:r>
        <w:rPr>
          <w:rFonts w:hint="eastAsia" w:ascii="仿宋" w:hAnsi="仿宋" w:eastAsia="仿宋" w:cs="仿宋"/>
          <w:color w:val="auto"/>
          <w:kern w:val="2"/>
          <w:szCs w:val="21"/>
          <w:highlight w:val="none"/>
          <w:lang w:val="zh-CN"/>
        </w:rPr>
        <w:t>政府采购专家库中随机抽取产生。评标委员会的成员在评标过程中必须严格遵守相关招标投标规定。</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评标委员会将只对确定为实质上响应招标文件要求的投标，即通过初审的投标进行评价和比较，响应的依据是招标文件本身的内容，而不寻求其它证据。实质上响应的投标应该是与招标文件要求的全部主要条款、条件和规格相符，没有重大偏离的投标。</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24.3</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评标委员会依法根据招标文件的规定，进行投标文件的评审、得出评审结果，评标委员会递交评标报告并依法向采购人推荐中标候选人。</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24.4 所有参加评标人员必须遵守国家、地方政府制定的有关招标投标的法则、规定，遵守有关招标投标的保密制度；如有违反者，给予行政处分；情节严重，构成犯罪的，由司法机关依法追究其刑事责任。</w:t>
      </w:r>
    </w:p>
    <w:p>
      <w:pPr>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24.5 全体参与评标人员：</w:t>
      </w:r>
    </w:p>
    <w:p>
      <w:pPr>
        <w:spacing w:line="360" w:lineRule="auto"/>
        <w:ind w:left="504" w:leftChars="220" w:hanging="42" w:hangingChars="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24.5.1 必须遵守评标纪律、不得泄密；</w:t>
      </w:r>
    </w:p>
    <w:p>
      <w:pPr>
        <w:spacing w:line="360" w:lineRule="auto"/>
        <w:ind w:left="504" w:leftChars="220" w:hanging="42" w:hangingChars="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24.5.2 必须公正、不得徇私；</w:t>
      </w:r>
    </w:p>
    <w:p>
      <w:pPr>
        <w:spacing w:line="360" w:lineRule="auto"/>
        <w:ind w:left="504" w:leftChars="220" w:hanging="42" w:hangingChars="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24.5.3 必须科学、不得草率；</w:t>
      </w:r>
    </w:p>
    <w:p>
      <w:pPr>
        <w:spacing w:line="360" w:lineRule="auto"/>
        <w:ind w:left="504" w:leftChars="220" w:hanging="42" w:hangingChars="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24.5.4 必须客观、不得带有成见；</w:t>
      </w:r>
    </w:p>
    <w:p>
      <w:pPr>
        <w:spacing w:line="360" w:lineRule="auto"/>
        <w:ind w:left="504" w:leftChars="220" w:hanging="42" w:hangingChars="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24.5.5 必须平等、不得强加于人；</w:t>
      </w:r>
    </w:p>
    <w:p>
      <w:pPr>
        <w:spacing w:line="360" w:lineRule="auto"/>
        <w:ind w:left="504" w:leftChars="220" w:hanging="42" w:hangingChars="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24.5.6 必须严谨、不得随意马虎。</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25</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投标文件的初审</w:t>
      </w:r>
    </w:p>
    <w:p>
      <w:pPr>
        <w:spacing w:line="360" w:lineRule="auto"/>
        <w:ind w:left="540" w:hanging="540"/>
        <w:jc w:val="both"/>
        <w:rPr>
          <w:rFonts w:ascii="仿宋" w:hAnsi="仿宋" w:eastAsia="仿宋" w:cs="仿宋"/>
          <w:color w:val="auto"/>
          <w:kern w:val="2"/>
          <w:szCs w:val="21"/>
          <w:highlight w:val="none"/>
        </w:rPr>
      </w:pPr>
      <w:r>
        <w:rPr>
          <w:rFonts w:hint="eastAsia" w:ascii="仿宋" w:hAnsi="仿宋" w:eastAsia="仿宋" w:cs="仿宋"/>
          <w:color w:val="auto"/>
          <w:kern w:val="2"/>
          <w:szCs w:val="21"/>
          <w:highlight w:val="none"/>
          <w:lang w:val="zh-CN"/>
        </w:rPr>
        <w:t>25.1 资格性检查：依据法律法规和招标文件的规定，由采购人或采购代理机构负责对投标文件中的资格证明等进行审查，以确定投标人是否具备投标资格。</w:t>
      </w:r>
      <w:r>
        <w:rPr>
          <w:rFonts w:hint="eastAsia" w:ascii="仿宋" w:hAnsi="仿宋" w:eastAsia="仿宋" w:cs="仿宋"/>
          <w:color w:val="auto"/>
          <w:szCs w:val="21"/>
          <w:highlight w:val="none"/>
        </w:rPr>
        <w:t>详见评标工作大纲。</w:t>
      </w:r>
    </w:p>
    <w:p>
      <w:pPr>
        <w:spacing w:line="360" w:lineRule="auto"/>
        <w:ind w:left="540" w:hanging="540"/>
        <w:jc w:val="both"/>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25.2 符合性检查：依据招标文件的规定，评审专家负责从投标文件的有效性、完整性和对招标文件的响应程度进行审查，以确定是否对招标文件的实质性要求作出响应。（具体内容</w:t>
      </w:r>
      <w:r>
        <w:rPr>
          <w:rFonts w:hint="eastAsia" w:ascii="仿宋" w:hAnsi="仿宋" w:eastAsia="仿宋" w:cs="仿宋"/>
          <w:color w:val="auto"/>
          <w:szCs w:val="21"/>
          <w:highlight w:val="none"/>
        </w:rPr>
        <w:t>详见评标工作大纲）</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26</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投标文件的澄清</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26.1 为有助于投标文件的审查、评价和比较，评标期间，经评标委员会以书面形式提出动议，评标委员会书面发出澄清通知，要求投标人对投标文件含义不明确、同类问题表述不一致或者有明显文字和计算错误的内容作出澄清。</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26.2 投标人应以书面形式进行澄清、说明或补正，澄清、说明或补正的内容属于投标文件的组成部分，澄清中的承诺性意思表示在投标文件有效期内均对投标人有约束力。除评标委员会对评标中发现算术错误进行修正后要求投标人以澄清形式进行的核实和确认外，澄清不得超出投标文件的范围或改变投标文件的实质性内容，超出部分不作为评标委员会评审的依据。除上述规定的情形之外，评标委员会在评审过程中，不得接收来自评审现场以外的任何形式的文件资料。除评标委员会主动要求澄清、说明或者纠正外，评标定标期间，任何投标人均不得就与其投标相关的任何问题与评标委员会联系。</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26.3 评标委员会成员均应当阅读投标人的澄清，但应独立参考澄清对投标文件进行评审。整个澄清的过程不得存在排斥潜在投标人的现象。</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26.4 如果投标文件实质上不响应招标文件的各项要求，评标委员会将按照符合性审查标准予以拒绝，不接受投标人通过修改或撤销其不符合要求的差异或保留，使之成为具有响应性的投标。</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27</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对投标文件的比较和评价</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27.1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评标委员会将对资格性检查和符合性检查合格的投标文件进行比较和评价，包括技术、商务的详细评审。（</w:t>
      </w:r>
      <w:r>
        <w:rPr>
          <w:rFonts w:hint="eastAsia" w:ascii="仿宋" w:hAnsi="仿宋" w:eastAsia="仿宋" w:cs="仿宋"/>
          <w:color w:val="auto"/>
          <w:szCs w:val="21"/>
          <w:highlight w:val="none"/>
        </w:rPr>
        <w:t>详见评标工作大纲）</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28</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评标原则及方法</w:t>
      </w:r>
    </w:p>
    <w:p>
      <w:pPr>
        <w:tabs>
          <w:tab w:val="left" w:pos="360"/>
        </w:tabs>
        <w:spacing w:line="360" w:lineRule="auto"/>
        <w:ind w:left="540" w:right="51" w:hanging="540"/>
        <w:jc w:val="both"/>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28.1</w:t>
      </w:r>
      <w:r>
        <w:rPr>
          <w:rFonts w:hint="eastAsia" w:ascii="仿宋" w:hAnsi="仿宋" w:eastAsia="仿宋" w:cs="仿宋"/>
          <w:color w:val="auto"/>
          <w:kern w:val="2"/>
          <w:szCs w:val="21"/>
          <w:highlight w:val="none"/>
          <w:lang w:val="zh-CN"/>
        </w:rPr>
        <w:tab/>
      </w:r>
      <w:r>
        <w:rPr>
          <w:rFonts w:hint="eastAsia" w:ascii="仿宋" w:hAnsi="仿宋" w:eastAsia="仿宋" w:cs="仿宋"/>
          <w:color w:val="auto"/>
          <w:szCs w:val="21"/>
          <w:highlight w:val="none"/>
        </w:rPr>
        <w:t>坚持“公开、公平、公正、科学、择优”的评标原则，严格评审。</w:t>
      </w:r>
    </w:p>
    <w:p>
      <w:pPr>
        <w:tabs>
          <w:tab w:val="left" w:pos="360"/>
        </w:tabs>
        <w:spacing w:line="360" w:lineRule="auto"/>
        <w:ind w:left="540" w:right="51"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28.2 确定中标人的评标准则是：能够最大限度满足招标文件中规定的各项综合评价标准。评标委员会没有义务必须接受最低报价的投标。</w:t>
      </w:r>
    </w:p>
    <w:p>
      <w:pPr>
        <w:tabs>
          <w:tab w:val="left" w:pos="360"/>
        </w:tabs>
        <w:spacing w:line="360" w:lineRule="auto"/>
        <w:ind w:left="540" w:right="51"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28.3 具体评标方法</w:t>
      </w:r>
      <w:r>
        <w:rPr>
          <w:rFonts w:hint="eastAsia" w:ascii="仿宋" w:hAnsi="仿宋" w:eastAsia="仿宋" w:cs="仿宋"/>
          <w:color w:val="auto"/>
          <w:szCs w:val="21"/>
          <w:highlight w:val="none"/>
        </w:rPr>
        <w:t>详见评标工作大纲。</w:t>
      </w:r>
    </w:p>
    <w:p>
      <w:pPr>
        <w:tabs>
          <w:tab w:val="left" w:pos="567"/>
          <w:tab w:val="left" w:pos="720"/>
          <w:tab w:val="left" w:pos="3460"/>
        </w:tabs>
        <w:spacing w:line="360" w:lineRule="auto"/>
        <w:ind w:left="567" w:hanging="567"/>
        <w:jc w:val="both"/>
        <w:rPr>
          <w:rFonts w:ascii="仿宋" w:hAnsi="仿宋" w:eastAsia="仿宋" w:cs="仿宋"/>
          <w:color w:val="auto"/>
          <w:szCs w:val="21"/>
          <w:highlight w:val="none"/>
        </w:rPr>
      </w:pPr>
      <w:r>
        <w:rPr>
          <w:rFonts w:hint="eastAsia" w:ascii="仿宋" w:hAnsi="仿宋" w:eastAsia="仿宋" w:cs="仿宋"/>
          <w:color w:val="auto"/>
          <w:szCs w:val="21"/>
          <w:highlight w:val="none"/>
        </w:rPr>
        <w:t>29  定标</w:t>
      </w:r>
    </w:p>
    <w:p>
      <w:pPr>
        <w:tabs>
          <w:tab w:val="left" w:pos="540"/>
          <w:tab w:val="left" w:pos="720"/>
          <w:tab w:val="left" w:pos="346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29.1 采购人确认评标委员会推荐的评标结果后，由采购人对中标候选供应商的资格和履约能力进行再次审查，凡发现中标候选供应商有下列情形之一的，将移交政府采购监督管理部门依法处理：</w:t>
      </w:r>
    </w:p>
    <w:p>
      <w:pPr>
        <w:numPr>
          <w:ilvl w:val="0"/>
          <w:numId w:val="8"/>
        </w:numPr>
        <w:tabs>
          <w:tab w:val="left" w:pos="540"/>
          <w:tab w:val="left" w:pos="1134"/>
          <w:tab w:val="clear" w:pos="960"/>
        </w:tabs>
        <w:spacing w:line="360" w:lineRule="auto"/>
        <w:ind w:left="1134" w:right="15" w:rightChars="7" w:hanging="594"/>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提供虚假材料谋取中标的；</w:t>
      </w:r>
    </w:p>
    <w:p>
      <w:pPr>
        <w:numPr>
          <w:ilvl w:val="0"/>
          <w:numId w:val="8"/>
        </w:numPr>
        <w:tabs>
          <w:tab w:val="left" w:pos="540"/>
          <w:tab w:val="left" w:pos="1134"/>
          <w:tab w:val="clear" w:pos="960"/>
        </w:tabs>
        <w:spacing w:line="360" w:lineRule="auto"/>
        <w:ind w:left="1134" w:right="15" w:rightChars="7" w:hanging="594"/>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采取不正当手段诋毁、排挤其他投标人的；</w:t>
      </w:r>
    </w:p>
    <w:p>
      <w:pPr>
        <w:numPr>
          <w:ilvl w:val="0"/>
          <w:numId w:val="8"/>
        </w:numPr>
        <w:tabs>
          <w:tab w:val="left" w:pos="540"/>
          <w:tab w:val="left" w:pos="1134"/>
          <w:tab w:val="clear" w:pos="960"/>
        </w:tabs>
        <w:spacing w:line="360" w:lineRule="auto"/>
        <w:ind w:left="1134" w:right="15" w:rightChars="7" w:hanging="594"/>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与招标采购单位、其他投标人恶意串通的；</w:t>
      </w:r>
    </w:p>
    <w:p>
      <w:pPr>
        <w:tabs>
          <w:tab w:val="left" w:pos="540"/>
          <w:tab w:val="left" w:pos="1134"/>
        </w:tabs>
        <w:spacing w:line="360" w:lineRule="auto"/>
        <w:ind w:left="1134" w:right="15" w:rightChars="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3.1）不同投标人的投标文件由同一单位或者个人编制；</w:t>
      </w:r>
    </w:p>
    <w:p>
      <w:pPr>
        <w:tabs>
          <w:tab w:val="left" w:pos="540"/>
          <w:tab w:val="left" w:pos="1134"/>
        </w:tabs>
        <w:spacing w:line="360" w:lineRule="auto"/>
        <w:ind w:left="1134" w:right="15" w:rightChars="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3.2）不同投标人委托同一单位或者个人办理投标事宜；</w:t>
      </w:r>
    </w:p>
    <w:p>
      <w:pPr>
        <w:tabs>
          <w:tab w:val="left" w:pos="540"/>
          <w:tab w:val="left" w:pos="1134"/>
        </w:tabs>
        <w:spacing w:line="360" w:lineRule="auto"/>
        <w:ind w:left="1134" w:right="15" w:rightChars="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3.3）不同投标人的投标文件载明的项目管理成员或者联系人员为同一人；</w:t>
      </w:r>
    </w:p>
    <w:p>
      <w:pPr>
        <w:tabs>
          <w:tab w:val="left" w:pos="540"/>
          <w:tab w:val="left" w:pos="1134"/>
        </w:tabs>
        <w:spacing w:line="360" w:lineRule="auto"/>
        <w:ind w:left="1134" w:right="15" w:rightChars="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3.4）不同投标人的投标文件异常一致或者投标报价呈规律性差异；</w:t>
      </w:r>
    </w:p>
    <w:p>
      <w:pPr>
        <w:tabs>
          <w:tab w:val="left" w:pos="540"/>
          <w:tab w:val="left" w:pos="1134"/>
        </w:tabs>
        <w:spacing w:line="360" w:lineRule="auto"/>
        <w:ind w:left="1134" w:right="15" w:rightChars="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3.5）不同投标人的投标文件相互混装；</w:t>
      </w:r>
    </w:p>
    <w:p>
      <w:pPr>
        <w:numPr>
          <w:ilvl w:val="0"/>
          <w:numId w:val="8"/>
        </w:numPr>
        <w:tabs>
          <w:tab w:val="left" w:pos="540"/>
          <w:tab w:val="left" w:pos="1134"/>
          <w:tab w:val="clear" w:pos="960"/>
        </w:tabs>
        <w:spacing w:line="360" w:lineRule="auto"/>
        <w:ind w:left="1134" w:right="15" w:rightChars="7" w:hanging="594"/>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向招标采购单位行贿或者提供其他不正当利益的；</w:t>
      </w:r>
    </w:p>
    <w:p>
      <w:pPr>
        <w:numPr>
          <w:ilvl w:val="0"/>
          <w:numId w:val="8"/>
        </w:numPr>
        <w:tabs>
          <w:tab w:val="left" w:pos="540"/>
          <w:tab w:val="left" w:pos="1134"/>
          <w:tab w:val="clear" w:pos="960"/>
        </w:tabs>
        <w:spacing w:line="360" w:lineRule="auto"/>
        <w:ind w:left="1134" w:right="15" w:rightChars="7" w:hanging="594"/>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在招标过程中与招标采购单位进行协商谈判、不按照招标文件和中标供应商的投标文件订立合同，或者与采购单位另行订立背离合同实质性内容的协议的；</w:t>
      </w:r>
    </w:p>
    <w:p>
      <w:pPr>
        <w:numPr>
          <w:ilvl w:val="0"/>
          <w:numId w:val="8"/>
        </w:numPr>
        <w:tabs>
          <w:tab w:val="left" w:pos="540"/>
          <w:tab w:val="left" w:pos="1134"/>
          <w:tab w:val="clear" w:pos="960"/>
        </w:tabs>
        <w:spacing w:line="360" w:lineRule="auto"/>
        <w:ind w:left="1134" w:right="15" w:rightChars="7" w:hanging="594"/>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拒绝有关部门监督检查或者提供虚假情况的。</w:t>
      </w:r>
    </w:p>
    <w:p>
      <w:pPr>
        <w:tabs>
          <w:tab w:val="left" w:pos="540"/>
          <w:tab w:val="left" w:pos="720"/>
          <w:tab w:val="left" w:pos="346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29.2 投标人有前款（1）至（6）项情形之一的，中标无效。</w:t>
      </w:r>
    </w:p>
    <w:p>
      <w:pPr>
        <w:tabs>
          <w:tab w:val="left" w:pos="540"/>
          <w:tab w:val="left" w:pos="720"/>
          <w:tab w:val="left" w:pos="346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29.3 采购代理机构在评标结束后将评标推荐意见及招标结果确认书送采购人。采购人依法确定中标供应商。采购代理机构将中标结果在中国政府采购网（http://www.ccgp.gov.cn）、</w:t>
      </w:r>
      <w:r>
        <w:rPr>
          <w:rFonts w:hint="eastAsia" w:ascii="仿宋" w:hAnsi="仿宋" w:eastAsia="仿宋" w:cs="仿宋"/>
          <w:color w:val="auto"/>
          <w:szCs w:val="21"/>
          <w:highlight w:val="none"/>
        </w:rPr>
        <w:t>广东远东招标代理有限公司网（http://www.gdydzb.com）</w:t>
      </w:r>
      <w:r>
        <w:rPr>
          <w:rFonts w:hint="eastAsia" w:ascii="仿宋" w:hAnsi="仿宋" w:eastAsia="仿宋" w:cs="仿宋"/>
          <w:color w:val="auto"/>
          <w:kern w:val="2"/>
          <w:szCs w:val="21"/>
          <w:highlight w:val="none"/>
          <w:lang w:val="zh-CN"/>
        </w:rPr>
        <w:t>发布。</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30</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资格后审</w:t>
      </w:r>
    </w:p>
    <w:p>
      <w:pPr>
        <w:spacing w:line="360" w:lineRule="auto"/>
        <w:ind w:left="567" w:hanging="567" w:hangingChars="270"/>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30.1</w:t>
      </w:r>
      <w:r>
        <w:rPr>
          <w:rFonts w:hint="eastAsia" w:ascii="仿宋" w:hAnsi="仿宋" w:eastAsia="仿宋" w:cs="仿宋"/>
          <w:color w:val="auto"/>
          <w:kern w:val="2"/>
          <w:szCs w:val="21"/>
          <w:highlight w:val="none"/>
          <w:lang w:val="zh-CN"/>
        </w:rPr>
        <w:tab/>
      </w:r>
      <w:r>
        <w:rPr>
          <w:rFonts w:hint="eastAsia" w:ascii="仿宋" w:hAnsi="仿宋" w:eastAsia="仿宋" w:cs="仿宋"/>
          <w:color w:val="auto"/>
          <w:szCs w:val="21"/>
          <w:highlight w:val="none"/>
        </w:rPr>
        <w:t>采购代理机构可应采购人的要求，组织资格后审，对所选择的提交了响应性的综合评分最高的投标人是否有资格能圆满地履行合同作出资格后审确认。</w:t>
      </w:r>
    </w:p>
    <w:p>
      <w:pPr>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30.2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审查将根据投标人提交的投标文件和资格后审认为其他必要的、合适的资料，包括有关验收报告、业绩合同的真实性，对投标人的财务等进行审查。如发现投标人存在弄虚作假行为，将追究其责任。</w:t>
      </w:r>
    </w:p>
    <w:p>
      <w:pPr>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szCs w:val="21"/>
          <w:highlight w:val="none"/>
        </w:rPr>
        <w:t>30.3</w:t>
      </w:r>
      <w:r>
        <w:rPr>
          <w:rFonts w:hint="eastAsia" w:ascii="仿宋" w:hAnsi="仿宋" w:eastAsia="仿宋" w:cs="仿宋"/>
          <w:color w:val="auto"/>
          <w:szCs w:val="21"/>
          <w:highlight w:val="none"/>
        </w:rPr>
        <w:tab/>
      </w:r>
      <w:r>
        <w:rPr>
          <w:rFonts w:hint="eastAsia" w:ascii="仿宋" w:hAnsi="仿宋" w:eastAsia="仿宋" w:cs="仿宋"/>
          <w:color w:val="auto"/>
          <w:kern w:val="2"/>
          <w:szCs w:val="21"/>
          <w:highlight w:val="none"/>
          <w:lang w:val="zh-CN"/>
        </w:rPr>
        <w:t>如果审查通过，则将合同授予该投标人；如果审查没有通过，则其投标文件被拒绝。在此情况下，将对下一个综合评分最高的投标人的能力做类似的审查</w:t>
      </w:r>
      <w:r>
        <w:rPr>
          <w:rFonts w:hint="eastAsia" w:ascii="仿宋" w:hAnsi="仿宋" w:eastAsia="仿宋" w:cs="仿宋"/>
          <w:color w:val="auto"/>
          <w:szCs w:val="21"/>
          <w:highlight w:val="none"/>
        </w:rPr>
        <w:t>或重新招标。</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31</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评标委员会和采购人接受或拒绝任何投标或所有投标的权利</w:t>
      </w:r>
    </w:p>
    <w:p>
      <w:pPr>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szCs w:val="21"/>
          <w:highlight w:val="none"/>
        </w:rPr>
        <w:t>31.1</w:t>
      </w:r>
      <w:r>
        <w:rPr>
          <w:rFonts w:hint="eastAsia" w:ascii="仿宋" w:hAnsi="仿宋" w:eastAsia="仿宋" w:cs="仿宋"/>
          <w:color w:val="auto"/>
          <w:szCs w:val="21"/>
          <w:highlight w:val="none"/>
        </w:rPr>
        <w:tab/>
      </w:r>
      <w:r>
        <w:rPr>
          <w:rFonts w:hint="eastAsia" w:ascii="仿宋" w:hAnsi="仿宋" w:eastAsia="仿宋" w:cs="仿宋"/>
          <w:color w:val="auto"/>
          <w:kern w:val="2"/>
          <w:szCs w:val="21"/>
          <w:highlight w:val="none"/>
          <w:lang w:val="zh-CN"/>
        </w:rPr>
        <w:t>在授予合同前的任何时候，</w:t>
      </w:r>
      <w:r>
        <w:rPr>
          <w:rFonts w:hint="eastAsia" w:ascii="仿宋" w:hAnsi="仿宋" w:eastAsia="仿宋" w:cs="仿宋"/>
          <w:color w:val="auto"/>
          <w:szCs w:val="21"/>
          <w:highlight w:val="none"/>
        </w:rPr>
        <w:t>评标委员会和采购人仍保留接受或拒绝任何投标</w:t>
      </w:r>
      <w:r>
        <w:rPr>
          <w:rFonts w:hint="eastAsia" w:ascii="仿宋" w:hAnsi="仿宋" w:eastAsia="仿宋" w:cs="仿宋"/>
          <w:color w:val="auto"/>
          <w:kern w:val="2"/>
          <w:szCs w:val="21"/>
          <w:highlight w:val="none"/>
          <w:lang w:val="zh-CN"/>
        </w:rPr>
        <w:t>，宣布招标程序无效或拒绝所有投标的权利，无需向受影响的投标人承担任何责任。</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32</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中标通知</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32.1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投标文件有效期期满前，采购代理机构将以书面形式通知中标人其投标文件被接受。</w:t>
      </w:r>
    </w:p>
    <w:p>
      <w:pPr>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32.2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采购代理机构向中标人发出书面通知的同时，采购代理机构通知落选的投标人其投标文件未被接受而不提原因。</w:t>
      </w:r>
    </w:p>
    <w:p>
      <w:pPr>
        <w:tabs>
          <w:tab w:val="left" w:pos="540"/>
        </w:tabs>
        <w:spacing w:line="360" w:lineRule="auto"/>
        <w:ind w:left="540" w:right="18" w:hanging="540"/>
        <w:jc w:val="both"/>
        <w:rPr>
          <w:rFonts w:ascii="仿宋" w:hAnsi="仿宋" w:eastAsia="仿宋" w:cs="仿宋"/>
          <w:color w:val="auto"/>
          <w:kern w:val="2"/>
          <w:szCs w:val="21"/>
          <w:highlight w:val="none"/>
          <w:u w:val="single"/>
          <w:lang w:val="zh-CN"/>
        </w:rPr>
      </w:pPr>
      <w:r>
        <w:rPr>
          <w:rFonts w:hint="eastAsia" w:ascii="仿宋" w:hAnsi="仿宋" w:eastAsia="仿宋" w:cs="仿宋"/>
          <w:color w:val="auto"/>
          <w:kern w:val="2"/>
          <w:szCs w:val="21"/>
          <w:highlight w:val="none"/>
          <w:lang w:val="zh-CN"/>
        </w:rPr>
        <w:t>32.3 中标通知书是合同的一个组成部分。</w:t>
      </w:r>
    </w:p>
    <w:p>
      <w:pPr>
        <w:tabs>
          <w:tab w:val="left" w:pos="540"/>
        </w:tabs>
        <w:spacing w:line="360" w:lineRule="auto"/>
        <w:ind w:left="540" w:right="18" w:hanging="540"/>
        <w:jc w:val="both"/>
        <w:rPr>
          <w:rFonts w:ascii="仿宋" w:hAnsi="仿宋" w:eastAsia="仿宋" w:cs="仿宋"/>
          <w:color w:val="auto"/>
          <w:szCs w:val="21"/>
          <w:highlight w:val="none"/>
        </w:rPr>
      </w:pPr>
      <w:r>
        <w:rPr>
          <w:rFonts w:hint="eastAsia" w:ascii="仿宋" w:hAnsi="仿宋" w:eastAsia="仿宋" w:cs="仿宋"/>
          <w:color w:val="auto"/>
          <w:kern w:val="2"/>
          <w:szCs w:val="21"/>
          <w:highlight w:val="none"/>
          <w:lang w:val="zh-CN"/>
        </w:rPr>
        <w:t xml:space="preserve">32.4 </w:t>
      </w:r>
      <w:r>
        <w:rPr>
          <w:rFonts w:hint="eastAsia" w:ascii="仿宋" w:hAnsi="仿宋" w:eastAsia="仿宋" w:cs="仿宋"/>
          <w:bCs/>
          <w:color w:val="auto"/>
          <w:szCs w:val="21"/>
          <w:highlight w:val="none"/>
        </w:rPr>
        <w:t>中标人如在收到招标结果通知后15日内不按规定领取中标通知书，则视为自动放弃中标资格，并按招标投标相关法律法规追究其相关责任。</w:t>
      </w:r>
    </w:p>
    <w:p>
      <w:pPr>
        <w:tabs>
          <w:tab w:val="left" w:pos="567"/>
          <w:tab w:val="left" w:pos="720"/>
          <w:tab w:val="left" w:pos="3460"/>
        </w:tabs>
        <w:spacing w:line="360" w:lineRule="auto"/>
        <w:ind w:left="567" w:hanging="567"/>
        <w:jc w:val="both"/>
        <w:rPr>
          <w:rFonts w:ascii="仿宋" w:hAnsi="仿宋" w:eastAsia="仿宋" w:cs="仿宋"/>
          <w:color w:val="auto"/>
          <w:szCs w:val="21"/>
          <w:highlight w:val="none"/>
        </w:rPr>
      </w:pPr>
      <w:r>
        <w:rPr>
          <w:rFonts w:hint="eastAsia" w:ascii="仿宋" w:hAnsi="仿宋" w:eastAsia="仿宋" w:cs="仿宋"/>
          <w:color w:val="auto"/>
          <w:szCs w:val="21"/>
          <w:highlight w:val="none"/>
        </w:rPr>
        <w:t>33  废标的认定</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33.1 符合专业条件的供应商或者对招标文件作实质响应的供应商不足三家的；</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33.2 出现影响采购公正的违法、违规行为的；</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33.3 投标人的报价均超过了最高限额，采购人不能支付的；</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33.4 因重大变故，采购任务取消的。</w:t>
      </w:r>
    </w:p>
    <w:p>
      <w:pPr>
        <w:tabs>
          <w:tab w:val="left" w:pos="540"/>
          <w:tab w:val="left" w:pos="720"/>
          <w:tab w:val="left" w:pos="3460"/>
        </w:tabs>
        <w:spacing w:line="360" w:lineRule="auto"/>
        <w:ind w:left="540" w:right="18" w:hanging="540"/>
        <w:jc w:val="both"/>
        <w:rPr>
          <w:rFonts w:hAnsi="宋体" w:cs="宋体"/>
          <w:color w:val="auto"/>
          <w:kern w:val="2"/>
          <w:szCs w:val="21"/>
          <w:highlight w:val="none"/>
        </w:rPr>
      </w:pPr>
    </w:p>
    <w:p>
      <w:pPr>
        <w:pStyle w:val="5"/>
        <w:spacing w:line="360" w:lineRule="auto"/>
        <w:rPr>
          <w:rFonts w:hAnsi="宋体" w:cs="宋体"/>
          <w:color w:val="auto"/>
          <w:kern w:val="44"/>
          <w:szCs w:val="21"/>
          <w:highlight w:val="none"/>
          <w:lang w:val="zh-CN"/>
        </w:rPr>
      </w:pPr>
      <w:bookmarkStart w:id="5" w:name="_Toc413396494"/>
      <w:r>
        <w:rPr>
          <w:rFonts w:hint="eastAsia" w:hAnsi="宋体" w:cs="宋体"/>
          <w:color w:val="auto"/>
          <w:kern w:val="44"/>
          <w:szCs w:val="21"/>
          <w:highlight w:val="none"/>
          <w:lang w:val="zh-CN"/>
        </w:rPr>
        <w:t>（六）授予合同</w:t>
      </w:r>
      <w:bookmarkEnd w:id="5"/>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34</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授予合同的准则</w:t>
      </w:r>
    </w:p>
    <w:p>
      <w:pPr>
        <w:tabs>
          <w:tab w:val="left" w:pos="540"/>
        </w:tabs>
        <w:spacing w:line="360" w:lineRule="auto"/>
        <w:ind w:left="540" w:right="51"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34.1 除</w:t>
      </w:r>
      <w:r>
        <w:rPr>
          <w:color w:val="auto"/>
          <w:highlight w:val="none"/>
        </w:rPr>
        <w:fldChar w:fldCharType="begin"/>
      </w:r>
      <w:r>
        <w:rPr>
          <w:color w:val="auto"/>
          <w:highlight w:val="none"/>
        </w:rPr>
        <w:instrText xml:space="preserve"> HYPERLINK "file:///C:\\Users\\hhy\\Desktop\\l" </w:instrText>
      </w:r>
      <w:r>
        <w:rPr>
          <w:color w:val="auto"/>
          <w:highlight w:val="none"/>
        </w:rPr>
        <w:fldChar w:fldCharType="separate"/>
      </w:r>
      <w:r>
        <w:rPr>
          <w:rFonts w:hint="eastAsia" w:ascii="仿宋" w:hAnsi="仿宋" w:eastAsia="仿宋" w:cs="仿宋"/>
          <w:color w:val="auto"/>
          <w:kern w:val="2"/>
          <w:szCs w:val="21"/>
          <w:highlight w:val="none"/>
          <w:lang w:val="zh-CN"/>
        </w:rPr>
        <w:t>第30款</w:t>
      </w:r>
      <w:r>
        <w:rPr>
          <w:rFonts w:hint="eastAsia" w:ascii="仿宋" w:hAnsi="仿宋" w:eastAsia="仿宋" w:cs="仿宋"/>
          <w:color w:val="auto"/>
          <w:kern w:val="2"/>
          <w:szCs w:val="21"/>
          <w:highlight w:val="none"/>
          <w:lang w:val="zh-CN"/>
        </w:rPr>
        <w:fldChar w:fldCharType="end"/>
      </w:r>
      <w:r>
        <w:rPr>
          <w:rFonts w:hint="eastAsia" w:ascii="仿宋" w:hAnsi="仿宋" w:eastAsia="仿宋" w:cs="仿宋"/>
          <w:color w:val="auto"/>
          <w:kern w:val="2"/>
          <w:szCs w:val="21"/>
          <w:highlight w:val="none"/>
          <w:lang w:val="zh-CN"/>
        </w:rPr>
        <w:t>规定外，采购人将合同授予其投标文件符合招标文件要求，并且能承诺履行合同，对采购人最为有利的投标人。</w:t>
      </w:r>
    </w:p>
    <w:p>
      <w:pPr>
        <w:tabs>
          <w:tab w:val="left" w:pos="540"/>
        </w:tabs>
        <w:spacing w:line="360" w:lineRule="auto"/>
        <w:ind w:left="540" w:right="51"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34.2 采购人依法</w:t>
      </w:r>
      <w:r>
        <w:rPr>
          <w:rFonts w:hint="eastAsia" w:ascii="仿宋" w:hAnsi="仿宋" w:eastAsia="仿宋" w:cs="仿宋"/>
          <w:color w:val="auto"/>
          <w:szCs w:val="21"/>
          <w:highlight w:val="none"/>
        </w:rPr>
        <w:t>按照评标报告中推荐的中标候选人顺序</w:t>
      </w:r>
      <w:r>
        <w:rPr>
          <w:rFonts w:hint="eastAsia" w:ascii="仿宋" w:hAnsi="仿宋" w:eastAsia="仿宋" w:cs="仿宋"/>
          <w:color w:val="auto"/>
          <w:kern w:val="2"/>
          <w:szCs w:val="21"/>
          <w:highlight w:val="none"/>
          <w:lang w:val="zh-CN"/>
        </w:rPr>
        <w:t>确定中标人。</w:t>
      </w:r>
    </w:p>
    <w:p>
      <w:pPr>
        <w:tabs>
          <w:tab w:val="left" w:pos="567"/>
        </w:tabs>
        <w:spacing w:line="360" w:lineRule="auto"/>
        <w:ind w:left="567" w:hanging="567"/>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35</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合同的订立和履行</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35.1 采购代理机构通知中标人中标时，将提供招标文件中的合同格式（包括双方之间的有关协议）给中标人。</w:t>
      </w:r>
    </w:p>
    <w:p>
      <w:pPr>
        <w:tabs>
          <w:tab w:val="left" w:pos="540"/>
        </w:tabs>
        <w:spacing w:line="360" w:lineRule="auto"/>
        <w:ind w:left="567" w:hanging="567" w:hangingChars="27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35.2中标人在自中标通知书发出之日起20日内，应派授权代表前往《投标须知前附表》注明的地点与采购人按招标文件要求和中标人投标文件承诺签订政府采购合同，合同签订内容不得超出招标文件和中标人投标文件的范围、也不得再行订立背离合同实质性内容的其他协议。</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35.3</w:t>
      </w:r>
      <w:r>
        <w:rPr>
          <w:rFonts w:hint="eastAsia" w:ascii="仿宋" w:hAnsi="仿宋" w:eastAsia="仿宋" w:cs="仿宋"/>
          <w:color w:val="auto"/>
          <w:kern w:val="2"/>
          <w:szCs w:val="21"/>
          <w:highlight w:val="none"/>
        </w:rPr>
        <w:t xml:space="preserve"> </w:t>
      </w:r>
      <w:r>
        <w:rPr>
          <w:rFonts w:hint="eastAsia" w:ascii="仿宋" w:hAnsi="仿宋" w:eastAsia="仿宋" w:cs="仿宋"/>
          <w:color w:val="auto"/>
          <w:kern w:val="2"/>
          <w:szCs w:val="21"/>
          <w:highlight w:val="none"/>
          <w:lang w:val="zh-CN"/>
        </w:rPr>
        <w:t>签订政府采购合同后2个工作日内，采购人应按规定将政府采购合同</w:t>
      </w:r>
      <w:r>
        <w:rPr>
          <w:rFonts w:hint="eastAsia" w:ascii="仿宋" w:hAnsi="仿宋" w:eastAsia="仿宋" w:cs="仿宋"/>
          <w:color w:val="auto"/>
          <w:kern w:val="2"/>
          <w:szCs w:val="21"/>
          <w:highlight w:val="none"/>
        </w:rPr>
        <w:t>按照规定向</w:t>
      </w:r>
      <w:r>
        <w:rPr>
          <w:rFonts w:hint="eastAsia" w:ascii="仿宋" w:hAnsi="仿宋" w:eastAsia="仿宋" w:cs="仿宋"/>
          <w:color w:val="auto"/>
          <w:kern w:val="2"/>
          <w:szCs w:val="21"/>
          <w:highlight w:val="none"/>
          <w:lang w:val="zh-CN"/>
        </w:rPr>
        <w:t>财政部门备案。</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35.4 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35.5 政府采购合同履行中，采购人需追加与合同标的相同的货物、工程或者服务的，在不改变合同其他条款的前提下，可以与供应商签订补充合同，但所补充合同的采购金额不得超过原采购金额的百分之十。签订补充合同的必须按照35.3条的规定备案。</w:t>
      </w:r>
    </w:p>
    <w:p>
      <w:pPr>
        <w:tabs>
          <w:tab w:val="left" w:pos="567"/>
        </w:tabs>
        <w:spacing w:line="360" w:lineRule="auto"/>
        <w:ind w:left="567" w:hanging="567"/>
        <w:jc w:val="both"/>
        <w:rPr>
          <w:rFonts w:ascii="仿宋" w:hAnsi="仿宋" w:eastAsia="仿宋" w:cs="仿宋"/>
          <w:bCs/>
          <w:color w:val="auto"/>
          <w:szCs w:val="21"/>
          <w:highlight w:val="none"/>
        </w:rPr>
      </w:pP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36</w:t>
      </w:r>
      <w:r>
        <w:rPr>
          <w:rFonts w:hint="eastAsia" w:ascii="仿宋" w:hAnsi="仿宋" w:eastAsia="仿宋" w:cs="仿宋"/>
          <w:color w:val="auto"/>
          <w:kern w:val="2"/>
          <w:szCs w:val="21"/>
          <w:highlight w:val="none"/>
          <w:lang w:val="zh-CN"/>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hint="eastAsia" w:ascii="仿宋" w:hAnsi="仿宋" w:eastAsia="仿宋" w:cs="仿宋"/>
          <w:color w:val="auto"/>
          <w:kern w:val="2"/>
          <w:szCs w:val="21"/>
          <w:highlight w:val="none"/>
          <w:lang w:val="zh-CN"/>
        </w:rPr>
        <w:t>履约</w:t>
      </w:r>
      <w:r>
        <w:rPr>
          <w:rFonts w:hint="eastAsia" w:ascii="仿宋" w:hAnsi="仿宋" w:eastAsia="仿宋" w:cs="仿宋"/>
          <w:bCs/>
          <w:color w:val="auto"/>
          <w:szCs w:val="21"/>
          <w:highlight w:val="none"/>
        </w:rPr>
        <w:t>保证金：详见前附表</w:t>
      </w:r>
    </w:p>
    <w:p>
      <w:pPr>
        <w:tabs>
          <w:tab w:val="left" w:pos="540"/>
        </w:tabs>
        <w:spacing w:line="360" w:lineRule="auto"/>
        <w:ind w:left="540" w:right="18" w:hanging="540"/>
        <w:jc w:val="both"/>
        <w:rPr>
          <w:rFonts w:ascii="仿宋" w:hAnsi="仿宋" w:eastAsia="仿宋" w:cs="仿宋"/>
          <w:bCs/>
          <w:color w:val="auto"/>
          <w:szCs w:val="21"/>
          <w:highlight w:val="none"/>
          <w:lang w:val="zh-CN"/>
        </w:rPr>
      </w:pPr>
      <w:r>
        <w:rPr>
          <w:rFonts w:hint="eastAsia" w:ascii="仿宋" w:hAnsi="仿宋" w:eastAsia="仿宋" w:cs="仿宋"/>
          <w:bCs/>
          <w:color w:val="auto"/>
          <w:szCs w:val="21"/>
          <w:highlight w:val="none"/>
          <w:lang w:val="zh-CN"/>
        </w:rPr>
        <w:t>37</w:t>
      </w:r>
      <w:r>
        <w:rPr>
          <w:rFonts w:hint="eastAsia" w:ascii="仿宋" w:hAnsi="仿宋" w:eastAsia="仿宋" w:cs="仿宋"/>
          <w:bCs/>
          <w:color w:val="auto"/>
          <w:szCs w:val="21"/>
          <w:highlight w:val="none"/>
          <w:lang w:val="zh-CN"/>
        </w:rPr>
        <w:tab/>
      </w:r>
      <w:r>
        <w:rPr>
          <w:rFonts w:hint="eastAsia" w:ascii="仿宋" w:hAnsi="仿宋" w:eastAsia="仿宋" w:cs="仿宋"/>
          <w:bCs/>
          <w:color w:val="auto"/>
          <w:szCs w:val="21"/>
          <w:highlight w:val="none"/>
        </w:rPr>
        <w:t>中标</w:t>
      </w:r>
      <w:r>
        <w:rPr>
          <w:rFonts w:hint="eastAsia" w:ascii="仿宋" w:hAnsi="仿宋" w:eastAsia="仿宋" w:cs="仿宋"/>
          <w:bCs/>
          <w:color w:val="auto"/>
          <w:szCs w:val="21"/>
          <w:highlight w:val="none"/>
          <w:lang w:val="zh-CN"/>
        </w:rPr>
        <w:t>服务费</w:t>
      </w:r>
    </w:p>
    <w:p>
      <w:pPr>
        <w:tabs>
          <w:tab w:val="left" w:pos="540"/>
        </w:tabs>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37.1</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中标人应在领取《中标通知书》原件时向采购代理机构一次性支付中标服务费，</w:t>
      </w:r>
      <w:r>
        <w:rPr>
          <w:rFonts w:hint="eastAsia" w:ascii="仿宋" w:hAnsi="仿宋" w:eastAsia="仿宋" w:cs="仿宋"/>
          <w:bCs/>
          <w:color w:val="auto"/>
          <w:szCs w:val="21"/>
          <w:highlight w:val="none"/>
        </w:rPr>
        <w:t>收费标准参照中华人民共和国国家发展计划委员会颁发的计价格[2002]1980号文《招标代理服务收费管理暂行办法》及国家发改委[2003]857号及发改价格[2011]534号文件中规定的计费标准下浮2</w:t>
      </w:r>
      <w:r>
        <w:rPr>
          <w:rFonts w:ascii="仿宋" w:hAnsi="仿宋" w:eastAsia="仿宋" w:cs="仿宋"/>
          <w:bCs/>
          <w:color w:val="auto"/>
          <w:szCs w:val="21"/>
          <w:highlight w:val="none"/>
        </w:rPr>
        <w:t>0%</w:t>
      </w:r>
      <w:r>
        <w:rPr>
          <w:rFonts w:hint="eastAsia" w:ascii="仿宋" w:hAnsi="仿宋" w:eastAsia="仿宋" w:cs="仿宋"/>
          <w:bCs/>
          <w:color w:val="auto"/>
          <w:szCs w:val="21"/>
          <w:highlight w:val="none"/>
        </w:rPr>
        <w:t>收取</w:t>
      </w:r>
      <w:r>
        <w:rPr>
          <w:rFonts w:hint="eastAsia" w:ascii="仿宋" w:hAnsi="仿宋" w:eastAsia="仿宋" w:cs="仿宋"/>
          <w:color w:val="auto"/>
          <w:kern w:val="2"/>
          <w:szCs w:val="21"/>
          <w:highlight w:val="none"/>
          <w:lang w:val="zh-CN"/>
        </w:rPr>
        <w:t>，收费标准详见附件。</w:t>
      </w:r>
    </w:p>
    <w:p>
      <w:pPr>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37.2</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中标人收到中标通知后，须在15日内向采购代理机构缴纳中标服务费用及领取《中标通知书》原件，否则视为放弃中标权利和义务。</w:t>
      </w:r>
    </w:p>
    <w:p>
      <w:pPr>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37.3</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中标服务费只收现金、银行转账或电汇。</w:t>
      </w:r>
    </w:p>
    <w:p>
      <w:pPr>
        <w:spacing w:line="360" w:lineRule="auto"/>
        <w:ind w:left="540" w:right="18" w:hanging="540"/>
        <w:jc w:val="both"/>
        <w:rPr>
          <w:rFonts w:ascii="仿宋" w:hAnsi="仿宋" w:eastAsia="仿宋" w:cs="仿宋"/>
          <w:color w:val="auto"/>
          <w:kern w:val="2"/>
          <w:szCs w:val="21"/>
          <w:highlight w:val="none"/>
          <w:lang w:val="zh-CN"/>
        </w:rPr>
      </w:pPr>
      <w:r>
        <w:rPr>
          <w:rFonts w:hint="eastAsia" w:ascii="仿宋" w:hAnsi="仿宋" w:eastAsia="仿宋" w:cs="仿宋"/>
          <w:bCs/>
          <w:color w:val="auto"/>
          <w:kern w:val="2"/>
          <w:szCs w:val="21"/>
          <w:highlight w:val="none"/>
          <w:lang w:val="zh-CN"/>
        </w:rPr>
        <w:t xml:space="preserve">37.4 </w:t>
      </w:r>
      <w:r>
        <w:rPr>
          <w:rFonts w:hint="eastAsia" w:ascii="仿宋" w:hAnsi="仿宋" w:eastAsia="仿宋" w:cs="仿宋"/>
          <w:b/>
          <w:bCs/>
          <w:color w:val="auto"/>
          <w:kern w:val="2"/>
          <w:szCs w:val="21"/>
          <w:highlight w:val="none"/>
          <w:lang w:val="zh-CN"/>
        </w:rPr>
        <w:t>中标服务费不在投标报价中单列</w:t>
      </w:r>
      <w:r>
        <w:rPr>
          <w:rFonts w:hint="eastAsia" w:ascii="仿宋" w:hAnsi="仿宋" w:eastAsia="仿宋" w:cs="仿宋"/>
          <w:color w:val="auto"/>
          <w:kern w:val="2"/>
          <w:szCs w:val="21"/>
          <w:highlight w:val="none"/>
          <w:lang w:val="zh-CN"/>
        </w:rPr>
        <w:t>。</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38.</w:t>
      </w:r>
      <w:r>
        <w:rPr>
          <w:rFonts w:hint="eastAsia" w:ascii="仿宋" w:hAnsi="仿宋" w:eastAsia="仿宋" w:cs="仿宋"/>
          <w:color w:val="auto"/>
          <w:szCs w:val="21"/>
          <w:highlight w:val="none"/>
        </w:rPr>
        <w:t xml:space="preserve"> </w:t>
      </w:r>
      <w:r>
        <w:rPr>
          <w:rFonts w:hint="eastAsia" w:ascii="仿宋" w:hAnsi="仿宋" w:eastAsia="仿宋" w:cs="仿宋"/>
          <w:color w:val="auto"/>
          <w:kern w:val="2"/>
          <w:szCs w:val="21"/>
          <w:highlight w:val="none"/>
          <w:lang w:val="zh-CN"/>
        </w:rPr>
        <w:t>采购人在授予合同时变更采购货物和服务数量的权利</w:t>
      </w:r>
    </w:p>
    <w:p>
      <w:pPr>
        <w:spacing w:line="360" w:lineRule="auto"/>
        <w:ind w:left="539" w:right="17" w:hanging="539"/>
        <w:jc w:val="both"/>
        <w:rPr>
          <w:rFonts w:ascii="仿宋" w:hAnsi="仿宋" w:eastAsia="仿宋" w:cs="仿宋"/>
          <w:color w:val="auto"/>
          <w:kern w:val="2"/>
          <w:szCs w:val="21"/>
          <w:highlight w:val="none"/>
          <w:lang w:val="zh-CN"/>
        </w:rPr>
      </w:pPr>
      <w:bookmarkStart w:id="6" w:name="_Hlk35578184"/>
      <w:bookmarkStart w:id="7" w:name="_Hlk35578186"/>
      <w:bookmarkStart w:id="8" w:name="_Hlk35578185"/>
      <w:r>
        <w:rPr>
          <w:rFonts w:hint="eastAsia" w:ascii="仿宋" w:hAnsi="仿宋" w:eastAsia="仿宋" w:cs="仿宋"/>
          <w:color w:val="auto"/>
          <w:kern w:val="2"/>
          <w:szCs w:val="21"/>
          <w:highlight w:val="none"/>
          <w:lang w:val="zh-CN"/>
        </w:rPr>
        <w:t>38.1</w:t>
      </w:r>
      <w:bookmarkEnd w:id="6"/>
      <w:bookmarkEnd w:id="7"/>
      <w:bookmarkEnd w:id="8"/>
      <w:r>
        <w:rPr>
          <w:rFonts w:hint="eastAsia" w:ascii="仿宋" w:hAnsi="仿宋" w:eastAsia="仿宋" w:cs="仿宋"/>
          <w:color w:val="auto"/>
          <w:kern w:val="2"/>
          <w:szCs w:val="21"/>
          <w:highlight w:val="none"/>
          <w:lang w:val="zh-CN"/>
        </w:rPr>
        <w:t xml:space="preserve"> 政府采购合同履行中，采购人需追加与合同标的相同的货物、工程或者服务的，在不改变合同其他条款的前提下，可以与供应商签订补充合同，但所补充合同的采购金额不得超过</w:t>
      </w:r>
      <w:r>
        <w:rPr>
          <w:rFonts w:hint="eastAsia" w:ascii="仿宋" w:hAnsi="仿宋" w:eastAsia="仿宋" w:cs="仿宋"/>
          <w:bCs/>
          <w:color w:val="auto"/>
          <w:szCs w:val="21"/>
          <w:highlight w:val="none"/>
        </w:rPr>
        <w:t>相关法律法规</w:t>
      </w:r>
      <w:r>
        <w:rPr>
          <w:rFonts w:hint="eastAsia" w:ascii="仿宋" w:hAnsi="仿宋" w:eastAsia="仿宋" w:cs="仿宋"/>
          <w:color w:val="auto"/>
          <w:kern w:val="2"/>
          <w:szCs w:val="21"/>
          <w:highlight w:val="none"/>
          <w:lang w:val="zh-CN"/>
        </w:rPr>
        <w:t>规定的幅度，以中标人投标报价的单价进行计算。签订补充合同的必须按照35.3条的规定备案。</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39.  发票</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39.1 该项目获得中标的中标人在执行合同过程中，向采购人出具的发票必须是由中标人开具，不得以其他单位或个人名义出具。</w:t>
      </w:r>
    </w:p>
    <w:p>
      <w:pPr>
        <w:spacing w:line="360" w:lineRule="auto"/>
        <w:rPr>
          <w:rFonts w:hAnsi="宋体" w:cs="宋体"/>
          <w:color w:val="auto"/>
          <w:kern w:val="2"/>
          <w:szCs w:val="21"/>
          <w:highlight w:val="none"/>
          <w:lang w:val="zh-CN"/>
        </w:rPr>
      </w:pPr>
    </w:p>
    <w:p>
      <w:pPr>
        <w:pStyle w:val="5"/>
        <w:spacing w:line="360" w:lineRule="auto"/>
        <w:rPr>
          <w:rFonts w:hAnsi="宋体" w:cs="宋体"/>
          <w:color w:val="auto"/>
          <w:kern w:val="44"/>
          <w:szCs w:val="21"/>
          <w:highlight w:val="none"/>
          <w:lang w:val="zh-CN"/>
        </w:rPr>
      </w:pPr>
      <w:bookmarkStart w:id="9" w:name="_Toc413396495"/>
      <w:r>
        <w:rPr>
          <w:rFonts w:hint="eastAsia" w:hAnsi="宋体" w:cs="宋体"/>
          <w:color w:val="auto"/>
          <w:kern w:val="44"/>
          <w:szCs w:val="21"/>
          <w:highlight w:val="none"/>
          <w:lang w:val="zh-CN"/>
        </w:rPr>
        <w:t>（七）质疑与回复</w:t>
      </w:r>
      <w:bookmarkEnd w:id="9"/>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40   质疑与回复</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40.1 如果投标人对此次采购活动有疑问，可依法向采购代理机构提出质疑。采购人或者采购代理机构应当在收到投标人书面有效质疑的七个工作日内对供应商依法提出的询问作出答复。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40.2 政府采购法第五十二条规定的供应商应知其权益受到损害之日，是指：</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40.2.1 对可以质疑的采购文件提出质疑的，为采购文件公示期限届满之日起七个工作日内；</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40.2.2 对采购过程提出质疑的，为各采购程序环节结束之日；</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40.2.3 对中标或者成交结果提出质疑的，为中标或者成交结果公告期限届满之日。</w:t>
      </w:r>
    </w:p>
    <w:p>
      <w:pPr>
        <w:pStyle w:val="79"/>
        <w:spacing w:line="360" w:lineRule="auto"/>
        <w:ind w:firstLine="210" w:firstLineChars="100"/>
        <w:rPr>
          <w:rFonts w:ascii="仿宋" w:hAnsi="仿宋" w:eastAsia="仿宋" w:cs="仿宋"/>
          <w:color w:val="auto"/>
          <w:highlight w:val="none"/>
          <w:lang w:val="zh-CN"/>
        </w:rPr>
      </w:pPr>
      <w:r>
        <w:rPr>
          <w:rFonts w:hint="eastAsia" w:ascii="仿宋" w:hAnsi="仿宋" w:eastAsia="仿宋" w:cs="仿宋"/>
          <w:bCs w:val="0"/>
          <w:color w:val="auto"/>
          <w:spacing w:val="0"/>
          <w:kern w:val="2"/>
          <w:szCs w:val="21"/>
          <w:highlight w:val="none"/>
          <w:lang w:val="zh-CN"/>
        </w:rPr>
        <w:t>40.2.4 供应商在法定质疑期内只能一次性提出针对同一采购程序环节的质疑</w:t>
      </w:r>
      <w:r>
        <w:rPr>
          <w:rFonts w:hint="eastAsia" w:ascii="仿宋" w:hAnsi="仿宋" w:eastAsia="仿宋" w:cs="仿宋"/>
          <w:color w:val="auto"/>
          <w:highlight w:val="none"/>
          <w:lang w:val="zh-CN"/>
        </w:rPr>
        <w:t>。</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40.3 询问或者质疑事项可能影响中标、成交结果的，采购人应当暂停签订合同，已经签订合同的，应当中止履行合同。</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40.4 投标人有质疑时，应当以书面形式（加盖投标人公章）在质疑有效期限内向采购代理机构交质疑书原件，逾期质疑无效。投标人以电话、传真或电邮形式提交的质疑属于无效质疑。质疑内容不得含有虚假、恶意成分。依据“谁主张谁举证”的原则，质疑者提供的质疑书应当包括下列主要内容：具体的质疑事项、事实依据及相关确凿的证明材料和注明事实的确切来源、投标人名称、联系人与联系电话、质疑时间，质疑书应当署名并由法定代表人\负责人签字盖章并加盖公章。采购代理机构受理书面质疑书原件之日起，在规定的期限内作出答复。对于捏造事实、滥用维权扰乱采购秩序的恶意质疑者或举证不全查无实据被驳回次数在一年内达三次以上，将纳入不良行为记录名单并承担相应的法律责任。供应商投诉的事项不得超出已质疑事项的范围。</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40.5　财政部门处理投诉事项采用书面审查的方式，必要时可以进行调查取证或者组织质证。</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对财政部门依法进行的调查取证，投诉人和与投诉事项有关的当事人应当如实反映情况，并提供相关材料。</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40.6 投诉人捏造事实、提供虚假材料或者以非法手段取得证明材料进行投诉的，财政部门应当予以驳回。</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财政部门受理投诉后，投诉人书面申请撤回投诉的，财政部门应当终止投诉处理程序。</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40.7 财政部门处理投诉事项，需要检验、检测、鉴定、专家评审以及需要投诉人补正材料的，所需时间不计算在投诉处理期限内。</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财政部门对投诉事项作出的处理决定，应当在省级以上人民政府财政部门指定的媒体上公告。</w:t>
      </w:r>
    </w:p>
    <w:p>
      <w:pPr>
        <w:pStyle w:val="120"/>
        <w:rPr>
          <w:color w:val="auto"/>
          <w:highlight w:val="none"/>
          <w:lang w:val="zh-CN"/>
        </w:rPr>
      </w:pPr>
    </w:p>
    <w:p>
      <w:pPr>
        <w:pStyle w:val="5"/>
        <w:spacing w:line="360" w:lineRule="auto"/>
        <w:rPr>
          <w:rFonts w:hAnsi="宋体" w:cs="宋体"/>
          <w:color w:val="auto"/>
          <w:kern w:val="44"/>
          <w:szCs w:val="21"/>
          <w:highlight w:val="none"/>
          <w:lang w:val="zh-CN"/>
        </w:rPr>
      </w:pPr>
      <w:r>
        <w:rPr>
          <w:rFonts w:hint="eastAsia" w:hAnsi="宋体" w:cs="宋体"/>
          <w:color w:val="auto"/>
          <w:kern w:val="44"/>
          <w:szCs w:val="21"/>
          <w:highlight w:val="none"/>
          <w:lang w:val="zh-CN"/>
        </w:rPr>
        <w:t>（八）本项目适用的扶持性政策</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41.《政府采购促进中小企业发展管理办法》(财库(2020)46号)</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42.《关于政府采购支持监狱企业发展有关问题的通知》(财库〔2014〕68号)</w:t>
      </w:r>
    </w:p>
    <w:p>
      <w:pPr>
        <w:spacing w:line="360" w:lineRule="auto"/>
        <w:ind w:left="539" w:right="17" w:hanging="53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43.《关于促进残疾人就业政府采购政策的通知》（财库〔2017〕141号)</w:t>
      </w:r>
    </w:p>
    <w:p>
      <w:pPr>
        <w:widowControl/>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44.《关于环境标志产品政府采购实施的意见》（财库〔2006〕90号）</w:t>
      </w:r>
    </w:p>
    <w:p>
      <w:pPr>
        <w:widowControl/>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45.《节能产品政府采购实施意见》的通知（财库〔2004〕185号）</w:t>
      </w:r>
    </w:p>
    <w:p>
      <w:pPr>
        <w:widowControl/>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46.《关于开展政府采购信用担保试点工作方案》（财库〔2011〕124号）</w:t>
      </w:r>
    </w:p>
    <w:p>
      <w:pPr>
        <w:pStyle w:val="5"/>
        <w:spacing w:line="360" w:lineRule="auto"/>
        <w:rPr>
          <w:rFonts w:hAnsi="宋体" w:cs="宋体"/>
          <w:color w:val="auto"/>
          <w:kern w:val="44"/>
          <w:szCs w:val="21"/>
          <w:highlight w:val="none"/>
          <w:lang w:val="zh-CN"/>
        </w:rPr>
      </w:pPr>
      <w:r>
        <w:rPr>
          <w:rFonts w:hint="eastAsia" w:hAnsi="宋体" w:cs="宋体"/>
          <w:color w:val="auto"/>
          <w:kern w:val="44"/>
          <w:szCs w:val="21"/>
          <w:highlight w:val="none"/>
          <w:lang w:val="zh-CN"/>
        </w:rPr>
        <w:t>（九）实施政府采购信用担保：适用。</w:t>
      </w:r>
    </w:p>
    <w:p>
      <w:pPr>
        <w:pStyle w:val="3"/>
        <w:keepNext/>
        <w:keepLines/>
        <w:pageBreakBefore/>
        <w:tabs>
          <w:tab w:val="left" w:pos="1080"/>
        </w:tabs>
        <w:spacing w:line="360" w:lineRule="auto"/>
        <w:ind w:left="567" w:hanging="567"/>
        <w:jc w:val="center"/>
        <w:rPr>
          <w:rFonts w:hAnsi="宋体" w:cs="宋体"/>
          <w:color w:val="auto"/>
          <w:kern w:val="44"/>
          <w:highlight w:val="none"/>
          <w:lang w:val="zh-CN"/>
        </w:rPr>
      </w:pPr>
      <w:r>
        <w:rPr>
          <w:rFonts w:hint="eastAsia" w:hAnsi="宋体" w:cs="宋体"/>
          <w:b/>
          <w:bCs/>
          <w:color w:val="auto"/>
          <w:kern w:val="44"/>
          <w:sz w:val="32"/>
          <w:szCs w:val="32"/>
          <w:highlight w:val="none"/>
          <w:lang w:val="zh-CN"/>
        </w:rPr>
        <w:t>第三篇</w:t>
      </w:r>
      <w:r>
        <w:rPr>
          <w:rFonts w:hint="eastAsia" w:hAnsi="宋体" w:cs="宋体"/>
          <w:b/>
          <w:bCs/>
          <w:color w:val="auto"/>
          <w:kern w:val="44"/>
          <w:sz w:val="32"/>
          <w:szCs w:val="32"/>
          <w:highlight w:val="none"/>
          <w:lang w:val="zh-CN"/>
        </w:rPr>
        <w:tab/>
      </w:r>
      <w:r>
        <w:rPr>
          <w:rFonts w:hint="eastAsia" w:hAnsi="宋体" w:cs="宋体"/>
          <w:b/>
          <w:bCs/>
          <w:color w:val="auto"/>
          <w:kern w:val="44"/>
          <w:sz w:val="32"/>
          <w:szCs w:val="32"/>
          <w:highlight w:val="none"/>
          <w:lang w:val="zh-CN"/>
        </w:rPr>
        <w:t>合同条款格式</w:t>
      </w:r>
    </w:p>
    <w:p>
      <w:pPr>
        <w:jc w:val="center"/>
        <w:rPr>
          <w:rFonts w:hAnsi="宋体" w:cs="宋体"/>
          <w:color w:val="auto"/>
          <w:highlight w:val="none"/>
        </w:rPr>
      </w:pPr>
      <w:r>
        <w:rPr>
          <w:rFonts w:hint="eastAsia" w:hAnsi="宋体" w:cs="宋体"/>
          <w:bCs/>
          <w:color w:val="auto"/>
          <w:kern w:val="44"/>
          <w:highlight w:val="none"/>
          <w:lang w:val="zh-CN"/>
        </w:rPr>
        <w:t>（仅供参考，最终以甲、乙双方签订的合同为准）</w:t>
      </w:r>
    </w:p>
    <w:p>
      <w:pPr>
        <w:rPr>
          <w:rFonts w:hAnsi="宋体" w:cs="宋体"/>
          <w:color w:val="auto"/>
          <w:szCs w:val="21"/>
          <w:highlight w:val="none"/>
        </w:rPr>
      </w:pPr>
    </w:p>
    <w:p>
      <w:pPr>
        <w:rPr>
          <w:rFonts w:hAnsi="宋体" w:cs="宋体"/>
          <w:color w:val="auto"/>
          <w:szCs w:val="21"/>
          <w:highlight w:val="none"/>
        </w:rPr>
      </w:pPr>
    </w:p>
    <w:p>
      <w:pPr>
        <w:rPr>
          <w:rFonts w:hAnsi="宋体" w:cs="宋体"/>
          <w:color w:val="auto"/>
          <w:szCs w:val="21"/>
          <w:highlight w:val="none"/>
        </w:rPr>
      </w:pPr>
    </w:p>
    <w:p>
      <w:pPr>
        <w:rPr>
          <w:rFonts w:hAnsi="宋体" w:cs="宋体"/>
          <w:color w:val="auto"/>
          <w:szCs w:val="21"/>
          <w:highlight w:val="none"/>
        </w:rPr>
      </w:pPr>
    </w:p>
    <w:p>
      <w:pPr>
        <w:rPr>
          <w:rFonts w:hAnsi="宋体" w:cs="宋体"/>
          <w:color w:val="auto"/>
          <w:szCs w:val="21"/>
          <w:highlight w:val="none"/>
        </w:rPr>
      </w:pPr>
    </w:p>
    <w:p>
      <w:pPr>
        <w:rPr>
          <w:rFonts w:hAnsi="宋体" w:cs="宋体"/>
          <w:color w:val="auto"/>
          <w:szCs w:val="21"/>
          <w:highlight w:val="none"/>
        </w:rPr>
      </w:pPr>
    </w:p>
    <w:p>
      <w:pPr>
        <w:rPr>
          <w:rFonts w:hAnsi="宋体" w:cs="宋体"/>
          <w:color w:val="auto"/>
          <w:szCs w:val="21"/>
          <w:highlight w:val="none"/>
        </w:rPr>
      </w:pPr>
    </w:p>
    <w:p>
      <w:pPr>
        <w:rPr>
          <w:rFonts w:hAnsi="宋体" w:cs="宋体"/>
          <w:color w:val="auto"/>
          <w:szCs w:val="21"/>
          <w:highlight w:val="none"/>
        </w:rPr>
      </w:pPr>
    </w:p>
    <w:p>
      <w:pPr>
        <w:ind w:right="-26"/>
        <w:jc w:val="center"/>
        <w:rPr>
          <w:rFonts w:hAnsi="宋体" w:cs="宋体"/>
          <w:b/>
          <w:color w:val="auto"/>
          <w:sz w:val="44"/>
          <w:szCs w:val="36"/>
          <w:highlight w:val="none"/>
        </w:rPr>
      </w:pPr>
      <w:r>
        <w:rPr>
          <w:rFonts w:hint="eastAsia" w:hAnsi="宋体" w:cs="宋体"/>
          <w:b/>
          <w:color w:val="auto"/>
          <w:sz w:val="44"/>
          <w:szCs w:val="36"/>
          <w:highlight w:val="none"/>
        </w:rPr>
        <w:t>南海海洋预警信息发布和沿海</w:t>
      </w:r>
    </w:p>
    <w:p>
      <w:pPr>
        <w:ind w:right="-26"/>
        <w:jc w:val="center"/>
        <w:rPr>
          <w:rFonts w:hAnsi="宋体" w:cs="宋体"/>
          <w:b/>
          <w:color w:val="auto"/>
          <w:sz w:val="44"/>
          <w:szCs w:val="36"/>
          <w:highlight w:val="none"/>
        </w:rPr>
      </w:pPr>
      <w:r>
        <w:rPr>
          <w:rFonts w:hint="eastAsia" w:hAnsi="宋体" w:cs="宋体"/>
          <w:b/>
          <w:color w:val="auto"/>
          <w:sz w:val="44"/>
          <w:szCs w:val="36"/>
          <w:highlight w:val="none"/>
        </w:rPr>
        <w:t>恶劣天气防灾叫应系统(二期)</w:t>
      </w:r>
    </w:p>
    <w:p>
      <w:pPr>
        <w:ind w:right="-26"/>
        <w:jc w:val="center"/>
        <w:rPr>
          <w:rFonts w:hAnsi="宋体" w:cs="宋体"/>
          <w:b/>
          <w:color w:val="auto"/>
          <w:sz w:val="36"/>
          <w:szCs w:val="36"/>
          <w:highlight w:val="none"/>
        </w:rPr>
      </w:pPr>
      <w:r>
        <w:rPr>
          <w:rFonts w:hint="eastAsia" w:hAnsi="宋体" w:cs="宋体"/>
          <w:b/>
          <w:color w:val="auto"/>
          <w:sz w:val="36"/>
          <w:szCs w:val="36"/>
          <w:highlight w:val="none"/>
        </w:rPr>
        <w:t>（合同编号：）</w:t>
      </w:r>
    </w:p>
    <w:p>
      <w:pPr>
        <w:spacing w:line="700" w:lineRule="exact"/>
        <w:jc w:val="center"/>
        <w:rPr>
          <w:rFonts w:hAnsi="宋体" w:cs="宋体"/>
          <w:b/>
          <w:color w:val="auto"/>
          <w:sz w:val="44"/>
          <w:highlight w:val="none"/>
        </w:rPr>
      </w:pPr>
    </w:p>
    <w:p>
      <w:pPr>
        <w:spacing w:line="700" w:lineRule="exact"/>
        <w:jc w:val="center"/>
        <w:rPr>
          <w:rFonts w:hAnsi="宋体" w:cs="宋体"/>
          <w:b/>
          <w:color w:val="auto"/>
          <w:sz w:val="44"/>
          <w:highlight w:val="none"/>
        </w:rPr>
      </w:pPr>
    </w:p>
    <w:p>
      <w:pPr>
        <w:spacing w:line="700" w:lineRule="exact"/>
        <w:jc w:val="center"/>
        <w:rPr>
          <w:rFonts w:hAnsi="宋体" w:cs="宋体"/>
          <w:b/>
          <w:color w:val="auto"/>
          <w:sz w:val="44"/>
          <w:highlight w:val="none"/>
        </w:rPr>
      </w:pPr>
      <w:r>
        <w:rPr>
          <w:rFonts w:hint="eastAsia" w:hAnsi="宋体" w:cs="宋体"/>
          <w:b/>
          <w:color w:val="auto"/>
          <w:sz w:val="44"/>
          <w:highlight w:val="none"/>
        </w:rPr>
        <w:t>采购合同</w:t>
      </w:r>
    </w:p>
    <w:p>
      <w:pPr>
        <w:jc w:val="center"/>
        <w:rPr>
          <w:rFonts w:hAnsi="宋体" w:cs="宋体"/>
          <w:color w:val="auto"/>
          <w:highlight w:val="none"/>
        </w:rPr>
      </w:pPr>
    </w:p>
    <w:p>
      <w:pPr>
        <w:jc w:val="center"/>
        <w:rPr>
          <w:rFonts w:hAnsi="宋体" w:cs="宋体"/>
          <w:color w:val="auto"/>
          <w:highlight w:val="none"/>
        </w:rPr>
      </w:pPr>
    </w:p>
    <w:p>
      <w:pPr>
        <w:jc w:val="center"/>
        <w:rPr>
          <w:rFonts w:hAnsi="宋体" w:cs="宋体"/>
          <w:color w:val="auto"/>
          <w:highlight w:val="none"/>
        </w:rPr>
      </w:pPr>
    </w:p>
    <w:p>
      <w:pPr>
        <w:jc w:val="center"/>
        <w:rPr>
          <w:rFonts w:hAnsi="宋体" w:cs="宋体"/>
          <w:color w:val="auto"/>
          <w:sz w:val="32"/>
          <w:highlight w:val="none"/>
        </w:rPr>
      </w:pPr>
    </w:p>
    <w:p>
      <w:pPr>
        <w:jc w:val="center"/>
        <w:rPr>
          <w:rFonts w:hAnsi="宋体" w:cs="宋体"/>
          <w:color w:val="auto"/>
          <w:sz w:val="32"/>
          <w:highlight w:val="none"/>
        </w:rPr>
      </w:pPr>
    </w:p>
    <w:p>
      <w:pPr>
        <w:jc w:val="center"/>
        <w:rPr>
          <w:rFonts w:hAnsi="宋体" w:cs="宋体"/>
          <w:color w:val="auto"/>
          <w:sz w:val="32"/>
          <w:highlight w:val="none"/>
        </w:rPr>
      </w:pPr>
    </w:p>
    <w:p>
      <w:pPr>
        <w:jc w:val="center"/>
        <w:rPr>
          <w:rFonts w:hAnsi="宋体" w:cs="宋体"/>
          <w:color w:val="auto"/>
          <w:sz w:val="32"/>
          <w:highlight w:val="none"/>
        </w:rPr>
      </w:pPr>
    </w:p>
    <w:p>
      <w:pPr>
        <w:jc w:val="center"/>
        <w:rPr>
          <w:rFonts w:hAnsi="宋体" w:cs="宋体"/>
          <w:color w:val="auto"/>
          <w:sz w:val="32"/>
          <w:highlight w:val="none"/>
        </w:rPr>
      </w:pPr>
    </w:p>
    <w:p>
      <w:pPr>
        <w:jc w:val="center"/>
        <w:rPr>
          <w:rFonts w:hAnsi="宋体" w:cs="宋体"/>
          <w:color w:val="auto"/>
          <w:sz w:val="32"/>
          <w:highlight w:val="none"/>
        </w:rPr>
      </w:pPr>
    </w:p>
    <w:p>
      <w:pPr>
        <w:ind w:firstLine="2520" w:firstLineChars="900"/>
        <w:rPr>
          <w:rFonts w:hAnsi="宋体" w:cs="宋体"/>
          <w:color w:val="auto"/>
          <w:sz w:val="28"/>
          <w:szCs w:val="28"/>
          <w:highlight w:val="none"/>
        </w:rPr>
      </w:pPr>
      <w:r>
        <w:rPr>
          <w:rFonts w:hint="eastAsia" w:hAnsi="宋体" w:cs="宋体"/>
          <w:color w:val="auto"/>
          <w:sz w:val="28"/>
          <w:szCs w:val="28"/>
          <w:highlight w:val="none"/>
        </w:rPr>
        <w:t>甲方：广东省气象局</w:t>
      </w:r>
    </w:p>
    <w:p>
      <w:pPr>
        <w:ind w:firstLine="2520" w:firstLineChars="900"/>
        <w:jc w:val="both"/>
        <w:rPr>
          <w:rFonts w:hAnsi="宋体" w:cs="宋体"/>
          <w:color w:val="auto"/>
          <w:sz w:val="28"/>
          <w:szCs w:val="28"/>
          <w:highlight w:val="none"/>
        </w:rPr>
      </w:pPr>
      <w:r>
        <w:rPr>
          <w:rFonts w:hint="eastAsia" w:hAnsi="宋体" w:cs="宋体"/>
          <w:color w:val="auto"/>
          <w:sz w:val="28"/>
          <w:szCs w:val="28"/>
          <w:highlight w:val="none"/>
        </w:rPr>
        <w:t>乙方：</w:t>
      </w:r>
    </w:p>
    <w:p>
      <w:pPr>
        <w:spacing w:line="460" w:lineRule="exact"/>
        <w:rPr>
          <w:rFonts w:hAnsi="time of new roman"/>
          <w:b/>
          <w:color w:val="auto"/>
          <w:szCs w:val="21"/>
          <w:highlight w:val="none"/>
        </w:rPr>
      </w:pPr>
    </w:p>
    <w:p>
      <w:pPr>
        <w:spacing w:line="460" w:lineRule="exact"/>
        <w:rPr>
          <w:rFonts w:hAnsi="time of new roman"/>
          <w:b/>
          <w:color w:val="auto"/>
          <w:szCs w:val="21"/>
          <w:highlight w:val="none"/>
        </w:rPr>
      </w:pPr>
    </w:p>
    <w:p>
      <w:pPr>
        <w:spacing w:line="460" w:lineRule="exact"/>
        <w:rPr>
          <w:b/>
          <w:color w:val="auto"/>
          <w:szCs w:val="21"/>
          <w:highlight w:val="none"/>
        </w:rPr>
      </w:pPr>
      <w:r>
        <w:rPr>
          <w:rFonts w:hAnsi="time of new roman"/>
          <w:b/>
          <w:color w:val="auto"/>
          <w:szCs w:val="21"/>
          <w:highlight w:val="none"/>
        </w:rPr>
        <w:t>注：本合同样本仅供参考，甲乙双方可根据实际情况进行补充。</w:t>
      </w:r>
    </w:p>
    <w:p>
      <w:pPr>
        <w:spacing w:line="360" w:lineRule="auto"/>
        <w:ind w:firstLine="420" w:firstLineChars="200"/>
        <w:rPr>
          <w:color w:val="auto"/>
          <w:szCs w:val="21"/>
          <w:highlight w:val="none"/>
        </w:rPr>
      </w:pPr>
    </w:p>
    <w:p>
      <w:pPr>
        <w:spacing w:line="360" w:lineRule="auto"/>
        <w:jc w:val="center"/>
        <w:rPr>
          <w:color w:val="auto"/>
          <w:sz w:val="24"/>
          <w:highlight w:val="none"/>
        </w:rPr>
      </w:pPr>
    </w:p>
    <w:p>
      <w:pPr>
        <w:tabs>
          <w:tab w:val="left" w:pos="720"/>
        </w:tabs>
        <w:spacing w:line="360" w:lineRule="auto"/>
        <w:rPr>
          <w:rFonts w:ascii="仿宋" w:hAnsi="仿宋" w:eastAsia="仿宋" w:cs="仿宋"/>
          <w:b/>
          <w:color w:val="auto"/>
          <w:szCs w:val="21"/>
          <w:highlight w:val="none"/>
        </w:rPr>
      </w:pPr>
      <w:r>
        <w:rPr>
          <w:rFonts w:hint="eastAsia" w:ascii="仿宋" w:hAnsi="仿宋" w:eastAsia="仿宋" w:cs="仿宋"/>
          <w:b/>
          <w:color w:val="auto"/>
          <w:szCs w:val="21"/>
          <w:highlight w:val="none"/>
        </w:rPr>
        <w:t>甲    方（采购方）：</w:t>
      </w:r>
      <w:r>
        <w:rPr>
          <w:rFonts w:hint="eastAsia" w:ascii="仿宋" w:hAnsi="仿宋" w:eastAsia="仿宋" w:cs="仿宋"/>
          <w:b/>
          <w:color w:val="auto"/>
          <w:szCs w:val="21"/>
          <w:highlight w:val="none"/>
          <w:u w:val="single"/>
        </w:rPr>
        <w:t>广东省气象局</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电   话:              传 真：               地  址:</w:t>
      </w:r>
      <w:r>
        <w:rPr>
          <w:rFonts w:hint="eastAsia" w:ascii="仿宋" w:hAnsi="仿宋" w:eastAsia="仿宋" w:cs="仿宋"/>
          <w:color w:val="auto"/>
          <w:highlight w:val="none"/>
        </w:rPr>
        <w:t xml:space="preserve"> </w:t>
      </w:r>
    </w:p>
    <w:p>
      <w:pPr>
        <w:spacing w:line="360" w:lineRule="auto"/>
        <w:rPr>
          <w:rFonts w:ascii="仿宋" w:hAnsi="仿宋" w:eastAsia="仿宋" w:cs="仿宋"/>
          <w:b/>
          <w:color w:val="auto"/>
          <w:szCs w:val="21"/>
          <w:highlight w:val="none"/>
        </w:rPr>
      </w:pPr>
      <w:r>
        <w:rPr>
          <w:rFonts w:hint="eastAsia" w:ascii="仿宋" w:hAnsi="仿宋" w:eastAsia="仿宋" w:cs="仿宋"/>
          <w:b/>
          <w:color w:val="auto"/>
          <w:szCs w:val="21"/>
          <w:highlight w:val="none"/>
        </w:rPr>
        <w:t>乙    方（中标方）：</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电    话：            传  真：               地  址： </w:t>
      </w:r>
    </w:p>
    <w:p>
      <w:pPr>
        <w:tabs>
          <w:tab w:val="left" w:pos="720"/>
        </w:tabs>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项目名称： </w:t>
      </w:r>
    </w:p>
    <w:p>
      <w:pPr>
        <w:tabs>
          <w:tab w:val="left" w:pos="425"/>
        </w:tabs>
        <w:snapToGrid w:val="0"/>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项目编号：</w:t>
      </w:r>
    </w:p>
    <w:p>
      <w:pPr>
        <w:tabs>
          <w:tab w:val="left" w:pos="425"/>
        </w:tabs>
        <w:snapToGrid w:val="0"/>
        <w:spacing w:line="360" w:lineRule="auto"/>
        <w:ind w:firstLine="420" w:firstLineChars="200"/>
        <w:jc w:val="both"/>
        <w:rPr>
          <w:rFonts w:ascii="仿宋" w:hAnsi="仿宋" w:eastAsia="仿宋" w:cs="仿宋"/>
          <w:color w:val="auto"/>
          <w:szCs w:val="21"/>
          <w:highlight w:val="none"/>
        </w:rPr>
      </w:pPr>
      <w:r>
        <w:rPr>
          <w:rFonts w:hint="eastAsia" w:ascii="仿宋" w:hAnsi="仿宋" w:eastAsia="仿宋" w:cs="仿宋"/>
          <w:color w:val="auto"/>
          <w:szCs w:val="21"/>
          <w:highlight w:val="none"/>
        </w:rPr>
        <w:t>根据南海海洋预警信息发布和沿海恶劣天气防灾叫应系统(二期)（项目编号：   ）的招标结果，按照《中华人民共和国政府采购法》《中华人民共和国民法典》等相关法律、法规的规定，经双方协商，本着平等互利和诚实信用的原则，一致同意签订本合同如下。</w:t>
      </w: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一、内容</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1541"/>
        <w:gridCol w:w="1541"/>
        <w:gridCol w:w="2558"/>
        <w:gridCol w:w="2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91" w:type="pct"/>
            <w:vAlign w:val="center"/>
          </w:tcPr>
          <w:p>
            <w:pPr>
              <w:snapToGrid w:val="0"/>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791" w:type="pct"/>
            <w:vAlign w:val="center"/>
          </w:tcPr>
          <w:p>
            <w:pPr>
              <w:snapToGrid w:val="0"/>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791" w:type="pct"/>
            <w:vAlign w:val="center"/>
          </w:tcPr>
          <w:p>
            <w:pPr>
              <w:snapToGrid w:val="0"/>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313" w:type="pct"/>
            <w:vAlign w:val="center"/>
          </w:tcPr>
          <w:p>
            <w:pPr>
              <w:snapToGrid w:val="0"/>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单价(元)</w:t>
            </w:r>
          </w:p>
        </w:tc>
        <w:tc>
          <w:tcPr>
            <w:tcW w:w="1313" w:type="pct"/>
            <w:vAlign w:val="center"/>
          </w:tcPr>
          <w:p>
            <w:pPr>
              <w:snapToGrid w:val="0"/>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91" w:type="pct"/>
            <w:vAlign w:val="center"/>
          </w:tcPr>
          <w:p>
            <w:pPr>
              <w:snapToGrid w:val="0"/>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791" w:type="pct"/>
            <w:vAlign w:val="center"/>
          </w:tcPr>
          <w:p>
            <w:pPr>
              <w:snapToGrid w:val="0"/>
              <w:spacing w:line="360" w:lineRule="auto"/>
              <w:rPr>
                <w:rFonts w:ascii="仿宋" w:hAnsi="仿宋" w:eastAsia="仿宋" w:cs="仿宋"/>
                <w:color w:val="auto"/>
                <w:szCs w:val="21"/>
                <w:highlight w:val="none"/>
              </w:rPr>
            </w:pPr>
          </w:p>
        </w:tc>
        <w:tc>
          <w:tcPr>
            <w:tcW w:w="791" w:type="pct"/>
            <w:vAlign w:val="center"/>
          </w:tcPr>
          <w:p>
            <w:pPr>
              <w:snapToGrid w:val="0"/>
              <w:spacing w:line="360" w:lineRule="auto"/>
              <w:rPr>
                <w:rFonts w:ascii="仿宋" w:hAnsi="仿宋" w:eastAsia="仿宋" w:cs="仿宋"/>
                <w:color w:val="auto"/>
                <w:szCs w:val="21"/>
                <w:highlight w:val="none"/>
              </w:rPr>
            </w:pPr>
          </w:p>
        </w:tc>
        <w:tc>
          <w:tcPr>
            <w:tcW w:w="1313" w:type="pct"/>
            <w:vAlign w:val="center"/>
          </w:tcPr>
          <w:p>
            <w:pPr>
              <w:snapToGrid w:val="0"/>
              <w:spacing w:line="360" w:lineRule="auto"/>
              <w:rPr>
                <w:rFonts w:ascii="仿宋" w:hAnsi="仿宋" w:eastAsia="仿宋" w:cs="仿宋"/>
                <w:color w:val="auto"/>
                <w:szCs w:val="21"/>
                <w:highlight w:val="none"/>
              </w:rPr>
            </w:pPr>
          </w:p>
        </w:tc>
        <w:tc>
          <w:tcPr>
            <w:tcW w:w="1313" w:type="pct"/>
            <w:vAlign w:val="center"/>
          </w:tcPr>
          <w:p>
            <w:pPr>
              <w:snapToGrid w:val="0"/>
              <w:spacing w:line="360" w:lineRule="auto"/>
              <w:rPr>
                <w:rFonts w:ascii="仿宋" w:hAnsi="仿宋" w:eastAsia="仿宋" w:cs="仿宋"/>
                <w:color w:val="auto"/>
                <w:szCs w:val="21"/>
                <w:highlight w:val="none"/>
              </w:rPr>
            </w:pPr>
          </w:p>
        </w:tc>
      </w:tr>
    </w:tbl>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合同总额为固定包干价，包括但不限于乙方设备、软件、基础建设、安装、调试、培训、质保期服务、各项税费等。</w:t>
      </w:r>
    </w:p>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注：货物名称内容应与投标文件中货物名称内容一致。</w:t>
      </w: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二、合同金额</w:t>
      </w:r>
    </w:p>
    <w:p>
      <w:pPr>
        <w:pStyle w:val="28"/>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合同金额为（大写）：               （￥</w:t>
      </w:r>
      <w:r>
        <w:rPr>
          <w:rFonts w:hint="eastAsia" w:ascii="仿宋" w:hAnsi="仿宋" w:eastAsia="仿宋" w:cs="仿宋"/>
          <w:color w:val="auto"/>
          <w:szCs w:val="21"/>
          <w:highlight w:val="none"/>
          <w:u w:val="single"/>
        </w:rPr>
        <w:t xml:space="preserve">_   </w:t>
      </w:r>
      <w:r>
        <w:rPr>
          <w:rFonts w:hint="eastAsia" w:ascii="仿宋" w:hAnsi="仿宋" w:eastAsia="仿宋" w:cs="仿宋"/>
          <w:color w:val="auto"/>
          <w:szCs w:val="21"/>
          <w:highlight w:val="none"/>
        </w:rPr>
        <w:t>元）人民币。</w:t>
      </w: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三、进度要求</w:t>
      </w:r>
    </w:p>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本项目</w:t>
      </w:r>
      <w:r>
        <w:rPr>
          <w:rFonts w:ascii="仿宋" w:hAnsi="仿宋" w:eastAsia="仿宋" w:cs="仿宋"/>
          <w:color w:val="auto"/>
          <w:szCs w:val="21"/>
          <w:highlight w:val="none"/>
        </w:rPr>
        <w:t>各阶段任务</w:t>
      </w:r>
      <w:r>
        <w:rPr>
          <w:rFonts w:hint="eastAsia" w:ascii="仿宋" w:hAnsi="仿宋" w:eastAsia="仿宋" w:cs="仿宋"/>
          <w:color w:val="auto"/>
          <w:szCs w:val="21"/>
          <w:highlight w:val="none"/>
        </w:rPr>
        <w:t>整体</w:t>
      </w:r>
      <w:r>
        <w:rPr>
          <w:rFonts w:ascii="仿宋" w:hAnsi="仿宋" w:eastAsia="仿宋" w:cs="仿宋"/>
          <w:color w:val="auto"/>
          <w:szCs w:val="21"/>
          <w:highlight w:val="none"/>
        </w:rPr>
        <w:t>进度初步分解如下（具体进度计划将与最终中标人进行协商调整）：</w:t>
      </w:r>
    </w:p>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（1）在采购代理机构发出中标通知书之日起的30个工作日内，采购人和中标人签订合同，项目启动。</w:t>
      </w:r>
    </w:p>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（2）开展为期一年期的报灾系统运营服务和三年期的预警信息采集、发布与质控和预警信息发布系统运营服务，在每一个运营服务年度结束时，组织对指定运营服务的质量评估；运营服务到期后开展验收。</w:t>
      </w:r>
    </w:p>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（3）项目完成结算后申请最终支付。</w:t>
      </w: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四、服务期、服务地点  </w:t>
      </w:r>
    </w:p>
    <w:p>
      <w:pPr>
        <w:numPr>
          <w:ilvl w:val="0"/>
          <w:numId w:val="9"/>
        </w:numPr>
        <w:tabs>
          <w:tab w:val="left" w:pos="360"/>
        </w:tabs>
        <w:snapToGrid w:val="0"/>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服务期：签订合同后分别执行三年运营期的预警信息采集、发布与质控和预警信息发布系统运营服务，一年运营期的报灾系统运营服务。</w:t>
      </w:r>
    </w:p>
    <w:p>
      <w:pPr>
        <w:numPr>
          <w:ilvl w:val="0"/>
          <w:numId w:val="9"/>
        </w:numPr>
        <w:tabs>
          <w:tab w:val="left" w:pos="360"/>
        </w:tabs>
        <w:snapToGrid w:val="0"/>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服务地点：甲方指定地点。</w:t>
      </w:r>
    </w:p>
    <w:p>
      <w:pPr>
        <w:pStyle w:val="5"/>
        <w:numPr>
          <w:ilvl w:val="0"/>
          <w:numId w:val="10"/>
        </w:numPr>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付款方式：</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1.支付进度：</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（1）合同签订后，中标人向采购人提供合同金额5%的银行保函（项目完成后且中标人无违约行为，甲方退还该银行保函）及开具项目合同金额的30%等额正式发票，采购人在10个工作日内，支付相应的发票费用。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（2）预警信息采集、发布与质控和预警信息发布系统运营服务满一年服务期，通过质量评估后，中标人向采购人开具该部分运营服务金额的30%等额正式发票，采购人在10个工作日内，支付相应的发票费用。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（3）预警信息采集、发布与质控和预警信息发布系统运营服务满两年服务期，通过质量评估后，中标人向采购人开具该部分运营服务金额的30%等额正式发票，采购人在10个工作日内，支付相应的发票费用。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（4）报灾系统运营服务满一年服务期，通过验收后，中标人向采购人开具该部分运营服务总金额的</w:t>
      </w:r>
      <w:r>
        <w:rPr>
          <w:rFonts w:ascii="仿宋" w:hAnsi="仿宋" w:eastAsia="仿宋" w:cs="仿宋"/>
          <w:bCs/>
          <w:color w:val="auto"/>
          <w:kern w:val="2"/>
          <w:szCs w:val="21"/>
          <w:highlight w:val="none"/>
        </w:rPr>
        <w:t>7</w:t>
      </w:r>
      <w:r>
        <w:rPr>
          <w:rFonts w:hint="eastAsia" w:ascii="仿宋" w:hAnsi="仿宋" w:eastAsia="仿宋" w:cs="仿宋"/>
          <w:bCs/>
          <w:color w:val="auto"/>
          <w:kern w:val="2"/>
          <w:szCs w:val="21"/>
          <w:highlight w:val="none"/>
        </w:rPr>
        <w:t>0%等额正式发票，采购人在10个工作日内，支付相应的发票费用。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（5）预警信息采集、发布与质控和预警信息发布系统运营服务满三年服务期，通过审计和验收后，中标人向采购人开具该部分运营服务金额的</w:t>
      </w:r>
      <w:r>
        <w:rPr>
          <w:rFonts w:ascii="仿宋" w:hAnsi="仿宋" w:eastAsia="仿宋" w:cs="仿宋"/>
          <w:bCs/>
          <w:color w:val="auto"/>
          <w:kern w:val="2"/>
          <w:szCs w:val="21"/>
          <w:highlight w:val="none"/>
        </w:rPr>
        <w:t>1</w:t>
      </w:r>
      <w:r>
        <w:rPr>
          <w:rFonts w:hint="eastAsia" w:ascii="仿宋" w:hAnsi="仿宋" w:eastAsia="仿宋" w:cs="仿宋"/>
          <w:bCs/>
          <w:color w:val="auto"/>
          <w:kern w:val="2"/>
          <w:szCs w:val="21"/>
          <w:highlight w:val="none"/>
        </w:rPr>
        <w:t>0%等额正式发票，</w:t>
      </w:r>
      <w:r>
        <w:rPr>
          <w:rFonts w:hint="eastAsia" w:ascii="仿宋" w:hAnsi="仿宋" w:eastAsia="仿宋" w:cs="宋体"/>
          <w:color w:val="auto"/>
          <w:kern w:val="2"/>
          <w:highlight w:val="none"/>
        </w:rPr>
        <w:t>采购人在10个工作日内，支付相应的发票费用并完成结算程序</w:t>
      </w:r>
      <w:r>
        <w:rPr>
          <w:rFonts w:hint="eastAsia" w:ascii="仿宋" w:hAnsi="仿宋" w:eastAsia="仿宋" w:cs="仿宋"/>
          <w:bCs/>
          <w:color w:val="auto"/>
          <w:kern w:val="2"/>
          <w:szCs w:val="21"/>
          <w:highlight w:val="none"/>
        </w:rPr>
        <w:t>并退回银行保函。</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2.中标人凭以下有效文件与采购人结算：</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1)合同；</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2)中标人开具的正式发票；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3)验收报告（加盖采购人公章）；</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4)中标通知书。</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3.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六、服务要求</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在运营期内，中标人须提供以下服务：</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1</w:t>
      </w:r>
      <w:r>
        <w:rPr>
          <w:rFonts w:ascii="仿宋" w:hAnsi="仿宋" w:eastAsia="仿宋" w:cs="仿宋"/>
          <w:bCs/>
          <w:color w:val="auto"/>
          <w:kern w:val="2"/>
          <w:szCs w:val="21"/>
          <w:highlight w:val="none"/>
        </w:rPr>
        <w:t>.</w:t>
      </w:r>
      <w:r>
        <w:rPr>
          <w:rFonts w:hint="eastAsia" w:ascii="仿宋" w:hAnsi="仿宋" w:eastAsia="仿宋" w:cs="仿宋"/>
          <w:bCs/>
          <w:color w:val="auto"/>
          <w:kern w:val="2"/>
          <w:szCs w:val="21"/>
          <w:highlight w:val="none"/>
        </w:rPr>
        <w:t>指定至少</w:t>
      </w:r>
      <w:r>
        <w:rPr>
          <w:rFonts w:ascii="仿宋" w:hAnsi="仿宋" w:eastAsia="仿宋" w:cs="仿宋"/>
          <w:bCs/>
          <w:color w:val="auto"/>
          <w:kern w:val="2"/>
          <w:szCs w:val="21"/>
          <w:highlight w:val="none"/>
        </w:rPr>
        <w:t>6</w:t>
      </w:r>
      <w:r>
        <w:rPr>
          <w:rFonts w:hint="eastAsia" w:ascii="仿宋" w:hAnsi="仿宋" w:eastAsia="仿宋" w:cs="仿宋"/>
          <w:bCs/>
          <w:color w:val="auto"/>
          <w:kern w:val="2"/>
          <w:szCs w:val="21"/>
          <w:highlight w:val="none"/>
        </w:rPr>
        <w:t>名驻场工程师，驻场工程师要求具备计算机、软件、电子、通信类专业大专以上学历，熟悉突发系统及渠道运行原理、机制和相关操作。</w:t>
      </w:r>
    </w:p>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bCs/>
          <w:color w:val="auto"/>
          <w:kern w:val="2"/>
          <w:szCs w:val="21"/>
          <w:highlight w:val="none"/>
        </w:rPr>
        <w:t>2</w:t>
      </w:r>
      <w:r>
        <w:rPr>
          <w:rFonts w:ascii="仿宋" w:hAnsi="仿宋" w:eastAsia="仿宋" w:cs="仿宋"/>
          <w:bCs/>
          <w:color w:val="auto"/>
          <w:kern w:val="2"/>
          <w:szCs w:val="21"/>
          <w:highlight w:val="none"/>
        </w:rPr>
        <w:t>.</w:t>
      </w:r>
      <w:r>
        <w:rPr>
          <w:rFonts w:hint="eastAsia" w:ascii="仿宋" w:hAnsi="仿宋" w:eastAsia="仿宋" w:cs="仿宋"/>
          <w:bCs/>
          <w:color w:val="auto"/>
          <w:kern w:val="2"/>
          <w:szCs w:val="21"/>
          <w:highlight w:val="none"/>
        </w:rPr>
        <w:t>专岗提供7</w:t>
      </w:r>
      <w:r>
        <w:rPr>
          <w:rFonts w:hint="eastAsia" w:cs="MS Gothic" w:asciiTheme="minorEastAsia" w:hAnsiTheme="minorEastAsia" w:eastAsiaTheme="minorEastAsia"/>
          <w:color w:val="auto"/>
          <w:szCs w:val="21"/>
          <w:highlight w:val="none"/>
        </w:rPr>
        <w:t>×</w:t>
      </w:r>
      <w:r>
        <w:rPr>
          <w:rFonts w:hint="eastAsia" w:ascii="仿宋" w:hAnsi="仿宋" w:eastAsia="仿宋" w:cs="仿宋"/>
          <w:bCs/>
          <w:color w:val="auto"/>
          <w:kern w:val="2"/>
          <w:szCs w:val="21"/>
          <w:highlight w:val="none"/>
        </w:rPr>
        <w:t>24小时</w:t>
      </w:r>
      <w:r>
        <w:rPr>
          <w:rFonts w:hint="eastAsia" w:ascii="仿宋" w:hAnsi="仿宋" w:eastAsia="仿宋" w:cs="仿宋"/>
          <w:color w:val="auto"/>
          <w:szCs w:val="21"/>
          <w:highlight w:val="none"/>
        </w:rPr>
        <w:t>驻场运维服务</w:t>
      </w:r>
      <w:r>
        <w:rPr>
          <w:rFonts w:hint="eastAsia" w:ascii="仿宋" w:hAnsi="仿宋" w:eastAsia="仿宋" w:cs="仿宋"/>
          <w:bCs/>
          <w:color w:val="auto"/>
          <w:kern w:val="2"/>
          <w:szCs w:val="21"/>
          <w:highlight w:val="none"/>
        </w:rPr>
        <w:t>，3班倒5班配</w:t>
      </w:r>
      <w:r>
        <w:rPr>
          <w:rFonts w:hint="eastAsia" w:ascii="仿宋" w:hAnsi="仿宋" w:eastAsia="仿宋" w:cs="仿宋"/>
          <w:color w:val="auto"/>
          <w:szCs w:val="21"/>
          <w:highlight w:val="none"/>
        </w:rPr>
        <w:t>驻场工程师，驻场开展包括预警信息采集、发布与质控、预警信息发布系统运营服务及报灾系统的运营服务，保障这些系统的正常运行，确保预警信息发布的安全、及时与精准。</w:t>
      </w:r>
    </w:p>
    <w:p>
      <w:pPr>
        <w:snapToGrid w:val="0"/>
        <w:spacing w:line="360" w:lineRule="auto"/>
        <w:ind w:firstLine="420" w:firstLineChars="200"/>
        <w:rPr>
          <w:rFonts w:ascii="仿宋" w:hAnsi="仿宋" w:eastAsia="仿宋" w:cs="仿宋"/>
          <w:bCs/>
          <w:color w:val="auto"/>
          <w:kern w:val="2"/>
          <w:szCs w:val="21"/>
          <w:highlight w:val="none"/>
        </w:rPr>
      </w:pPr>
      <w:r>
        <w:rPr>
          <w:rFonts w:ascii="仿宋" w:hAnsi="仿宋" w:eastAsia="仿宋" w:cs="仿宋"/>
          <w:color w:val="auto"/>
          <w:szCs w:val="21"/>
          <w:highlight w:val="none"/>
        </w:rPr>
        <w:t>3.</w:t>
      </w:r>
      <w:r>
        <w:rPr>
          <w:rFonts w:hint="eastAsia" w:ascii="仿宋" w:hAnsi="仿宋" w:eastAsia="仿宋" w:cs="仿宋"/>
          <w:bCs/>
          <w:color w:val="auto"/>
          <w:kern w:val="2"/>
          <w:szCs w:val="21"/>
          <w:highlight w:val="none"/>
        </w:rPr>
        <w:t>保证稳定的服务人员，项目团队人员不少于8人，须配备高水平技术人员，提供7×24小时响应的电话等远程技术支持，对于驻场工程通过电话支持无法解决的问题，高水平技术人员抵达现场解决故障的响应时间不超过2小时。</w:t>
      </w:r>
    </w:p>
    <w:p>
      <w:pPr>
        <w:snapToGrid w:val="0"/>
        <w:spacing w:line="360" w:lineRule="auto"/>
        <w:ind w:firstLine="420" w:firstLineChars="200"/>
        <w:rPr>
          <w:rFonts w:ascii="仿宋" w:hAnsi="仿宋" w:eastAsia="仿宋" w:cs="仿宋"/>
          <w:bCs/>
          <w:color w:val="auto"/>
          <w:kern w:val="2"/>
          <w:szCs w:val="21"/>
          <w:highlight w:val="none"/>
        </w:rPr>
      </w:pPr>
      <w:r>
        <w:rPr>
          <w:rFonts w:ascii="仿宋" w:hAnsi="仿宋" w:eastAsia="仿宋" w:cs="仿宋"/>
          <w:bCs/>
          <w:color w:val="auto"/>
          <w:kern w:val="2"/>
          <w:szCs w:val="21"/>
          <w:highlight w:val="none"/>
        </w:rPr>
        <w:t>4.</w:t>
      </w:r>
      <w:r>
        <w:rPr>
          <w:rFonts w:hint="eastAsia" w:ascii="仿宋" w:hAnsi="仿宋" w:eastAsia="仿宋" w:cs="仿宋"/>
          <w:bCs/>
          <w:color w:val="auto"/>
          <w:kern w:val="2"/>
          <w:szCs w:val="21"/>
          <w:highlight w:val="none"/>
        </w:rPr>
        <w:t>协助采购人完成系统在广东省内的推广应用。</w:t>
      </w:r>
    </w:p>
    <w:p>
      <w:pPr>
        <w:snapToGrid w:val="0"/>
        <w:spacing w:line="360" w:lineRule="auto"/>
        <w:ind w:firstLine="420" w:firstLineChars="200"/>
        <w:rPr>
          <w:rFonts w:ascii="仿宋" w:hAnsi="仿宋" w:eastAsia="仿宋" w:cs="仿宋"/>
          <w:bCs/>
          <w:color w:val="auto"/>
          <w:kern w:val="2"/>
          <w:szCs w:val="21"/>
          <w:highlight w:val="none"/>
        </w:rPr>
      </w:pPr>
      <w:r>
        <w:rPr>
          <w:rFonts w:ascii="仿宋" w:hAnsi="仿宋" w:eastAsia="仿宋" w:cs="仿宋"/>
          <w:bCs/>
          <w:color w:val="auto"/>
          <w:kern w:val="2"/>
          <w:szCs w:val="21"/>
          <w:highlight w:val="none"/>
        </w:rPr>
        <w:t>5.</w:t>
      </w:r>
      <w:r>
        <w:rPr>
          <w:rFonts w:hint="eastAsia" w:ascii="仿宋" w:hAnsi="仿宋" w:eastAsia="仿宋" w:cs="仿宋"/>
          <w:bCs/>
          <w:color w:val="auto"/>
          <w:kern w:val="2"/>
          <w:szCs w:val="21"/>
          <w:highlight w:val="none"/>
        </w:rPr>
        <w:t>提供至少1次现场培训，以及相应的培训文档。</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6</w:t>
      </w:r>
      <w:r>
        <w:rPr>
          <w:rFonts w:ascii="仿宋" w:hAnsi="仿宋" w:eastAsia="仿宋" w:cs="仿宋"/>
          <w:bCs/>
          <w:color w:val="auto"/>
          <w:kern w:val="2"/>
          <w:szCs w:val="21"/>
          <w:highlight w:val="none"/>
        </w:rPr>
        <w:t>.</w:t>
      </w:r>
      <w:r>
        <w:rPr>
          <w:rFonts w:hint="eastAsia" w:ascii="仿宋" w:hAnsi="仿宋" w:eastAsia="仿宋" w:cs="仿宋"/>
          <w:bCs/>
          <w:color w:val="auto"/>
          <w:kern w:val="2"/>
          <w:szCs w:val="21"/>
          <w:highlight w:val="none"/>
        </w:rPr>
        <w:t>服务地点：采购人指定地点。</w:t>
      </w: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七、培训</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bCs/>
          <w:color w:val="auto"/>
          <w:kern w:val="2"/>
          <w:szCs w:val="21"/>
          <w:highlight w:val="none"/>
        </w:rPr>
        <w:t>采购方提供培训场地，中标方负责提供</w:t>
      </w:r>
      <w:r>
        <w:rPr>
          <w:rFonts w:hint="eastAsia" w:ascii="仿宋" w:hAnsi="仿宋" w:eastAsia="仿宋" w:cs="仿宋"/>
          <w:color w:val="auto"/>
          <w:highlight w:val="none"/>
        </w:rPr>
        <w:t>系统设备</w:t>
      </w:r>
      <w:r>
        <w:rPr>
          <w:rFonts w:hint="eastAsia" w:ascii="仿宋" w:hAnsi="仿宋" w:eastAsia="仿宋" w:cs="仿宋"/>
          <w:bCs/>
          <w:color w:val="auto"/>
          <w:kern w:val="2"/>
          <w:szCs w:val="21"/>
          <w:highlight w:val="none"/>
        </w:rPr>
        <w:t>及相关应用软件培训服务。培训内容包括但不限于：</w:t>
      </w:r>
      <w:r>
        <w:rPr>
          <w:rFonts w:hint="eastAsia" w:ascii="仿宋" w:hAnsi="仿宋" w:eastAsia="仿宋" w:cs="仿宋"/>
          <w:color w:val="auto"/>
          <w:highlight w:val="none"/>
        </w:rPr>
        <w:t>系统设备的使用、软件操作、系统基本维护。</w:t>
      </w:r>
    </w:p>
    <w:p>
      <w:pPr>
        <w:pStyle w:val="2"/>
        <w:rPr>
          <w:color w:val="auto"/>
          <w:highlight w:val="none"/>
        </w:rPr>
      </w:pP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八、实施要求</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1.项目整体要求：</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为有效进行资源控制、进度控制、质量控制，确保项目工程顺利实施，项目组织管理由采购人和中标人共同组成，明确各方分工，按照项目管理的原则进行实施，建立一套科学、系统、规范和有效的运作制度，例如会议制度、沟通协调。</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项目组织实施中，详细描述组织管理、工作进度管理、人员配置、质量控制、保证措施等内容。</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2.项目文档管理要求:</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 xml:space="preserve">（1）文档是过程的踪迹，项目文档管理严格按照相关要求，做到及时、真实、符合标准。 </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（2）必须定期（月、年）提交运营报告，包含各类系统等运营报告。主要包括：硬件及基础软件系统运行与运营总结、系统运行与运营总结、系统应用和运行与运营建议。</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3.项目质量管理要求:</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 xml:space="preserve">（1）遵守相关规范要求，针对招标项目实施过程及交付结果进行质量规划、管理、控制。 </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（2）制定详细的质量保证措施。项目风险管理要求:投标人应充分认识到项目风险管理的重要性，在投标文件中必须识别分析项目中的各类风险因素，并提出相应的对策。</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4.项目保密要求:</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 xml:space="preserve">（1）中标人必须采取措施对本项目实施过程中的数据、源代码、技术文档等资料保密。否则，由于中标人过错导致的上述资料泄密的，中标人必须承担一切责任。 </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 xml:space="preserve">（2）项目完成后，采购人、中标人双方均有责任对本项目的技术保密承担责任：未经采购人事先书面同意，中标人不得将由采购人为本项目提供的条文、规格、计划、图纸、模型、样品或资料等提供给与本项目无关的任何第三方，不得将其用于履行本项目之外的其它用途。 </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（3）中标人针对本项目所派出的所有服务人员，须签订安全保密责任书。</w:t>
      </w:r>
    </w:p>
    <w:p>
      <w:pPr>
        <w:pStyle w:val="2"/>
        <w:rPr>
          <w:color w:val="auto"/>
          <w:highlight w:val="none"/>
        </w:rPr>
      </w:pPr>
    </w:p>
    <w:p>
      <w:pPr>
        <w:pStyle w:val="5"/>
        <w:numPr>
          <w:ilvl w:val="0"/>
          <w:numId w:val="11"/>
        </w:numPr>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验收</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整个项目要求包括但不仅限于以下输出物：</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（1）每月提交1份详细的运营报告。</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（2）完整的运营资料。</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（3）项目验收相关资料、报告等。</w:t>
      </w:r>
    </w:p>
    <w:p>
      <w:pPr>
        <w:pStyle w:val="2"/>
        <w:rPr>
          <w:color w:val="auto"/>
          <w:highlight w:val="none"/>
        </w:rPr>
      </w:pP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十、违约责任与赔偿损失</w:t>
      </w:r>
    </w:p>
    <w:p>
      <w:pPr>
        <w:pStyle w:val="28"/>
        <w:numPr>
          <w:ilvl w:val="0"/>
          <w:numId w:val="12"/>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rFonts w:hint="eastAsia" w:ascii="仿宋" w:hAnsi="仿宋" w:eastAsia="仿宋" w:cs="仿宋"/>
          <w:color w:val="auto"/>
          <w:szCs w:val="21"/>
          <w:highlight w:val="none"/>
          <w:u w:val="single"/>
        </w:rPr>
        <w:t xml:space="preserve"> 5 % </w:t>
      </w:r>
      <w:r>
        <w:rPr>
          <w:rFonts w:hint="eastAsia" w:ascii="仿宋" w:hAnsi="仿宋" w:eastAsia="仿宋" w:cs="仿宋"/>
          <w:color w:val="auto"/>
          <w:szCs w:val="21"/>
          <w:highlight w:val="none"/>
        </w:rPr>
        <w:t>的违约金。</w:t>
      </w:r>
    </w:p>
    <w:p>
      <w:pPr>
        <w:pStyle w:val="28"/>
        <w:numPr>
          <w:ilvl w:val="0"/>
          <w:numId w:val="12"/>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乙方逾期交货，每逾期一日，则每日按合同总额</w:t>
      </w:r>
      <w:r>
        <w:rPr>
          <w:rFonts w:hint="eastAsia" w:ascii="仿宋" w:hAnsi="仿宋" w:eastAsia="仿宋" w:cs="仿宋"/>
          <w:color w:val="auto"/>
          <w:szCs w:val="21"/>
          <w:highlight w:val="none"/>
          <w:u w:val="single"/>
        </w:rPr>
        <w:t xml:space="preserve"> 0.05 % </w:t>
      </w:r>
      <w:r>
        <w:rPr>
          <w:rFonts w:hint="eastAsia" w:ascii="仿宋" w:hAnsi="仿宋" w:eastAsia="仿宋" w:cs="仿宋"/>
          <w:color w:val="auto"/>
          <w:szCs w:val="21"/>
          <w:highlight w:val="none"/>
        </w:rPr>
        <w:t>向甲方支付违约金，逾期交付超过 30 天，甲方有权单方解除合同。</w:t>
      </w:r>
    </w:p>
    <w:p>
      <w:pPr>
        <w:pStyle w:val="28"/>
        <w:numPr>
          <w:ilvl w:val="0"/>
          <w:numId w:val="12"/>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甲方无正当理由拒收货物/接受服务，到期拒付货物/服务款项的，甲方向乙方偿付本合同总额</w:t>
      </w:r>
      <w:r>
        <w:rPr>
          <w:rFonts w:hint="eastAsia" w:ascii="仿宋" w:hAnsi="仿宋" w:eastAsia="仿宋" w:cs="仿宋"/>
          <w:color w:val="auto"/>
          <w:szCs w:val="21"/>
          <w:highlight w:val="none"/>
          <w:u w:val="single"/>
        </w:rPr>
        <w:t xml:space="preserve"> 5 %</w:t>
      </w:r>
      <w:r>
        <w:rPr>
          <w:rFonts w:hint="eastAsia" w:ascii="仿宋" w:hAnsi="仿宋" w:eastAsia="仿宋" w:cs="仿宋"/>
          <w:color w:val="auto"/>
          <w:szCs w:val="21"/>
          <w:highlight w:val="none"/>
        </w:rPr>
        <w:t>的违约金。甲方逾期付款，则每日按本合同总价的</w:t>
      </w:r>
      <w:r>
        <w:rPr>
          <w:rFonts w:hint="eastAsia" w:ascii="仿宋" w:hAnsi="仿宋" w:eastAsia="仿宋" w:cs="仿宋"/>
          <w:color w:val="auto"/>
          <w:szCs w:val="21"/>
          <w:highlight w:val="none"/>
          <w:u w:val="single"/>
        </w:rPr>
        <w:t xml:space="preserve"> 0.05 % </w:t>
      </w:r>
      <w:r>
        <w:rPr>
          <w:rFonts w:hint="eastAsia" w:ascii="仿宋" w:hAnsi="仿宋" w:eastAsia="仿宋" w:cs="仿宋"/>
          <w:color w:val="auto"/>
          <w:szCs w:val="21"/>
          <w:highlight w:val="none"/>
        </w:rPr>
        <w:t>向乙方偿付违约金。</w:t>
      </w:r>
    </w:p>
    <w:p>
      <w:pPr>
        <w:pStyle w:val="28"/>
        <w:numPr>
          <w:ilvl w:val="0"/>
          <w:numId w:val="12"/>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违约方除承担违约责任，还应当承担守约方维权支出费用，维权支出费用包括但不限于律师费、诉讼（仲裁）费、鉴定费、财产保全保险费等。</w:t>
      </w:r>
    </w:p>
    <w:p>
      <w:pPr>
        <w:rPr>
          <w:color w:val="auto"/>
          <w:highlight w:val="none"/>
        </w:rPr>
      </w:pP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十一、争议的解决</w:t>
      </w:r>
    </w:p>
    <w:p>
      <w:pPr>
        <w:tabs>
          <w:tab w:val="left" w:pos="824"/>
        </w:tabs>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履行本合同而引起的一切争议，买卖双方应首先通过友好协商解决，协商不成的，因本合同引起的或与本合同有关的争议，均提请广州仲裁委员会按照仲裁规则进行仲裁，仲裁裁决是终局的，对双方均有约束力。</w:t>
      </w:r>
    </w:p>
    <w:p>
      <w:pPr>
        <w:pStyle w:val="2"/>
        <w:rPr>
          <w:color w:val="auto"/>
          <w:highlight w:val="none"/>
        </w:rPr>
      </w:pP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十二、不可抗力：</w:t>
      </w:r>
    </w:p>
    <w:p>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任何一方由于不可抗力原因不能履行合同时，应在不可抗力事件结束后 1 日内向对方通报，以减轻可能给对方造成的损失，在取得有关机构的不可抗力证明或双方谅解确认后，允许延期履行或修订合同，并根据情况可部分或全部免于承担违约责任。</w:t>
      </w:r>
    </w:p>
    <w:p>
      <w:pPr>
        <w:pStyle w:val="2"/>
        <w:rPr>
          <w:color w:val="auto"/>
          <w:highlight w:val="none"/>
        </w:rPr>
      </w:pP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十三、税费：</w:t>
      </w:r>
    </w:p>
    <w:p>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在中国境内、外发生的与本合同执行有关的一切税费均由双方各自负担。</w:t>
      </w:r>
    </w:p>
    <w:p>
      <w:pPr>
        <w:pStyle w:val="2"/>
        <w:rPr>
          <w:color w:val="auto"/>
          <w:highlight w:val="none"/>
        </w:rPr>
      </w:pP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十四、其它</w:t>
      </w:r>
    </w:p>
    <w:p>
      <w:pPr>
        <w:pStyle w:val="28"/>
        <w:numPr>
          <w:ilvl w:val="0"/>
          <w:numId w:val="13"/>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本合同所有附件、招标文件、投标文件、中标通知书均为合同的有效组成部分，与本合同具有同等法律效力。</w:t>
      </w:r>
    </w:p>
    <w:p>
      <w:pPr>
        <w:pStyle w:val="28"/>
        <w:numPr>
          <w:ilvl w:val="0"/>
          <w:numId w:val="13"/>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在执行本合同的过程中，所有经双方签署确认的文件（包括会议纪要、补充协议、往来信函）即成为本合同的有效组成部分。</w:t>
      </w:r>
    </w:p>
    <w:p>
      <w:pPr>
        <w:pStyle w:val="28"/>
        <w:numPr>
          <w:ilvl w:val="0"/>
          <w:numId w:val="13"/>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如一方地址、电话、传真号码有变更，应在变更当日内书面通知对方，否则，应承担相应责任。 </w:t>
      </w:r>
    </w:p>
    <w:p>
      <w:pPr>
        <w:pStyle w:val="28"/>
        <w:numPr>
          <w:ilvl w:val="0"/>
          <w:numId w:val="13"/>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除甲方事先书面同意外，乙方不得部分或全部转让其应履行的合同项下的义务。</w:t>
      </w:r>
    </w:p>
    <w:p>
      <w:pPr>
        <w:pStyle w:val="28"/>
        <w:numPr>
          <w:ilvl w:val="0"/>
          <w:numId w:val="13"/>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双方对本合同均有保密义务，除司法和行政机关要求外，本合同内容不得向无关第三人透露。</w:t>
      </w:r>
    </w:p>
    <w:p>
      <w:pPr>
        <w:rPr>
          <w:color w:val="auto"/>
          <w:highlight w:val="none"/>
        </w:rPr>
      </w:pPr>
    </w:p>
    <w:p>
      <w:pPr>
        <w:pStyle w:val="5"/>
        <w:tabs>
          <w:tab w:val="left" w:pos="900"/>
        </w:tabs>
        <w:spacing w:line="360" w:lineRule="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十五、合同生效：</w:t>
      </w:r>
    </w:p>
    <w:p>
      <w:pPr>
        <w:pStyle w:val="28"/>
        <w:numPr>
          <w:ilvl w:val="0"/>
          <w:numId w:val="14"/>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合同自甲乙双方法人代表或其授权代表签字盖章之日起生效。</w:t>
      </w:r>
    </w:p>
    <w:p>
      <w:pPr>
        <w:pStyle w:val="28"/>
        <w:numPr>
          <w:ilvl w:val="0"/>
          <w:numId w:val="14"/>
        </w:numPr>
        <w:tabs>
          <w:tab w:val="left" w:pos="0"/>
        </w:tabs>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合同壹式   份，其中甲乙双方各执  份，采购代理机构执壹份，政府采购监督管理部门壹份。</w:t>
      </w:r>
    </w:p>
    <w:p>
      <w:pPr>
        <w:snapToGrid w:val="0"/>
        <w:spacing w:line="360" w:lineRule="auto"/>
        <w:rPr>
          <w:rFonts w:ascii="仿宋" w:hAnsi="仿宋" w:eastAsia="仿宋" w:cs="宋体"/>
          <w:color w:val="auto"/>
          <w:szCs w:val="21"/>
          <w:highlight w:val="none"/>
        </w:rPr>
      </w:pPr>
      <w:r>
        <w:rPr>
          <w:rFonts w:hint="eastAsia" w:ascii="仿宋" w:hAnsi="仿宋" w:eastAsia="仿宋" w:cs="宋体"/>
          <w:color w:val="auto"/>
          <w:szCs w:val="21"/>
          <w:highlight w:val="none"/>
        </w:rPr>
        <w:t>甲方（盖章）：                          乙方（盖章）：</w:t>
      </w:r>
    </w:p>
    <w:p>
      <w:pPr>
        <w:snapToGrid w:val="0"/>
        <w:spacing w:line="360" w:lineRule="auto"/>
        <w:rPr>
          <w:rFonts w:ascii="仿宋" w:hAnsi="仿宋" w:eastAsia="仿宋" w:cs="宋体"/>
          <w:color w:val="auto"/>
          <w:szCs w:val="21"/>
          <w:highlight w:val="none"/>
        </w:rPr>
      </w:pPr>
      <w:r>
        <w:rPr>
          <w:rFonts w:hint="eastAsia" w:ascii="仿宋" w:hAnsi="仿宋" w:eastAsia="仿宋" w:cs="宋体"/>
          <w:color w:val="auto"/>
          <w:szCs w:val="21"/>
          <w:highlight w:val="none"/>
        </w:rPr>
        <w:t xml:space="preserve">代表：                                  代表： </w:t>
      </w:r>
    </w:p>
    <w:p>
      <w:pPr>
        <w:snapToGrid w:val="0"/>
        <w:spacing w:line="360" w:lineRule="auto"/>
        <w:rPr>
          <w:rFonts w:ascii="仿宋" w:hAnsi="仿宋" w:eastAsia="仿宋" w:cs="宋体"/>
          <w:color w:val="auto"/>
          <w:szCs w:val="21"/>
          <w:highlight w:val="none"/>
        </w:rPr>
      </w:pPr>
      <w:r>
        <w:rPr>
          <w:rFonts w:hint="eastAsia" w:ascii="仿宋" w:hAnsi="仿宋" w:eastAsia="仿宋" w:cs="宋体"/>
          <w:color w:val="auto"/>
          <w:szCs w:val="21"/>
          <w:highlight w:val="none"/>
        </w:rPr>
        <w:t>签订地点：</w:t>
      </w:r>
    </w:p>
    <w:p>
      <w:pPr>
        <w:snapToGrid w:val="0"/>
        <w:spacing w:line="360" w:lineRule="auto"/>
        <w:rPr>
          <w:rFonts w:ascii="仿宋" w:hAnsi="仿宋" w:eastAsia="仿宋" w:cs="宋体"/>
          <w:color w:val="auto"/>
          <w:szCs w:val="21"/>
          <w:highlight w:val="none"/>
        </w:rPr>
      </w:pPr>
      <w:r>
        <w:rPr>
          <w:rFonts w:hint="eastAsia" w:ascii="仿宋" w:hAnsi="仿宋" w:eastAsia="仿宋" w:cs="宋体"/>
          <w:color w:val="auto"/>
          <w:szCs w:val="21"/>
          <w:highlight w:val="none"/>
        </w:rPr>
        <w:t xml:space="preserve">签订日期：        年     月    日       签订日期：        年     月     日    </w:t>
      </w:r>
    </w:p>
    <w:p>
      <w:pPr>
        <w:snapToGrid w:val="0"/>
        <w:spacing w:line="360" w:lineRule="auto"/>
        <w:ind w:firstLine="4200" w:firstLineChars="2000"/>
        <w:rPr>
          <w:rFonts w:ascii="仿宋" w:hAnsi="仿宋" w:eastAsia="仿宋" w:cs="宋体"/>
          <w:color w:val="auto"/>
          <w:szCs w:val="21"/>
          <w:highlight w:val="none"/>
        </w:rPr>
      </w:pPr>
      <w:r>
        <w:rPr>
          <w:rFonts w:hint="eastAsia" w:ascii="仿宋" w:hAnsi="仿宋" w:eastAsia="仿宋" w:cs="宋体"/>
          <w:color w:val="auto"/>
          <w:szCs w:val="21"/>
          <w:highlight w:val="none"/>
        </w:rPr>
        <w:t>开户名称：</w:t>
      </w:r>
    </w:p>
    <w:p>
      <w:pPr>
        <w:snapToGrid w:val="0"/>
        <w:spacing w:line="360" w:lineRule="auto"/>
        <w:ind w:firstLine="4200" w:firstLineChars="2000"/>
        <w:rPr>
          <w:rFonts w:ascii="仿宋" w:hAnsi="仿宋" w:eastAsia="仿宋" w:cs="宋体"/>
          <w:color w:val="auto"/>
          <w:szCs w:val="21"/>
          <w:highlight w:val="none"/>
        </w:rPr>
      </w:pPr>
      <w:r>
        <w:rPr>
          <w:rFonts w:hint="eastAsia" w:ascii="仿宋" w:hAnsi="仿宋" w:eastAsia="仿宋" w:cs="宋体"/>
          <w:color w:val="auto"/>
          <w:szCs w:val="21"/>
          <w:highlight w:val="none"/>
        </w:rPr>
        <w:t>银行账号：</w:t>
      </w:r>
    </w:p>
    <w:p>
      <w:pPr>
        <w:spacing w:before="312" w:beforeLines="100" w:line="360" w:lineRule="auto"/>
        <w:rPr>
          <w:rFonts w:ascii="仿宋" w:hAnsi="仿宋" w:eastAsia="仿宋" w:cs="宋体"/>
          <w:color w:val="auto"/>
          <w:szCs w:val="21"/>
          <w:highlight w:val="none"/>
        </w:rPr>
      </w:pPr>
      <w:r>
        <w:rPr>
          <w:rFonts w:hint="eastAsia" w:ascii="仿宋" w:hAnsi="仿宋" w:eastAsia="仿宋" w:cs="宋体"/>
          <w:color w:val="auto"/>
          <w:szCs w:val="21"/>
          <w:highlight w:val="none"/>
        </w:rPr>
        <w:t xml:space="preserve">                                        开 户 行：</w:t>
      </w:r>
    </w:p>
    <w:p>
      <w:pPr>
        <w:pStyle w:val="3"/>
        <w:keepNext/>
        <w:keepLines/>
        <w:pageBreakBefore/>
        <w:tabs>
          <w:tab w:val="left" w:pos="1080"/>
        </w:tabs>
        <w:spacing w:line="360" w:lineRule="auto"/>
        <w:jc w:val="center"/>
        <w:rPr>
          <w:rFonts w:hAnsi="宋体" w:cs="宋体"/>
          <w:b/>
          <w:bCs/>
          <w:color w:val="auto"/>
          <w:kern w:val="44"/>
          <w:sz w:val="32"/>
          <w:szCs w:val="32"/>
          <w:highlight w:val="none"/>
          <w:lang w:val="zh-CN"/>
        </w:rPr>
      </w:pPr>
      <w:r>
        <w:rPr>
          <w:rFonts w:hint="eastAsia" w:hAnsi="宋体" w:cs="宋体"/>
          <w:b/>
          <w:bCs/>
          <w:color w:val="auto"/>
          <w:kern w:val="44"/>
          <w:sz w:val="32"/>
          <w:szCs w:val="32"/>
          <w:highlight w:val="none"/>
          <w:lang w:val="zh-CN"/>
        </w:rPr>
        <w:t>第四篇 用户需求书</w:t>
      </w:r>
    </w:p>
    <w:p>
      <w:pPr>
        <w:snapToGrid w:val="0"/>
        <w:spacing w:line="360" w:lineRule="auto"/>
        <w:rPr>
          <w:rFonts w:ascii="仿宋" w:hAnsi="仿宋" w:eastAsia="仿宋" w:cs="仿宋"/>
          <w:b/>
          <w:bCs/>
          <w:color w:val="auto"/>
          <w:highlight w:val="none"/>
        </w:rPr>
      </w:pPr>
    </w:p>
    <w:p>
      <w:pPr>
        <w:snapToGrid w:val="0"/>
        <w:spacing w:line="360" w:lineRule="auto"/>
        <w:rPr>
          <w:rFonts w:ascii="仿宋" w:hAnsi="仿宋" w:eastAsia="仿宋" w:cs="宋体"/>
          <w:b/>
          <w:bCs/>
          <w:color w:val="auto"/>
          <w:szCs w:val="21"/>
          <w:highlight w:val="none"/>
        </w:rPr>
      </w:pPr>
      <w:r>
        <w:rPr>
          <w:rFonts w:hint="eastAsia" w:ascii="仿宋" w:hAnsi="仿宋" w:eastAsia="仿宋" w:cs="宋体"/>
          <w:b/>
          <w:bCs/>
          <w:color w:val="auto"/>
          <w:szCs w:val="21"/>
          <w:highlight w:val="none"/>
        </w:rPr>
        <w:t>说明：</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1.招标文件中，凡标有“★”的地方均为须实质响应条款，投标人若有一项带“★”的条款未响应或不满足，将按无效投标处理。</w:t>
      </w:r>
    </w:p>
    <w:p>
      <w:pPr>
        <w:spacing w:line="360" w:lineRule="auto"/>
        <w:ind w:firstLine="420" w:firstLineChars="200"/>
        <w:rPr>
          <w:rFonts w:hint="eastAsia" w:ascii="仿宋" w:hAnsi="仿宋" w:eastAsia="仿宋"/>
          <w:color w:val="auto"/>
          <w:highlight w:val="none"/>
        </w:rPr>
      </w:pPr>
      <w:r>
        <w:rPr>
          <w:rFonts w:hint="eastAsia" w:ascii="仿宋" w:hAnsi="仿宋" w:eastAsia="仿宋"/>
          <w:color w:val="auto"/>
          <w:highlight w:val="none"/>
        </w:rPr>
        <w:t>2.本项目要求的技术指标中，凡标有“▲”的地方均被视为比较重要的技术指标要求或性能要求。投标人要特别加以注意，尽量对此作出实质性的响应。若有一项带“▲”的指标未响应或不满足，将在技术评审中扣分，同时扣分是累加的。</w:t>
      </w:r>
    </w:p>
    <w:tbl>
      <w:tblPr>
        <w:tblStyle w:val="49"/>
        <w:tblW w:w="5000" w:type="pct"/>
        <w:jc w:val="center"/>
        <w:tblLayout w:type="autofit"/>
        <w:tblCellMar>
          <w:top w:w="0" w:type="dxa"/>
          <w:left w:w="108" w:type="dxa"/>
          <w:bottom w:w="0" w:type="dxa"/>
          <w:right w:w="108" w:type="dxa"/>
        </w:tblCellMar>
      </w:tblPr>
      <w:tblGrid>
        <w:gridCol w:w="1930"/>
        <w:gridCol w:w="4161"/>
        <w:gridCol w:w="1886"/>
        <w:gridCol w:w="1763"/>
      </w:tblGrid>
      <w:tr>
        <w:tblPrEx>
          <w:tblCellMar>
            <w:top w:w="0" w:type="dxa"/>
            <w:left w:w="108" w:type="dxa"/>
            <w:bottom w:w="0" w:type="dxa"/>
            <w:right w:w="108" w:type="dxa"/>
          </w:tblCellMar>
        </w:tblPrEx>
        <w:trPr>
          <w:trHeight w:val="344" w:hRule="atLeast"/>
          <w:jc w:val="center"/>
        </w:trPr>
        <w:tc>
          <w:tcPr>
            <w:tcW w:w="991" w:type="pct"/>
            <w:vMerge w:val="restart"/>
            <w:tcBorders>
              <w:top w:val="single" w:color="auto" w:sz="4" w:space="0"/>
              <w:left w:val="single" w:color="auto" w:sz="4" w:space="0"/>
              <w:right w:val="single" w:color="auto" w:sz="4" w:space="0"/>
            </w:tcBorders>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项目名称</w:t>
            </w:r>
          </w:p>
        </w:tc>
        <w:tc>
          <w:tcPr>
            <w:tcW w:w="2136" w:type="pct"/>
            <w:vMerge w:val="restart"/>
            <w:tcBorders>
              <w:top w:val="single" w:color="auto" w:sz="4" w:space="0"/>
              <w:left w:val="nil"/>
              <w:right w:val="single" w:color="auto" w:sz="4" w:space="0"/>
            </w:tcBorders>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分项内容</w:t>
            </w:r>
          </w:p>
        </w:tc>
        <w:tc>
          <w:tcPr>
            <w:tcW w:w="1873" w:type="pct"/>
            <w:gridSpan w:val="2"/>
            <w:tcBorders>
              <w:top w:val="single" w:color="auto" w:sz="4" w:space="0"/>
              <w:left w:val="nil"/>
              <w:bottom w:val="single" w:color="auto" w:sz="4" w:space="0"/>
              <w:right w:val="single" w:color="auto" w:sz="4" w:space="0"/>
            </w:tcBorders>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最高限价（人民币）</w:t>
            </w:r>
          </w:p>
        </w:tc>
      </w:tr>
      <w:tr>
        <w:tblPrEx>
          <w:tblCellMar>
            <w:top w:w="0" w:type="dxa"/>
            <w:left w:w="108" w:type="dxa"/>
            <w:bottom w:w="0" w:type="dxa"/>
            <w:right w:w="108" w:type="dxa"/>
          </w:tblCellMar>
        </w:tblPrEx>
        <w:trPr>
          <w:trHeight w:val="210" w:hRule="atLeast"/>
          <w:jc w:val="center"/>
        </w:trPr>
        <w:tc>
          <w:tcPr>
            <w:tcW w:w="991" w:type="pct"/>
            <w:vMerge w:val="continue"/>
            <w:tcBorders>
              <w:left w:val="single" w:color="auto" w:sz="4" w:space="0"/>
              <w:bottom w:val="single" w:color="auto" w:sz="4" w:space="0"/>
              <w:right w:val="single" w:color="auto" w:sz="4" w:space="0"/>
            </w:tcBorders>
            <w:shd w:val="clear" w:color="auto" w:fill="EEECE1"/>
            <w:vAlign w:val="center"/>
          </w:tcPr>
          <w:p>
            <w:pPr>
              <w:widowControl/>
              <w:jc w:val="center"/>
              <w:rPr>
                <w:rFonts w:ascii="仿宋" w:hAnsi="仿宋" w:eastAsia="仿宋" w:cs="宋体"/>
                <w:color w:val="auto"/>
                <w:highlight w:val="none"/>
              </w:rPr>
            </w:pPr>
          </w:p>
        </w:tc>
        <w:tc>
          <w:tcPr>
            <w:tcW w:w="2136" w:type="pct"/>
            <w:vMerge w:val="continue"/>
            <w:tcBorders>
              <w:left w:val="nil"/>
              <w:bottom w:val="single" w:color="auto" w:sz="4" w:space="0"/>
              <w:right w:val="single" w:color="auto" w:sz="4" w:space="0"/>
            </w:tcBorders>
            <w:shd w:val="clear" w:color="auto" w:fill="EEECE1"/>
            <w:vAlign w:val="center"/>
          </w:tcPr>
          <w:p>
            <w:pPr>
              <w:widowControl/>
              <w:jc w:val="center"/>
              <w:rPr>
                <w:rFonts w:ascii="仿宋" w:hAnsi="仿宋" w:eastAsia="仿宋" w:cs="宋体"/>
                <w:color w:val="auto"/>
                <w:highlight w:val="none"/>
              </w:rPr>
            </w:pPr>
          </w:p>
        </w:tc>
        <w:tc>
          <w:tcPr>
            <w:tcW w:w="968" w:type="pct"/>
            <w:tcBorders>
              <w:top w:val="single" w:color="auto" w:sz="4" w:space="0"/>
              <w:left w:val="nil"/>
              <w:bottom w:val="single" w:color="auto" w:sz="4" w:space="0"/>
              <w:right w:val="single" w:color="auto" w:sz="4" w:space="0"/>
            </w:tcBorders>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分项限价</w:t>
            </w:r>
          </w:p>
        </w:tc>
        <w:tc>
          <w:tcPr>
            <w:tcW w:w="905" w:type="pct"/>
            <w:tcBorders>
              <w:top w:val="single" w:color="auto" w:sz="4" w:space="0"/>
              <w:left w:val="nil"/>
              <w:bottom w:val="single" w:color="auto" w:sz="4" w:space="0"/>
              <w:right w:val="single" w:color="auto" w:sz="4" w:space="0"/>
            </w:tcBorders>
            <w:shd w:val="clear" w:color="auto" w:fill="EEECE1"/>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总限价</w:t>
            </w:r>
          </w:p>
        </w:tc>
      </w:tr>
      <w:tr>
        <w:tblPrEx>
          <w:tblCellMar>
            <w:top w:w="0" w:type="dxa"/>
            <w:left w:w="108" w:type="dxa"/>
            <w:bottom w:w="0" w:type="dxa"/>
            <w:right w:w="108" w:type="dxa"/>
          </w:tblCellMar>
        </w:tblPrEx>
        <w:trPr>
          <w:trHeight w:val="690" w:hRule="atLeast"/>
          <w:jc w:val="center"/>
        </w:trPr>
        <w:tc>
          <w:tcPr>
            <w:tcW w:w="991" w:type="pct"/>
            <w:vMerge w:val="restart"/>
            <w:tcBorders>
              <w:left w:val="single" w:color="auto" w:sz="4" w:space="0"/>
              <w:right w:val="single" w:color="auto" w:sz="4" w:space="0"/>
            </w:tcBorders>
            <w:vAlign w:val="center"/>
          </w:tcPr>
          <w:p>
            <w:pPr>
              <w:widowControl/>
              <w:jc w:val="center"/>
              <w:rPr>
                <w:rFonts w:ascii="仿宋" w:hAnsi="仿宋" w:eastAsia="仿宋"/>
                <w:color w:val="auto"/>
                <w:highlight w:val="none"/>
              </w:rPr>
            </w:pPr>
            <w:r>
              <w:rPr>
                <w:rFonts w:hint="eastAsia" w:ascii="仿宋" w:hAnsi="仿宋" w:eastAsia="仿宋" w:cs="宋体"/>
                <w:color w:val="auto"/>
                <w:highlight w:val="none"/>
              </w:rPr>
              <w:t>南海海洋预警信息发布和沿海恶劣天气防灾叫应系统(二期)</w:t>
            </w:r>
          </w:p>
        </w:tc>
        <w:tc>
          <w:tcPr>
            <w:tcW w:w="2136" w:type="pct"/>
            <w:tcBorders>
              <w:top w:val="single" w:color="auto" w:sz="4" w:space="0"/>
              <w:left w:val="nil"/>
              <w:bottom w:val="single" w:color="auto" w:sz="4" w:space="0"/>
              <w:right w:val="single" w:color="auto" w:sz="4" w:space="0"/>
            </w:tcBorders>
            <w:vAlign w:val="center"/>
          </w:tcPr>
          <w:p>
            <w:pPr>
              <w:widowControl/>
              <w:rPr>
                <w:rFonts w:ascii="仿宋" w:hAnsi="仿宋" w:eastAsia="仿宋" w:cs="宋体"/>
                <w:color w:val="auto"/>
                <w:highlight w:val="none"/>
              </w:rPr>
            </w:pPr>
            <w:r>
              <w:rPr>
                <w:rFonts w:hint="eastAsia" w:ascii="仿宋" w:hAnsi="仿宋" w:eastAsia="仿宋" w:cs="宋体"/>
                <w:color w:val="auto"/>
                <w:highlight w:val="none"/>
              </w:rPr>
              <w:t>预警信息采集、发布与质控和预警信息发布系统运营服务</w:t>
            </w:r>
          </w:p>
        </w:tc>
        <w:tc>
          <w:tcPr>
            <w:tcW w:w="968"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color w:val="auto"/>
                <w:szCs w:val="21"/>
                <w:highlight w:val="none"/>
              </w:rPr>
            </w:pPr>
            <w:r>
              <w:rPr>
                <w:rFonts w:hint="eastAsia" w:ascii="仿宋" w:hAnsi="仿宋" w:eastAsia="仿宋" w:cs="仿宋"/>
                <w:color w:val="auto"/>
                <w:szCs w:val="21"/>
                <w:highlight w:val="none"/>
              </w:rPr>
              <w:t>4</w:t>
            </w:r>
            <w:r>
              <w:rPr>
                <w:rFonts w:ascii="仿宋" w:hAnsi="仿宋" w:eastAsia="仿宋" w:cs="仿宋"/>
                <w:color w:val="auto"/>
                <w:szCs w:val="21"/>
                <w:highlight w:val="none"/>
              </w:rPr>
              <w:t>,393,400.00</w:t>
            </w:r>
            <w:r>
              <w:rPr>
                <w:rFonts w:hint="eastAsia" w:ascii="仿宋" w:hAnsi="仿宋" w:eastAsia="仿宋" w:cs="仿宋"/>
                <w:color w:val="auto"/>
                <w:szCs w:val="21"/>
                <w:highlight w:val="none"/>
              </w:rPr>
              <w:t>元</w:t>
            </w:r>
          </w:p>
        </w:tc>
        <w:tc>
          <w:tcPr>
            <w:tcW w:w="905" w:type="pct"/>
            <w:vMerge w:val="restart"/>
            <w:tcBorders>
              <w:left w:val="single" w:color="auto" w:sz="4" w:space="0"/>
              <w:right w:val="single" w:color="auto" w:sz="4" w:space="0"/>
            </w:tcBorders>
            <w:vAlign w:val="center"/>
          </w:tcPr>
          <w:p>
            <w:pPr>
              <w:widowControl/>
              <w:jc w:val="center"/>
              <w:rPr>
                <w:rFonts w:ascii="仿宋" w:hAnsi="仿宋" w:eastAsia="仿宋" w:cs="仿宋"/>
                <w:color w:val="auto"/>
                <w:szCs w:val="21"/>
                <w:highlight w:val="none"/>
              </w:rPr>
            </w:pPr>
            <w:r>
              <w:rPr>
                <w:rFonts w:ascii="仿宋" w:hAnsi="仿宋" w:eastAsia="仿宋" w:cs="仿宋"/>
                <w:color w:val="auto"/>
                <w:szCs w:val="21"/>
                <w:highlight w:val="none"/>
              </w:rPr>
              <w:t>5</w:t>
            </w:r>
            <w:r>
              <w:rPr>
                <w:rFonts w:hint="eastAsia" w:ascii="仿宋" w:hAnsi="仿宋" w:eastAsia="仿宋" w:cs="仿宋"/>
                <w:color w:val="auto"/>
                <w:szCs w:val="21"/>
                <w:highlight w:val="none"/>
              </w:rPr>
              <w:t>,</w:t>
            </w:r>
            <w:r>
              <w:rPr>
                <w:rFonts w:ascii="仿宋" w:hAnsi="仿宋" w:eastAsia="仿宋" w:cs="仿宋"/>
                <w:color w:val="auto"/>
                <w:szCs w:val="21"/>
                <w:highlight w:val="none"/>
              </w:rPr>
              <w:t>300</w:t>
            </w:r>
            <w:r>
              <w:rPr>
                <w:rFonts w:hint="eastAsia" w:ascii="仿宋" w:hAnsi="仿宋" w:eastAsia="仿宋" w:cs="仿宋"/>
                <w:color w:val="auto"/>
                <w:szCs w:val="21"/>
                <w:highlight w:val="none"/>
              </w:rPr>
              <w:t>,</w:t>
            </w:r>
            <w:r>
              <w:rPr>
                <w:rFonts w:ascii="仿宋" w:hAnsi="仿宋" w:eastAsia="仿宋" w:cs="仿宋"/>
                <w:color w:val="auto"/>
                <w:szCs w:val="21"/>
                <w:highlight w:val="none"/>
              </w:rPr>
              <w:t>0</w:t>
            </w:r>
            <w:r>
              <w:rPr>
                <w:rFonts w:hint="eastAsia" w:ascii="仿宋" w:hAnsi="仿宋" w:eastAsia="仿宋" w:cs="仿宋"/>
                <w:color w:val="auto"/>
                <w:szCs w:val="21"/>
                <w:highlight w:val="none"/>
              </w:rPr>
              <w:t>00.00元</w:t>
            </w:r>
          </w:p>
        </w:tc>
      </w:tr>
      <w:tr>
        <w:tblPrEx>
          <w:tblCellMar>
            <w:top w:w="0" w:type="dxa"/>
            <w:left w:w="108" w:type="dxa"/>
            <w:bottom w:w="0" w:type="dxa"/>
            <w:right w:w="108" w:type="dxa"/>
          </w:tblCellMar>
        </w:tblPrEx>
        <w:trPr>
          <w:trHeight w:val="690" w:hRule="atLeast"/>
          <w:jc w:val="center"/>
        </w:trPr>
        <w:tc>
          <w:tcPr>
            <w:tcW w:w="991" w:type="pct"/>
            <w:vMerge w:val="continue"/>
            <w:tcBorders>
              <w:left w:val="single" w:color="auto" w:sz="4" w:space="0"/>
              <w:bottom w:val="single" w:color="auto" w:sz="4" w:space="0"/>
              <w:right w:val="single" w:color="auto" w:sz="4" w:space="0"/>
            </w:tcBorders>
            <w:vAlign w:val="center"/>
          </w:tcPr>
          <w:p>
            <w:pPr>
              <w:widowControl/>
              <w:jc w:val="center"/>
              <w:rPr>
                <w:rFonts w:ascii="仿宋" w:hAnsi="仿宋" w:eastAsia="仿宋"/>
                <w:color w:val="auto"/>
                <w:highlight w:val="none"/>
              </w:rPr>
            </w:pPr>
          </w:p>
        </w:tc>
        <w:tc>
          <w:tcPr>
            <w:tcW w:w="2136" w:type="pct"/>
            <w:tcBorders>
              <w:top w:val="single" w:color="auto" w:sz="4" w:space="0"/>
              <w:left w:val="nil"/>
              <w:bottom w:val="single" w:color="auto" w:sz="4" w:space="0"/>
              <w:right w:val="single" w:color="auto" w:sz="4" w:space="0"/>
            </w:tcBorders>
            <w:vAlign w:val="center"/>
          </w:tcPr>
          <w:p>
            <w:pPr>
              <w:widowControl/>
              <w:rPr>
                <w:rFonts w:ascii="仿宋" w:hAnsi="仿宋" w:eastAsia="仿宋" w:cs="宋体"/>
                <w:color w:val="auto"/>
                <w:highlight w:val="none"/>
              </w:rPr>
            </w:pPr>
            <w:r>
              <w:rPr>
                <w:rFonts w:hint="eastAsia" w:ascii="仿宋" w:hAnsi="仿宋" w:eastAsia="仿宋" w:cs="宋体"/>
                <w:color w:val="auto"/>
                <w:highlight w:val="none"/>
              </w:rPr>
              <w:t>报灾系统运营服务</w:t>
            </w:r>
          </w:p>
        </w:tc>
        <w:tc>
          <w:tcPr>
            <w:tcW w:w="968"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9</w:t>
            </w:r>
            <w:r>
              <w:rPr>
                <w:rFonts w:ascii="仿宋" w:hAnsi="仿宋" w:eastAsia="仿宋" w:cs="宋体"/>
                <w:color w:val="auto"/>
                <w:highlight w:val="none"/>
              </w:rPr>
              <w:t>06,600</w:t>
            </w:r>
            <w:r>
              <w:rPr>
                <w:rFonts w:ascii="仿宋" w:hAnsi="仿宋" w:eastAsia="仿宋" w:cs="仿宋"/>
                <w:color w:val="auto"/>
                <w:szCs w:val="21"/>
                <w:highlight w:val="none"/>
              </w:rPr>
              <w:t>.00</w:t>
            </w:r>
            <w:r>
              <w:rPr>
                <w:rFonts w:hint="eastAsia" w:ascii="仿宋" w:hAnsi="仿宋" w:eastAsia="仿宋" w:cs="宋体"/>
                <w:color w:val="auto"/>
                <w:highlight w:val="none"/>
              </w:rPr>
              <w:t>元</w:t>
            </w:r>
          </w:p>
        </w:tc>
        <w:tc>
          <w:tcPr>
            <w:tcW w:w="905" w:type="pct"/>
            <w:vMerge w:val="continue"/>
            <w:tcBorders>
              <w:left w:val="single" w:color="auto" w:sz="4" w:space="0"/>
              <w:bottom w:val="single" w:color="auto" w:sz="4" w:space="0"/>
              <w:right w:val="single" w:color="auto" w:sz="4" w:space="0"/>
            </w:tcBorders>
            <w:vAlign w:val="center"/>
          </w:tcPr>
          <w:p>
            <w:pPr>
              <w:widowControl/>
              <w:jc w:val="center"/>
              <w:rPr>
                <w:rFonts w:ascii="仿宋" w:hAnsi="仿宋" w:eastAsia="仿宋" w:cs="宋体"/>
                <w:color w:val="auto"/>
                <w:highlight w:val="none"/>
              </w:rPr>
            </w:pPr>
          </w:p>
        </w:tc>
      </w:tr>
    </w:tbl>
    <w:p>
      <w:pPr>
        <w:pStyle w:val="2"/>
        <w:jc w:val="left"/>
        <w:rPr>
          <w:color w:val="auto"/>
          <w:highlight w:val="none"/>
        </w:rPr>
      </w:pPr>
    </w:p>
    <w:p>
      <w:pPr>
        <w:numPr>
          <w:ilvl w:val="0"/>
          <w:numId w:val="15"/>
        </w:numPr>
        <w:tabs>
          <w:tab w:val="left" w:pos="851"/>
          <w:tab w:val="left" w:pos="1280"/>
        </w:tabs>
        <w:spacing w:line="360" w:lineRule="auto"/>
        <w:rPr>
          <w:rFonts w:ascii="仿宋" w:hAnsi="仿宋" w:eastAsia="仿宋"/>
          <w:color w:val="auto"/>
          <w:highlight w:val="none"/>
        </w:rPr>
      </w:pPr>
      <w:r>
        <w:rPr>
          <w:rFonts w:hint="eastAsia" w:ascii="仿宋" w:hAnsi="仿宋" w:eastAsia="仿宋"/>
          <w:color w:val="auto"/>
          <w:highlight w:val="none"/>
        </w:rPr>
        <w:t>项目类型：</w:t>
      </w:r>
      <w:r>
        <w:rPr>
          <w:rFonts w:ascii="仿宋" w:hAnsi="仿宋" w:eastAsia="仿宋"/>
          <w:color w:val="auto"/>
          <w:highlight w:val="none"/>
        </w:rPr>
        <w:t>服务类</w:t>
      </w:r>
    </w:p>
    <w:p>
      <w:pPr>
        <w:numPr>
          <w:ilvl w:val="0"/>
          <w:numId w:val="15"/>
        </w:numPr>
        <w:tabs>
          <w:tab w:val="left" w:pos="851"/>
          <w:tab w:val="left" w:pos="1280"/>
        </w:tabs>
        <w:spacing w:line="360" w:lineRule="auto"/>
        <w:rPr>
          <w:rFonts w:ascii="仿宋" w:hAnsi="仿宋" w:eastAsia="仿宋"/>
          <w:color w:val="auto"/>
          <w:highlight w:val="none"/>
        </w:rPr>
      </w:pPr>
      <w:r>
        <w:rPr>
          <w:rFonts w:hint="eastAsia" w:ascii="仿宋" w:hAnsi="仿宋" w:eastAsia="仿宋"/>
          <w:color w:val="auto"/>
          <w:highlight w:val="none"/>
        </w:rPr>
        <w:t>服务地点：采购人指定地点</w:t>
      </w:r>
    </w:p>
    <w:p>
      <w:pPr>
        <w:numPr>
          <w:ilvl w:val="0"/>
          <w:numId w:val="15"/>
        </w:numPr>
        <w:tabs>
          <w:tab w:val="left" w:pos="851"/>
          <w:tab w:val="left" w:pos="1280"/>
        </w:tabs>
        <w:spacing w:line="360" w:lineRule="auto"/>
        <w:rPr>
          <w:rFonts w:ascii="仿宋" w:hAnsi="仿宋" w:eastAsia="仿宋"/>
          <w:color w:val="auto"/>
          <w:highlight w:val="none"/>
        </w:rPr>
      </w:pPr>
      <w:r>
        <w:rPr>
          <w:rFonts w:hint="eastAsia" w:ascii="仿宋" w:hAnsi="仿宋" w:eastAsia="仿宋"/>
          <w:color w:val="auto"/>
          <w:highlight w:val="none"/>
        </w:rPr>
        <w:t>项目要求：投标人须对全部内容进行整体投标、分项报价，不得分拆，否则视为无效投标。</w:t>
      </w:r>
    </w:p>
    <w:p>
      <w:pPr>
        <w:pStyle w:val="28"/>
        <w:rPr>
          <w:rFonts w:ascii="仿宋" w:hAnsi="仿宋" w:eastAsia="仿宋"/>
          <w:color w:val="auto"/>
          <w:highlight w:val="none"/>
        </w:rPr>
      </w:pPr>
    </w:p>
    <w:p>
      <w:pPr>
        <w:tabs>
          <w:tab w:val="left" w:pos="851"/>
          <w:tab w:val="left" w:pos="1280"/>
        </w:tabs>
        <w:spacing w:line="360" w:lineRule="auto"/>
        <w:outlineLvl w:val="0"/>
        <w:rPr>
          <w:rFonts w:ascii="仿宋" w:hAnsi="仿宋" w:eastAsia="仿宋"/>
          <w:b/>
          <w:bCs/>
          <w:color w:val="auto"/>
          <w:highlight w:val="none"/>
        </w:rPr>
      </w:pPr>
      <w:bookmarkStart w:id="10" w:name="_Toc22895701"/>
      <w:bookmarkStart w:id="11" w:name="_Toc57212901"/>
      <w:bookmarkStart w:id="12" w:name="_Toc22895793"/>
      <w:r>
        <w:rPr>
          <w:rFonts w:hint="eastAsia" w:ascii="仿宋" w:hAnsi="仿宋" w:eastAsia="仿宋"/>
          <w:b/>
          <w:bCs/>
          <w:color w:val="auto"/>
          <w:highlight w:val="none"/>
        </w:rPr>
        <w:t>一、项目概述</w:t>
      </w:r>
      <w:bookmarkEnd w:id="10"/>
      <w:bookmarkEnd w:id="11"/>
      <w:bookmarkEnd w:id="12"/>
    </w:p>
    <w:p>
      <w:pPr>
        <w:autoSpaceDE/>
        <w:autoSpaceDN/>
        <w:adjustRightInd/>
        <w:spacing w:line="360" w:lineRule="auto"/>
        <w:ind w:firstLine="420" w:firstLineChars="200"/>
        <w:jc w:val="both"/>
        <w:rPr>
          <w:rFonts w:ascii="仿宋" w:hAnsi="仿宋" w:eastAsia="仿宋" w:cs="宋体"/>
          <w:color w:val="auto"/>
          <w:kern w:val="2"/>
          <w:highlight w:val="none"/>
        </w:rPr>
      </w:pPr>
      <w:r>
        <w:rPr>
          <w:rFonts w:hint="eastAsia" w:ascii="仿宋" w:hAnsi="仿宋" w:eastAsia="仿宋" w:cs="宋体"/>
          <w:color w:val="auto"/>
          <w:kern w:val="2"/>
          <w:highlight w:val="none"/>
        </w:rPr>
        <w:t>2014年至2023年，围绕广东省突发预警信息发布系统体系建设工作，广东省气象局分别完成了《广东山洪地质灾害防治气象保障工程之预警信息发布软件系统市、县级试点项目》、《广东山洪地质灾害防治气象保障工程之预警信息发布软件系统市、县级推广项目》、《广东山洪灾害风险预警及信息化发布一体化项目》、《山洪地质灾害气象信息发布管理项目之信息员管理平台》项目的建设并投入使用，并正在进行《广东省海洋预警信息发布系统》项目的建设。在一体化、集约化的建设原则下，现已逐步建设实施了1个省级突发预警信息发布管理平台、3个市级发布管理平台、15个县级发布管理平台和10多种发布渠道子系统的建设，为广东省突发事件预警信息发布业务提供了重要的支撑。</w:t>
      </w:r>
    </w:p>
    <w:p>
      <w:pPr>
        <w:autoSpaceDE/>
        <w:autoSpaceDN/>
        <w:adjustRightInd/>
        <w:spacing w:line="360" w:lineRule="auto"/>
        <w:ind w:firstLine="420" w:firstLineChars="200"/>
        <w:jc w:val="both"/>
        <w:rPr>
          <w:rFonts w:ascii="仿宋" w:hAnsi="仿宋" w:eastAsia="仿宋" w:cs="宋体"/>
          <w:color w:val="auto"/>
          <w:kern w:val="2"/>
          <w:highlight w:val="none"/>
        </w:rPr>
      </w:pPr>
      <w:r>
        <w:rPr>
          <w:rFonts w:hint="eastAsia" w:ascii="仿宋" w:hAnsi="仿宋" w:eastAsia="仿宋" w:cs="宋体"/>
          <w:color w:val="auto"/>
          <w:kern w:val="2"/>
          <w:highlight w:val="none"/>
        </w:rPr>
        <w:t>广东“平安海洋”气象保障工程是省部合作协议的重要建设内容，也是《广东省气象发展“十三五”规划》的重大工程之一。本项目总体目标是基于南海海洋预警信息发布平台和沿海恶劣天气防灾叫应系统，完成主要包括预警信息采集、发布与质控、预警信息发布系统运营服务及报灾系统的运营服务，保障这些系统的正常运行，确保预警信息发布的安全、及时与精准。</w:t>
      </w:r>
    </w:p>
    <w:p>
      <w:pPr>
        <w:autoSpaceDE/>
        <w:autoSpaceDN/>
        <w:adjustRightInd/>
        <w:spacing w:line="360" w:lineRule="auto"/>
        <w:jc w:val="both"/>
        <w:rPr>
          <w:rFonts w:ascii="仿宋" w:hAnsi="仿宋" w:eastAsia="仿宋"/>
          <w:color w:val="auto"/>
          <w:highlight w:val="none"/>
        </w:rPr>
      </w:pPr>
    </w:p>
    <w:p>
      <w:pPr>
        <w:numPr>
          <w:ilvl w:val="0"/>
          <w:numId w:val="16"/>
        </w:numPr>
        <w:tabs>
          <w:tab w:val="left" w:pos="851"/>
          <w:tab w:val="left" w:pos="1280"/>
        </w:tabs>
        <w:spacing w:line="360" w:lineRule="auto"/>
        <w:outlineLvl w:val="0"/>
        <w:rPr>
          <w:rFonts w:ascii="仿宋" w:hAnsi="仿宋" w:eastAsia="仿宋"/>
          <w:b/>
          <w:bCs/>
          <w:color w:val="auto"/>
          <w:highlight w:val="none"/>
        </w:rPr>
      </w:pPr>
      <w:bookmarkStart w:id="13" w:name="_Toc22895796"/>
      <w:bookmarkStart w:id="14" w:name="_Toc57212903"/>
      <w:bookmarkStart w:id="15" w:name="_Toc421865006"/>
      <w:bookmarkStart w:id="16" w:name="_Toc22895704"/>
      <w:bookmarkStart w:id="17" w:name="_Toc487011181"/>
      <w:r>
        <w:rPr>
          <w:rFonts w:hint="eastAsia" w:ascii="仿宋" w:hAnsi="仿宋" w:eastAsia="仿宋"/>
          <w:b/>
          <w:bCs/>
          <w:color w:val="auto"/>
          <w:highlight w:val="none"/>
        </w:rPr>
        <w:t>项目</w:t>
      </w:r>
      <w:bookmarkEnd w:id="13"/>
      <w:bookmarkEnd w:id="14"/>
      <w:bookmarkEnd w:id="15"/>
      <w:bookmarkEnd w:id="16"/>
      <w:bookmarkEnd w:id="17"/>
      <w:r>
        <w:rPr>
          <w:rFonts w:hint="eastAsia" w:ascii="仿宋" w:hAnsi="仿宋" w:eastAsia="仿宋"/>
          <w:b/>
          <w:bCs/>
          <w:color w:val="auto"/>
          <w:highlight w:val="none"/>
        </w:rPr>
        <w:t>运营要求</w:t>
      </w:r>
    </w:p>
    <w:p>
      <w:pPr>
        <w:pStyle w:val="2"/>
        <w:ind w:firstLine="420"/>
        <w:jc w:val="left"/>
        <w:rPr>
          <w:rFonts w:ascii="仿宋" w:hAnsi="Times New Roman" w:eastAsia="仿宋"/>
          <w:bCs w:val="0"/>
          <w:color w:val="auto"/>
          <w:kern w:val="0"/>
          <w:szCs w:val="21"/>
          <w:highlight w:val="none"/>
        </w:rPr>
      </w:pPr>
      <w:r>
        <w:rPr>
          <w:rFonts w:hint="eastAsia" w:ascii="仿宋" w:hAnsi="Times New Roman" w:eastAsia="仿宋"/>
          <w:bCs w:val="0"/>
          <w:color w:val="auto"/>
          <w:kern w:val="0"/>
          <w:szCs w:val="21"/>
          <w:highlight w:val="none"/>
        </w:rPr>
        <w:t>南海海洋预警信息发布和沿海恶劣天气防灾叫应系统(二期)主要内容包括三年期的预警信息采集、发布与质控和预警信息发布系统运营服务，一年期的报灾系统运营服务。</w:t>
      </w:r>
    </w:p>
    <w:p>
      <w:pPr>
        <w:pStyle w:val="2"/>
        <w:ind w:firstLine="420"/>
        <w:jc w:val="left"/>
        <w:rPr>
          <w:color w:val="auto"/>
          <w:highlight w:val="none"/>
        </w:rPr>
      </w:pPr>
      <w:r>
        <w:rPr>
          <w:rFonts w:hint="eastAsia" w:ascii="仿宋" w:hAnsi="Times New Roman" w:eastAsia="仿宋"/>
          <w:bCs w:val="0"/>
          <w:color w:val="auto"/>
          <w:kern w:val="0"/>
          <w:szCs w:val="21"/>
          <w:highlight w:val="none"/>
        </w:rPr>
        <w:t>★投标人须承诺按年限要求提供相应的运营服务。</w:t>
      </w:r>
    </w:p>
    <w:p>
      <w:pPr>
        <w:tabs>
          <w:tab w:val="left" w:pos="851"/>
          <w:tab w:val="left" w:pos="1280"/>
        </w:tabs>
        <w:spacing w:line="360" w:lineRule="auto"/>
        <w:ind w:firstLine="422" w:firstLineChars="200"/>
        <w:jc w:val="both"/>
        <w:outlineLvl w:val="2"/>
        <w:rPr>
          <w:rFonts w:ascii="仿宋" w:hAnsi="仿宋" w:eastAsia="仿宋"/>
          <w:b/>
          <w:bCs/>
          <w:color w:val="auto"/>
          <w:szCs w:val="21"/>
          <w:highlight w:val="none"/>
        </w:rPr>
      </w:pPr>
      <w:r>
        <w:rPr>
          <w:rFonts w:hint="eastAsia" w:ascii="仿宋" w:hAnsi="仿宋" w:eastAsia="仿宋"/>
          <w:b/>
          <w:bCs/>
          <w:color w:val="auto"/>
          <w:szCs w:val="21"/>
          <w:highlight w:val="none"/>
        </w:rPr>
        <w:t>（一）预警信息采集、发布与质控运营服务</w:t>
      </w:r>
    </w:p>
    <w:p>
      <w:pPr>
        <w:tabs>
          <w:tab w:val="left" w:pos="851"/>
          <w:tab w:val="left" w:pos="1280"/>
        </w:tabs>
        <w:spacing w:line="360" w:lineRule="auto"/>
        <w:ind w:firstLine="420" w:firstLineChars="200"/>
        <w:jc w:val="both"/>
        <w:outlineLvl w:val="3"/>
        <w:rPr>
          <w:rFonts w:ascii="仿宋" w:eastAsia="仿宋"/>
          <w:color w:val="auto"/>
          <w:szCs w:val="21"/>
          <w:highlight w:val="none"/>
        </w:rPr>
      </w:pPr>
      <w:r>
        <w:rPr>
          <w:rFonts w:hint="eastAsia" w:ascii="仿宋" w:eastAsia="仿宋"/>
          <w:color w:val="auto"/>
          <w:szCs w:val="21"/>
          <w:highlight w:val="none"/>
        </w:rPr>
        <w:t>（1）预警信息数据采集接口监控管理。</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1）审批流程数据接口协议</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根据《广东省突发事件预警信息发布管理办法》中预警信息发布流程的相关规定，与应急厅（局）等外部系统就审批流程的电子化实现进行对接，制定相关数据接口标准，并进行测试，以实现安全、自动化、快速的预警信息报审数据交互和审批结果获取。</w:t>
      </w:r>
    </w:p>
    <w:p>
      <w:pPr>
        <w:spacing w:line="360" w:lineRule="auto"/>
        <w:ind w:firstLine="420" w:firstLineChars="200"/>
        <w:rPr>
          <w:rFonts w:ascii="仿宋" w:eastAsia="仿宋"/>
          <w:color w:val="auto"/>
          <w:szCs w:val="21"/>
          <w:highlight w:val="none"/>
        </w:rPr>
      </w:pPr>
      <w:r>
        <w:rPr>
          <w:rFonts w:ascii="仿宋" w:eastAsia="仿宋"/>
          <w:color w:val="auto"/>
          <w:szCs w:val="21"/>
          <w:highlight w:val="none"/>
        </w:rPr>
        <w:t>2</w:t>
      </w:r>
      <w:r>
        <w:rPr>
          <w:rFonts w:hint="eastAsia" w:ascii="仿宋" w:eastAsia="仿宋"/>
          <w:color w:val="auto"/>
          <w:szCs w:val="21"/>
          <w:highlight w:val="none"/>
        </w:rPr>
        <w:t>）信息员责任人信息报送接口协议</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制定人员信息报送服务端接口标准，规范外部系统接口采集人员信息的数据格式、提交流程和安全技术方法，以及数据新增、变更和管理的原则。</w:t>
      </w:r>
    </w:p>
    <w:p>
      <w:pPr>
        <w:tabs>
          <w:tab w:val="left" w:pos="851"/>
          <w:tab w:val="left" w:pos="1280"/>
        </w:tabs>
        <w:spacing w:line="360" w:lineRule="auto"/>
        <w:ind w:firstLine="420" w:firstLineChars="200"/>
        <w:jc w:val="both"/>
        <w:outlineLvl w:val="3"/>
        <w:rPr>
          <w:rFonts w:ascii="仿宋" w:eastAsia="仿宋"/>
          <w:color w:val="auto"/>
          <w:szCs w:val="21"/>
          <w:highlight w:val="none"/>
        </w:rPr>
      </w:pPr>
      <w:r>
        <w:rPr>
          <w:rFonts w:hint="eastAsia" w:ascii="仿宋" w:eastAsia="仿宋"/>
          <w:color w:val="auto"/>
          <w:szCs w:val="21"/>
          <w:highlight w:val="none"/>
        </w:rPr>
        <w:t>（</w:t>
      </w:r>
      <w:r>
        <w:rPr>
          <w:rFonts w:ascii="仿宋" w:eastAsia="仿宋"/>
          <w:color w:val="auto"/>
          <w:szCs w:val="21"/>
          <w:highlight w:val="none"/>
        </w:rPr>
        <w:t>2</w:t>
      </w:r>
      <w:r>
        <w:rPr>
          <w:rFonts w:hint="eastAsia" w:ascii="仿宋" w:eastAsia="仿宋"/>
          <w:color w:val="auto"/>
          <w:szCs w:val="21"/>
          <w:highlight w:val="none"/>
        </w:rPr>
        <w:t>）预警信息分发接口监控管理</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1）各发布渠道推送接口协议</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面向各种发布渠道，制定预警信息推送接口协议，既要满足预警发布的统一性要求，同时又要兼顾不同渠道的特点和受众群体的差异，与各渠道调研协调合适的预警信息和反馈数据的格式需求，并开展测试和联调、优化。</w:t>
      </w:r>
    </w:p>
    <w:p>
      <w:pPr>
        <w:tabs>
          <w:tab w:val="left" w:pos="851"/>
          <w:tab w:val="left" w:pos="1280"/>
        </w:tabs>
        <w:spacing w:line="360" w:lineRule="auto"/>
        <w:ind w:firstLine="420" w:firstLineChars="200"/>
        <w:jc w:val="both"/>
        <w:outlineLvl w:val="3"/>
        <w:rPr>
          <w:rFonts w:ascii="仿宋" w:eastAsia="仿宋"/>
          <w:color w:val="auto"/>
          <w:szCs w:val="21"/>
          <w:highlight w:val="none"/>
        </w:rPr>
      </w:pPr>
      <w:r>
        <w:rPr>
          <w:rFonts w:hint="eastAsia" w:ascii="仿宋" w:eastAsia="仿宋"/>
          <w:color w:val="auto"/>
          <w:szCs w:val="21"/>
          <w:highlight w:val="none"/>
        </w:rPr>
        <w:t>（</w:t>
      </w:r>
      <w:r>
        <w:rPr>
          <w:rFonts w:ascii="仿宋" w:eastAsia="仿宋"/>
          <w:color w:val="auto"/>
          <w:szCs w:val="21"/>
          <w:highlight w:val="none"/>
        </w:rPr>
        <w:t>3</w:t>
      </w:r>
      <w:r>
        <w:rPr>
          <w:rFonts w:hint="eastAsia" w:ascii="仿宋" w:eastAsia="仿宋"/>
          <w:color w:val="auto"/>
          <w:szCs w:val="21"/>
          <w:highlight w:val="none"/>
        </w:rPr>
        <w:t>）预警信息质量控制</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1）质量控制策略分析</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当获取到预警数据后，需要对预警信息的正确性和安全性做审核，根据预警信息质量控制及时捕获、准确判断、安全发布、持续追踪的审核原则，制定质控策略，并对各种策略的控制效果进行跟踪分析，及时发现问题并优化。策略类型包括但不限于：空白字段、敏感词、一致性错误、时间错误、正文错误、业务逻辑错误、解除预警错误。</w:t>
      </w:r>
    </w:p>
    <w:p>
      <w:pPr>
        <w:spacing w:line="360" w:lineRule="auto"/>
        <w:ind w:firstLine="420" w:firstLineChars="200"/>
        <w:rPr>
          <w:rFonts w:ascii="仿宋" w:eastAsia="仿宋"/>
          <w:color w:val="auto"/>
          <w:szCs w:val="21"/>
          <w:highlight w:val="none"/>
        </w:rPr>
      </w:pPr>
      <w:r>
        <w:rPr>
          <w:rFonts w:ascii="仿宋" w:eastAsia="仿宋"/>
          <w:color w:val="auto"/>
          <w:szCs w:val="21"/>
          <w:highlight w:val="none"/>
        </w:rPr>
        <w:t>2</w:t>
      </w:r>
      <w:r>
        <w:rPr>
          <w:rFonts w:hint="eastAsia" w:ascii="仿宋" w:eastAsia="仿宋"/>
          <w:color w:val="auto"/>
          <w:szCs w:val="21"/>
          <w:highlight w:val="none"/>
        </w:rPr>
        <w:t>）制定质控校验规则</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根据质控策略，制定数据签名校验、非空校验、敏感词校验、非法字段校验、一致性校验、可用性校验、时间校验、关联错误校验、国突上报XML数据格式校验规则，并对规则有效性进行持续的跟踪分析，及时发现问题并优化。</w:t>
      </w:r>
    </w:p>
    <w:p>
      <w:pPr>
        <w:tabs>
          <w:tab w:val="left" w:pos="851"/>
          <w:tab w:val="left" w:pos="1280"/>
        </w:tabs>
        <w:spacing w:line="360" w:lineRule="auto"/>
        <w:ind w:firstLine="420" w:firstLineChars="200"/>
        <w:jc w:val="both"/>
        <w:outlineLvl w:val="3"/>
        <w:rPr>
          <w:rFonts w:ascii="仿宋" w:eastAsia="仿宋"/>
          <w:color w:val="auto"/>
          <w:szCs w:val="21"/>
          <w:highlight w:val="none"/>
        </w:rPr>
      </w:pPr>
      <w:r>
        <w:rPr>
          <w:rFonts w:hint="eastAsia" w:ascii="仿宋" w:eastAsia="仿宋"/>
          <w:color w:val="auto"/>
          <w:szCs w:val="21"/>
          <w:highlight w:val="none"/>
        </w:rPr>
        <w:t>（</w:t>
      </w:r>
      <w:r>
        <w:rPr>
          <w:rFonts w:ascii="仿宋" w:eastAsia="仿宋"/>
          <w:color w:val="auto"/>
          <w:szCs w:val="21"/>
          <w:highlight w:val="none"/>
        </w:rPr>
        <w:t>4</w:t>
      </w:r>
      <w:r>
        <w:rPr>
          <w:rFonts w:hint="eastAsia" w:ascii="仿宋" w:eastAsia="仿宋"/>
          <w:color w:val="auto"/>
          <w:szCs w:val="21"/>
          <w:highlight w:val="none"/>
        </w:rPr>
        <w:t>）联动部门对接服务</w:t>
      </w:r>
    </w:p>
    <w:p>
      <w:pPr>
        <w:spacing w:line="360" w:lineRule="auto"/>
        <w:ind w:firstLine="420" w:firstLineChars="200"/>
        <w:rPr>
          <w:rFonts w:ascii="仿宋" w:eastAsia="仿宋"/>
          <w:color w:val="auto"/>
          <w:szCs w:val="21"/>
          <w:highlight w:val="none"/>
        </w:rPr>
      </w:pPr>
      <w:r>
        <w:rPr>
          <w:rFonts w:ascii="仿宋" w:eastAsia="仿宋"/>
          <w:color w:val="auto"/>
          <w:szCs w:val="21"/>
          <w:highlight w:val="none"/>
        </w:rPr>
        <w:t>1</w:t>
      </w:r>
      <w:r>
        <w:rPr>
          <w:rFonts w:hint="eastAsia" w:ascii="仿宋" w:eastAsia="仿宋"/>
          <w:color w:val="auto"/>
          <w:szCs w:val="21"/>
          <w:highlight w:val="none"/>
        </w:rPr>
        <w:t>）预警类型管理</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按不同部门可发预警的类型、级别定义、防御指引文档等，配置系统中的预警类型和级别数据。</w:t>
      </w:r>
    </w:p>
    <w:p>
      <w:pPr>
        <w:spacing w:line="360" w:lineRule="auto"/>
        <w:ind w:firstLine="420" w:firstLineChars="200"/>
        <w:rPr>
          <w:rFonts w:ascii="仿宋" w:eastAsia="仿宋"/>
          <w:color w:val="auto"/>
          <w:szCs w:val="21"/>
          <w:highlight w:val="none"/>
        </w:rPr>
      </w:pPr>
      <w:r>
        <w:rPr>
          <w:rFonts w:ascii="仿宋" w:eastAsia="仿宋"/>
          <w:color w:val="auto"/>
          <w:szCs w:val="21"/>
          <w:highlight w:val="none"/>
        </w:rPr>
        <w:t>2</w:t>
      </w:r>
      <w:r>
        <w:rPr>
          <w:rFonts w:hint="eastAsia" w:ascii="仿宋" w:eastAsia="仿宋"/>
          <w:color w:val="auto"/>
          <w:szCs w:val="21"/>
          <w:highlight w:val="none"/>
        </w:rPr>
        <w:t>）预案电子化工作</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按照联动部门的应急响应预案细则，转换成系统可识别、可执行的电子化信息，包括预案流程、流程触发条件、各步骤涉及的人员信息、通知内容模板和方式等。</w:t>
      </w:r>
    </w:p>
    <w:p>
      <w:pPr>
        <w:spacing w:line="360" w:lineRule="auto"/>
        <w:ind w:firstLine="420" w:firstLineChars="200"/>
        <w:rPr>
          <w:rFonts w:ascii="仿宋" w:eastAsia="仿宋"/>
          <w:color w:val="auto"/>
          <w:szCs w:val="21"/>
          <w:highlight w:val="none"/>
        </w:rPr>
      </w:pPr>
      <w:r>
        <w:rPr>
          <w:rFonts w:ascii="仿宋" w:eastAsia="仿宋"/>
          <w:color w:val="auto"/>
          <w:szCs w:val="21"/>
          <w:highlight w:val="none"/>
        </w:rPr>
        <w:t>3</w:t>
      </w:r>
      <w:r>
        <w:rPr>
          <w:rFonts w:hint="eastAsia" w:ascii="仿宋" w:eastAsia="仿宋"/>
          <w:color w:val="auto"/>
          <w:szCs w:val="21"/>
          <w:highlight w:val="none"/>
        </w:rPr>
        <w:t>）接口支撑管理服务</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协议宣贯、接口开发指导、参数配置、对接测试联调、维护培训。</w:t>
      </w:r>
    </w:p>
    <w:p>
      <w:pPr>
        <w:numPr>
          <w:ilvl w:val="0"/>
          <w:numId w:val="17"/>
        </w:numPr>
        <w:tabs>
          <w:tab w:val="left" w:pos="851"/>
          <w:tab w:val="left" w:pos="1280"/>
        </w:tabs>
        <w:spacing w:line="360" w:lineRule="auto"/>
        <w:ind w:firstLine="420" w:firstLineChars="200"/>
        <w:jc w:val="both"/>
        <w:outlineLvl w:val="3"/>
        <w:rPr>
          <w:rFonts w:ascii="仿宋" w:hAnsi="仿宋" w:eastAsia="仿宋"/>
          <w:color w:val="auto"/>
          <w:highlight w:val="none"/>
        </w:rPr>
      </w:pPr>
      <w:r>
        <w:rPr>
          <w:rFonts w:hint="eastAsia" w:ascii="仿宋" w:hAnsi="仿宋" w:eastAsia="仿宋"/>
          <w:color w:val="auto"/>
          <w:highlight w:val="none"/>
        </w:rPr>
        <w:t>数据分析服务</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1）预警信息发布效益评估分析服务</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对预警信息发布的启动及时性、业务流转时效、传播速度和广度、预警信息质量、防御指引的有效性、社会反响和减灾效果等方面的数据入手，制定效益评估指标体系，提供效益分析报告，适用于考核、评分和效益评估。</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预警信息发布效益评估分析服务分为月度、季度、半年、一年和典型过程等多种方式，每年月度评估12次、季度4次、半年2次、一年1次、典型过程平均15次，总计34次。根据不同分类、维度的统计数据，进行分析和解读，对比实际效果和反馈评价，得出考核评分和效益评估报告。每次需提取各类数据进行分项统计，制作统计表和统计图。</w:t>
      </w:r>
    </w:p>
    <w:p>
      <w:pPr>
        <w:spacing w:line="360" w:lineRule="auto"/>
        <w:ind w:firstLine="420" w:firstLineChars="200"/>
        <w:rPr>
          <w:rFonts w:ascii="仿宋" w:hAnsi="仿宋" w:eastAsia="仿宋"/>
          <w:color w:val="auto"/>
          <w:highlight w:val="none"/>
        </w:rPr>
      </w:pPr>
      <w:r>
        <w:rPr>
          <w:rFonts w:ascii="仿宋" w:hAnsi="仿宋" w:eastAsia="仿宋"/>
          <w:color w:val="auto"/>
          <w:highlight w:val="none"/>
        </w:rPr>
        <w:t>2</w:t>
      </w:r>
      <w:r>
        <w:rPr>
          <w:rFonts w:hint="eastAsia" w:ascii="仿宋" w:hAnsi="仿宋" w:eastAsia="仿宋"/>
          <w:color w:val="auto"/>
          <w:highlight w:val="none"/>
        </w:rPr>
        <w:t>）质量控制效果检验与分析</w:t>
      </w:r>
    </w:p>
    <w:p>
      <w:pPr>
        <w:spacing w:line="360" w:lineRule="auto"/>
        <w:ind w:firstLine="420" w:firstLineChars="200"/>
        <w:rPr>
          <w:color w:val="auto"/>
          <w:highlight w:val="none"/>
        </w:rPr>
      </w:pPr>
      <w:r>
        <w:rPr>
          <w:rFonts w:hint="eastAsia" w:ascii="仿宋" w:hAnsi="仿宋" w:eastAsia="仿宋"/>
          <w:color w:val="auto"/>
          <w:highlight w:val="none"/>
        </w:rPr>
        <w:t>对质量控制的效果进行人工检验，分析质量控制的成功率、空报率、漏报率、错报率等，并在分析结果的基础上，调整质控规则或方法。每季度开展分析评估，提出分析结论和策略修改建议。</w:t>
      </w:r>
    </w:p>
    <w:p>
      <w:pPr>
        <w:numPr>
          <w:ilvl w:val="0"/>
          <w:numId w:val="17"/>
        </w:numPr>
        <w:tabs>
          <w:tab w:val="left" w:pos="851"/>
          <w:tab w:val="left" w:pos="1280"/>
        </w:tabs>
        <w:spacing w:line="360" w:lineRule="auto"/>
        <w:ind w:firstLine="420" w:firstLineChars="200"/>
        <w:jc w:val="both"/>
        <w:outlineLvl w:val="3"/>
        <w:rPr>
          <w:rFonts w:ascii="仿宋" w:hAnsi="仿宋" w:eastAsia="仿宋"/>
          <w:color w:val="auto"/>
          <w:highlight w:val="none"/>
        </w:rPr>
      </w:pPr>
      <w:r>
        <w:rPr>
          <w:rFonts w:hint="eastAsia" w:ascii="仿宋" w:hAnsi="仿宋" w:eastAsia="仿宋"/>
          <w:color w:val="auto"/>
          <w:highlight w:val="none"/>
        </w:rPr>
        <w:t>受众用户标签化处理服务</w:t>
      </w:r>
    </w:p>
    <w:p>
      <w:pPr>
        <w:spacing w:line="360" w:lineRule="auto"/>
        <w:ind w:firstLine="420" w:firstLineChars="200"/>
        <w:rPr>
          <w:rFonts w:ascii="仿宋" w:eastAsia="仿宋"/>
          <w:color w:val="auto"/>
          <w:szCs w:val="21"/>
          <w:highlight w:val="none"/>
        </w:rPr>
      </w:pPr>
      <w:r>
        <w:rPr>
          <w:rFonts w:ascii="仿宋" w:eastAsia="仿宋"/>
          <w:color w:val="auto"/>
          <w:szCs w:val="21"/>
          <w:highlight w:val="none"/>
        </w:rPr>
        <w:t>1</w:t>
      </w:r>
      <w:r>
        <w:rPr>
          <w:rFonts w:hint="eastAsia" w:ascii="仿宋" w:eastAsia="仿宋"/>
          <w:color w:val="auto"/>
          <w:szCs w:val="21"/>
          <w:highlight w:val="none"/>
        </w:rPr>
        <w:t>）标签体系编码标准</w:t>
      </w:r>
    </w:p>
    <w:p>
      <w:pPr>
        <w:spacing w:line="360" w:lineRule="auto"/>
        <w:ind w:firstLine="420" w:firstLineChars="200"/>
        <w:rPr>
          <w:rFonts w:ascii="仿宋" w:eastAsia="仿宋"/>
          <w:color w:val="auto"/>
          <w:szCs w:val="21"/>
          <w:highlight w:val="none"/>
        </w:rPr>
      </w:pPr>
      <w:r>
        <w:rPr>
          <w:rFonts w:hint="eastAsia" w:ascii="仿宋" w:eastAsia="仿宋"/>
          <w:color w:val="auto"/>
          <w:szCs w:val="21"/>
          <w:highlight w:val="none"/>
        </w:rPr>
        <w:t>对标签类目和标签值进行编码设计，已标准的形式予以呈现，并实际应用于系统开发中，供突发平台相关系统和各渠道使用。</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2）受众用户信息维护</w:t>
      </w:r>
    </w:p>
    <w:p>
      <w:pPr>
        <w:spacing w:line="360" w:lineRule="auto"/>
        <w:ind w:firstLine="420"/>
        <w:rPr>
          <w:rFonts w:ascii="仿宋" w:hAnsi="仿宋" w:eastAsia="仿宋"/>
          <w:color w:val="auto"/>
          <w:highlight w:val="none"/>
        </w:rPr>
      </w:pPr>
      <w:r>
        <w:rPr>
          <w:rFonts w:hint="eastAsia" w:ascii="仿宋" w:hAnsi="仿宋" w:eastAsia="仿宋"/>
          <w:color w:val="auto"/>
          <w:highlight w:val="none"/>
        </w:rPr>
        <w:t>采用多数据源方式收集用户信息，实现一张表管理，并提供导入、录入、编辑等功能。根据用户情况，定期更新用户信息。一般每年批量更新2次，更新时各单位都会集中对各类受众用户数据进行更新，需要对新数据进行数据整理和治理，对原有用户数据进行合并处理等。</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3）受众用户需求整理</w:t>
      </w:r>
    </w:p>
    <w:p>
      <w:pPr>
        <w:spacing w:line="360" w:lineRule="auto"/>
        <w:ind w:firstLine="420"/>
        <w:rPr>
          <w:rFonts w:ascii="仿宋" w:hAnsi="仿宋" w:eastAsia="仿宋"/>
          <w:color w:val="auto"/>
          <w:highlight w:val="none"/>
        </w:rPr>
      </w:pPr>
      <w:r>
        <w:rPr>
          <w:rFonts w:hint="eastAsia" w:ascii="仿宋" w:hAnsi="仿宋" w:eastAsia="仿宋"/>
          <w:color w:val="auto"/>
          <w:highlight w:val="none"/>
        </w:rPr>
        <w:t>响应用户需求，协助用户修改配置个性化设置，包括接收发布渠道、时间、方式等的设置。</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4）POI联系人数据管理</w:t>
      </w:r>
    </w:p>
    <w:p>
      <w:pPr>
        <w:pStyle w:val="2"/>
        <w:ind w:firstLine="420" w:firstLineChars="200"/>
        <w:jc w:val="left"/>
        <w:rPr>
          <w:rFonts w:ascii="仿宋" w:hAnsi="仿宋" w:eastAsia="仿宋"/>
          <w:bCs w:val="0"/>
          <w:color w:val="auto"/>
          <w:kern w:val="0"/>
          <w:highlight w:val="none"/>
        </w:rPr>
      </w:pPr>
      <w:r>
        <w:rPr>
          <w:rFonts w:hint="eastAsia" w:ascii="仿宋" w:hAnsi="仿宋" w:eastAsia="仿宋"/>
          <w:bCs w:val="0"/>
          <w:color w:val="auto"/>
          <w:kern w:val="0"/>
          <w:highlight w:val="none"/>
        </w:rPr>
        <w:t>实时增量+每周全量方式采集POI数据中的责任人、联系人数据，纳入标签化用户的统一管理，支持对POI责任人数据采用标签形式画像和管理,提供接口供各渠道实现精准靶向发布。</w:t>
      </w:r>
    </w:p>
    <w:p>
      <w:pPr>
        <w:tabs>
          <w:tab w:val="left" w:pos="851"/>
          <w:tab w:val="left" w:pos="1280"/>
        </w:tabs>
        <w:spacing w:line="360" w:lineRule="auto"/>
        <w:ind w:firstLine="422" w:firstLineChars="200"/>
        <w:jc w:val="both"/>
        <w:outlineLvl w:val="2"/>
        <w:rPr>
          <w:rFonts w:ascii="仿宋" w:hAnsi="仿宋" w:eastAsia="仿宋"/>
          <w:b/>
          <w:bCs/>
          <w:color w:val="auto"/>
          <w:highlight w:val="none"/>
        </w:rPr>
      </w:pPr>
      <w:r>
        <w:rPr>
          <w:rFonts w:hint="eastAsia" w:ascii="仿宋" w:hAnsi="仿宋" w:eastAsia="仿宋"/>
          <w:b/>
          <w:bCs/>
          <w:color w:val="auto"/>
          <w:highlight w:val="none"/>
        </w:rPr>
        <w:t>（二）预警信息发布系统运营服务</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（1）系统外部接口监控</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监控与外部系统对接接口的运行情况，包括设备、网络、软件三方面，及时发现故障并与相关部门联系，接受对接系统的报障和意见，并参与、跟进故障排除。常态化监控各网络联通情况、对接接口运行状态和预警信息发布情况；根据报警/报障不定时检查、调试。</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针对各种突发的棘手故障情况，进行快速响应和故障排除，保证预警信息顺畅发出。事后对故障原因进行深度分析，发现存在问题，提出改进意见，进行漏洞补救等。</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（2）系统健康评估</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根据采集到的系统软硬件监控日志和运行情况，分析系统的健康状况，评估可能发生的故障风险，及应对意见等。</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（3）预警信息发布模板的制作与审核</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定时对预警信息发布模板的修改/新增请求进行审核，主要是对其内容通配模板、发布及审批流程、所选渠道适应性等进行审核；必要时（如新增发布渠道时），对所有信息模板进行统一制作、修改；不定期调整默认模板的内容等。</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4</w:t>
      </w:r>
      <w:r>
        <w:rPr>
          <w:rFonts w:hint="eastAsia" w:ascii="仿宋" w:hAnsi="仿宋" w:eastAsia="仿宋"/>
          <w:color w:val="auto"/>
          <w:highlight w:val="none"/>
        </w:rPr>
        <w:t>）预警信息发布责任单位信息维护与管理</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每个工作日定时处理各地对预警信息发布责任单位的信息提出的增、删、改等请求，以及管理员账号和其他账号的相应操作和用户密码的重置等。</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（5）预警类型配置管理</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对新增预警类型的请求进行审批并设置代码，每工作日收集申请，每周整理、审批、设置代码、分配给申请单位、报备中国局，每个月根据历史灾害发生情况统计和灾害形成机理分析，对本月份不可能发生的预警类型进行调整。</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（6）系统用户角色及权限配置管理</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根据业务需要，定期对系统中的用户角色进行维护，以及对不同角色的权限进行配置管理。每年组织1次全省需求收集、角色梳理和权限调整等。根据需求对应系统功能，分析角色设计和权限赋予方案，按照方案在测试系统中进行配置，必要时进行少量系统开发，测试、联调、割接上线。</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（7）重大活动、应急演练支持</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对重大活动、参观和应急演练等提供脚本编制服务，组织人员、提供场地和设备进行练习和实际演练，对参观提供讲解和常规演示服务。</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（8）全网短信发布支撑</w:t>
      </w:r>
    </w:p>
    <w:p>
      <w:pPr>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联系三大运营商发布全网短信，并通过网站、微博、微信、客户端、户外显示屏大喇叭等渠道向公众发布。发布前，对接短信的申请发布单位，以及三大运营商，发布时，统筹协调全网短信发布的各个业务环节，发布完成后，收集发布数据，进行统计、汇报、归档，制作总结报告等。</w:t>
      </w:r>
    </w:p>
    <w:p>
      <w:pPr>
        <w:spacing w:line="360" w:lineRule="auto"/>
        <w:ind w:firstLine="420" w:firstLineChars="200"/>
        <w:outlineLvl w:val="3"/>
        <w:rPr>
          <w:rFonts w:ascii="仿宋" w:hAnsi="仿宋" w:eastAsia="仿宋"/>
          <w:color w:val="auto"/>
          <w:highlight w:val="none"/>
        </w:rPr>
      </w:pPr>
      <w:r>
        <w:rPr>
          <w:rFonts w:hint="eastAsia" w:ascii="仿宋" w:hAnsi="仿宋" w:eastAsia="仿宋"/>
          <w:color w:val="auto"/>
          <w:highlight w:val="none"/>
        </w:rPr>
        <w:t>（9）发布渠道及舆情监控</w:t>
      </w:r>
    </w:p>
    <w:p>
      <w:pPr>
        <w:spacing w:line="360" w:lineRule="auto"/>
        <w:ind w:firstLine="420" w:firstLineChars="200"/>
        <w:rPr>
          <w:color w:val="auto"/>
          <w:highlight w:val="none"/>
        </w:rPr>
      </w:pPr>
      <w:r>
        <w:rPr>
          <w:rFonts w:ascii="仿宋" w:hAnsi="仿宋" w:eastAsia="仿宋"/>
          <w:color w:val="auto"/>
          <w:highlight w:val="none"/>
        </w:rPr>
        <w:t>通过PC和手机实时监控系统网络状态和渠道的信息发布情况、每小时巡查所有渠道在线状态；接听热线电话，关注微博、微信上的粉丝留言，响应舆情公众投诉和意见，并将投诉内容和意见进行反馈、跟进直至问题解决；发现系统问题和错误，并发起任务跟踪工单，反馈处理意见等。</w:t>
      </w:r>
      <w:r>
        <w:rPr>
          <w:rFonts w:hint="eastAsia" w:ascii="仿宋" w:hAnsi="仿宋" w:eastAsia="仿宋"/>
          <w:color w:val="auto"/>
          <w:highlight w:val="none"/>
        </w:rPr>
        <w:t>人员需求：计算机、软件、电子、通信类专业大专以上学历，熟悉突发系统及渠道运行原理、机制和相关操作；根据业务要求，能完成简单的报表制作、工作总结和手册编写。专岗提供7*24小时服务，3班倒5班配。</w:t>
      </w:r>
    </w:p>
    <w:p>
      <w:pPr>
        <w:tabs>
          <w:tab w:val="left" w:pos="851"/>
          <w:tab w:val="left" w:pos="1280"/>
        </w:tabs>
        <w:spacing w:line="360" w:lineRule="auto"/>
        <w:ind w:firstLine="422" w:firstLineChars="200"/>
        <w:jc w:val="both"/>
        <w:outlineLvl w:val="2"/>
        <w:rPr>
          <w:rFonts w:ascii="仿宋" w:hAnsi="仿宋" w:eastAsia="仿宋"/>
          <w:b/>
          <w:bCs/>
          <w:color w:val="auto"/>
          <w:highlight w:val="none"/>
        </w:rPr>
      </w:pPr>
      <w:r>
        <w:rPr>
          <w:rFonts w:hint="eastAsia" w:ascii="仿宋" w:hAnsi="仿宋" w:eastAsia="仿宋"/>
          <w:b/>
          <w:bCs/>
          <w:color w:val="auto"/>
          <w:highlight w:val="none"/>
        </w:rPr>
        <w:t>（三）报灾系统运营服务</w:t>
      </w:r>
    </w:p>
    <w:p>
      <w:pPr>
        <w:spacing w:line="360" w:lineRule="auto"/>
        <w:ind w:firstLine="420" w:firstLineChars="200"/>
        <w:outlineLvl w:val="3"/>
        <w:rPr>
          <w:rFonts w:ascii="仿宋" w:hAnsi="仿宋" w:eastAsia="仿宋" w:cs="宋体"/>
          <w:color w:val="auto"/>
          <w:kern w:val="2"/>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s="宋体"/>
          <w:color w:val="auto"/>
          <w:kern w:val="2"/>
          <w:highlight w:val="none"/>
        </w:rPr>
        <w:t>灾情实况数据审核</w:t>
      </w:r>
    </w:p>
    <w:p>
      <w:pPr>
        <w:autoSpaceDE/>
        <w:autoSpaceDN/>
        <w:adjustRightInd/>
        <w:spacing w:line="360" w:lineRule="auto"/>
        <w:ind w:firstLine="420" w:firstLineChars="200"/>
        <w:jc w:val="both"/>
        <w:rPr>
          <w:rFonts w:ascii="仿宋" w:hAnsi="仿宋" w:eastAsia="仿宋" w:cs="宋体"/>
          <w:color w:val="auto"/>
          <w:kern w:val="2"/>
          <w:highlight w:val="none"/>
        </w:rPr>
      </w:pPr>
      <w:r>
        <w:rPr>
          <w:rFonts w:ascii="仿宋" w:hAnsi="仿宋" w:eastAsia="仿宋" w:cs="宋体"/>
          <w:color w:val="auto"/>
          <w:kern w:val="2"/>
          <w:highlight w:val="none"/>
        </w:rPr>
        <w:t>对各渠道上报的灾情实况进行人工审核，及时发现有重大影响的灾情。</w:t>
      </w:r>
      <w:r>
        <w:rPr>
          <w:rFonts w:hint="eastAsia" w:ascii="仿宋" w:hAnsi="仿宋" w:eastAsia="仿宋" w:cs="宋体"/>
          <w:color w:val="auto"/>
          <w:kern w:val="2"/>
          <w:highlight w:val="none"/>
        </w:rPr>
        <w:t>1个专岗2</w:t>
      </w:r>
      <w:r>
        <w:rPr>
          <w:rFonts w:ascii="仿宋" w:hAnsi="仿宋" w:eastAsia="仿宋" w:cs="宋体"/>
          <w:color w:val="auto"/>
          <w:kern w:val="2"/>
          <w:highlight w:val="none"/>
        </w:rPr>
        <w:t>4</w:t>
      </w:r>
      <w:r>
        <w:rPr>
          <w:rFonts w:hint="eastAsia" w:ascii="仿宋" w:hAnsi="仿宋" w:eastAsia="仿宋" w:cs="宋体"/>
          <w:color w:val="auto"/>
          <w:kern w:val="2"/>
          <w:highlight w:val="none"/>
        </w:rPr>
        <w:t>小时服务，</w:t>
      </w:r>
      <w:r>
        <w:rPr>
          <w:rFonts w:hint="eastAsia" w:ascii="仿宋" w:hAnsi="仿宋" w:eastAsia="仿宋"/>
          <w:color w:val="auto"/>
          <w:highlight w:val="none"/>
        </w:rPr>
        <w:t>3班倒5班配。</w:t>
      </w:r>
    </w:p>
    <w:p>
      <w:pPr>
        <w:spacing w:line="360" w:lineRule="auto"/>
        <w:ind w:firstLine="420" w:firstLineChars="200"/>
        <w:outlineLvl w:val="3"/>
        <w:rPr>
          <w:rFonts w:ascii="仿宋" w:hAnsi="仿宋" w:eastAsia="仿宋" w:cs="宋体"/>
          <w:color w:val="auto"/>
          <w:kern w:val="2"/>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w:t>
      </w:r>
      <w:r>
        <w:rPr>
          <w:rFonts w:ascii="仿宋" w:hAnsi="仿宋" w:eastAsia="仿宋" w:cs="宋体"/>
          <w:color w:val="auto"/>
          <w:kern w:val="2"/>
          <w:highlight w:val="none"/>
        </w:rPr>
        <w:t>灾情分析</w:t>
      </w:r>
    </w:p>
    <w:p>
      <w:pPr>
        <w:autoSpaceDE/>
        <w:autoSpaceDN/>
        <w:adjustRightInd/>
        <w:spacing w:line="360" w:lineRule="auto"/>
        <w:ind w:firstLine="420" w:firstLineChars="200"/>
        <w:jc w:val="both"/>
        <w:rPr>
          <w:rFonts w:ascii="仿宋" w:hAnsi="仿宋" w:eastAsia="仿宋" w:cs="宋体"/>
          <w:color w:val="auto"/>
          <w:kern w:val="2"/>
          <w:highlight w:val="none"/>
        </w:rPr>
      </w:pPr>
      <w:r>
        <w:rPr>
          <w:rFonts w:ascii="仿宋" w:hAnsi="仿宋" w:eastAsia="仿宋" w:cs="宋体"/>
          <w:color w:val="auto"/>
          <w:kern w:val="2"/>
          <w:highlight w:val="none"/>
        </w:rPr>
        <w:t>发现灾情后，结合天气实况和预报，进行有针对性地事件发展风险、影响和灾损分析，提出响应方案和辅助决策意见。</w:t>
      </w:r>
    </w:p>
    <w:p>
      <w:pPr>
        <w:spacing w:line="360" w:lineRule="auto"/>
        <w:ind w:firstLine="420" w:firstLineChars="200"/>
        <w:outlineLvl w:val="3"/>
        <w:rPr>
          <w:rFonts w:ascii="仿宋" w:hAnsi="仿宋" w:eastAsia="仿宋" w:cs="宋体"/>
          <w:color w:val="auto"/>
          <w:kern w:val="2"/>
          <w:highlight w:val="none"/>
        </w:rPr>
      </w:pPr>
      <w:r>
        <w:rPr>
          <w:rFonts w:hint="eastAsia" w:ascii="仿宋" w:hAnsi="仿宋" w:eastAsia="仿宋"/>
          <w:color w:val="auto"/>
          <w:highlight w:val="none"/>
        </w:rPr>
        <w:t>（</w:t>
      </w:r>
      <w:r>
        <w:rPr>
          <w:rFonts w:ascii="仿宋" w:hAnsi="仿宋" w:eastAsia="仿宋"/>
          <w:color w:val="auto"/>
          <w:highlight w:val="none"/>
        </w:rPr>
        <w:t>3</w:t>
      </w:r>
      <w:r>
        <w:rPr>
          <w:rFonts w:hint="eastAsia" w:ascii="仿宋" w:hAnsi="仿宋" w:eastAsia="仿宋"/>
          <w:color w:val="auto"/>
          <w:highlight w:val="none"/>
        </w:rPr>
        <w:t>）</w:t>
      </w:r>
      <w:r>
        <w:rPr>
          <w:rFonts w:ascii="仿宋" w:hAnsi="仿宋" w:eastAsia="仿宋" w:cs="宋体"/>
          <w:color w:val="auto"/>
          <w:kern w:val="2"/>
          <w:highlight w:val="none"/>
        </w:rPr>
        <w:t>灾情报告制作</w:t>
      </w:r>
    </w:p>
    <w:p>
      <w:pPr>
        <w:autoSpaceDE/>
        <w:autoSpaceDN/>
        <w:adjustRightInd/>
        <w:spacing w:line="360" w:lineRule="auto"/>
        <w:ind w:firstLine="420" w:firstLineChars="200"/>
        <w:jc w:val="both"/>
        <w:rPr>
          <w:rFonts w:ascii="仿宋" w:hAnsi="仿宋" w:eastAsia="仿宋" w:cs="宋体"/>
          <w:color w:val="auto"/>
          <w:kern w:val="2"/>
          <w:highlight w:val="none"/>
        </w:rPr>
      </w:pPr>
      <w:r>
        <w:rPr>
          <w:rFonts w:ascii="仿宋" w:hAnsi="仿宋" w:eastAsia="仿宋" w:cs="宋体"/>
          <w:color w:val="auto"/>
          <w:kern w:val="2"/>
          <w:highlight w:val="none"/>
        </w:rPr>
        <w:t>在突发事件处置完成后，收集整理响应过程的各类数据，制作灾情报告。</w:t>
      </w:r>
    </w:p>
    <w:p>
      <w:pPr>
        <w:spacing w:line="360" w:lineRule="auto"/>
        <w:ind w:firstLine="420" w:firstLineChars="200"/>
        <w:outlineLvl w:val="3"/>
        <w:rPr>
          <w:rFonts w:ascii="仿宋" w:hAnsi="仿宋" w:eastAsia="仿宋" w:cs="宋体"/>
          <w:color w:val="auto"/>
          <w:kern w:val="2"/>
          <w:highlight w:val="none"/>
        </w:rPr>
      </w:pPr>
      <w:r>
        <w:rPr>
          <w:rFonts w:hint="eastAsia" w:ascii="仿宋" w:hAnsi="仿宋" w:eastAsia="仿宋"/>
          <w:color w:val="auto"/>
          <w:highlight w:val="none"/>
        </w:rPr>
        <w:t>（</w:t>
      </w:r>
      <w:r>
        <w:rPr>
          <w:rFonts w:ascii="仿宋" w:hAnsi="仿宋" w:eastAsia="仿宋"/>
          <w:color w:val="auto"/>
          <w:highlight w:val="none"/>
        </w:rPr>
        <w:t>4</w:t>
      </w:r>
      <w:r>
        <w:rPr>
          <w:rFonts w:hint="eastAsia" w:ascii="仿宋" w:hAnsi="仿宋" w:eastAsia="仿宋"/>
          <w:color w:val="auto"/>
          <w:highlight w:val="none"/>
        </w:rPr>
        <w:t>）</w:t>
      </w:r>
      <w:r>
        <w:rPr>
          <w:rFonts w:ascii="仿宋" w:hAnsi="仿宋" w:eastAsia="仿宋" w:cs="宋体"/>
          <w:color w:val="auto"/>
          <w:kern w:val="2"/>
          <w:highlight w:val="none"/>
        </w:rPr>
        <w:t>灾情数据及报告上报服务</w:t>
      </w:r>
    </w:p>
    <w:p>
      <w:pPr>
        <w:autoSpaceDE/>
        <w:autoSpaceDN/>
        <w:adjustRightInd/>
        <w:spacing w:line="360" w:lineRule="auto"/>
        <w:ind w:firstLine="420" w:firstLineChars="200"/>
        <w:jc w:val="both"/>
        <w:rPr>
          <w:rFonts w:ascii="仿宋" w:hAnsi="仿宋" w:eastAsia="仿宋" w:cs="宋体"/>
          <w:color w:val="auto"/>
          <w:kern w:val="2"/>
          <w:highlight w:val="none"/>
        </w:rPr>
      </w:pPr>
      <w:r>
        <w:rPr>
          <w:rFonts w:ascii="仿宋" w:hAnsi="仿宋" w:eastAsia="仿宋" w:cs="宋体"/>
          <w:color w:val="auto"/>
          <w:kern w:val="2"/>
          <w:highlight w:val="none"/>
        </w:rPr>
        <w:t>对接上级部门及相关单位，充分沟通理解提取数据的用途和要求，针对要求提取典型数据，开展分析，得出结论，提交并根据反馈意见进行补充或修正。</w:t>
      </w:r>
    </w:p>
    <w:p>
      <w:pPr>
        <w:pStyle w:val="28"/>
        <w:rPr>
          <w:rFonts w:ascii="仿宋" w:hAnsi="仿宋" w:eastAsia="仿宋" w:cs="宋体"/>
          <w:color w:val="auto"/>
          <w:sz w:val="24"/>
          <w:szCs w:val="24"/>
          <w:highlight w:val="none"/>
        </w:rPr>
      </w:pPr>
    </w:p>
    <w:p>
      <w:pPr>
        <w:autoSpaceDE/>
        <w:autoSpaceDN/>
        <w:spacing w:line="360" w:lineRule="auto"/>
        <w:jc w:val="both"/>
        <w:outlineLvl w:val="0"/>
        <w:rPr>
          <w:rFonts w:ascii="仿宋" w:hAnsi="仿宋" w:eastAsia="仿宋" w:cs="宋体"/>
          <w:b/>
          <w:bCs/>
          <w:color w:val="auto"/>
          <w:kern w:val="2"/>
          <w:highlight w:val="none"/>
        </w:rPr>
      </w:pPr>
      <w:r>
        <w:rPr>
          <w:rFonts w:hint="eastAsia" w:ascii="仿宋" w:hAnsi="仿宋" w:eastAsia="仿宋" w:cs="宋体"/>
          <w:b/>
          <w:bCs/>
          <w:color w:val="auto"/>
          <w:kern w:val="2"/>
          <w:highlight w:val="none"/>
        </w:rPr>
        <w:t>三、</w:t>
      </w:r>
      <w:bookmarkStart w:id="18" w:name="_Toc50106353"/>
      <w:r>
        <w:rPr>
          <w:rFonts w:hint="eastAsia" w:ascii="仿宋" w:hAnsi="仿宋" w:eastAsia="仿宋" w:cs="宋体"/>
          <w:b/>
          <w:bCs/>
          <w:color w:val="auto"/>
          <w:kern w:val="2"/>
          <w:highlight w:val="none"/>
        </w:rPr>
        <w:t>进度要求</w:t>
      </w:r>
      <w:bookmarkEnd w:id="18"/>
    </w:p>
    <w:p>
      <w:pPr>
        <w:snapToGrid w:val="0"/>
        <w:spacing w:line="360" w:lineRule="auto"/>
        <w:ind w:firstLine="420" w:firstLineChars="200"/>
        <w:rPr>
          <w:rFonts w:ascii="仿宋" w:hAnsi="仿宋" w:eastAsia="仿宋"/>
          <w:color w:val="auto"/>
          <w:highlight w:val="none"/>
        </w:rPr>
      </w:pPr>
      <w:bookmarkStart w:id="19" w:name="_Hlk127174377"/>
      <w:r>
        <w:rPr>
          <w:rFonts w:hint="eastAsia" w:ascii="仿宋" w:hAnsi="仿宋" w:eastAsia="仿宋"/>
          <w:color w:val="auto"/>
          <w:highlight w:val="none"/>
        </w:rPr>
        <w:t>本项目</w:t>
      </w:r>
      <w:r>
        <w:rPr>
          <w:rFonts w:ascii="仿宋" w:hAnsi="仿宋" w:eastAsia="仿宋"/>
          <w:color w:val="auto"/>
          <w:highlight w:val="none"/>
        </w:rPr>
        <w:t>各阶段任务</w:t>
      </w:r>
      <w:r>
        <w:rPr>
          <w:rFonts w:hint="eastAsia" w:ascii="仿宋" w:hAnsi="仿宋" w:eastAsia="仿宋"/>
          <w:color w:val="auto"/>
          <w:highlight w:val="none"/>
        </w:rPr>
        <w:t>整体</w:t>
      </w:r>
      <w:r>
        <w:rPr>
          <w:rFonts w:ascii="仿宋" w:hAnsi="仿宋" w:eastAsia="仿宋"/>
          <w:color w:val="auto"/>
          <w:highlight w:val="none"/>
        </w:rPr>
        <w:t>进度初步分解如下（具体进度计划将与最终中标人进行协商调整）：</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（1）在采购代理机构发出中标通知书之日起的30个工作日内，采购人和中标人签订合同，项目启动。</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（2）开展为期一年期的报灾系统运营服务和三年期的预警信息采集、发布与质控和预警信息发布系统运营服务，在每一个运营服务年度结束时，组织对指定运营服务的质量评估；运营服务到期后开展验收。</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（3）项目完成结算后申请最终支付。</w:t>
      </w:r>
    </w:p>
    <w:bookmarkEnd w:id="19"/>
    <w:p>
      <w:pPr>
        <w:rPr>
          <w:rFonts w:ascii="仿宋" w:hAnsi="仿宋" w:eastAsia="仿宋"/>
          <w:color w:val="auto"/>
          <w:highlight w:val="none"/>
        </w:rPr>
      </w:pPr>
    </w:p>
    <w:p>
      <w:pPr>
        <w:snapToGrid w:val="0"/>
        <w:spacing w:line="360" w:lineRule="auto"/>
        <w:outlineLvl w:val="0"/>
        <w:rPr>
          <w:rFonts w:ascii="仿宋" w:hAnsi="仿宋" w:eastAsia="仿宋"/>
          <w:b/>
          <w:color w:val="auto"/>
          <w:highlight w:val="none"/>
        </w:rPr>
      </w:pPr>
      <w:bookmarkStart w:id="20" w:name="_Toc50106354"/>
      <w:r>
        <w:rPr>
          <w:rFonts w:hint="eastAsia" w:ascii="仿宋" w:hAnsi="仿宋" w:eastAsia="仿宋"/>
          <w:b/>
          <w:color w:val="auto"/>
          <w:highlight w:val="none"/>
        </w:rPr>
        <w:t>四、实施要求</w:t>
      </w:r>
      <w:bookmarkEnd w:id="20"/>
    </w:p>
    <w:p>
      <w:pPr>
        <w:snapToGrid w:val="0"/>
        <w:spacing w:line="360" w:lineRule="auto"/>
        <w:ind w:firstLine="420" w:firstLineChars="200"/>
        <w:rPr>
          <w:rFonts w:ascii="仿宋" w:hAnsi="仿宋" w:eastAsia="仿宋"/>
          <w:color w:val="auto"/>
          <w:highlight w:val="none"/>
        </w:rPr>
      </w:pPr>
      <w:bookmarkStart w:id="21" w:name="_Hlk127174205"/>
      <w:r>
        <w:rPr>
          <w:rFonts w:hint="eastAsia" w:ascii="仿宋" w:hAnsi="仿宋" w:eastAsia="仿宋"/>
          <w:color w:val="auto"/>
          <w:highlight w:val="none"/>
        </w:rPr>
        <w:t>1.项目整体要求：</w:t>
      </w:r>
    </w:p>
    <w:p>
      <w:pPr>
        <w:snapToGrid w:val="0"/>
        <w:spacing w:line="360" w:lineRule="auto"/>
        <w:ind w:firstLine="420" w:firstLineChars="200"/>
        <w:rPr>
          <w:rFonts w:ascii="仿宋" w:hAnsi="仿宋" w:eastAsia="仿宋"/>
          <w:color w:val="auto"/>
          <w:highlight w:val="none"/>
        </w:rPr>
      </w:pPr>
      <w:r>
        <w:rPr>
          <w:rFonts w:ascii="仿宋" w:hAnsi="仿宋" w:eastAsia="仿宋"/>
          <w:color w:val="auto"/>
          <w:highlight w:val="none"/>
        </w:rPr>
        <w:t>为有效进行资源控制、进度控制、质量控制，确保项目工程顺利实施，项目组织管理由</w:t>
      </w:r>
      <w:r>
        <w:rPr>
          <w:rFonts w:hint="eastAsia" w:ascii="仿宋" w:hAnsi="仿宋" w:eastAsia="仿宋"/>
          <w:color w:val="auto"/>
          <w:highlight w:val="none"/>
        </w:rPr>
        <w:t>采购人</w:t>
      </w:r>
      <w:r>
        <w:rPr>
          <w:rFonts w:ascii="仿宋" w:hAnsi="仿宋" w:eastAsia="仿宋"/>
          <w:color w:val="auto"/>
          <w:highlight w:val="none"/>
        </w:rPr>
        <w:t>和中标</w:t>
      </w:r>
      <w:r>
        <w:rPr>
          <w:rFonts w:hint="eastAsia" w:ascii="仿宋" w:hAnsi="仿宋" w:eastAsia="仿宋"/>
          <w:color w:val="auto"/>
          <w:highlight w:val="none"/>
        </w:rPr>
        <w:t>人</w:t>
      </w:r>
      <w:r>
        <w:rPr>
          <w:rFonts w:ascii="仿宋" w:hAnsi="仿宋" w:eastAsia="仿宋"/>
          <w:color w:val="auto"/>
          <w:highlight w:val="none"/>
        </w:rPr>
        <w:t>共同组成，明确各方分工，按照项目管理的原则进行实施，建立一套科学、系统、规范和有效的运作制度，例如会议制度、沟通协调。</w:t>
      </w:r>
    </w:p>
    <w:p>
      <w:pPr>
        <w:snapToGrid w:val="0"/>
        <w:spacing w:line="360" w:lineRule="auto"/>
        <w:ind w:firstLine="420" w:firstLineChars="200"/>
        <w:rPr>
          <w:rFonts w:ascii="仿宋" w:hAnsi="仿宋" w:eastAsia="仿宋"/>
          <w:color w:val="auto"/>
          <w:highlight w:val="none"/>
        </w:rPr>
      </w:pPr>
      <w:r>
        <w:rPr>
          <w:rFonts w:ascii="仿宋" w:hAnsi="仿宋" w:eastAsia="仿宋"/>
          <w:color w:val="auto"/>
          <w:highlight w:val="none"/>
        </w:rPr>
        <w:t>项目组织实施中，详细描述组织管理、工作进度管理、人员配置、质量控制、保证措施等内容。</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2.项目文档管理要求:</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 xml:space="preserve">（1）文档是过程的踪迹，项目文档管理严格按照相关要求，做到及时、真实、符合标准。 </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（2）必须定期（月、年）提交运营报告，包含各类系统等运营报告。主要包括：硬件及基础软件系统运行与运营总结、系统运行与运营总结、系统应用和运行与运营建议。</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3.项目质量管理要求:</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 xml:space="preserve">（1）遵守相关规范要求，针对招标项目实施过程及交付结果进行质量规划、管理、控制。 </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（2）制定详细的质量保证措施。项目风险管理要求:投标人应充分认识到项目风险管理的重要性，在投标文件中必须识别分析项目中的各类风险因素，并提出相应的对策。</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4.项目保密要求:</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 xml:space="preserve">（1）中标人必须采取措施对本项目实施过程中的数据、源代码、技术文档等资料保密。否则，由于中标人过错导致的上述资料泄密的，中标人必须承担一切责任。 </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 xml:space="preserve">（2）项目完成后，采购人、中标人双方均有责任对本项目的技术保密承担责任：未经采购人事先书面同意，中标人不得将由采购人为本项目提供的条文、规格、计划、图纸、模型、样品或资料等提供给与本项目无关的任何第三方，不得将其用于履行本项目之外的其它用途。 </w:t>
      </w:r>
    </w:p>
    <w:p>
      <w:pPr>
        <w:snapToGrid w:val="0"/>
        <w:spacing w:line="360" w:lineRule="auto"/>
        <w:ind w:firstLine="420" w:firstLineChars="200"/>
        <w:rPr>
          <w:rFonts w:ascii="仿宋" w:hAnsi="仿宋" w:eastAsia="仿宋"/>
          <w:color w:val="auto"/>
          <w:highlight w:val="none"/>
        </w:rPr>
      </w:pPr>
      <w:r>
        <w:rPr>
          <w:rFonts w:hint="eastAsia" w:ascii="仿宋" w:hAnsi="仿宋" w:eastAsia="仿宋"/>
          <w:color w:val="auto"/>
          <w:highlight w:val="none"/>
        </w:rPr>
        <w:t>（3）中标人针对本项目所派出的所有服务人员，须签订安全保密责任书。</w:t>
      </w:r>
    </w:p>
    <w:bookmarkEnd w:id="21"/>
    <w:p>
      <w:pPr>
        <w:pStyle w:val="28"/>
        <w:rPr>
          <w:rFonts w:ascii="仿宋" w:hAnsi="仿宋" w:eastAsia="仿宋"/>
          <w:color w:val="auto"/>
          <w:highlight w:val="none"/>
        </w:rPr>
      </w:pPr>
    </w:p>
    <w:p>
      <w:pPr>
        <w:numPr>
          <w:ilvl w:val="0"/>
          <w:numId w:val="18"/>
        </w:numPr>
        <w:spacing w:line="360" w:lineRule="auto"/>
        <w:outlineLvl w:val="0"/>
        <w:rPr>
          <w:rFonts w:ascii="仿宋" w:hAnsi="仿宋" w:eastAsia="仿宋"/>
          <w:b/>
          <w:color w:val="auto"/>
          <w:highlight w:val="none"/>
        </w:rPr>
      </w:pPr>
      <w:r>
        <w:rPr>
          <w:rFonts w:hint="eastAsia" w:ascii="仿宋" w:hAnsi="仿宋" w:eastAsia="仿宋"/>
          <w:b/>
          <w:color w:val="auto"/>
          <w:highlight w:val="none"/>
        </w:rPr>
        <w:t>成果交付要求:</w:t>
      </w:r>
      <w:r>
        <w:rPr>
          <w:rFonts w:hint="eastAsia" w:ascii="仿宋" w:hAnsi="仿宋" w:eastAsia="仿宋" w:cs="宋体"/>
          <w:b/>
          <w:bCs/>
          <w:color w:val="auto"/>
          <w:kern w:val="2"/>
          <w:highlight w:val="none"/>
        </w:rPr>
        <w:t xml:space="preserve"> </w:t>
      </w:r>
    </w:p>
    <w:p>
      <w:pPr>
        <w:snapToGrid w:val="0"/>
        <w:spacing w:line="360" w:lineRule="auto"/>
        <w:ind w:firstLine="420" w:firstLineChars="200"/>
        <w:rPr>
          <w:rFonts w:ascii="仿宋" w:hAnsi="仿宋" w:eastAsia="仿宋"/>
          <w:color w:val="auto"/>
          <w:szCs w:val="21"/>
          <w:highlight w:val="none"/>
        </w:rPr>
      </w:pPr>
      <w:bookmarkStart w:id="22" w:name="_Hlk127174099"/>
      <w:r>
        <w:rPr>
          <w:rFonts w:hint="eastAsia" w:ascii="仿宋" w:hAnsi="仿宋" w:eastAsia="仿宋"/>
          <w:color w:val="auto"/>
          <w:szCs w:val="21"/>
          <w:highlight w:val="none"/>
        </w:rPr>
        <w:t>整个项目要求包括但不仅限于以下输出物：</w:t>
      </w:r>
    </w:p>
    <w:p>
      <w:pPr>
        <w:pStyle w:val="169"/>
        <w:snapToGrid w:val="0"/>
        <w:spacing w:line="360" w:lineRule="auto"/>
        <w:ind w:left="431" w:firstLine="0" w:firstLineChars="0"/>
        <w:rPr>
          <w:rFonts w:ascii="仿宋" w:hAnsi="仿宋" w:eastAsia="仿宋"/>
          <w:color w:val="auto"/>
          <w:sz w:val="21"/>
          <w:szCs w:val="21"/>
          <w:highlight w:val="none"/>
        </w:rPr>
      </w:pPr>
      <w:r>
        <w:rPr>
          <w:rFonts w:hint="eastAsia" w:ascii="仿宋" w:hAnsi="仿宋" w:eastAsia="仿宋"/>
          <w:color w:val="auto"/>
          <w:sz w:val="21"/>
          <w:szCs w:val="21"/>
          <w:highlight w:val="none"/>
        </w:rPr>
        <w:t>（1）每月提交1份正式运营报告。</w:t>
      </w:r>
    </w:p>
    <w:p>
      <w:pPr>
        <w:pStyle w:val="169"/>
        <w:snapToGrid w:val="0"/>
        <w:spacing w:line="360" w:lineRule="auto"/>
        <w:ind w:left="431" w:firstLine="0" w:firstLineChars="0"/>
        <w:rPr>
          <w:rFonts w:ascii="仿宋" w:hAnsi="仿宋" w:eastAsia="仿宋"/>
          <w:color w:val="auto"/>
          <w:sz w:val="21"/>
          <w:szCs w:val="21"/>
          <w:highlight w:val="none"/>
        </w:rPr>
      </w:pPr>
      <w:r>
        <w:rPr>
          <w:rFonts w:hint="eastAsia" w:ascii="仿宋" w:hAnsi="仿宋" w:eastAsia="仿宋"/>
          <w:color w:val="auto"/>
          <w:sz w:val="21"/>
          <w:szCs w:val="21"/>
          <w:highlight w:val="none"/>
        </w:rPr>
        <w:t>（</w:t>
      </w:r>
      <w:r>
        <w:rPr>
          <w:rFonts w:ascii="仿宋" w:hAnsi="仿宋" w:eastAsia="仿宋"/>
          <w:color w:val="auto"/>
          <w:sz w:val="21"/>
          <w:szCs w:val="21"/>
          <w:highlight w:val="none"/>
        </w:rPr>
        <w:t>2</w:t>
      </w:r>
      <w:r>
        <w:rPr>
          <w:rFonts w:hint="eastAsia" w:ascii="仿宋" w:hAnsi="仿宋" w:eastAsia="仿宋"/>
          <w:color w:val="auto"/>
          <w:sz w:val="21"/>
          <w:szCs w:val="21"/>
          <w:highlight w:val="none"/>
        </w:rPr>
        <w:t>）完整的运营资料。</w:t>
      </w:r>
    </w:p>
    <w:p>
      <w:pPr>
        <w:pStyle w:val="169"/>
        <w:snapToGrid w:val="0"/>
        <w:spacing w:line="360" w:lineRule="auto"/>
        <w:ind w:left="431" w:firstLine="0" w:firstLineChars="0"/>
        <w:rPr>
          <w:rFonts w:ascii="仿宋" w:hAnsi="仿宋" w:eastAsia="仿宋"/>
          <w:color w:val="auto"/>
          <w:sz w:val="21"/>
          <w:szCs w:val="21"/>
          <w:highlight w:val="none"/>
        </w:rPr>
      </w:pPr>
      <w:r>
        <w:rPr>
          <w:rFonts w:hint="eastAsia" w:ascii="仿宋" w:hAnsi="仿宋" w:eastAsia="仿宋"/>
          <w:color w:val="auto"/>
          <w:sz w:val="21"/>
          <w:szCs w:val="21"/>
          <w:highlight w:val="none"/>
        </w:rPr>
        <w:t>（</w:t>
      </w:r>
      <w:r>
        <w:rPr>
          <w:rFonts w:ascii="仿宋" w:hAnsi="仿宋" w:eastAsia="仿宋"/>
          <w:color w:val="auto"/>
          <w:sz w:val="21"/>
          <w:szCs w:val="21"/>
          <w:highlight w:val="none"/>
        </w:rPr>
        <w:t>3</w:t>
      </w:r>
      <w:r>
        <w:rPr>
          <w:rFonts w:hint="eastAsia" w:ascii="仿宋" w:hAnsi="仿宋" w:eastAsia="仿宋"/>
          <w:color w:val="auto"/>
          <w:sz w:val="21"/>
          <w:szCs w:val="21"/>
          <w:highlight w:val="none"/>
        </w:rPr>
        <w:t>）项目验收相关资料、报告等。</w:t>
      </w:r>
    </w:p>
    <w:bookmarkEnd w:id="22"/>
    <w:p>
      <w:pPr>
        <w:numPr>
          <w:ilvl w:val="0"/>
          <w:numId w:val="18"/>
        </w:numPr>
        <w:spacing w:line="360" w:lineRule="auto"/>
        <w:outlineLvl w:val="0"/>
        <w:rPr>
          <w:rFonts w:ascii="仿宋" w:hAnsi="仿宋" w:eastAsia="仿宋"/>
          <w:color w:val="auto"/>
          <w:highlight w:val="none"/>
        </w:rPr>
      </w:pPr>
      <w:r>
        <w:rPr>
          <w:rFonts w:hint="eastAsia" w:ascii="仿宋" w:hAnsi="仿宋" w:eastAsia="仿宋"/>
          <w:b/>
          <w:bCs/>
          <w:color w:val="auto"/>
          <w:highlight w:val="none"/>
        </w:rPr>
        <w:t>服务要求</w:t>
      </w:r>
    </w:p>
    <w:p>
      <w:pPr>
        <w:pStyle w:val="28"/>
        <w:spacing w:line="360" w:lineRule="auto"/>
        <w:ind w:left="421"/>
        <w:rPr>
          <w:rFonts w:ascii="仿宋" w:hAnsi="仿宋" w:eastAsia="仿宋"/>
          <w:color w:val="auto"/>
          <w:kern w:val="0"/>
          <w:szCs w:val="24"/>
          <w:highlight w:val="none"/>
        </w:rPr>
      </w:pPr>
      <w:bookmarkStart w:id="23" w:name="_Hlk127174149"/>
      <w:r>
        <w:rPr>
          <w:rFonts w:hint="eastAsia" w:ascii="仿宋" w:hAnsi="仿宋" w:eastAsia="仿宋"/>
          <w:color w:val="auto"/>
          <w:kern w:val="0"/>
          <w:szCs w:val="24"/>
          <w:highlight w:val="none"/>
        </w:rPr>
        <w:t>在运营期内，中标人须提供以下服务：</w:t>
      </w:r>
    </w:p>
    <w:p>
      <w:pPr>
        <w:pStyle w:val="28"/>
        <w:spacing w:line="360" w:lineRule="auto"/>
        <w:ind w:left="421"/>
        <w:rPr>
          <w:rFonts w:ascii="仿宋" w:hAnsi="仿宋" w:eastAsia="仿宋"/>
          <w:color w:val="auto"/>
          <w:kern w:val="0"/>
          <w:szCs w:val="24"/>
          <w:highlight w:val="none"/>
        </w:rPr>
      </w:pPr>
      <w:r>
        <w:rPr>
          <w:rFonts w:hint="eastAsia" w:ascii="仿宋" w:hAnsi="仿宋" w:eastAsia="仿宋"/>
          <w:color w:val="auto"/>
          <w:kern w:val="0"/>
          <w:szCs w:val="24"/>
          <w:highlight w:val="none"/>
        </w:rPr>
        <w:t>1. ★指定至少6名驻场工程师，驻场工程师要求具备计算机、软件、电子、通信类专业大专以上学历，熟悉突发系统及渠道运行原理、机制和相关操作。</w:t>
      </w:r>
    </w:p>
    <w:p>
      <w:pPr>
        <w:pStyle w:val="28"/>
        <w:spacing w:line="360" w:lineRule="auto"/>
        <w:ind w:left="421"/>
        <w:rPr>
          <w:rFonts w:ascii="仿宋" w:hAnsi="仿宋" w:eastAsia="仿宋"/>
          <w:color w:val="auto"/>
          <w:kern w:val="0"/>
          <w:szCs w:val="24"/>
          <w:highlight w:val="none"/>
        </w:rPr>
      </w:pPr>
      <w:r>
        <w:rPr>
          <w:rFonts w:hint="eastAsia" w:ascii="仿宋" w:hAnsi="仿宋" w:eastAsia="仿宋"/>
          <w:color w:val="auto"/>
          <w:kern w:val="0"/>
          <w:szCs w:val="24"/>
          <w:highlight w:val="none"/>
        </w:rPr>
        <w:t>2. ★专岗提供7×24小时驻场运维服务，3班倒5班配驻场工程师，驻场开展包括预警信息采集、发布与质控、预警信息发布系统运营服务及报灾系统的运营服务，保障这些系统的正常运行，确保预警信息发布的安全、及时与精准。</w:t>
      </w:r>
    </w:p>
    <w:p>
      <w:pPr>
        <w:pStyle w:val="28"/>
        <w:spacing w:line="360" w:lineRule="auto"/>
        <w:ind w:left="421"/>
        <w:rPr>
          <w:rFonts w:ascii="仿宋" w:hAnsi="仿宋" w:eastAsia="仿宋"/>
          <w:color w:val="auto"/>
          <w:kern w:val="0"/>
          <w:szCs w:val="24"/>
          <w:highlight w:val="none"/>
        </w:rPr>
      </w:pPr>
      <w:r>
        <w:rPr>
          <w:rFonts w:hint="eastAsia" w:ascii="仿宋" w:hAnsi="仿宋" w:eastAsia="仿宋"/>
          <w:color w:val="auto"/>
          <w:kern w:val="0"/>
          <w:szCs w:val="24"/>
          <w:highlight w:val="none"/>
        </w:rPr>
        <w:t>3.保证稳定的服务人员，项目团队人员不少于8人，须配备高水平技术人员，★提供7×24小时响应的电话等远程技术支持，对于驻场工程通过电话支持无法解决的问题，高水平技术人员抵达现场解决故障的响应时间不超过2小时。</w:t>
      </w:r>
    </w:p>
    <w:p>
      <w:pPr>
        <w:pStyle w:val="28"/>
        <w:spacing w:line="360" w:lineRule="auto"/>
        <w:ind w:left="421"/>
        <w:rPr>
          <w:rFonts w:ascii="仿宋" w:hAnsi="仿宋" w:eastAsia="仿宋"/>
          <w:color w:val="auto"/>
          <w:kern w:val="0"/>
          <w:szCs w:val="24"/>
          <w:highlight w:val="none"/>
        </w:rPr>
      </w:pPr>
      <w:r>
        <w:rPr>
          <w:rFonts w:hint="eastAsia" w:ascii="仿宋" w:hAnsi="仿宋" w:eastAsia="仿宋"/>
          <w:color w:val="auto"/>
          <w:kern w:val="0"/>
          <w:szCs w:val="24"/>
          <w:highlight w:val="none"/>
        </w:rPr>
        <w:t>4.协助采购人完成系统在广东省内的推广应用。</w:t>
      </w:r>
    </w:p>
    <w:p>
      <w:pPr>
        <w:pStyle w:val="28"/>
        <w:spacing w:line="360" w:lineRule="auto"/>
        <w:ind w:left="421"/>
        <w:rPr>
          <w:rFonts w:ascii="仿宋" w:hAnsi="仿宋" w:eastAsia="仿宋"/>
          <w:color w:val="auto"/>
          <w:kern w:val="0"/>
          <w:szCs w:val="24"/>
          <w:highlight w:val="none"/>
        </w:rPr>
      </w:pPr>
      <w:r>
        <w:rPr>
          <w:rFonts w:hint="eastAsia" w:ascii="仿宋" w:hAnsi="仿宋" w:eastAsia="仿宋"/>
          <w:color w:val="auto"/>
          <w:kern w:val="0"/>
          <w:szCs w:val="24"/>
          <w:highlight w:val="none"/>
        </w:rPr>
        <w:t>5.提供至少1次现场培训，以及相应的培训文档。</w:t>
      </w:r>
    </w:p>
    <w:p>
      <w:pPr>
        <w:pStyle w:val="28"/>
        <w:spacing w:line="360" w:lineRule="auto"/>
        <w:ind w:left="421"/>
        <w:rPr>
          <w:rFonts w:ascii="仿宋" w:hAnsi="仿宋" w:eastAsia="仿宋"/>
          <w:color w:val="auto"/>
          <w:kern w:val="0"/>
          <w:szCs w:val="24"/>
          <w:highlight w:val="none"/>
        </w:rPr>
      </w:pPr>
      <w:r>
        <w:rPr>
          <w:rFonts w:hint="eastAsia" w:ascii="仿宋" w:hAnsi="仿宋" w:eastAsia="仿宋"/>
          <w:color w:val="auto"/>
          <w:kern w:val="0"/>
          <w:szCs w:val="24"/>
          <w:highlight w:val="none"/>
        </w:rPr>
        <w:t>6.服务地点：采购人指定地点。</w:t>
      </w:r>
    </w:p>
    <w:p>
      <w:pPr>
        <w:rPr>
          <w:color w:val="auto"/>
          <w:highlight w:val="none"/>
        </w:rPr>
      </w:pPr>
    </w:p>
    <w:bookmarkEnd w:id="23"/>
    <w:p>
      <w:pPr>
        <w:numPr>
          <w:ilvl w:val="0"/>
          <w:numId w:val="18"/>
        </w:numPr>
        <w:spacing w:line="360" w:lineRule="auto"/>
        <w:outlineLvl w:val="0"/>
        <w:rPr>
          <w:rFonts w:ascii="仿宋" w:hAnsi="仿宋" w:eastAsia="仿宋" w:cs="宋体"/>
          <w:b/>
          <w:color w:val="auto"/>
          <w:szCs w:val="21"/>
          <w:highlight w:val="none"/>
        </w:rPr>
      </w:pPr>
      <w:r>
        <w:rPr>
          <w:rFonts w:hint="eastAsia" w:ascii="仿宋" w:hAnsi="仿宋" w:eastAsia="仿宋" w:cs="宋体"/>
          <w:b/>
          <w:color w:val="auto"/>
          <w:szCs w:val="21"/>
          <w:highlight w:val="none"/>
        </w:rPr>
        <w:t>付款方式</w:t>
      </w:r>
    </w:p>
    <w:p>
      <w:pPr>
        <w:autoSpaceDE/>
        <w:autoSpaceDN/>
        <w:spacing w:line="360" w:lineRule="auto"/>
        <w:ind w:firstLine="420" w:firstLineChars="200"/>
        <w:jc w:val="both"/>
        <w:rPr>
          <w:rFonts w:ascii="仿宋" w:hAnsi="仿宋" w:eastAsia="仿宋" w:cs="宋体"/>
          <w:color w:val="auto"/>
          <w:kern w:val="2"/>
          <w:highlight w:val="none"/>
        </w:rPr>
      </w:pPr>
      <w:bookmarkStart w:id="24" w:name="_Hlk127174047"/>
      <w:r>
        <w:rPr>
          <w:rFonts w:hint="eastAsia" w:ascii="仿宋" w:hAnsi="仿宋" w:eastAsia="仿宋" w:cs="宋体"/>
          <w:color w:val="auto"/>
          <w:kern w:val="2"/>
          <w:highlight w:val="none"/>
        </w:rPr>
        <w:t>1.支付进度：</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（1）合同签订后，中标人向采购人提供合同金额5%的银行保函（项目完成后且中标人无违约行为，甲方退还该银行保函）及开具项目合同金额的30%等额正式发票，采购人在10个工作日内，支付相应的发票费用。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（2）预警信息采集、发布与质控和预警信息发布系统运营服务满一年服务期，通过质量评估后，中标人向采购人开具该部分运营服务金额的30%等额正式发票，采购人在10个工作日内，支付相应的发票费用。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（3）预警信息采集、发布与质控和预警信息发布系统运营服务满两年服务期，通过质量评估后，中标人向采购人开具该部分运营服务金额的30%等额正式发票，采购人在10个工作日内，支付相应的发票费用。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（4）报灾系统运营服务满一年服务期，通过验收后，中标人向采购人开具该部分运营服务总金额的</w:t>
      </w:r>
      <w:r>
        <w:rPr>
          <w:rFonts w:ascii="仿宋" w:hAnsi="仿宋" w:eastAsia="仿宋" w:cs="仿宋"/>
          <w:bCs/>
          <w:color w:val="auto"/>
          <w:kern w:val="2"/>
          <w:szCs w:val="21"/>
          <w:highlight w:val="none"/>
        </w:rPr>
        <w:t>7</w:t>
      </w:r>
      <w:r>
        <w:rPr>
          <w:rFonts w:hint="eastAsia" w:ascii="仿宋" w:hAnsi="仿宋" w:eastAsia="仿宋" w:cs="仿宋"/>
          <w:bCs/>
          <w:color w:val="auto"/>
          <w:kern w:val="2"/>
          <w:szCs w:val="21"/>
          <w:highlight w:val="none"/>
        </w:rPr>
        <w:t>0%等额正式发票，采购人在10个工作日内，支付相应的发票费用。</w:t>
      </w:r>
    </w:p>
    <w:p>
      <w:pPr>
        <w:snapToGrid w:val="0"/>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（5）预警信息采集、发布与质控和预警信息发布系统运营服务满三年服务期，通过审计和验收后，中标人向采购人开具该部分运营服务金额的</w:t>
      </w:r>
      <w:r>
        <w:rPr>
          <w:rFonts w:ascii="仿宋" w:hAnsi="仿宋" w:eastAsia="仿宋" w:cs="仿宋"/>
          <w:bCs/>
          <w:color w:val="auto"/>
          <w:kern w:val="2"/>
          <w:szCs w:val="21"/>
          <w:highlight w:val="none"/>
        </w:rPr>
        <w:t>1</w:t>
      </w:r>
      <w:r>
        <w:rPr>
          <w:rFonts w:hint="eastAsia" w:ascii="仿宋" w:hAnsi="仿宋" w:eastAsia="仿宋" w:cs="仿宋"/>
          <w:bCs/>
          <w:color w:val="auto"/>
          <w:kern w:val="2"/>
          <w:szCs w:val="21"/>
          <w:highlight w:val="none"/>
        </w:rPr>
        <w:t>0%等额正式发票，</w:t>
      </w:r>
      <w:r>
        <w:rPr>
          <w:rFonts w:hint="eastAsia" w:ascii="仿宋" w:hAnsi="仿宋" w:eastAsia="仿宋" w:cs="宋体"/>
          <w:color w:val="auto"/>
          <w:kern w:val="2"/>
          <w:highlight w:val="none"/>
        </w:rPr>
        <w:t>采购人在10个工作日内，支付相应的发票费用并完成结算程序</w:t>
      </w:r>
      <w:r>
        <w:rPr>
          <w:rFonts w:hint="eastAsia" w:ascii="仿宋" w:hAnsi="仿宋" w:eastAsia="仿宋" w:cs="仿宋"/>
          <w:bCs/>
          <w:color w:val="auto"/>
          <w:kern w:val="2"/>
          <w:szCs w:val="21"/>
          <w:highlight w:val="none"/>
        </w:rPr>
        <w:t>并退回银行保函。</w:t>
      </w:r>
    </w:p>
    <w:p>
      <w:pPr>
        <w:autoSpaceDE/>
        <w:autoSpaceDN/>
        <w:spacing w:line="360" w:lineRule="auto"/>
        <w:ind w:firstLine="420" w:firstLineChars="200"/>
        <w:jc w:val="both"/>
        <w:rPr>
          <w:rFonts w:ascii="仿宋" w:hAnsi="仿宋" w:eastAsia="仿宋" w:cs="宋体"/>
          <w:color w:val="auto"/>
          <w:kern w:val="2"/>
          <w:highlight w:val="none"/>
        </w:rPr>
      </w:pPr>
      <w:r>
        <w:rPr>
          <w:rFonts w:hint="eastAsia" w:ascii="仿宋" w:hAnsi="仿宋" w:eastAsia="仿宋" w:cs="宋体"/>
          <w:color w:val="auto"/>
          <w:kern w:val="2"/>
          <w:highlight w:val="none"/>
        </w:rPr>
        <w:t>2.中标人凭以下有效文件与采购人结算：</w:t>
      </w:r>
    </w:p>
    <w:p>
      <w:pPr>
        <w:autoSpaceDE/>
        <w:autoSpaceDN/>
        <w:spacing w:line="360" w:lineRule="auto"/>
        <w:ind w:firstLine="420" w:firstLineChars="200"/>
        <w:jc w:val="both"/>
        <w:rPr>
          <w:rFonts w:ascii="仿宋" w:hAnsi="仿宋" w:eastAsia="仿宋" w:cs="宋体"/>
          <w:color w:val="auto"/>
          <w:kern w:val="2"/>
          <w:highlight w:val="none"/>
        </w:rPr>
      </w:pPr>
      <w:r>
        <w:rPr>
          <w:rFonts w:hint="eastAsia" w:ascii="仿宋" w:hAnsi="仿宋" w:eastAsia="仿宋" w:cs="宋体"/>
          <w:color w:val="auto"/>
          <w:kern w:val="2"/>
          <w:highlight w:val="none"/>
        </w:rPr>
        <w:t>1)合同；</w:t>
      </w:r>
    </w:p>
    <w:p>
      <w:pPr>
        <w:autoSpaceDE/>
        <w:autoSpaceDN/>
        <w:spacing w:line="360" w:lineRule="auto"/>
        <w:ind w:firstLine="420" w:firstLineChars="200"/>
        <w:jc w:val="both"/>
        <w:rPr>
          <w:rFonts w:ascii="仿宋" w:hAnsi="仿宋" w:eastAsia="仿宋" w:cs="宋体"/>
          <w:color w:val="auto"/>
          <w:kern w:val="2"/>
          <w:highlight w:val="none"/>
        </w:rPr>
      </w:pPr>
      <w:r>
        <w:rPr>
          <w:rFonts w:hint="eastAsia" w:ascii="仿宋" w:hAnsi="仿宋" w:eastAsia="仿宋" w:cs="宋体"/>
          <w:color w:val="auto"/>
          <w:kern w:val="2"/>
          <w:highlight w:val="none"/>
        </w:rPr>
        <w:t>2)中标人开具的正式发票；</w:t>
      </w:r>
    </w:p>
    <w:p>
      <w:pPr>
        <w:autoSpaceDE/>
        <w:autoSpaceDN/>
        <w:spacing w:line="360" w:lineRule="auto"/>
        <w:ind w:firstLine="420" w:firstLineChars="200"/>
        <w:jc w:val="both"/>
        <w:rPr>
          <w:rFonts w:ascii="仿宋" w:hAnsi="仿宋" w:eastAsia="仿宋" w:cs="宋体"/>
          <w:color w:val="auto"/>
          <w:kern w:val="2"/>
          <w:highlight w:val="none"/>
        </w:rPr>
      </w:pPr>
      <w:r>
        <w:rPr>
          <w:rFonts w:hint="eastAsia" w:ascii="仿宋" w:hAnsi="仿宋" w:eastAsia="仿宋" w:cs="宋体"/>
          <w:color w:val="auto"/>
          <w:kern w:val="2"/>
          <w:highlight w:val="none"/>
        </w:rPr>
        <w:t>3)验收报告（加盖采购人公章）；</w:t>
      </w:r>
    </w:p>
    <w:p>
      <w:pPr>
        <w:autoSpaceDE/>
        <w:autoSpaceDN/>
        <w:spacing w:line="360" w:lineRule="auto"/>
        <w:ind w:firstLine="420" w:firstLineChars="200"/>
        <w:jc w:val="both"/>
        <w:rPr>
          <w:rFonts w:ascii="仿宋" w:hAnsi="仿宋" w:eastAsia="仿宋" w:cs="宋体"/>
          <w:color w:val="auto"/>
          <w:kern w:val="2"/>
          <w:highlight w:val="none"/>
        </w:rPr>
      </w:pPr>
      <w:r>
        <w:rPr>
          <w:rFonts w:hint="eastAsia" w:ascii="仿宋" w:hAnsi="仿宋" w:eastAsia="仿宋" w:cs="宋体"/>
          <w:color w:val="auto"/>
          <w:kern w:val="2"/>
          <w:highlight w:val="none"/>
        </w:rPr>
        <w:t>4)中标通知书。</w:t>
      </w:r>
    </w:p>
    <w:p>
      <w:pPr>
        <w:autoSpaceDE/>
        <w:autoSpaceDN/>
        <w:spacing w:line="360" w:lineRule="auto"/>
        <w:ind w:firstLine="420" w:firstLineChars="200"/>
        <w:jc w:val="both"/>
        <w:rPr>
          <w:rFonts w:ascii="仿宋" w:hAnsi="仿宋" w:eastAsia="仿宋" w:cs="宋体"/>
          <w:color w:val="auto"/>
          <w:kern w:val="2"/>
          <w:highlight w:val="none"/>
        </w:rPr>
      </w:pPr>
      <w:r>
        <w:rPr>
          <w:rFonts w:hint="eastAsia" w:ascii="仿宋" w:hAnsi="仿宋" w:eastAsia="仿宋" w:cs="宋体"/>
          <w:color w:val="auto"/>
          <w:kern w:val="2"/>
          <w:highlight w:val="none"/>
        </w:rPr>
        <w:t>3.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bookmarkEnd w:id="24"/>
    <w:p>
      <w:pPr>
        <w:pStyle w:val="45"/>
        <w:widowControl w:val="0"/>
        <w:spacing w:before="0" w:beforeAutospacing="0" w:after="0" w:afterAutospacing="0" w:line="360" w:lineRule="auto"/>
        <w:jc w:val="both"/>
        <w:rPr>
          <w:rFonts w:ascii="仿宋" w:hAnsi="仿宋" w:eastAsia="仿宋" w:cs="仿宋"/>
          <w:color w:val="auto"/>
          <w:kern w:val="2"/>
          <w:sz w:val="21"/>
          <w:szCs w:val="21"/>
          <w:highlight w:val="none"/>
          <w:lang w:bidi="ar"/>
        </w:rPr>
      </w:pPr>
    </w:p>
    <w:p>
      <w:pPr>
        <w:pStyle w:val="45"/>
        <w:widowControl w:val="0"/>
        <w:spacing w:before="0" w:beforeAutospacing="0" w:after="0" w:afterAutospacing="0" w:line="360" w:lineRule="auto"/>
        <w:jc w:val="both"/>
        <w:rPr>
          <w:rFonts w:ascii="仿宋" w:hAnsi="仿宋" w:eastAsia="仿宋" w:cs="仿宋"/>
          <w:color w:val="auto"/>
          <w:kern w:val="2"/>
          <w:sz w:val="21"/>
          <w:szCs w:val="21"/>
          <w:highlight w:val="none"/>
          <w:lang w:bidi="ar"/>
        </w:rPr>
      </w:pPr>
    </w:p>
    <w:p>
      <w:pPr>
        <w:pStyle w:val="3"/>
        <w:keepNext/>
        <w:keepLines/>
        <w:pageBreakBefore/>
        <w:tabs>
          <w:tab w:val="left" w:pos="1080"/>
        </w:tabs>
        <w:spacing w:line="360" w:lineRule="auto"/>
        <w:jc w:val="center"/>
        <w:rPr>
          <w:rFonts w:hAnsi="宋体" w:cs="宋体"/>
          <w:b/>
          <w:color w:val="auto"/>
          <w:kern w:val="44"/>
          <w:sz w:val="32"/>
          <w:highlight w:val="none"/>
          <w:lang w:val="zh-CN"/>
        </w:rPr>
      </w:pPr>
      <w:r>
        <w:rPr>
          <w:rFonts w:hint="eastAsia" w:hAnsi="宋体" w:cs="宋体"/>
          <w:b/>
          <w:bCs/>
          <w:color w:val="auto"/>
          <w:kern w:val="44"/>
          <w:sz w:val="32"/>
          <w:szCs w:val="32"/>
          <w:highlight w:val="none"/>
          <w:lang w:val="zh-CN"/>
        </w:rPr>
        <w:t>第五篇  投标文件格式</w:t>
      </w:r>
    </w:p>
    <w:p>
      <w:pPr>
        <w:pStyle w:val="164"/>
        <w:ind w:firstLine="420"/>
        <w:jc w:val="center"/>
        <w:rPr>
          <w:bCs/>
          <w:color w:val="auto"/>
          <w:highlight w:val="none"/>
        </w:rPr>
      </w:pPr>
      <w:r>
        <w:rPr>
          <w:rFonts w:hint="eastAsia"/>
          <w:color w:val="auto"/>
          <w:highlight w:val="none"/>
        </w:rPr>
        <w:t>目  录</w:t>
      </w:r>
    </w:p>
    <w:p>
      <w:pPr>
        <w:spacing w:line="312" w:lineRule="auto"/>
        <w:ind w:firstLine="527" w:firstLineChars="250"/>
        <w:rPr>
          <w:rFonts w:hAnsi="宋体" w:cs="宋体"/>
          <w:b/>
          <w:bCs/>
          <w:color w:val="auto"/>
          <w:szCs w:val="21"/>
          <w:highlight w:val="none"/>
          <w:lang w:val="zh-CN"/>
        </w:rPr>
      </w:pPr>
      <w:r>
        <w:rPr>
          <w:rFonts w:hint="eastAsia" w:hAnsi="宋体" w:cs="宋体"/>
          <w:b/>
          <w:bCs/>
          <w:color w:val="auto"/>
          <w:szCs w:val="21"/>
          <w:highlight w:val="none"/>
          <w:lang w:val="zh-CN"/>
        </w:rPr>
        <w:t>一、自查表</w:t>
      </w:r>
    </w:p>
    <w:p>
      <w:pPr>
        <w:spacing w:line="312" w:lineRule="auto"/>
        <w:ind w:firstLine="527" w:firstLineChars="250"/>
        <w:rPr>
          <w:rFonts w:hAnsi="宋体" w:cs="宋体"/>
          <w:color w:val="auto"/>
          <w:kern w:val="2"/>
          <w:szCs w:val="21"/>
          <w:highlight w:val="none"/>
        </w:rPr>
      </w:pPr>
      <w:r>
        <w:rPr>
          <w:rFonts w:hint="eastAsia" w:hAnsi="宋体" w:cs="宋体"/>
          <w:b/>
          <w:bCs/>
          <w:color w:val="auto"/>
          <w:szCs w:val="21"/>
          <w:highlight w:val="none"/>
          <w:lang w:val="zh-CN"/>
        </w:rPr>
        <w:t>二、</w:t>
      </w:r>
      <w:r>
        <w:rPr>
          <w:rFonts w:hint="eastAsia" w:hAnsi="宋体" w:cs="宋体"/>
          <w:b/>
          <w:bCs/>
          <w:color w:val="auto"/>
          <w:kern w:val="2"/>
          <w:szCs w:val="21"/>
          <w:highlight w:val="none"/>
          <w:lang w:val="zh-CN"/>
        </w:rPr>
        <w:t>商务部分文件</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1.投标函(格式见附表2.1)</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2.资格声明书(格式见附表2.2)</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3.法定代表人证明书(格式见附表2.3)</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4.法定代表人授权书（若投标人代表非法定代表人时适用）(格式见附表2.4)</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5.证明投标人的合格性的证明文件格式（加盖投标人法人公章），其中包括：</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6.投标人基本情况表(见附表2.6)</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7.202</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年投标人财务状况表（见附表2.7）</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8.中标服务费承诺书(见附表2.8)</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9.项目管理架构 (见附表2.9)</w:t>
      </w:r>
    </w:p>
    <w:p>
      <w:pPr>
        <w:snapToGrid w:val="0"/>
        <w:spacing w:line="360" w:lineRule="auto"/>
        <w:ind w:firstLine="1050" w:firstLineChars="5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10.商务条款响应表格式(见附表2.10) </w:t>
      </w:r>
    </w:p>
    <w:p>
      <w:pPr>
        <w:snapToGrid w:val="0"/>
        <w:spacing w:line="360" w:lineRule="auto"/>
        <w:ind w:left="953" w:leftChars="454" w:firstLine="315" w:firstLineChars="150"/>
        <w:rPr>
          <w:rFonts w:ascii="仿宋" w:hAnsi="仿宋" w:eastAsia="仿宋" w:cs="仿宋"/>
          <w:color w:val="auto"/>
          <w:szCs w:val="21"/>
          <w:highlight w:val="none"/>
        </w:rPr>
      </w:pPr>
      <w:r>
        <w:rPr>
          <w:rFonts w:hint="eastAsia" w:ascii="仿宋" w:hAnsi="仿宋" w:eastAsia="仿宋" w:cs="仿宋"/>
          <w:color w:val="auto"/>
          <w:szCs w:val="21"/>
          <w:highlight w:val="none"/>
        </w:rPr>
        <w:t>10.1 实质性商务条款（“★”项）响应表</w:t>
      </w:r>
    </w:p>
    <w:p>
      <w:pPr>
        <w:snapToGrid w:val="0"/>
        <w:spacing w:line="360" w:lineRule="auto"/>
        <w:ind w:left="953" w:leftChars="454" w:firstLine="315" w:firstLineChars="150"/>
        <w:rPr>
          <w:rFonts w:ascii="仿宋" w:hAnsi="仿宋" w:eastAsia="仿宋" w:cs="仿宋"/>
          <w:color w:val="auto"/>
          <w:szCs w:val="21"/>
          <w:highlight w:val="none"/>
        </w:rPr>
      </w:pPr>
      <w:r>
        <w:rPr>
          <w:rFonts w:hint="eastAsia" w:ascii="仿宋" w:hAnsi="仿宋" w:eastAsia="仿宋" w:cs="仿宋"/>
          <w:color w:val="auto"/>
          <w:szCs w:val="21"/>
          <w:highlight w:val="none"/>
        </w:rPr>
        <w:t>10.2 一般商务条款响应表</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11.各项声明函（落实政府采购政策时所需） (见附表2.11) （如有）</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11.1 中小企业声明函格式</w:t>
      </w:r>
      <w:bookmarkStart w:id="25" w:name="_Hlk495872756"/>
      <w:r>
        <w:rPr>
          <w:rFonts w:hint="eastAsia" w:ascii="仿宋" w:hAnsi="仿宋" w:eastAsia="仿宋" w:cs="仿宋"/>
          <w:color w:val="auto"/>
          <w:szCs w:val="21"/>
          <w:highlight w:val="none"/>
        </w:rPr>
        <w:t>(见附表2.11-1)</w:t>
      </w:r>
      <w:bookmarkEnd w:id="25"/>
      <w:r>
        <w:rPr>
          <w:rFonts w:hint="eastAsia" w:ascii="仿宋" w:hAnsi="仿宋" w:eastAsia="仿宋" w:cs="仿宋"/>
          <w:color w:val="auto"/>
          <w:szCs w:val="21"/>
          <w:highlight w:val="none"/>
        </w:rPr>
        <w:t>（如有）</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11.2 监狱企业的证明文件格(见附表2.11-2)（如有）</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11.3 残疾人福利性单位的声明函及证明文件</w:t>
      </w:r>
      <w:bookmarkStart w:id="26" w:name="_Hlk495872848"/>
      <w:r>
        <w:rPr>
          <w:rFonts w:hint="eastAsia" w:ascii="仿宋" w:hAnsi="仿宋" w:eastAsia="仿宋" w:cs="仿宋"/>
          <w:color w:val="auto"/>
          <w:szCs w:val="21"/>
          <w:highlight w:val="none"/>
        </w:rPr>
        <w:t>(见附表2.11-3)</w:t>
      </w:r>
      <w:bookmarkEnd w:id="26"/>
      <w:r>
        <w:rPr>
          <w:rFonts w:hint="eastAsia" w:ascii="仿宋" w:hAnsi="仿宋" w:eastAsia="仿宋" w:cs="仿宋"/>
          <w:color w:val="auto"/>
          <w:szCs w:val="21"/>
          <w:highlight w:val="none"/>
        </w:rPr>
        <w:t>（如有）</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12. 投标人认为完成本项目所需的其他证明文件(见附表2.12)</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13.</w:t>
      </w:r>
      <w:r>
        <w:rPr>
          <w:rFonts w:hint="eastAsia" w:ascii="仿宋" w:hAnsi="仿宋" w:eastAsia="仿宋" w:cs="仿宋"/>
          <w:color w:val="auto"/>
          <w:highlight w:val="none"/>
        </w:rPr>
        <w:t xml:space="preserve"> </w:t>
      </w:r>
      <w:r>
        <w:rPr>
          <w:rFonts w:hint="eastAsia" w:ascii="仿宋" w:hAnsi="仿宋" w:eastAsia="仿宋" w:cs="仿宋"/>
          <w:color w:val="auto"/>
          <w:szCs w:val="21"/>
          <w:highlight w:val="none"/>
        </w:rPr>
        <w:t>公平竞争承诺书</w:t>
      </w:r>
      <w:bookmarkStart w:id="27" w:name="_Hlk495872921"/>
      <w:r>
        <w:rPr>
          <w:rFonts w:hint="eastAsia" w:ascii="仿宋" w:hAnsi="仿宋" w:eastAsia="仿宋" w:cs="仿宋"/>
          <w:color w:val="auto"/>
          <w:szCs w:val="21"/>
          <w:highlight w:val="none"/>
        </w:rPr>
        <w:t>(见附表2.13)</w:t>
      </w:r>
      <w:bookmarkEnd w:id="27"/>
    </w:p>
    <w:p>
      <w:pPr>
        <w:spacing w:line="360" w:lineRule="auto"/>
        <w:ind w:firstLine="527" w:firstLineChars="250"/>
        <w:rPr>
          <w:rFonts w:hAnsi="宋体" w:cs="宋体"/>
          <w:color w:val="auto"/>
          <w:kern w:val="2"/>
          <w:szCs w:val="21"/>
          <w:highlight w:val="none"/>
        </w:rPr>
      </w:pPr>
      <w:r>
        <w:rPr>
          <w:rFonts w:hint="eastAsia" w:hAnsi="宋体" w:cs="宋体"/>
          <w:b/>
          <w:bCs/>
          <w:color w:val="auto"/>
          <w:szCs w:val="21"/>
          <w:highlight w:val="none"/>
          <w:lang w:val="zh-CN"/>
        </w:rPr>
        <w:t>三、</w:t>
      </w:r>
      <w:r>
        <w:rPr>
          <w:rFonts w:hint="eastAsia" w:hAnsi="宋体" w:cs="宋体"/>
          <w:b/>
          <w:bCs/>
          <w:color w:val="auto"/>
          <w:kern w:val="2"/>
          <w:szCs w:val="21"/>
          <w:highlight w:val="none"/>
          <w:lang w:val="zh-CN"/>
        </w:rPr>
        <w:t>技术部分文件</w:t>
      </w:r>
    </w:p>
    <w:p>
      <w:pPr>
        <w:snapToGrid w:val="0"/>
        <w:spacing w:line="360" w:lineRule="auto"/>
        <w:ind w:left="953" w:leftChars="454" w:firstLine="105" w:firstLineChars="50"/>
        <w:rPr>
          <w:rFonts w:ascii="仿宋" w:hAnsi="仿宋" w:eastAsia="仿宋" w:cs="仿宋"/>
          <w:color w:val="auto"/>
          <w:szCs w:val="21"/>
          <w:highlight w:val="none"/>
        </w:rPr>
      </w:pPr>
      <w:r>
        <w:rPr>
          <w:rFonts w:ascii="仿宋" w:hAnsi="仿宋" w:eastAsia="仿宋" w:cs="仿宋"/>
          <w:color w:val="auto"/>
          <w:szCs w:val="21"/>
          <w:highlight w:val="none"/>
        </w:rPr>
        <w:t>1</w:t>
      </w:r>
      <w:r>
        <w:rPr>
          <w:rFonts w:hint="eastAsia" w:ascii="仿宋" w:hAnsi="仿宋" w:eastAsia="仿宋" w:cs="仿宋"/>
          <w:color w:val="auto"/>
          <w:szCs w:val="21"/>
          <w:highlight w:val="none"/>
        </w:rPr>
        <w:t>.</w:t>
      </w:r>
      <w:r>
        <w:rPr>
          <w:rFonts w:hint="eastAsia"/>
          <w:color w:val="auto"/>
          <w:highlight w:val="none"/>
        </w:rPr>
        <w:t xml:space="preserve"> </w:t>
      </w:r>
      <w:r>
        <w:rPr>
          <w:rFonts w:hint="eastAsia" w:ascii="仿宋" w:hAnsi="仿宋" w:eastAsia="仿宋" w:cs="仿宋"/>
          <w:color w:val="auto"/>
          <w:szCs w:val="21"/>
          <w:highlight w:val="none"/>
        </w:rPr>
        <w:t>需求分析及运营服务原则和思路 (见附表3.</w:t>
      </w:r>
      <w:r>
        <w:rPr>
          <w:rFonts w:ascii="仿宋" w:hAnsi="仿宋" w:eastAsia="仿宋" w:cs="仿宋"/>
          <w:color w:val="auto"/>
          <w:szCs w:val="21"/>
          <w:highlight w:val="none"/>
        </w:rPr>
        <w:t>1</w:t>
      </w:r>
      <w:r>
        <w:rPr>
          <w:rFonts w:hint="eastAsia" w:ascii="仿宋" w:hAnsi="仿宋" w:eastAsia="仿宋" w:cs="仿宋"/>
          <w:color w:val="auto"/>
          <w:szCs w:val="21"/>
          <w:highlight w:val="none"/>
        </w:rPr>
        <w:t>)</w:t>
      </w:r>
    </w:p>
    <w:p>
      <w:pPr>
        <w:snapToGrid w:val="0"/>
        <w:spacing w:line="360" w:lineRule="auto"/>
        <w:ind w:left="953" w:leftChars="454" w:firstLine="105" w:firstLineChars="50"/>
        <w:rPr>
          <w:rFonts w:ascii="仿宋" w:hAnsi="仿宋" w:eastAsia="仿宋" w:cs="仿宋"/>
          <w:color w:val="auto"/>
          <w:szCs w:val="21"/>
          <w:highlight w:val="none"/>
        </w:rPr>
      </w:pPr>
      <w:r>
        <w:rPr>
          <w:rFonts w:ascii="仿宋" w:hAnsi="仿宋" w:eastAsia="仿宋" w:cs="仿宋"/>
          <w:color w:val="auto"/>
          <w:szCs w:val="21"/>
          <w:highlight w:val="none"/>
        </w:rPr>
        <w:t>2</w:t>
      </w:r>
      <w:r>
        <w:rPr>
          <w:rFonts w:hint="eastAsia" w:ascii="仿宋" w:hAnsi="仿宋" w:eastAsia="仿宋" w:cs="仿宋"/>
          <w:color w:val="auto"/>
          <w:szCs w:val="21"/>
          <w:highlight w:val="none"/>
        </w:rPr>
        <w:t>.</w:t>
      </w:r>
      <w:r>
        <w:rPr>
          <w:rFonts w:hint="eastAsia"/>
          <w:color w:val="auto"/>
          <w:highlight w:val="none"/>
        </w:rPr>
        <w:t xml:space="preserve"> </w:t>
      </w:r>
      <w:r>
        <w:rPr>
          <w:rFonts w:hint="eastAsia" w:ascii="仿宋" w:hAnsi="仿宋" w:eastAsia="仿宋" w:cs="仿宋"/>
          <w:color w:val="auto"/>
          <w:szCs w:val="21"/>
          <w:highlight w:val="none"/>
        </w:rPr>
        <w:t>预警信息采集、发布与质控(见附表3.</w:t>
      </w:r>
      <w:r>
        <w:rPr>
          <w:rFonts w:ascii="仿宋" w:hAnsi="仿宋" w:eastAsia="仿宋" w:cs="仿宋"/>
          <w:color w:val="auto"/>
          <w:szCs w:val="21"/>
          <w:highlight w:val="none"/>
        </w:rPr>
        <w:t>2</w:t>
      </w:r>
      <w:r>
        <w:rPr>
          <w:rFonts w:hint="eastAsia" w:ascii="仿宋" w:hAnsi="仿宋" w:eastAsia="仿宋" w:cs="仿宋"/>
          <w:color w:val="auto"/>
          <w:szCs w:val="21"/>
          <w:highlight w:val="none"/>
        </w:rPr>
        <w:t>)</w:t>
      </w:r>
    </w:p>
    <w:p>
      <w:pPr>
        <w:snapToGrid w:val="0"/>
        <w:spacing w:line="360" w:lineRule="auto"/>
        <w:ind w:left="953" w:leftChars="454" w:firstLine="105" w:firstLineChars="50"/>
        <w:rPr>
          <w:rFonts w:ascii="仿宋" w:hAnsi="仿宋" w:eastAsia="仿宋" w:cs="仿宋"/>
          <w:color w:val="auto"/>
          <w:szCs w:val="21"/>
          <w:highlight w:val="none"/>
        </w:rPr>
      </w:pPr>
      <w:r>
        <w:rPr>
          <w:rFonts w:ascii="仿宋" w:hAnsi="仿宋" w:eastAsia="仿宋" w:cs="仿宋"/>
          <w:color w:val="auto"/>
          <w:szCs w:val="21"/>
          <w:highlight w:val="none"/>
        </w:rPr>
        <w:t>3</w:t>
      </w:r>
      <w:r>
        <w:rPr>
          <w:rFonts w:hint="eastAsia" w:ascii="仿宋" w:hAnsi="仿宋" w:eastAsia="仿宋" w:cs="仿宋"/>
          <w:color w:val="auto"/>
          <w:szCs w:val="21"/>
          <w:highlight w:val="none"/>
        </w:rPr>
        <w:t>.</w:t>
      </w:r>
      <w:r>
        <w:rPr>
          <w:rFonts w:hint="eastAsia"/>
          <w:color w:val="auto"/>
          <w:highlight w:val="none"/>
        </w:rPr>
        <w:t xml:space="preserve"> </w:t>
      </w:r>
      <w:r>
        <w:rPr>
          <w:rFonts w:hint="eastAsia" w:ascii="仿宋" w:hAnsi="仿宋" w:eastAsia="仿宋" w:cs="仿宋"/>
          <w:color w:val="auto"/>
          <w:szCs w:val="21"/>
          <w:highlight w:val="none"/>
        </w:rPr>
        <w:t>报灾模块运营服务(见附表3.</w:t>
      </w:r>
      <w:r>
        <w:rPr>
          <w:rFonts w:ascii="仿宋" w:hAnsi="仿宋" w:eastAsia="仿宋" w:cs="仿宋"/>
          <w:color w:val="auto"/>
          <w:szCs w:val="21"/>
          <w:highlight w:val="none"/>
        </w:rPr>
        <w:t>3</w:t>
      </w:r>
      <w:r>
        <w:rPr>
          <w:rFonts w:hint="eastAsia" w:ascii="仿宋" w:hAnsi="仿宋" w:eastAsia="仿宋" w:cs="仿宋"/>
          <w:color w:val="auto"/>
          <w:szCs w:val="21"/>
          <w:highlight w:val="none"/>
        </w:rPr>
        <w:t>)</w:t>
      </w:r>
    </w:p>
    <w:p>
      <w:pPr>
        <w:snapToGrid w:val="0"/>
        <w:spacing w:line="360" w:lineRule="auto"/>
        <w:ind w:left="953" w:leftChars="454" w:firstLine="105" w:firstLineChars="50"/>
        <w:rPr>
          <w:rFonts w:ascii="仿宋" w:hAnsi="仿宋" w:eastAsia="仿宋" w:cs="仿宋"/>
          <w:color w:val="auto"/>
          <w:szCs w:val="21"/>
          <w:highlight w:val="none"/>
        </w:rPr>
      </w:pPr>
      <w:r>
        <w:rPr>
          <w:rFonts w:ascii="仿宋" w:hAnsi="仿宋" w:eastAsia="仿宋" w:cs="仿宋"/>
          <w:color w:val="auto"/>
          <w:szCs w:val="21"/>
          <w:highlight w:val="none"/>
        </w:rPr>
        <w:t>4</w:t>
      </w:r>
      <w:r>
        <w:rPr>
          <w:rFonts w:hint="eastAsia" w:ascii="仿宋" w:hAnsi="仿宋" w:eastAsia="仿宋" w:cs="仿宋"/>
          <w:color w:val="auto"/>
          <w:szCs w:val="21"/>
          <w:highlight w:val="none"/>
        </w:rPr>
        <w:t>.</w:t>
      </w:r>
      <w:r>
        <w:rPr>
          <w:rFonts w:hint="eastAsia"/>
          <w:color w:val="auto"/>
          <w:highlight w:val="none"/>
        </w:rPr>
        <w:t xml:space="preserve"> </w:t>
      </w:r>
      <w:r>
        <w:rPr>
          <w:rFonts w:hint="eastAsia" w:ascii="仿宋" w:hAnsi="仿宋" w:eastAsia="仿宋" w:cs="仿宋"/>
          <w:color w:val="auto"/>
          <w:szCs w:val="21"/>
          <w:highlight w:val="none"/>
        </w:rPr>
        <w:t>预警信息发布系统运营服务(见附表3.</w:t>
      </w:r>
      <w:r>
        <w:rPr>
          <w:rFonts w:ascii="仿宋" w:hAnsi="仿宋" w:eastAsia="仿宋" w:cs="仿宋"/>
          <w:color w:val="auto"/>
          <w:szCs w:val="21"/>
          <w:highlight w:val="none"/>
        </w:rPr>
        <w:t>4</w:t>
      </w:r>
      <w:r>
        <w:rPr>
          <w:rFonts w:hint="eastAsia" w:ascii="仿宋" w:hAnsi="仿宋" w:eastAsia="仿宋" w:cs="仿宋"/>
          <w:color w:val="auto"/>
          <w:szCs w:val="21"/>
          <w:highlight w:val="none"/>
        </w:rPr>
        <w:t>)</w:t>
      </w:r>
    </w:p>
    <w:p>
      <w:pPr>
        <w:snapToGrid w:val="0"/>
        <w:spacing w:line="360" w:lineRule="auto"/>
        <w:ind w:left="953" w:leftChars="454" w:firstLine="105" w:firstLineChars="50"/>
        <w:rPr>
          <w:rFonts w:ascii="仿宋" w:hAnsi="仿宋" w:eastAsia="仿宋" w:cs="仿宋"/>
          <w:color w:val="auto"/>
          <w:szCs w:val="21"/>
          <w:highlight w:val="none"/>
        </w:rPr>
      </w:pPr>
      <w:r>
        <w:rPr>
          <w:rFonts w:ascii="仿宋" w:hAnsi="仿宋" w:eastAsia="仿宋" w:cs="仿宋"/>
          <w:color w:val="auto"/>
          <w:szCs w:val="21"/>
          <w:highlight w:val="none"/>
        </w:rPr>
        <w:t>5</w:t>
      </w:r>
      <w:r>
        <w:rPr>
          <w:rFonts w:hint="eastAsia" w:ascii="仿宋" w:hAnsi="仿宋" w:eastAsia="仿宋" w:cs="仿宋"/>
          <w:color w:val="auto"/>
          <w:szCs w:val="21"/>
          <w:highlight w:val="none"/>
        </w:rPr>
        <w:t>.</w:t>
      </w:r>
      <w:r>
        <w:rPr>
          <w:rFonts w:hint="eastAsia"/>
          <w:color w:val="auto"/>
          <w:highlight w:val="none"/>
        </w:rPr>
        <w:t xml:space="preserve"> </w:t>
      </w:r>
      <w:r>
        <w:rPr>
          <w:rFonts w:hint="eastAsia" w:ascii="仿宋" w:hAnsi="仿宋" w:eastAsia="仿宋" w:cs="仿宋"/>
          <w:color w:val="auto"/>
          <w:szCs w:val="21"/>
          <w:highlight w:val="none"/>
        </w:rPr>
        <w:t>数据接口运营与分析(见附表3.</w:t>
      </w:r>
      <w:r>
        <w:rPr>
          <w:rFonts w:ascii="仿宋" w:hAnsi="仿宋" w:eastAsia="仿宋" w:cs="仿宋"/>
          <w:color w:val="auto"/>
          <w:szCs w:val="21"/>
          <w:highlight w:val="none"/>
        </w:rPr>
        <w:t>5</w:t>
      </w:r>
      <w:r>
        <w:rPr>
          <w:rFonts w:hint="eastAsia" w:ascii="仿宋" w:hAnsi="仿宋" w:eastAsia="仿宋" w:cs="仿宋"/>
          <w:color w:val="auto"/>
          <w:szCs w:val="21"/>
          <w:highlight w:val="none"/>
        </w:rPr>
        <w:t>)</w:t>
      </w:r>
    </w:p>
    <w:p>
      <w:pPr>
        <w:snapToGrid w:val="0"/>
        <w:spacing w:line="360" w:lineRule="auto"/>
        <w:ind w:left="953" w:leftChars="454" w:firstLine="105" w:firstLineChars="50"/>
        <w:rPr>
          <w:rFonts w:ascii="仿宋" w:hAnsi="仿宋" w:eastAsia="仿宋" w:cs="仿宋"/>
          <w:color w:val="auto"/>
          <w:szCs w:val="21"/>
          <w:highlight w:val="none"/>
        </w:rPr>
      </w:pPr>
      <w:r>
        <w:rPr>
          <w:rFonts w:ascii="仿宋" w:hAnsi="仿宋" w:eastAsia="仿宋" w:cs="仿宋"/>
          <w:color w:val="auto"/>
          <w:szCs w:val="21"/>
          <w:highlight w:val="none"/>
        </w:rPr>
        <w:t>6</w:t>
      </w:r>
      <w:r>
        <w:rPr>
          <w:rFonts w:hint="eastAsia" w:ascii="仿宋" w:hAnsi="仿宋" w:eastAsia="仿宋" w:cs="仿宋"/>
          <w:color w:val="auto"/>
          <w:szCs w:val="21"/>
          <w:highlight w:val="none"/>
        </w:rPr>
        <w:t>.</w:t>
      </w:r>
      <w:r>
        <w:rPr>
          <w:rFonts w:hint="eastAsia"/>
          <w:color w:val="auto"/>
          <w:highlight w:val="none"/>
        </w:rPr>
        <w:t xml:space="preserve"> </w:t>
      </w:r>
      <w:r>
        <w:rPr>
          <w:rFonts w:hint="eastAsia" w:ascii="仿宋" w:hAnsi="仿宋" w:eastAsia="仿宋" w:cs="仿宋"/>
          <w:color w:val="auto"/>
          <w:szCs w:val="21"/>
          <w:highlight w:val="none"/>
        </w:rPr>
        <w:t>人员安排 (见附表3.</w:t>
      </w:r>
      <w:r>
        <w:rPr>
          <w:rFonts w:ascii="仿宋" w:hAnsi="仿宋" w:eastAsia="仿宋" w:cs="仿宋"/>
          <w:color w:val="auto"/>
          <w:szCs w:val="21"/>
          <w:highlight w:val="none"/>
        </w:rPr>
        <w:t>6</w:t>
      </w:r>
      <w:r>
        <w:rPr>
          <w:rFonts w:hint="eastAsia" w:ascii="仿宋" w:hAnsi="仿宋" w:eastAsia="仿宋" w:cs="仿宋"/>
          <w:color w:val="auto"/>
          <w:szCs w:val="21"/>
          <w:highlight w:val="none"/>
        </w:rPr>
        <w:t>)</w:t>
      </w:r>
    </w:p>
    <w:p>
      <w:pPr>
        <w:spacing w:line="360" w:lineRule="auto"/>
        <w:ind w:firstLine="527" w:firstLineChars="250"/>
        <w:rPr>
          <w:rFonts w:hAnsi="宋体" w:cs="宋体"/>
          <w:color w:val="auto"/>
          <w:kern w:val="2"/>
          <w:szCs w:val="21"/>
          <w:highlight w:val="none"/>
        </w:rPr>
      </w:pPr>
      <w:r>
        <w:rPr>
          <w:rFonts w:hint="eastAsia" w:hAnsi="宋体" w:cs="宋体"/>
          <w:b/>
          <w:bCs/>
          <w:color w:val="auto"/>
          <w:szCs w:val="21"/>
          <w:highlight w:val="none"/>
          <w:lang w:val="zh-CN"/>
        </w:rPr>
        <w:t>四、价格</w:t>
      </w:r>
      <w:r>
        <w:rPr>
          <w:rFonts w:hint="eastAsia" w:hAnsi="宋体" w:cs="宋体"/>
          <w:b/>
          <w:bCs/>
          <w:color w:val="auto"/>
          <w:kern w:val="2"/>
          <w:szCs w:val="21"/>
          <w:highlight w:val="none"/>
          <w:lang w:val="zh-CN"/>
        </w:rPr>
        <w:t>部分文件</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1.投标报价总表(见附表4.1)</w:t>
      </w:r>
    </w:p>
    <w:p>
      <w:pPr>
        <w:snapToGrid w:val="0"/>
        <w:spacing w:line="360" w:lineRule="auto"/>
        <w:ind w:left="953" w:leftChars="454" w:firstLine="105" w:firstLineChars="50"/>
        <w:rPr>
          <w:rFonts w:ascii="仿宋" w:hAnsi="仿宋" w:eastAsia="仿宋" w:cs="仿宋"/>
          <w:color w:val="auto"/>
          <w:szCs w:val="21"/>
          <w:highlight w:val="none"/>
        </w:rPr>
      </w:pPr>
      <w:r>
        <w:rPr>
          <w:rFonts w:hint="eastAsia" w:ascii="仿宋" w:hAnsi="仿宋" w:eastAsia="仿宋" w:cs="仿宋"/>
          <w:color w:val="auto"/>
          <w:szCs w:val="21"/>
          <w:highlight w:val="none"/>
        </w:rPr>
        <w:t>2.分项报价明细表(见附表4.2)</w:t>
      </w:r>
    </w:p>
    <w:p>
      <w:pPr>
        <w:pStyle w:val="120"/>
        <w:rPr>
          <w:color w:val="auto"/>
          <w:highlight w:val="none"/>
        </w:rPr>
      </w:pPr>
    </w:p>
    <w:p>
      <w:pPr>
        <w:spacing w:line="360" w:lineRule="auto"/>
        <w:ind w:firstLine="211" w:firstLineChars="100"/>
        <w:jc w:val="both"/>
        <w:rPr>
          <w:rFonts w:hAnsi="宋体" w:cs="宋体"/>
          <w:b/>
          <w:bCs/>
          <w:color w:val="auto"/>
          <w:kern w:val="2"/>
          <w:szCs w:val="21"/>
          <w:highlight w:val="none"/>
          <w:lang w:val="zh-CN"/>
        </w:rPr>
      </w:pPr>
      <w:r>
        <w:rPr>
          <w:rFonts w:hint="eastAsia" w:hAnsi="宋体" w:cs="宋体"/>
          <w:b/>
          <w:bCs/>
          <w:color w:val="auto"/>
          <w:kern w:val="2"/>
          <w:szCs w:val="21"/>
          <w:highlight w:val="none"/>
          <w:lang w:val="zh-CN"/>
        </w:rPr>
        <w:t>唱标信封另单独封装，按以下顺序装订：</w:t>
      </w:r>
    </w:p>
    <w:p>
      <w:pPr>
        <w:spacing w:line="360" w:lineRule="auto"/>
        <w:ind w:left="1026" w:leftChars="355" w:hanging="281" w:hangingChars="134"/>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1) 投标函（从投标文件正本中复印，加盖投标人法人公章）；</w:t>
      </w:r>
    </w:p>
    <w:p>
      <w:pPr>
        <w:spacing w:line="360" w:lineRule="auto"/>
        <w:ind w:left="1026" w:leftChars="355" w:hanging="281" w:hangingChars="134"/>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2）投标报价总表（从投标文件正本中复印，加盖投标人法人公章）；</w:t>
      </w:r>
    </w:p>
    <w:p>
      <w:pPr>
        <w:spacing w:line="360" w:lineRule="auto"/>
        <w:ind w:left="1026" w:leftChars="355" w:hanging="281" w:hangingChars="134"/>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3）法定代表人证明书及法定代表人授权书（复印件）（原件单独递交无须密封，在递交投标文件时单独递交）；</w:t>
      </w:r>
    </w:p>
    <w:p>
      <w:pPr>
        <w:spacing w:line="360" w:lineRule="auto"/>
        <w:ind w:left="1026" w:leftChars="355" w:hanging="281" w:hangingChars="134"/>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4）电子文件（含投标文件经济文件、商务技术文件, 电子投标文件采用CD－R光盘或U盘装载，其中经济部分需用MS office的excel格式提供。）</w:t>
      </w: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spacing w:line="360" w:lineRule="auto"/>
        <w:ind w:left="1026" w:leftChars="355" w:hanging="281" w:hangingChars="134"/>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spacing w:line="360" w:lineRule="auto"/>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pStyle w:val="120"/>
        <w:rPr>
          <w:rFonts w:hAnsi="宋体" w:cs="宋体"/>
          <w:color w:val="auto"/>
          <w:szCs w:val="21"/>
          <w:highlight w:val="none"/>
          <w:lang w:val="zh-CN"/>
        </w:rPr>
      </w:pPr>
    </w:p>
    <w:p>
      <w:pPr>
        <w:spacing w:line="360" w:lineRule="auto"/>
        <w:rPr>
          <w:rFonts w:hAnsi="宋体"/>
          <w:color w:val="auto"/>
          <w:highlight w:val="none"/>
          <w:lang w:val="zh-CN"/>
        </w:rPr>
      </w:pPr>
      <w:r>
        <w:rPr>
          <w:rFonts w:hint="eastAsia" w:hAnsi="宋体"/>
          <w:color w:val="auto"/>
          <w:highlight w:val="none"/>
          <w:lang w:val="zh-CN"/>
        </w:rPr>
        <w:t>附件：投标文件封面格式：                                         （正/副本）</w:t>
      </w:r>
    </w:p>
    <w:p>
      <w:pPr>
        <w:ind w:right="-26"/>
        <w:jc w:val="center"/>
        <w:rPr>
          <w:b/>
          <w:color w:val="auto"/>
          <w:sz w:val="56"/>
          <w:szCs w:val="52"/>
          <w:highlight w:val="none"/>
        </w:rPr>
      </w:pPr>
    </w:p>
    <w:p>
      <w:pPr>
        <w:tabs>
          <w:tab w:val="left" w:pos="420"/>
          <w:tab w:val="left" w:pos="6660"/>
        </w:tabs>
        <w:spacing w:line="1600" w:lineRule="atLeast"/>
        <w:jc w:val="center"/>
        <w:rPr>
          <w:b/>
          <w:color w:val="auto"/>
          <w:sz w:val="56"/>
          <w:szCs w:val="52"/>
          <w:highlight w:val="none"/>
        </w:rPr>
      </w:pPr>
      <w:r>
        <w:rPr>
          <w:rFonts w:hint="eastAsia"/>
          <w:b/>
          <w:color w:val="auto"/>
          <w:sz w:val="56"/>
          <w:szCs w:val="52"/>
          <w:highlight w:val="none"/>
        </w:rPr>
        <w:t>南海海洋预警信息发布和沿海恶劣天气防灾叫应系统(二期)</w:t>
      </w:r>
    </w:p>
    <w:p>
      <w:pPr>
        <w:tabs>
          <w:tab w:val="left" w:pos="420"/>
          <w:tab w:val="left" w:pos="6660"/>
        </w:tabs>
        <w:spacing w:line="1600" w:lineRule="atLeast"/>
        <w:jc w:val="center"/>
        <w:rPr>
          <w:rFonts w:hAnsi="宋体"/>
          <w:b/>
          <w:color w:val="auto"/>
          <w:sz w:val="72"/>
          <w:szCs w:val="72"/>
          <w:highlight w:val="none"/>
        </w:rPr>
      </w:pPr>
      <w:r>
        <w:rPr>
          <w:rFonts w:hint="eastAsia" w:hAnsi="宋体"/>
          <w:b/>
          <w:color w:val="auto"/>
          <w:sz w:val="72"/>
          <w:szCs w:val="72"/>
          <w:highlight w:val="none"/>
        </w:rPr>
        <w:t>投标文件</w:t>
      </w:r>
    </w:p>
    <w:p>
      <w:pPr>
        <w:ind w:right="-26"/>
        <w:rPr>
          <w:rFonts w:hAnsi="宋体"/>
          <w:b/>
          <w:bCs/>
          <w:color w:val="auto"/>
          <w:kern w:val="2"/>
          <w:sz w:val="44"/>
          <w:szCs w:val="44"/>
          <w:highlight w:val="none"/>
          <w:lang w:val="zh-CN"/>
        </w:rPr>
      </w:pPr>
    </w:p>
    <w:p>
      <w:pPr>
        <w:spacing w:line="500" w:lineRule="exact"/>
        <w:jc w:val="center"/>
        <w:rPr>
          <w:rFonts w:hAnsi="宋体"/>
          <w:b/>
          <w:bCs/>
          <w:color w:val="auto"/>
          <w:sz w:val="28"/>
          <w:szCs w:val="28"/>
          <w:highlight w:val="none"/>
        </w:rPr>
      </w:pPr>
      <w:r>
        <w:rPr>
          <w:rFonts w:hint="eastAsia" w:hAnsi="宋体"/>
          <w:b/>
          <w:bCs/>
          <w:color w:val="auto"/>
          <w:sz w:val="28"/>
          <w:szCs w:val="28"/>
          <w:highlight w:val="none"/>
        </w:rPr>
        <w:t>采购编号：GDYD230090</w:t>
      </w:r>
      <w:r>
        <w:rPr>
          <w:rFonts w:hint="eastAsia" w:hAnsi="宋体"/>
          <w:b/>
          <w:bCs/>
          <w:color w:val="auto"/>
          <w:sz w:val="28"/>
          <w:szCs w:val="28"/>
          <w:highlight w:val="none"/>
        </w:rPr>
        <w:fldChar w:fldCharType="begin"/>
      </w:r>
      <w:r>
        <w:rPr>
          <w:rFonts w:hint="eastAsia" w:hAnsi="宋体"/>
          <w:b/>
          <w:bCs/>
          <w:color w:val="auto"/>
          <w:sz w:val="28"/>
          <w:szCs w:val="28"/>
          <w:highlight w:val="none"/>
        </w:rPr>
        <w:instrText xml:space="preserve"> DOCVARIABLE  采购编号  \* MERGEFORMAT </w:instrText>
      </w:r>
      <w:r>
        <w:rPr>
          <w:rFonts w:hint="eastAsia" w:hAnsi="宋体"/>
          <w:b/>
          <w:bCs/>
          <w:color w:val="auto"/>
          <w:sz w:val="28"/>
          <w:szCs w:val="28"/>
          <w:highlight w:val="none"/>
        </w:rPr>
        <w:fldChar w:fldCharType="end"/>
      </w:r>
    </w:p>
    <w:p>
      <w:pPr>
        <w:spacing w:line="360" w:lineRule="auto"/>
        <w:rPr>
          <w:rFonts w:hAnsi="宋体"/>
          <w:b/>
          <w:color w:val="auto"/>
          <w:sz w:val="28"/>
          <w:szCs w:val="28"/>
          <w:highlight w:val="none"/>
        </w:rPr>
      </w:pPr>
    </w:p>
    <w:p>
      <w:pPr>
        <w:spacing w:line="360" w:lineRule="auto"/>
        <w:rPr>
          <w:rFonts w:hAnsi="宋体"/>
          <w:b/>
          <w:color w:val="auto"/>
          <w:sz w:val="28"/>
          <w:szCs w:val="28"/>
          <w:highlight w:val="none"/>
        </w:rPr>
      </w:pPr>
    </w:p>
    <w:p>
      <w:pPr>
        <w:spacing w:line="360" w:lineRule="auto"/>
        <w:rPr>
          <w:rFonts w:hAnsi="宋体"/>
          <w:b/>
          <w:color w:val="auto"/>
          <w:sz w:val="28"/>
          <w:szCs w:val="28"/>
          <w:highlight w:val="none"/>
        </w:rPr>
      </w:pPr>
    </w:p>
    <w:p>
      <w:pPr>
        <w:spacing w:line="360" w:lineRule="auto"/>
        <w:ind w:firstLine="703" w:firstLineChars="250"/>
        <w:rPr>
          <w:rFonts w:hAnsi="宋体"/>
          <w:b/>
          <w:bCs/>
          <w:color w:val="auto"/>
          <w:sz w:val="28"/>
          <w:szCs w:val="28"/>
          <w:highlight w:val="none"/>
        </w:rPr>
      </w:pPr>
      <w:r>
        <w:rPr>
          <w:rFonts w:hint="eastAsia" w:hAnsi="宋体"/>
          <w:b/>
          <w:bCs/>
          <w:color w:val="auto"/>
          <w:sz w:val="28"/>
          <w:szCs w:val="28"/>
          <w:highlight w:val="none"/>
        </w:rPr>
        <w:t>投标人：</w:t>
      </w:r>
    </w:p>
    <w:p>
      <w:pPr>
        <w:spacing w:line="360" w:lineRule="auto"/>
        <w:ind w:firstLine="703" w:firstLineChars="250"/>
        <w:rPr>
          <w:rFonts w:hAnsi="宋体"/>
          <w:b/>
          <w:bCs/>
          <w:color w:val="auto"/>
          <w:sz w:val="28"/>
          <w:szCs w:val="28"/>
          <w:highlight w:val="none"/>
        </w:rPr>
      </w:pPr>
      <w:r>
        <w:rPr>
          <w:rFonts w:hint="eastAsia" w:hAnsi="宋体"/>
          <w:b/>
          <w:bCs/>
          <w:color w:val="auto"/>
          <w:sz w:val="28"/>
          <w:szCs w:val="28"/>
          <w:highlight w:val="none"/>
        </w:rPr>
        <w:t>投标人地址：</w:t>
      </w:r>
    </w:p>
    <w:p>
      <w:pPr>
        <w:spacing w:line="360" w:lineRule="auto"/>
        <w:ind w:firstLine="703" w:firstLineChars="250"/>
        <w:rPr>
          <w:rFonts w:hAnsi="宋体"/>
          <w:b/>
          <w:bCs/>
          <w:color w:val="auto"/>
          <w:sz w:val="28"/>
          <w:szCs w:val="28"/>
          <w:highlight w:val="none"/>
        </w:rPr>
      </w:pPr>
      <w:r>
        <w:rPr>
          <w:rFonts w:hint="eastAsia" w:hAnsi="宋体"/>
          <w:b/>
          <w:bCs/>
          <w:color w:val="auto"/>
          <w:sz w:val="28"/>
          <w:szCs w:val="28"/>
          <w:highlight w:val="none"/>
        </w:rPr>
        <w:t>联系人：</w:t>
      </w:r>
    </w:p>
    <w:p>
      <w:pPr>
        <w:spacing w:line="360" w:lineRule="auto"/>
        <w:ind w:firstLine="703" w:firstLineChars="250"/>
        <w:rPr>
          <w:rFonts w:hAnsi="宋体"/>
          <w:b/>
          <w:bCs/>
          <w:color w:val="auto"/>
          <w:sz w:val="28"/>
          <w:szCs w:val="28"/>
          <w:highlight w:val="none"/>
        </w:rPr>
      </w:pPr>
      <w:r>
        <w:rPr>
          <w:rFonts w:hint="eastAsia" w:hAnsi="宋体"/>
          <w:b/>
          <w:bCs/>
          <w:color w:val="auto"/>
          <w:sz w:val="28"/>
          <w:szCs w:val="28"/>
          <w:highlight w:val="none"/>
        </w:rPr>
        <w:t>联系电话：</w:t>
      </w:r>
    </w:p>
    <w:p>
      <w:pPr>
        <w:spacing w:line="360" w:lineRule="auto"/>
        <w:ind w:firstLine="703" w:firstLineChars="250"/>
        <w:rPr>
          <w:rFonts w:hAnsi="宋体"/>
          <w:b/>
          <w:bCs/>
          <w:color w:val="auto"/>
          <w:sz w:val="28"/>
          <w:szCs w:val="28"/>
          <w:highlight w:val="none"/>
        </w:rPr>
      </w:pPr>
      <w:r>
        <w:rPr>
          <w:rFonts w:hint="eastAsia" w:hAnsi="宋体"/>
          <w:b/>
          <w:bCs/>
          <w:color w:val="auto"/>
          <w:sz w:val="28"/>
          <w:szCs w:val="28"/>
          <w:highlight w:val="none"/>
        </w:rPr>
        <w:t>电子邮箱：</w:t>
      </w:r>
    </w:p>
    <w:p>
      <w:pPr>
        <w:spacing w:line="360" w:lineRule="auto"/>
        <w:ind w:firstLine="703" w:firstLineChars="250"/>
        <w:rPr>
          <w:rFonts w:hAnsi="宋体"/>
          <w:b/>
          <w:bCs/>
          <w:color w:val="auto"/>
          <w:sz w:val="28"/>
          <w:szCs w:val="28"/>
          <w:highlight w:val="none"/>
        </w:rPr>
      </w:pPr>
      <w:r>
        <w:rPr>
          <w:rFonts w:hint="eastAsia" w:hAnsi="宋体"/>
          <w:b/>
          <w:bCs/>
          <w:color w:val="auto"/>
          <w:sz w:val="28"/>
          <w:szCs w:val="28"/>
          <w:highlight w:val="none"/>
        </w:rPr>
        <w:t>投标日期：2023年 月</w:t>
      </w:r>
    </w:p>
    <w:p>
      <w:pPr>
        <w:pStyle w:val="3"/>
        <w:spacing w:before="120" w:line="480" w:lineRule="exact"/>
        <w:jc w:val="center"/>
        <w:rPr>
          <w:rFonts w:hAnsi="宋体" w:cs="宋体"/>
          <w:b/>
          <w:color w:val="auto"/>
          <w:sz w:val="32"/>
          <w:szCs w:val="32"/>
          <w:highlight w:val="none"/>
        </w:rPr>
      </w:pPr>
      <w:r>
        <w:rPr>
          <w:rFonts w:hint="eastAsia" w:hAnsi="宋体" w:cs="宋体"/>
          <w:color w:val="auto"/>
          <w:szCs w:val="21"/>
          <w:highlight w:val="none"/>
          <w:lang w:val="zh-CN"/>
        </w:rPr>
        <w:br w:type="page"/>
      </w:r>
      <w:r>
        <w:rPr>
          <w:rFonts w:hint="eastAsia" w:hAnsi="宋体" w:cs="宋体"/>
          <w:b/>
          <w:color w:val="auto"/>
          <w:sz w:val="32"/>
          <w:szCs w:val="32"/>
          <w:highlight w:val="none"/>
        </w:rPr>
        <w:t>一、自查表</w:t>
      </w:r>
    </w:p>
    <w:p>
      <w:pPr>
        <w:pStyle w:val="3"/>
        <w:spacing w:before="120" w:line="480" w:lineRule="exact"/>
        <w:jc w:val="center"/>
        <w:rPr>
          <w:rFonts w:hAnsi="宋体" w:cs="宋体"/>
          <w:b/>
          <w:color w:val="auto"/>
          <w:sz w:val="32"/>
          <w:szCs w:val="32"/>
          <w:highlight w:val="none"/>
        </w:rPr>
      </w:pPr>
      <w:r>
        <w:rPr>
          <w:rFonts w:hint="eastAsia" w:hAnsi="宋体" w:cs="宋体"/>
          <w:b/>
          <w:color w:val="auto"/>
          <w:sz w:val="32"/>
          <w:szCs w:val="32"/>
          <w:highlight w:val="none"/>
        </w:rPr>
        <w:t>1.资格性/符合性自查表</w:t>
      </w:r>
    </w:p>
    <w:tbl>
      <w:tblPr>
        <w:tblStyle w:val="49"/>
        <w:tblW w:w="0" w:type="auto"/>
        <w:tblInd w:w="5" w:type="dxa"/>
        <w:tblLayout w:type="fixed"/>
        <w:tblCellMar>
          <w:top w:w="0" w:type="dxa"/>
          <w:left w:w="0" w:type="dxa"/>
          <w:bottom w:w="0" w:type="dxa"/>
          <w:right w:w="0" w:type="dxa"/>
        </w:tblCellMar>
      </w:tblPr>
      <w:tblGrid>
        <w:gridCol w:w="709"/>
        <w:gridCol w:w="1559"/>
        <w:gridCol w:w="5245"/>
        <w:gridCol w:w="1134"/>
        <w:gridCol w:w="1134"/>
      </w:tblGrid>
      <w:tr>
        <w:tblPrEx>
          <w:tblCellMar>
            <w:top w:w="0" w:type="dxa"/>
            <w:left w:w="0" w:type="dxa"/>
            <w:bottom w:w="0" w:type="dxa"/>
            <w:right w:w="0" w:type="dxa"/>
          </w:tblCellMar>
        </w:tblPrEx>
        <w:trPr>
          <w:trHeight w:val="522"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ind w:left="-171"/>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评审内容</w:t>
            </w:r>
          </w:p>
        </w:tc>
        <w:tc>
          <w:tcPr>
            <w:tcW w:w="5245" w:type="dxa"/>
            <w:tcBorders>
              <w:top w:val="single" w:color="auto" w:sz="4" w:space="0"/>
              <w:left w:val="single" w:color="auto" w:sz="4" w:space="0"/>
              <w:bottom w:val="single" w:color="auto" w:sz="4" w:space="0"/>
              <w:right w:val="single" w:color="auto" w:sz="4" w:space="0"/>
            </w:tcBorders>
            <w:vAlign w:val="center"/>
          </w:tcPr>
          <w:p>
            <w:pPr>
              <w:ind w:left="-171"/>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采购文件要求</w:t>
            </w:r>
          </w:p>
        </w:tc>
        <w:tc>
          <w:tcPr>
            <w:tcW w:w="1134" w:type="dxa"/>
            <w:tcBorders>
              <w:top w:val="single" w:color="auto" w:sz="4" w:space="0"/>
              <w:left w:val="nil"/>
              <w:bottom w:val="single" w:color="auto" w:sz="4" w:space="0"/>
              <w:right w:val="single" w:color="auto" w:sz="4" w:space="0"/>
            </w:tcBorders>
            <w:vAlign w:val="center"/>
          </w:tcPr>
          <w:p>
            <w:pPr>
              <w:ind w:left="-171"/>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自查结论</w:t>
            </w:r>
          </w:p>
        </w:tc>
        <w:tc>
          <w:tcPr>
            <w:tcW w:w="1134" w:type="dxa"/>
            <w:tcBorders>
              <w:top w:val="single" w:color="auto" w:sz="4" w:space="0"/>
              <w:left w:val="single" w:color="auto" w:sz="4" w:space="0"/>
              <w:bottom w:val="single" w:color="000000" w:sz="4" w:space="0"/>
              <w:right w:val="single" w:color="auto" w:sz="4" w:space="0"/>
            </w:tcBorders>
            <w:vAlign w:val="center"/>
          </w:tcPr>
          <w:p>
            <w:pPr>
              <w:ind w:left="-171"/>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证明资料</w:t>
            </w:r>
          </w:p>
        </w:tc>
      </w:tr>
      <w:tr>
        <w:tblPrEx>
          <w:tblCellMar>
            <w:top w:w="0" w:type="dxa"/>
            <w:left w:w="0" w:type="dxa"/>
            <w:bottom w:w="0" w:type="dxa"/>
            <w:right w:w="0" w:type="dxa"/>
          </w:tblCellMar>
        </w:tblPrEx>
        <w:trPr>
          <w:trHeight w:val="510" w:hRule="atLeast"/>
        </w:trPr>
        <w:tc>
          <w:tcPr>
            <w:tcW w:w="709" w:type="dxa"/>
            <w:vMerge w:val="restart"/>
            <w:tcBorders>
              <w:top w:val="nil"/>
              <w:left w:val="single" w:color="auto" w:sz="4" w:space="0"/>
              <w:right w:val="single" w:color="auto" w:sz="4" w:space="0"/>
            </w:tcBorders>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资格性检查</w:t>
            </w:r>
          </w:p>
        </w:tc>
        <w:tc>
          <w:tcPr>
            <w:tcW w:w="1559" w:type="dxa"/>
            <w:tcBorders>
              <w:top w:val="nil"/>
              <w:left w:val="nil"/>
              <w:bottom w:val="single" w:color="auto" w:sz="4" w:space="0"/>
              <w:right w:val="single" w:color="auto" w:sz="4" w:space="0"/>
            </w:tcBorders>
            <w:vAlign w:val="center"/>
          </w:tcPr>
          <w:p>
            <w:pPr>
              <w:ind w:left="40" w:leftChars="19"/>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投标函</w:t>
            </w:r>
          </w:p>
        </w:tc>
        <w:tc>
          <w:tcPr>
            <w:tcW w:w="5245" w:type="dxa"/>
            <w:tcBorders>
              <w:top w:val="nil"/>
              <w:left w:val="nil"/>
              <w:bottom w:val="single" w:color="auto" w:sz="4" w:space="0"/>
              <w:right w:val="single" w:color="auto" w:sz="4" w:space="0"/>
            </w:tcBorders>
            <w:vAlign w:val="center"/>
          </w:tcPr>
          <w:p>
            <w:pPr>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按对应格式文件填写、签署、盖章(原件)</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510" w:hRule="atLeast"/>
        </w:trPr>
        <w:tc>
          <w:tcPr>
            <w:tcW w:w="709" w:type="dxa"/>
            <w:vMerge w:val="continue"/>
            <w:tcBorders>
              <w:left w:val="single" w:color="auto" w:sz="4" w:space="0"/>
              <w:right w:val="single" w:color="auto" w:sz="4" w:space="0"/>
            </w:tcBorders>
            <w:vAlign w:val="center"/>
          </w:tcPr>
          <w:p>
            <w:pPr>
              <w:jc w:val="center"/>
              <w:rPr>
                <w:rFonts w:ascii="仿宋" w:hAnsi="仿宋" w:eastAsia="仿宋" w:cs="仿宋"/>
                <w:color w:val="auto"/>
                <w:szCs w:val="21"/>
                <w:highlight w:val="none"/>
              </w:rPr>
            </w:pPr>
          </w:p>
        </w:tc>
        <w:tc>
          <w:tcPr>
            <w:tcW w:w="1559" w:type="dxa"/>
            <w:tcBorders>
              <w:top w:val="nil"/>
              <w:left w:val="nil"/>
              <w:bottom w:val="single" w:color="auto" w:sz="4" w:space="0"/>
              <w:right w:val="single" w:color="auto" w:sz="4" w:space="0"/>
            </w:tcBorders>
            <w:vAlign w:val="center"/>
          </w:tcPr>
          <w:p>
            <w:pPr>
              <w:ind w:left="40" w:leftChars="19"/>
              <w:jc w:val="center"/>
              <w:rPr>
                <w:rFonts w:ascii="仿宋" w:hAnsi="仿宋" w:eastAsia="仿宋" w:cs="仿宋"/>
                <w:color w:val="auto"/>
                <w:szCs w:val="21"/>
                <w:highlight w:val="none"/>
              </w:rPr>
            </w:pPr>
            <w:r>
              <w:rPr>
                <w:rFonts w:hint="eastAsia" w:ascii="仿宋" w:hAnsi="仿宋" w:eastAsia="仿宋" w:cs="仿宋"/>
                <w:color w:val="auto"/>
                <w:szCs w:val="21"/>
                <w:highlight w:val="none"/>
              </w:rPr>
              <w:t>法定代表人/负责人资格证明书及授权委托书</w:t>
            </w:r>
          </w:p>
        </w:tc>
        <w:tc>
          <w:tcPr>
            <w:tcW w:w="5245" w:type="dxa"/>
            <w:tcBorders>
              <w:top w:val="nil"/>
              <w:left w:val="nil"/>
              <w:bottom w:val="single" w:color="auto" w:sz="4" w:space="0"/>
              <w:right w:val="single" w:color="auto" w:sz="4" w:space="0"/>
            </w:tcBorders>
            <w:vAlign w:val="center"/>
          </w:tcPr>
          <w:p>
            <w:pPr>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按对应格式文件签署、盖章(原件)</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916" w:hRule="atLeast"/>
        </w:trPr>
        <w:tc>
          <w:tcPr>
            <w:tcW w:w="709" w:type="dxa"/>
            <w:vMerge w:val="continue"/>
            <w:tcBorders>
              <w:left w:val="single" w:color="auto" w:sz="4" w:space="0"/>
              <w:right w:val="single" w:color="auto" w:sz="4" w:space="0"/>
            </w:tcBorders>
            <w:vAlign w:val="center"/>
          </w:tcPr>
          <w:p>
            <w:pPr>
              <w:ind w:left="-171"/>
              <w:jc w:val="center"/>
              <w:rPr>
                <w:rFonts w:ascii="仿宋" w:hAnsi="仿宋" w:eastAsia="仿宋" w:cs="仿宋"/>
                <w:color w:val="auto"/>
                <w:szCs w:val="21"/>
                <w:highlight w:val="none"/>
              </w:rPr>
            </w:pPr>
          </w:p>
        </w:tc>
        <w:tc>
          <w:tcPr>
            <w:tcW w:w="1559" w:type="dxa"/>
            <w:tcBorders>
              <w:top w:val="single" w:color="auto" w:sz="4" w:space="0"/>
              <w:left w:val="nil"/>
              <w:bottom w:val="single" w:color="auto" w:sz="4" w:space="0"/>
              <w:right w:val="single" w:color="auto" w:sz="4" w:space="0"/>
            </w:tcBorders>
            <w:vAlign w:val="center"/>
          </w:tcPr>
          <w:p>
            <w:pPr>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准入条件(关于资格的声明)</w:t>
            </w:r>
          </w:p>
        </w:tc>
        <w:tc>
          <w:tcPr>
            <w:tcW w:w="5245" w:type="dxa"/>
            <w:tcBorders>
              <w:top w:val="nil"/>
              <w:left w:val="nil"/>
              <w:bottom w:val="single" w:color="auto" w:sz="4" w:space="0"/>
              <w:right w:val="single" w:color="auto" w:sz="4" w:space="0"/>
            </w:tcBorders>
            <w:vAlign w:val="center"/>
          </w:tcPr>
          <w:p>
            <w:pPr>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能独立承担民事责任，具有从事本项目的经营范围和能力。提供《营业执照》</w:t>
            </w:r>
            <w:r>
              <w:rPr>
                <w:rFonts w:hint="eastAsia" w:ascii="仿宋" w:hAnsi="仿宋" w:eastAsia="仿宋" w:cs="仿宋"/>
                <w:bCs/>
                <w:color w:val="auto"/>
                <w:szCs w:val="21"/>
                <w:highlight w:val="none"/>
              </w:rPr>
              <w:t>副本复印件</w:t>
            </w:r>
            <w:r>
              <w:rPr>
                <w:rFonts w:hint="eastAsia" w:ascii="仿宋" w:hAnsi="仿宋" w:eastAsia="仿宋" w:cs="仿宋"/>
                <w:color w:val="auto"/>
                <w:szCs w:val="21"/>
                <w:highlight w:val="none"/>
              </w:rPr>
              <w:t>、</w:t>
            </w:r>
            <w:r>
              <w:rPr>
                <w:rFonts w:hint="eastAsia" w:ascii="仿宋" w:hAnsi="仿宋" w:eastAsia="仿宋" w:cs="仿宋"/>
                <w:bCs/>
                <w:color w:val="auto"/>
                <w:szCs w:val="21"/>
                <w:highlight w:val="none"/>
              </w:rPr>
              <w:t>招标公告要求的资质资格证明复印件</w:t>
            </w:r>
            <w:r>
              <w:rPr>
                <w:rFonts w:hint="eastAsia" w:ascii="仿宋" w:hAnsi="仿宋" w:eastAsia="仿宋" w:cs="仿宋"/>
                <w:color w:val="auto"/>
                <w:szCs w:val="21"/>
                <w:highlight w:val="none"/>
              </w:rPr>
              <w:t>加盖公章（见《投标须知前附表》）。</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731" w:hRule="atLeast"/>
        </w:trPr>
        <w:tc>
          <w:tcPr>
            <w:tcW w:w="709" w:type="dxa"/>
            <w:vMerge w:val="continue"/>
            <w:tcBorders>
              <w:left w:val="single" w:color="auto" w:sz="4" w:space="0"/>
              <w:right w:val="single" w:color="auto" w:sz="4" w:space="0"/>
            </w:tcBorders>
            <w:vAlign w:val="center"/>
          </w:tcPr>
          <w:p>
            <w:pPr>
              <w:ind w:left="-171"/>
              <w:jc w:val="center"/>
              <w:rPr>
                <w:rFonts w:ascii="仿宋" w:hAnsi="仿宋" w:eastAsia="仿宋" w:cs="仿宋"/>
                <w:color w:val="auto"/>
                <w:szCs w:val="21"/>
                <w:highlight w:val="none"/>
              </w:rPr>
            </w:pPr>
          </w:p>
        </w:tc>
        <w:tc>
          <w:tcPr>
            <w:tcW w:w="1559" w:type="dxa"/>
            <w:vMerge w:val="restart"/>
            <w:tcBorders>
              <w:top w:val="single" w:color="auto" w:sz="4" w:space="0"/>
              <w:left w:val="nil"/>
              <w:right w:val="single" w:color="auto" w:sz="4" w:space="0"/>
            </w:tcBorders>
            <w:vAlign w:val="center"/>
          </w:tcPr>
          <w:p>
            <w:pPr>
              <w:ind w:left="40" w:leftChars="19"/>
              <w:jc w:val="center"/>
              <w:rPr>
                <w:rFonts w:ascii="仿宋" w:hAnsi="仿宋" w:eastAsia="仿宋" w:cs="仿宋"/>
                <w:color w:val="auto"/>
                <w:szCs w:val="21"/>
                <w:highlight w:val="none"/>
              </w:rPr>
            </w:pPr>
            <w:r>
              <w:rPr>
                <w:rFonts w:hint="eastAsia" w:ascii="仿宋" w:hAnsi="仿宋" w:eastAsia="仿宋" w:cs="仿宋"/>
                <w:color w:val="auto"/>
                <w:szCs w:val="21"/>
                <w:highlight w:val="none"/>
              </w:rPr>
              <w:t>其他要求</w:t>
            </w:r>
          </w:p>
        </w:tc>
        <w:tc>
          <w:tcPr>
            <w:tcW w:w="5245" w:type="dxa"/>
            <w:tcBorders>
              <w:top w:val="nil"/>
              <w:left w:val="nil"/>
              <w:bottom w:val="single" w:color="auto" w:sz="4" w:space="0"/>
              <w:right w:val="single" w:color="auto" w:sz="4" w:space="0"/>
            </w:tcBorders>
            <w:vAlign w:val="center"/>
          </w:tcPr>
          <w:p>
            <w:pPr>
              <w:spacing w:line="300" w:lineRule="auto"/>
              <w:jc w:val="both"/>
              <w:rPr>
                <w:rFonts w:ascii="仿宋" w:hAnsi="仿宋" w:eastAsia="仿宋" w:cs="仿宋"/>
                <w:color w:val="auto"/>
                <w:kern w:val="2"/>
                <w:szCs w:val="21"/>
                <w:highlight w:val="none"/>
                <w:lang w:val="zh-CN"/>
              </w:rPr>
            </w:pPr>
            <w:r>
              <w:rPr>
                <w:rFonts w:hint="eastAsia" w:ascii="仿宋" w:hAnsi="仿宋" w:eastAsia="仿宋" w:cs="仿宋"/>
                <w:color w:val="auto"/>
                <w:szCs w:val="21"/>
                <w:highlight w:val="none"/>
              </w:rPr>
              <w:t>按投标资料清单中规定提供“必须提交”的文件资料</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731" w:hRule="atLeast"/>
        </w:trPr>
        <w:tc>
          <w:tcPr>
            <w:tcW w:w="709" w:type="dxa"/>
            <w:vMerge w:val="continue"/>
            <w:tcBorders>
              <w:left w:val="single" w:color="auto" w:sz="4" w:space="0"/>
              <w:bottom w:val="single" w:color="auto" w:sz="4" w:space="0"/>
              <w:right w:val="single" w:color="auto" w:sz="4" w:space="0"/>
            </w:tcBorders>
            <w:vAlign w:val="center"/>
          </w:tcPr>
          <w:p>
            <w:pPr>
              <w:ind w:left="-171"/>
              <w:jc w:val="center"/>
              <w:rPr>
                <w:rFonts w:ascii="仿宋" w:hAnsi="仿宋" w:eastAsia="仿宋" w:cs="仿宋"/>
                <w:color w:val="auto"/>
                <w:szCs w:val="21"/>
                <w:highlight w:val="none"/>
              </w:rPr>
            </w:pPr>
          </w:p>
        </w:tc>
        <w:tc>
          <w:tcPr>
            <w:tcW w:w="1559" w:type="dxa"/>
            <w:vMerge w:val="continue"/>
            <w:tcBorders>
              <w:left w:val="nil"/>
              <w:bottom w:val="single" w:color="auto" w:sz="4" w:space="0"/>
              <w:right w:val="single" w:color="auto" w:sz="4" w:space="0"/>
            </w:tcBorders>
            <w:vAlign w:val="center"/>
          </w:tcPr>
          <w:p>
            <w:pPr>
              <w:ind w:left="40" w:leftChars="19"/>
              <w:jc w:val="both"/>
              <w:rPr>
                <w:rFonts w:ascii="仿宋" w:hAnsi="仿宋" w:eastAsia="仿宋" w:cs="仿宋"/>
                <w:color w:val="auto"/>
                <w:szCs w:val="21"/>
                <w:highlight w:val="none"/>
              </w:rPr>
            </w:pP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在参与政府采购活动中未有违法违纪行为并受过处罚</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1033" w:hRule="atLeast"/>
        </w:trPr>
        <w:tc>
          <w:tcPr>
            <w:tcW w:w="709" w:type="dxa"/>
            <w:vMerge w:val="restart"/>
            <w:tcBorders>
              <w:top w:val="nil"/>
              <w:left w:val="single" w:color="auto" w:sz="4" w:space="0"/>
              <w:bottom w:val="single" w:color="000000" w:sz="4" w:space="0"/>
              <w:right w:val="single" w:color="auto" w:sz="4" w:space="0"/>
            </w:tcBorders>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符合性审查</w:t>
            </w:r>
          </w:p>
        </w:tc>
        <w:tc>
          <w:tcPr>
            <w:tcW w:w="1559" w:type="dxa"/>
            <w:tcBorders>
              <w:top w:val="nil"/>
              <w:left w:val="single" w:color="auto" w:sz="4" w:space="0"/>
              <w:bottom w:val="single" w:color="auto" w:sz="4" w:space="0"/>
              <w:right w:val="single" w:color="auto" w:sz="4" w:space="0"/>
            </w:tcBorders>
            <w:vAlign w:val="center"/>
          </w:tcPr>
          <w:p>
            <w:pPr>
              <w:ind w:left="-171"/>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报价人的</w:t>
            </w:r>
          </w:p>
          <w:p>
            <w:pPr>
              <w:ind w:left="-171"/>
              <w:jc w:val="center"/>
              <w:rPr>
                <w:rFonts w:ascii="仿宋" w:hAnsi="仿宋" w:eastAsia="仿宋" w:cs="仿宋"/>
                <w:color w:val="auto"/>
                <w:szCs w:val="21"/>
                <w:highlight w:val="none"/>
              </w:rPr>
            </w:pPr>
            <w:r>
              <w:rPr>
                <w:rFonts w:hint="eastAsia" w:ascii="仿宋" w:hAnsi="仿宋" w:eastAsia="仿宋" w:cs="仿宋"/>
                <w:color w:val="auto"/>
                <w:szCs w:val="21"/>
                <w:highlight w:val="none"/>
              </w:rPr>
              <w:t>合格性</w:t>
            </w:r>
          </w:p>
        </w:tc>
        <w:tc>
          <w:tcPr>
            <w:tcW w:w="5245" w:type="dxa"/>
            <w:tcBorders>
              <w:top w:val="single" w:color="auto" w:sz="4" w:space="0"/>
              <w:left w:val="nil"/>
              <w:bottom w:val="single" w:color="auto" w:sz="4" w:space="0"/>
              <w:right w:val="single" w:color="auto" w:sz="4" w:space="0"/>
            </w:tcBorders>
            <w:vAlign w:val="center"/>
          </w:tcPr>
          <w:p>
            <w:pPr>
              <w:jc w:val="both"/>
              <w:rPr>
                <w:rFonts w:ascii="仿宋" w:hAnsi="仿宋" w:eastAsia="仿宋" w:cs="仿宋"/>
                <w:color w:val="auto"/>
                <w:szCs w:val="21"/>
                <w:highlight w:val="none"/>
              </w:rPr>
            </w:pPr>
            <w:r>
              <w:rPr>
                <w:rFonts w:hint="eastAsia" w:ascii="仿宋" w:hAnsi="仿宋" w:eastAsia="仿宋" w:cs="仿宋"/>
                <w:color w:val="auto"/>
                <w:szCs w:val="21"/>
                <w:highlight w:val="none"/>
              </w:rPr>
              <w:t>在经营范围内报价</w:t>
            </w:r>
          </w:p>
        </w:tc>
        <w:tc>
          <w:tcPr>
            <w:tcW w:w="1134" w:type="dxa"/>
            <w:tcBorders>
              <w:top w:val="single" w:color="auto" w:sz="4" w:space="0"/>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single" w:color="auto" w:sz="4" w:space="0"/>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319" w:hRule="atLeast"/>
        </w:trPr>
        <w:tc>
          <w:tcPr>
            <w:tcW w:w="709" w:type="dxa"/>
            <w:vMerge w:val="continue"/>
            <w:tcBorders>
              <w:top w:val="nil"/>
              <w:left w:val="single" w:color="auto" w:sz="4" w:space="0"/>
              <w:bottom w:val="single" w:color="000000" w:sz="4" w:space="0"/>
              <w:right w:val="single" w:color="auto" w:sz="4" w:space="0"/>
            </w:tcBorders>
            <w:vAlign w:val="center"/>
          </w:tcPr>
          <w:p>
            <w:pPr>
              <w:ind w:left="-171"/>
              <w:jc w:val="center"/>
              <w:rPr>
                <w:rFonts w:ascii="仿宋" w:hAnsi="仿宋" w:eastAsia="仿宋" w:cs="仿宋"/>
                <w:color w:val="auto"/>
                <w:szCs w:val="21"/>
                <w:highlight w:val="none"/>
              </w:rPr>
            </w:pPr>
          </w:p>
        </w:tc>
        <w:tc>
          <w:tcPr>
            <w:tcW w:w="1559" w:type="dxa"/>
            <w:tcBorders>
              <w:top w:val="single" w:color="auto" w:sz="4" w:space="0"/>
              <w:left w:val="nil"/>
              <w:bottom w:val="single" w:color="auto" w:sz="4" w:space="0"/>
              <w:right w:val="single" w:color="auto" w:sz="4" w:space="0"/>
            </w:tcBorders>
            <w:vAlign w:val="center"/>
          </w:tcPr>
          <w:p>
            <w:pPr>
              <w:ind w:left="-171"/>
              <w:jc w:val="center"/>
              <w:rPr>
                <w:rFonts w:ascii="仿宋" w:hAnsi="仿宋" w:eastAsia="仿宋" w:cs="仿宋"/>
                <w:color w:val="auto"/>
                <w:szCs w:val="21"/>
                <w:highlight w:val="none"/>
              </w:rPr>
            </w:pPr>
            <w:r>
              <w:rPr>
                <w:rFonts w:hint="eastAsia" w:ascii="仿宋" w:hAnsi="仿宋" w:eastAsia="仿宋" w:cs="仿宋"/>
                <w:color w:val="auto"/>
                <w:szCs w:val="21"/>
                <w:highlight w:val="none"/>
              </w:rPr>
              <w:t>商务要求</w:t>
            </w: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实质性响应招标文件中“★”号参数的商务要求</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450" w:hRule="atLeast"/>
        </w:trPr>
        <w:tc>
          <w:tcPr>
            <w:tcW w:w="709" w:type="dxa"/>
            <w:vMerge w:val="continue"/>
            <w:tcBorders>
              <w:top w:val="nil"/>
              <w:left w:val="single" w:color="auto" w:sz="4" w:space="0"/>
              <w:bottom w:val="single" w:color="000000" w:sz="4" w:space="0"/>
              <w:right w:val="single" w:color="auto" w:sz="4" w:space="0"/>
            </w:tcBorders>
            <w:vAlign w:val="center"/>
          </w:tcPr>
          <w:p>
            <w:pPr>
              <w:ind w:left="-171"/>
              <w:jc w:val="center"/>
              <w:rPr>
                <w:rFonts w:ascii="仿宋" w:hAnsi="仿宋" w:eastAsia="仿宋" w:cs="仿宋"/>
                <w:color w:val="auto"/>
                <w:szCs w:val="21"/>
                <w:highlight w:val="none"/>
              </w:rPr>
            </w:pPr>
          </w:p>
        </w:tc>
        <w:tc>
          <w:tcPr>
            <w:tcW w:w="1559" w:type="dxa"/>
            <w:tcBorders>
              <w:top w:val="single" w:color="auto" w:sz="4" w:space="0"/>
              <w:left w:val="nil"/>
              <w:bottom w:val="single" w:color="auto" w:sz="4" w:space="0"/>
              <w:right w:val="single" w:color="auto" w:sz="4" w:space="0"/>
            </w:tcBorders>
            <w:vAlign w:val="center"/>
          </w:tcPr>
          <w:p>
            <w:pPr>
              <w:ind w:left="-171"/>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技术要求</w:t>
            </w: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实质性响应招标文件中“★”号参数的技术要求</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450" w:hRule="atLeast"/>
        </w:trPr>
        <w:tc>
          <w:tcPr>
            <w:tcW w:w="709" w:type="dxa"/>
            <w:vMerge w:val="continue"/>
            <w:tcBorders>
              <w:top w:val="nil"/>
              <w:left w:val="single" w:color="auto" w:sz="4" w:space="0"/>
              <w:bottom w:val="single" w:color="000000" w:sz="4" w:space="0"/>
              <w:right w:val="single" w:color="auto" w:sz="4" w:space="0"/>
            </w:tcBorders>
            <w:vAlign w:val="center"/>
          </w:tcPr>
          <w:p>
            <w:pPr>
              <w:ind w:left="-171"/>
              <w:jc w:val="center"/>
              <w:rPr>
                <w:rFonts w:ascii="仿宋" w:hAnsi="仿宋" w:eastAsia="仿宋" w:cs="仿宋"/>
                <w:color w:val="auto"/>
                <w:szCs w:val="21"/>
                <w:highlight w:val="none"/>
              </w:rPr>
            </w:pPr>
          </w:p>
        </w:tc>
        <w:tc>
          <w:tcPr>
            <w:tcW w:w="1559" w:type="dxa"/>
            <w:tcBorders>
              <w:top w:val="nil"/>
              <w:left w:val="nil"/>
              <w:bottom w:val="single" w:color="auto" w:sz="4" w:space="0"/>
              <w:right w:val="single" w:color="auto" w:sz="4" w:space="0"/>
            </w:tcBorders>
            <w:vAlign w:val="center"/>
          </w:tcPr>
          <w:p>
            <w:pPr>
              <w:ind w:left="-171"/>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报价要求</w:t>
            </w: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报价方案是唯一确定</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r>
        <w:tblPrEx>
          <w:tblCellMar>
            <w:top w:w="0" w:type="dxa"/>
            <w:left w:w="0" w:type="dxa"/>
            <w:bottom w:w="0" w:type="dxa"/>
            <w:right w:w="0" w:type="dxa"/>
          </w:tblCellMar>
        </w:tblPrEx>
        <w:trPr>
          <w:trHeight w:val="450" w:hRule="atLeast"/>
        </w:trPr>
        <w:tc>
          <w:tcPr>
            <w:tcW w:w="709" w:type="dxa"/>
            <w:vMerge w:val="continue"/>
            <w:tcBorders>
              <w:top w:val="nil"/>
              <w:left w:val="single" w:color="auto" w:sz="4" w:space="0"/>
              <w:bottom w:val="single" w:color="000000" w:sz="4" w:space="0"/>
              <w:right w:val="single" w:color="auto" w:sz="4" w:space="0"/>
            </w:tcBorders>
            <w:vAlign w:val="center"/>
          </w:tcPr>
          <w:p>
            <w:pPr>
              <w:ind w:left="-171"/>
              <w:jc w:val="center"/>
              <w:rPr>
                <w:rFonts w:ascii="仿宋" w:hAnsi="仿宋" w:eastAsia="仿宋" w:cs="仿宋"/>
                <w:color w:val="auto"/>
                <w:szCs w:val="21"/>
                <w:highlight w:val="none"/>
              </w:rPr>
            </w:pPr>
          </w:p>
        </w:tc>
        <w:tc>
          <w:tcPr>
            <w:tcW w:w="1559" w:type="dxa"/>
            <w:tcBorders>
              <w:top w:val="nil"/>
              <w:left w:val="nil"/>
              <w:bottom w:val="single" w:color="auto" w:sz="4" w:space="0"/>
              <w:right w:val="single" w:color="auto" w:sz="4" w:space="0"/>
            </w:tcBorders>
            <w:vAlign w:val="center"/>
          </w:tcPr>
          <w:p>
            <w:pPr>
              <w:ind w:left="-171"/>
              <w:jc w:val="center"/>
              <w:rPr>
                <w:rFonts w:ascii="仿宋" w:hAnsi="仿宋" w:eastAsia="仿宋" w:cs="仿宋"/>
                <w:color w:val="auto"/>
                <w:szCs w:val="21"/>
                <w:highlight w:val="none"/>
              </w:rPr>
            </w:pPr>
            <w:r>
              <w:rPr>
                <w:rFonts w:hint="eastAsia" w:ascii="仿宋" w:hAnsi="仿宋" w:eastAsia="仿宋" w:cs="仿宋"/>
                <w:color w:val="auto"/>
                <w:szCs w:val="21"/>
                <w:highlight w:val="none"/>
              </w:rPr>
              <w:t>其它</w:t>
            </w: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ascii="仿宋" w:hAnsi="仿宋" w:eastAsia="仿宋" w:cs="仿宋"/>
                <w:color w:val="auto"/>
                <w:szCs w:val="21"/>
                <w:highlight w:val="none"/>
              </w:rPr>
            </w:pPr>
            <w:r>
              <w:rPr>
                <w:rFonts w:hint="eastAsia" w:ascii="仿宋" w:hAnsi="仿宋" w:eastAsia="仿宋" w:cs="仿宋"/>
                <w:color w:val="auto"/>
                <w:szCs w:val="21"/>
                <w:highlight w:val="none"/>
              </w:rPr>
              <w:t>实质性响应招标文件中规定的其它情况</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□通过</w:t>
            </w:r>
          </w:p>
          <w:p>
            <w:pPr>
              <w:ind w:left="264" w:leftChars="59" w:hanging="140" w:hangingChars="67"/>
              <w:jc w:val="both"/>
              <w:rPr>
                <w:rFonts w:ascii="仿宋" w:hAnsi="仿宋" w:eastAsia="仿宋" w:cs="仿宋"/>
                <w:color w:val="auto"/>
                <w:szCs w:val="21"/>
                <w:highlight w:val="none"/>
              </w:rPr>
            </w:pPr>
            <w:r>
              <w:rPr>
                <w:rFonts w:hint="eastAsia" w:ascii="仿宋" w:hAnsi="仿宋" w:eastAsia="仿宋" w:cs="仿宋"/>
                <w:color w:val="auto"/>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ascii="仿宋" w:hAnsi="仿宋" w:eastAsia="仿宋" w:cs="仿宋"/>
                <w:color w:val="auto"/>
                <w:szCs w:val="21"/>
                <w:highlight w:val="none"/>
              </w:rPr>
            </w:pPr>
            <w:r>
              <w:rPr>
                <w:rFonts w:hint="eastAsia" w:ascii="仿宋" w:hAnsi="仿宋" w:eastAsia="仿宋" w:cs="仿宋"/>
                <w:color w:val="auto"/>
                <w:szCs w:val="21"/>
                <w:highlight w:val="none"/>
              </w:rPr>
              <w:t>见投标文件第（）页</w:t>
            </w:r>
          </w:p>
        </w:tc>
      </w:tr>
    </w:tbl>
    <w:p>
      <w:pPr>
        <w:rPr>
          <w:rFonts w:ascii="仿宋" w:hAnsi="仿宋" w:eastAsia="仿宋" w:cs="仿宋"/>
          <w:color w:val="auto"/>
          <w:highlight w:val="none"/>
        </w:rPr>
      </w:pPr>
    </w:p>
    <w:p>
      <w:pPr>
        <w:pStyle w:val="20"/>
        <w:spacing w:line="360" w:lineRule="exact"/>
        <w:ind w:left="422" w:hanging="422" w:hangingChars="200"/>
        <w:jc w:val="both"/>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注：以上材料将作为投标人合格性和有效性审核的重要内容之一，投标人必须严格按照其内容及序列要求在投标文件中对应如实提供，对缺漏和不符合项将会直接导致无效投标！在对应的□打“√”。</w:t>
      </w:r>
    </w:p>
    <w:p>
      <w:pPr>
        <w:snapToGrid w:val="0"/>
        <w:spacing w:line="300" w:lineRule="auto"/>
        <w:rPr>
          <w:rFonts w:ascii="仿宋" w:hAnsi="仿宋" w:eastAsia="仿宋" w:cs="仿宋"/>
          <w:color w:val="auto"/>
          <w:szCs w:val="21"/>
          <w:highlight w:val="none"/>
        </w:rPr>
      </w:pP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投标人法定代表人（或法定代表人授权代表）亲笔签字：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   年   月   日</w:t>
      </w:r>
    </w:p>
    <w:p>
      <w:pPr>
        <w:pStyle w:val="20"/>
        <w:spacing w:line="360" w:lineRule="exact"/>
        <w:rPr>
          <w:rFonts w:hAnsi="宋体" w:cs="宋体"/>
          <w:color w:val="auto"/>
          <w:sz w:val="21"/>
          <w:highlight w:val="none"/>
        </w:rPr>
      </w:pPr>
    </w:p>
    <w:p>
      <w:pPr>
        <w:pStyle w:val="20"/>
        <w:spacing w:line="360" w:lineRule="exact"/>
        <w:jc w:val="left"/>
        <w:rPr>
          <w:rFonts w:hAnsi="宋体" w:cs="宋体"/>
          <w:color w:val="auto"/>
          <w:sz w:val="21"/>
          <w:highlight w:val="none"/>
        </w:rPr>
      </w:pPr>
    </w:p>
    <w:p>
      <w:pPr>
        <w:pStyle w:val="20"/>
        <w:spacing w:line="360" w:lineRule="exact"/>
        <w:jc w:val="left"/>
        <w:rPr>
          <w:rFonts w:hAnsi="宋体" w:cs="宋体"/>
          <w:color w:val="auto"/>
          <w:sz w:val="21"/>
          <w:highlight w:val="none"/>
        </w:rPr>
      </w:pPr>
    </w:p>
    <w:p>
      <w:pPr>
        <w:pStyle w:val="20"/>
        <w:spacing w:line="360" w:lineRule="exact"/>
        <w:jc w:val="left"/>
        <w:rPr>
          <w:rFonts w:hAnsi="宋体" w:cs="宋体"/>
          <w:color w:val="auto"/>
          <w:sz w:val="21"/>
          <w:highlight w:val="none"/>
        </w:rPr>
      </w:pPr>
    </w:p>
    <w:p>
      <w:pPr>
        <w:pStyle w:val="20"/>
        <w:spacing w:line="360" w:lineRule="exact"/>
        <w:jc w:val="left"/>
        <w:rPr>
          <w:rFonts w:hAnsi="宋体" w:cs="宋体"/>
          <w:color w:val="auto"/>
          <w:sz w:val="21"/>
          <w:highlight w:val="none"/>
        </w:rPr>
      </w:pPr>
    </w:p>
    <w:p>
      <w:pPr>
        <w:pStyle w:val="20"/>
        <w:spacing w:line="360" w:lineRule="exact"/>
        <w:jc w:val="left"/>
        <w:rPr>
          <w:rFonts w:hAnsi="宋体" w:cs="宋体"/>
          <w:color w:val="auto"/>
          <w:sz w:val="21"/>
          <w:highlight w:val="none"/>
        </w:rPr>
      </w:pPr>
    </w:p>
    <w:p>
      <w:pPr>
        <w:pStyle w:val="20"/>
        <w:spacing w:line="360" w:lineRule="exact"/>
        <w:jc w:val="left"/>
        <w:rPr>
          <w:rFonts w:hAnsi="宋体" w:cs="宋体"/>
          <w:color w:val="auto"/>
          <w:sz w:val="21"/>
          <w:highlight w:val="none"/>
        </w:rPr>
      </w:pPr>
    </w:p>
    <w:p>
      <w:pPr>
        <w:pStyle w:val="3"/>
        <w:spacing w:before="120" w:line="480" w:lineRule="exact"/>
        <w:jc w:val="center"/>
        <w:rPr>
          <w:rFonts w:hAnsi="宋体" w:cs="宋体"/>
          <w:b/>
          <w:color w:val="auto"/>
          <w:sz w:val="32"/>
          <w:szCs w:val="32"/>
          <w:highlight w:val="none"/>
        </w:rPr>
      </w:pPr>
      <w:r>
        <w:rPr>
          <w:rFonts w:hint="eastAsia" w:hAnsi="宋体" w:cs="宋体"/>
          <w:b/>
          <w:color w:val="auto"/>
          <w:sz w:val="32"/>
          <w:szCs w:val="32"/>
          <w:highlight w:val="none"/>
        </w:rPr>
        <w:t>2.商务响应评分标准自查表</w:t>
      </w:r>
    </w:p>
    <w:p>
      <w:pPr>
        <w:pStyle w:val="3"/>
        <w:spacing w:before="120" w:line="480" w:lineRule="exact"/>
        <w:jc w:val="center"/>
        <w:rPr>
          <w:rFonts w:hAnsi="宋体"/>
          <w:b/>
          <w:color w:val="auto"/>
          <w:sz w:val="21"/>
          <w:szCs w:val="21"/>
          <w:highlight w:val="none"/>
        </w:rPr>
      </w:pPr>
      <w:r>
        <w:rPr>
          <w:rFonts w:hint="eastAsia" w:hAnsi="宋体"/>
          <w:b/>
          <w:color w:val="auto"/>
          <w:sz w:val="21"/>
          <w:szCs w:val="21"/>
          <w:highlight w:val="none"/>
        </w:rPr>
        <w:t>商务响应评分标准自查表</w:t>
      </w:r>
    </w:p>
    <w:p>
      <w:pPr>
        <w:rPr>
          <w:color w:val="auto"/>
          <w:highlight w:val="none"/>
        </w:rPr>
      </w:pPr>
    </w:p>
    <w:tbl>
      <w:tblPr>
        <w:tblStyle w:val="49"/>
        <w:tblW w:w="0" w:type="auto"/>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0"/>
        <w:gridCol w:w="4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200" w:type="dxa"/>
            <w:vAlign w:val="center"/>
          </w:tcPr>
          <w:p>
            <w:pPr>
              <w:pStyle w:val="147"/>
              <w:keepNext w:val="0"/>
              <w:adjustRightInd/>
              <w:spacing w:before="0" w:after="0" w:line="240" w:lineRule="auto"/>
              <w:textAlignment w:val="auto"/>
              <w:rPr>
                <w:rFonts w:ascii="宋体" w:hAnsi="宋体" w:cs="宋体"/>
                <w:snapToGrid/>
                <w:color w:val="auto"/>
                <w:spacing w:val="0"/>
                <w:kern w:val="2"/>
                <w:szCs w:val="21"/>
                <w:highlight w:val="none"/>
              </w:rPr>
            </w:pPr>
            <w:r>
              <w:rPr>
                <w:rFonts w:hint="eastAsia" w:ascii="宋体" w:hAnsi="宋体" w:cs="宋体"/>
                <w:snapToGrid/>
                <w:color w:val="auto"/>
                <w:spacing w:val="0"/>
                <w:kern w:val="2"/>
                <w:szCs w:val="21"/>
                <w:highlight w:val="none"/>
              </w:rPr>
              <w:t>评审细则</w:t>
            </w:r>
          </w:p>
        </w:tc>
        <w:tc>
          <w:tcPr>
            <w:tcW w:w="4010" w:type="dxa"/>
            <w:vAlign w:val="center"/>
          </w:tcPr>
          <w:p>
            <w:pPr>
              <w:pStyle w:val="147"/>
              <w:keepNext w:val="0"/>
              <w:adjustRightInd/>
              <w:spacing w:before="0" w:after="0" w:line="240" w:lineRule="auto"/>
              <w:textAlignment w:val="auto"/>
              <w:rPr>
                <w:rFonts w:ascii="宋体" w:hAnsi="宋体" w:cs="宋体"/>
                <w:snapToGrid/>
                <w:color w:val="auto"/>
                <w:spacing w:val="0"/>
                <w:kern w:val="2"/>
                <w:szCs w:val="21"/>
                <w:highlight w:val="none"/>
              </w:rPr>
            </w:pPr>
            <w:r>
              <w:rPr>
                <w:rFonts w:hint="eastAsia" w:ascii="宋体" w:hAnsi="宋体" w:cs="宋体"/>
                <w:snapToGrid/>
                <w:color w:val="auto"/>
                <w:spacing w:val="0"/>
                <w:kern w:val="2"/>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pStyle w:val="37"/>
              <w:rPr>
                <w:rFonts w:ascii="宋体" w:hAnsi="宋体" w:cs="宋体"/>
                <w:iCs/>
                <w:color w:val="auto"/>
                <w:szCs w:val="21"/>
                <w:highlight w:val="none"/>
              </w:rPr>
            </w:pPr>
            <w:r>
              <w:rPr>
                <w:rFonts w:hint="eastAsia" w:ascii="宋体" w:hAnsi="宋体" w:cs="宋体"/>
                <w:iCs/>
                <w:color w:val="auto"/>
                <w:szCs w:val="21"/>
                <w:highlight w:val="none"/>
              </w:rPr>
              <w:t>............</w:t>
            </w:r>
          </w:p>
        </w:tc>
        <w:tc>
          <w:tcPr>
            <w:tcW w:w="4010" w:type="dxa"/>
            <w:vAlign w:val="center"/>
          </w:tcPr>
          <w:p>
            <w:pPr>
              <w:pStyle w:val="37"/>
              <w:jc w:val="center"/>
              <w:rPr>
                <w:rFonts w:ascii="宋体" w:hAnsi="宋体" w:cs="宋体"/>
                <w:color w:val="auto"/>
                <w:szCs w:val="21"/>
                <w:highlight w:val="none"/>
              </w:rPr>
            </w:pPr>
            <w:r>
              <w:rPr>
                <w:rFonts w:hint="eastAsia" w:ascii="宋体" w:hAnsi="宋体" w:cs="宋体"/>
                <w:color w:val="auto"/>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pStyle w:val="37"/>
              <w:rPr>
                <w:rFonts w:ascii="宋体" w:hAnsi="宋体" w:cs="宋体"/>
                <w:iCs/>
                <w:color w:val="auto"/>
                <w:szCs w:val="21"/>
                <w:highlight w:val="none"/>
              </w:rPr>
            </w:pPr>
            <w:r>
              <w:rPr>
                <w:rFonts w:hint="eastAsia" w:ascii="宋体" w:hAnsi="宋体" w:cs="宋体"/>
                <w:iCs/>
                <w:color w:val="auto"/>
                <w:szCs w:val="21"/>
                <w:highlight w:val="none"/>
              </w:rPr>
              <w:t>............</w:t>
            </w:r>
          </w:p>
        </w:tc>
        <w:tc>
          <w:tcPr>
            <w:tcW w:w="4010" w:type="dxa"/>
            <w:vAlign w:val="center"/>
          </w:tcPr>
          <w:p>
            <w:pPr>
              <w:pStyle w:val="37"/>
              <w:jc w:val="center"/>
              <w:rPr>
                <w:rFonts w:ascii="宋体" w:hAnsi="宋体" w:cs="宋体"/>
                <w:color w:val="auto"/>
                <w:szCs w:val="21"/>
                <w:highlight w:val="none"/>
              </w:rPr>
            </w:pPr>
            <w:r>
              <w:rPr>
                <w:rFonts w:hint="eastAsia" w:ascii="宋体" w:hAnsi="宋体" w:cs="宋体"/>
                <w:color w:val="auto"/>
                <w:szCs w:val="21"/>
                <w:highlight w:val="none"/>
              </w:rPr>
              <w:t>第（）页</w:t>
            </w:r>
          </w:p>
        </w:tc>
      </w:tr>
    </w:tbl>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【备注】如因投标人在投标文件中的页码标注错误而导致评审专家漏看，所产生的一切后果由投标人自行负责。</w:t>
      </w:r>
    </w:p>
    <w:p>
      <w:pPr>
        <w:snapToGrid w:val="0"/>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投标人法定代表人（或法定代表人授权代表）签字：</w:t>
      </w:r>
    </w:p>
    <w:p>
      <w:pPr>
        <w:snapToGrid w:val="0"/>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投标人名称（签章）：</w:t>
      </w: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   年   月   日</w:t>
      </w:r>
    </w:p>
    <w:p>
      <w:pPr>
        <w:snapToGrid w:val="0"/>
        <w:spacing w:line="300" w:lineRule="auto"/>
        <w:rPr>
          <w:rFonts w:hAnsi="宋体" w:cs="宋体"/>
          <w:color w:val="auto"/>
          <w:szCs w:val="21"/>
          <w:highlight w:val="none"/>
        </w:rPr>
      </w:pPr>
    </w:p>
    <w:p>
      <w:pPr>
        <w:snapToGrid w:val="0"/>
        <w:spacing w:line="360" w:lineRule="auto"/>
        <w:jc w:val="center"/>
        <w:rPr>
          <w:rFonts w:hAnsi="宋体" w:cs="宋体"/>
          <w:b/>
          <w:color w:val="auto"/>
          <w:sz w:val="30"/>
          <w:szCs w:val="30"/>
          <w:highlight w:val="none"/>
        </w:rPr>
      </w:pPr>
    </w:p>
    <w:p>
      <w:pPr>
        <w:pStyle w:val="3"/>
        <w:spacing w:before="120" w:line="480" w:lineRule="exact"/>
        <w:jc w:val="center"/>
        <w:rPr>
          <w:rFonts w:hAnsi="宋体" w:cs="宋体"/>
          <w:b/>
          <w:color w:val="auto"/>
          <w:sz w:val="32"/>
          <w:szCs w:val="32"/>
          <w:highlight w:val="none"/>
        </w:rPr>
      </w:pPr>
      <w:r>
        <w:rPr>
          <w:rFonts w:hint="eastAsia" w:hAnsi="宋体" w:cs="宋体"/>
          <w:b/>
          <w:color w:val="auto"/>
          <w:sz w:val="32"/>
          <w:szCs w:val="32"/>
          <w:highlight w:val="none"/>
        </w:rPr>
        <w:t>3.技术响应评分标准自查表</w:t>
      </w:r>
    </w:p>
    <w:p>
      <w:pPr>
        <w:pStyle w:val="3"/>
        <w:spacing w:before="120" w:line="480" w:lineRule="exact"/>
        <w:jc w:val="center"/>
        <w:rPr>
          <w:rFonts w:hAnsi="宋体"/>
          <w:b/>
          <w:color w:val="auto"/>
          <w:sz w:val="21"/>
          <w:szCs w:val="21"/>
          <w:highlight w:val="none"/>
        </w:rPr>
      </w:pPr>
      <w:r>
        <w:rPr>
          <w:rFonts w:hint="eastAsia" w:hAnsi="宋体"/>
          <w:b/>
          <w:color w:val="auto"/>
          <w:sz w:val="21"/>
          <w:szCs w:val="21"/>
          <w:highlight w:val="none"/>
        </w:rPr>
        <w:t>技术响应评分标准自查表</w:t>
      </w:r>
    </w:p>
    <w:tbl>
      <w:tblPr>
        <w:tblStyle w:val="49"/>
        <w:tblW w:w="0" w:type="auto"/>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0"/>
        <w:gridCol w:w="4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200" w:type="dxa"/>
            <w:vAlign w:val="center"/>
          </w:tcPr>
          <w:p>
            <w:pPr>
              <w:pStyle w:val="147"/>
              <w:keepNext w:val="0"/>
              <w:adjustRightInd/>
              <w:spacing w:before="0" w:after="0" w:line="240" w:lineRule="auto"/>
              <w:textAlignment w:val="auto"/>
              <w:rPr>
                <w:rFonts w:ascii="宋体" w:hAnsi="宋体" w:cs="宋体"/>
                <w:bCs/>
                <w:snapToGrid/>
                <w:color w:val="auto"/>
                <w:spacing w:val="0"/>
                <w:kern w:val="2"/>
                <w:szCs w:val="21"/>
                <w:highlight w:val="none"/>
              </w:rPr>
            </w:pPr>
            <w:r>
              <w:rPr>
                <w:rFonts w:hint="eastAsia" w:ascii="宋体" w:hAnsi="宋体" w:cs="宋体"/>
                <w:bCs/>
                <w:snapToGrid/>
                <w:color w:val="auto"/>
                <w:spacing w:val="0"/>
                <w:kern w:val="2"/>
                <w:szCs w:val="21"/>
                <w:highlight w:val="none"/>
              </w:rPr>
              <w:t>评审细则</w:t>
            </w:r>
          </w:p>
        </w:tc>
        <w:tc>
          <w:tcPr>
            <w:tcW w:w="4010" w:type="dxa"/>
            <w:vAlign w:val="center"/>
          </w:tcPr>
          <w:p>
            <w:pPr>
              <w:pStyle w:val="147"/>
              <w:keepNext w:val="0"/>
              <w:adjustRightInd/>
              <w:spacing w:before="0" w:after="0" w:line="240" w:lineRule="auto"/>
              <w:textAlignment w:val="auto"/>
              <w:rPr>
                <w:rFonts w:ascii="宋体" w:hAnsi="宋体" w:cs="宋体"/>
                <w:bCs/>
                <w:snapToGrid/>
                <w:color w:val="auto"/>
                <w:spacing w:val="0"/>
                <w:kern w:val="2"/>
                <w:szCs w:val="21"/>
                <w:highlight w:val="none"/>
              </w:rPr>
            </w:pPr>
            <w:r>
              <w:rPr>
                <w:rFonts w:hint="eastAsia" w:ascii="宋体" w:hAnsi="宋体" w:cs="宋体"/>
                <w:bCs/>
                <w:snapToGrid/>
                <w:color w:val="auto"/>
                <w:spacing w:val="0"/>
                <w:kern w:val="2"/>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rPr>
                <w:rFonts w:hAnsi="宋体" w:cs="宋体"/>
                <w:bCs/>
                <w:iCs/>
                <w:color w:val="auto"/>
                <w:szCs w:val="21"/>
                <w:highlight w:val="none"/>
              </w:rPr>
            </w:pPr>
            <w:r>
              <w:rPr>
                <w:rFonts w:hint="eastAsia" w:hAnsi="宋体" w:cs="宋体"/>
                <w:b/>
                <w:bCs/>
                <w:iCs/>
                <w:color w:val="auto"/>
                <w:szCs w:val="21"/>
                <w:highlight w:val="none"/>
              </w:rPr>
              <w:t>............</w:t>
            </w:r>
          </w:p>
        </w:tc>
        <w:tc>
          <w:tcPr>
            <w:tcW w:w="4010" w:type="dxa"/>
            <w:vAlign w:val="center"/>
          </w:tcPr>
          <w:p>
            <w:pPr>
              <w:pStyle w:val="37"/>
              <w:jc w:val="center"/>
              <w:rPr>
                <w:rFonts w:ascii="宋体" w:hAnsi="宋体" w:cs="宋体"/>
                <w:bCs/>
                <w:color w:val="auto"/>
                <w:szCs w:val="21"/>
                <w:highlight w:val="none"/>
              </w:rPr>
            </w:pPr>
            <w:r>
              <w:rPr>
                <w:rFonts w:hint="eastAsia" w:ascii="宋体" w:hAnsi="宋体" w:cs="宋体"/>
                <w:bCs/>
                <w:color w:val="auto"/>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rPr>
                <w:rFonts w:hAnsi="宋体" w:cs="宋体"/>
                <w:bCs/>
                <w:color w:val="auto"/>
                <w:szCs w:val="21"/>
                <w:highlight w:val="none"/>
              </w:rPr>
            </w:pPr>
            <w:r>
              <w:rPr>
                <w:rFonts w:hint="eastAsia" w:hAnsi="宋体" w:cs="宋体"/>
                <w:b/>
                <w:bCs/>
                <w:iCs/>
                <w:color w:val="auto"/>
                <w:szCs w:val="21"/>
                <w:highlight w:val="none"/>
              </w:rPr>
              <w:t>............</w:t>
            </w:r>
          </w:p>
        </w:tc>
        <w:tc>
          <w:tcPr>
            <w:tcW w:w="4010" w:type="dxa"/>
            <w:vAlign w:val="center"/>
          </w:tcPr>
          <w:p>
            <w:pPr>
              <w:pStyle w:val="37"/>
              <w:jc w:val="center"/>
              <w:rPr>
                <w:rFonts w:ascii="宋体" w:hAnsi="宋体" w:cs="宋体"/>
                <w:bCs/>
                <w:color w:val="auto"/>
                <w:szCs w:val="21"/>
                <w:highlight w:val="none"/>
              </w:rPr>
            </w:pPr>
            <w:r>
              <w:rPr>
                <w:rFonts w:hint="eastAsia" w:ascii="宋体" w:hAnsi="宋体" w:cs="宋体"/>
                <w:bCs/>
                <w:color w:val="auto"/>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rPr>
                <w:rFonts w:hAnsi="宋体" w:cs="宋体"/>
                <w:bCs/>
                <w:color w:val="auto"/>
                <w:szCs w:val="21"/>
                <w:highlight w:val="none"/>
              </w:rPr>
            </w:pPr>
            <w:r>
              <w:rPr>
                <w:rFonts w:hint="eastAsia" w:hAnsi="宋体" w:cs="宋体"/>
                <w:b/>
                <w:bCs/>
                <w:iCs/>
                <w:color w:val="auto"/>
                <w:szCs w:val="21"/>
                <w:highlight w:val="none"/>
              </w:rPr>
              <w:t>............</w:t>
            </w:r>
          </w:p>
        </w:tc>
        <w:tc>
          <w:tcPr>
            <w:tcW w:w="4010" w:type="dxa"/>
            <w:vAlign w:val="center"/>
          </w:tcPr>
          <w:p>
            <w:pPr>
              <w:pStyle w:val="37"/>
              <w:jc w:val="center"/>
              <w:rPr>
                <w:rFonts w:ascii="宋体" w:hAnsi="宋体" w:cs="宋体"/>
                <w:bCs/>
                <w:color w:val="auto"/>
                <w:szCs w:val="21"/>
                <w:highlight w:val="none"/>
              </w:rPr>
            </w:pPr>
            <w:r>
              <w:rPr>
                <w:rFonts w:hint="eastAsia" w:ascii="宋体" w:hAnsi="宋体" w:cs="宋体"/>
                <w:bCs/>
                <w:color w:val="auto"/>
                <w:szCs w:val="21"/>
                <w:highlight w:val="none"/>
              </w:rPr>
              <w:t>第（）页</w:t>
            </w:r>
          </w:p>
        </w:tc>
      </w:tr>
    </w:tbl>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【备注】如因投标人在投标文件中的页码标注错误而导致评审专家漏看，所产生的一切后果由投标人自行负责。</w:t>
      </w:r>
    </w:p>
    <w:p>
      <w:pPr>
        <w:snapToGrid w:val="0"/>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投标人法定代表人（或法定代表人授权代表）签字：</w:t>
      </w:r>
    </w:p>
    <w:p>
      <w:pPr>
        <w:snapToGrid w:val="0"/>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投标人名称（签章）：</w:t>
      </w: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   年   月   日</w:t>
      </w:r>
    </w:p>
    <w:p>
      <w:pPr>
        <w:pStyle w:val="20"/>
        <w:spacing w:line="360" w:lineRule="exact"/>
        <w:rPr>
          <w:rFonts w:hAnsi="宋体"/>
          <w:color w:val="auto"/>
          <w:sz w:val="21"/>
          <w:szCs w:val="21"/>
          <w:highlight w:val="none"/>
          <w:lang w:val="en-US"/>
        </w:rPr>
      </w:pPr>
    </w:p>
    <w:p>
      <w:pPr>
        <w:pStyle w:val="20"/>
        <w:spacing w:line="360" w:lineRule="exact"/>
        <w:jc w:val="left"/>
        <w:rPr>
          <w:rFonts w:hAnsi="宋体"/>
          <w:color w:val="auto"/>
          <w:sz w:val="21"/>
          <w:szCs w:val="21"/>
          <w:highlight w:val="none"/>
          <w:lang w:val="en-US"/>
        </w:rPr>
      </w:pPr>
    </w:p>
    <w:p>
      <w:pPr>
        <w:pStyle w:val="20"/>
        <w:spacing w:line="360" w:lineRule="exact"/>
        <w:jc w:val="left"/>
        <w:rPr>
          <w:rFonts w:hAnsi="宋体"/>
          <w:color w:val="auto"/>
          <w:sz w:val="21"/>
          <w:szCs w:val="21"/>
          <w:highlight w:val="none"/>
        </w:rPr>
      </w:pPr>
    </w:p>
    <w:p>
      <w:pPr>
        <w:snapToGrid w:val="0"/>
        <w:spacing w:line="360" w:lineRule="auto"/>
        <w:rPr>
          <w:rFonts w:hAnsi="宋体"/>
          <w:color w:val="auto"/>
          <w:szCs w:val="21"/>
          <w:highlight w:val="none"/>
        </w:rPr>
      </w:pPr>
    </w:p>
    <w:p>
      <w:pPr>
        <w:pStyle w:val="20"/>
        <w:spacing w:line="360" w:lineRule="exact"/>
        <w:jc w:val="left"/>
        <w:rPr>
          <w:rFonts w:hAnsi="宋体" w:cs="宋体"/>
          <w:color w:val="auto"/>
          <w:sz w:val="21"/>
          <w:highlight w:val="none"/>
          <w:lang w:val="en-US"/>
        </w:rPr>
      </w:pPr>
    </w:p>
    <w:p>
      <w:pPr>
        <w:pStyle w:val="20"/>
        <w:spacing w:line="360" w:lineRule="exact"/>
        <w:jc w:val="left"/>
        <w:rPr>
          <w:rFonts w:hAnsi="宋体" w:cs="宋体"/>
          <w:color w:val="auto"/>
          <w:sz w:val="21"/>
          <w:highlight w:val="none"/>
          <w:lang w:val="en-US"/>
        </w:rPr>
      </w:pPr>
    </w:p>
    <w:p>
      <w:pPr>
        <w:pStyle w:val="20"/>
        <w:spacing w:line="360" w:lineRule="exact"/>
        <w:jc w:val="left"/>
        <w:rPr>
          <w:rFonts w:hAnsi="宋体" w:cs="宋体"/>
          <w:color w:val="auto"/>
          <w:sz w:val="21"/>
          <w:highlight w:val="none"/>
          <w:lang w:val="en-US"/>
        </w:rPr>
      </w:pPr>
    </w:p>
    <w:p>
      <w:pPr>
        <w:pStyle w:val="20"/>
        <w:spacing w:line="360" w:lineRule="exact"/>
        <w:jc w:val="left"/>
        <w:rPr>
          <w:rFonts w:hAnsi="宋体" w:cs="宋体"/>
          <w:color w:val="auto"/>
          <w:sz w:val="21"/>
          <w:highlight w:val="none"/>
          <w:lang w:val="en-US"/>
        </w:rPr>
      </w:pPr>
    </w:p>
    <w:p>
      <w:pPr>
        <w:snapToGrid w:val="0"/>
        <w:rPr>
          <w:rFonts w:hAnsi="宋体"/>
          <w:color w:val="auto"/>
          <w:szCs w:val="21"/>
          <w:highlight w:val="none"/>
        </w:rPr>
        <w:sectPr>
          <w:headerReference r:id="rId3" w:type="default"/>
          <w:footerReference r:id="rId4" w:type="default"/>
          <w:footerReference r:id="rId5" w:type="even"/>
          <w:type w:val="nextColumn"/>
          <w:pgSz w:w="11906" w:h="16838"/>
          <w:pgMar w:top="1089" w:right="1191" w:bottom="1089" w:left="1191" w:header="567" w:footer="550" w:gutter="0"/>
          <w:pgNumType w:start="0"/>
          <w:cols w:space="720" w:num="1"/>
          <w:titlePg/>
          <w:docGrid w:type="lines" w:linePitch="312" w:charSpace="0"/>
        </w:sectPr>
      </w:pPr>
    </w:p>
    <w:p>
      <w:pPr>
        <w:pStyle w:val="3"/>
        <w:spacing w:before="120" w:line="480" w:lineRule="exact"/>
        <w:jc w:val="center"/>
        <w:rPr>
          <w:rFonts w:hAnsi="宋体" w:cs="宋体"/>
          <w:b/>
          <w:color w:val="auto"/>
          <w:sz w:val="32"/>
          <w:szCs w:val="32"/>
          <w:highlight w:val="none"/>
        </w:rPr>
      </w:pPr>
      <w:r>
        <w:rPr>
          <w:rFonts w:hint="eastAsia" w:hAnsi="宋体" w:cs="宋体"/>
          <w:b/>
          <w:color w:val="auto"/>
          <w:sz w:val="32"/>
          <w:szCs w:val="32"/>
          <w:highlight w:val="none"/>
        </w:rPr>
        <w:t>二、商务部分文件</w:t>
      </w:r>
    </w:p>
    <w:p>
      <w:pPr>
        <w:pStyle w:val="3"/>
        <w:rPr>
          <w:rFonts w:hAnsi="宋体" w:cs="宋体"/>
          <w:b/>
          <w:color w:val="auto"/>
          <w:szCs w:val="20"/>
          <w:highlight w:val="none"/>
        </w:rPr>
      </w:pPr>
      <w:bookmarkStart w:id="28" w:name="_Hlt10519541"/>
      <w:bookmarkEnd w:id="28"/>
      <w:bookmarkStart w:id="29" w:name="_Hlt10456257"/>
      <w:r>
        <w:rPr>
          <w:rFonts w:hint="eastAsia" w:hAnsi="宋体" w:cs="宋体"/>
          <w:b/>
          <w:color w:val="auto"/>
          <w:szCs w:val="20"/>
          <w:highlight w:val="none"/>
        </w:rPr>
        <w:t>附表2.1 投标函格式</w:t>
      </w:r>
    </w:p>
    <w:bookmarkEnd w:id="29"/>
    <w:p>
      <w:pPr>
        <w:spacing w:line="480" w:lineRule="exact"/>
        <w:jc w:val="center"/>
        <w:rPr>
          <w:rFonts w:hAnsi="宋体" w:cs="宋体"/>
          <w:b/>
          <w:color w:val="auto"/>
          <w:sz w:val="32"/>
          <w:szCs w:val="32"/>
          <w:highlight w:val="none"/>
        </w:rPr>
      </w:pPr>
      <w:r>
        <w:rPr>
          <w:rFonts w:hint="eastAsia" w:hAnsi="宋体" w:cs="宋体"/>
          <w:b/>
          <w:color w:val="auto"/>
          <w:sz w:val="32"/>
          <w:szCs w:val="32"/>
          <w:highlight w:val="none"/>
        </w:rPr>
        <w:t>投标函</w:t>
      </w:r>
    </w:p>
    <w:p>
      <w:pPr>
        <w:spacing w:line="480" w:lineRule="exact"/>
        <w:rPr>
          <w:rFonts w:ascii="仿宋" w:hAnsi="仿宋" w:eastAsia="仿宋" w:cs="仿宋"/>
          <w:b/>
          <w:color w:val="auto"/>
          <w:szCs w:val="21"/>
          <w:highlight w:val="none"/>
        </w:rPr>
      </w:pPr>
      <w:r>
        <w:rPr>
          <w:rFonts w:hint="eastAsia" w:ascii="仿宋" w:hAnsi="仿宋" w:eastAsia="仿宋" w:cs="仿宋"/>
          <w:b/>
          <w:color w:val="auto"/>
          <w:szCs w:val="21"/>
          <w:highlight w:val="none"/>
        </w:rPr>
        <w:t>致：</w:t>
      </w:r>
      <w:r>
        <w:rPr>
          <w:rFonts w:hint="eastAsia" w:ascii="仿宋" w:hAnsi="仿宋" w:eastAsia="仿宋" w:cs="仿宋"/>
          <w:b/>
          <w:color w:val="auto"/>
          <w:szCs w:val="21"/>
          <w:highlight w:val="none"/>
          <w:u w:val="single"/>
        </w:rPr>
        <w:t>广东省气象局/（广东远东招标代理有限公司）</w:t>
      </w:r>
    </w:p>
    <w:p>
      <w:pPr>
        <w:spacing w:line="400" w:lineRule="exact"/>
        <w:ind w:firstLine="4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根据贵方“</w:t>
      </w:r>
      <w:r>
        <w:rPr>
          <w:rFonts w:hint="eastAsia" w:ascii="仿宋" w:hAnsi="仿宋" w:eastAsia="仿宋" w:cs="仿宋"/>
          <w:color w:val="auto"/>
          <w:szCs w:val="21"/>
          <w:highlight w:val="none"/>
        </w:rPr>
        <w:t>南海海洋预警信息发布和沿海恶劣天气防灾叫应系统(二期)</w:t>
      </w:r>
      <w:r>
        <w:rPr>
          <w:rFonts w:hint="eastAsia" w:ascii="仿宋" w:hAnsi="仿宋" w:eastAsia="仿宋" w:cs="仿宋"/>
          <w:color w:val="auto"/>
          <w:kern w:val="2"/>
          <w:szCs w:val="21"/>
          <w:highlight w:val="none"/>
          <w:lang w:val="zh-CN"/>
        </w:rPr>
        <w:t>”</w:t>
      </w:r>
      <w:r>
        <w:rPr>
          <w:rFonts w:hint="eastAsia" w:ascii="仿宋" w:hAnsi="仿宋" w:eastAsia="仿宋" w:cs="仿宋"/>
          <w:color w:val="auto"/>
          <w:szCs w:val="32"/>
          <w:highlight w:val="none"/>
        </w:rPr>
        <w:t>(</w:t>
      </w:r>
      <w:r>
        <w:rPr>
          <w:rFonts w:hint="eastAsia" w:ascii="仿宋" w:hAnsi="仿宋" w:eastAsia="仿宋" w:cs="仿宋"/>
          <w:color w:val="auto"/>
          <w:kern w:val="2"/>
          <w:szCs w:val="21"/>
          <w:highlight w:val="none"/>
          <w:lang w:val="zh-CN"/>
        </w:rPr>
        <w:t>采购编号：GDYD230090)的投标邀请，我方</w:t>
      </w:r>
      <w:r>
        <w:rPr>
          <w:rFonts w:hint="eastAsia" w:ascii="仿宋" w:hAnsi="仿宋" w:eastAsia="仿宋" w:cs="仿宋"/>
          <w:color w:val="auto"/>
          <w:kern w:val="2"/>
          <w:szCs w:val="21"/>
          <w:highlight w:val="none"/>
          <w:u w:val="single"/>
          <w:lang w:val="zh-CN"/>
        </w:rPr>
        <w:t xml:space="preserve">    </w:t>
      </w:r>
      <w:r>
        <w:rPr>
          <w:rFonts w:hint="eastAsia" w:ascii="仿宋" w:hAnsi="仿宋" w:eastAsia="仿宋" w:cs="仿宋"/>
          <w:color w:val="auto"/>
          <w:kern w:val="2"/>
          <w:szCs w:val="21"/>
          <w:highlight w:val="none"/>
          <w:lang w:val="zh-CN"/>
        </w:rPr>
        <w:t>（投标人名称）作为投标人正式授权</w:t>
      </w:r>
      <w:r>
        <w:rPr>
          <w:rFonts w:hint="eastAsia" w:ascii="仿宋" w:hAnsi="仿宋" w:eastAsia="仿宋" w:cs="仿宋"/>
          <w:color w:val="auto"/>
          <w:kern w:val="2"/>
          <w:szCs w:val="21"/>
          <w:highlight w:val="none"/>
          <w:u w:val="single"/>
          <w:lang w:val="zh-CN"/>
        </w:rPr>
        <w:t>　（</w:t>
      </w:r>
      <w:r>
        <w:rPr>
          <w:rFonts w:hint="eastAsia" w:ascii="仿宋" w:hAnsi="仿宋" w:eastAsia="仿宋" w:cs="仿宋"/>
          <w:color w:val="auto"/>
          <w:kern w:val="2"/>
          <w:szCs w:val="21"/>
          <w:highlight w:val="none"/>
          <w:lang w:val="zh-CN"/>
        </w:rPr>
        <w:t>授权代表全名，职务）代表我方进行有关本次投标的一切事宜。</w:t>
      </w:r>
    </w:p>
    <w:p>
      <w:pPr>
        <w:spacing w:line="400" w:lineRule="exact"/>
        <w:ind w:firstLine="4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在此提交的投标文件，已按招标文件的要求密封封装。包括但不限于如下内容：</w:t>
      </w:r>
    </w:p>
    <w:p>
      <w:pPr>
        <w:spacing w:line="400" w:lineRule="exact"/>
        <w:ind w:left="71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（1）唱标信封【1份】（按招标文件要求的内容编制，含电子文件【</w:t>
      </w:r>
      <w:r>
        <w:rPr>
          <w:rFonts w:hint="eastAsia" w:ascii="仿宋" w:hAnsi="仿宋" w:eastAsia="仿宋" w:cs="仿宋"/>
          <w:color w:val="auto"/>
          <w:kern w:val="2"/>
          <w:szCs w:val="21"/>
          <w:highlight w:val="none"/>
          <w:u w:val="single"/>
          <w:lang w:val="zh-CN"/>
        </w:rPr>
        <w:t xml:space="preserve"> 1</w:t>
      </w:r>
      <w:r>
        <w:rPr>
          <w:rFonts w:hint="eastAsia" w:ascii="仿宋" w:hAnsi="仿宋" w:eastAsia="仿宋" w:cs="仿宋"/>
          <w:color w:val="auto"/>
          <w:kern w:val="2"/>
          <w:szCs w:val="21"/>
          <w:highlight w:val="none"/>
          <w:lang w:val="zh-CN"/>
        </w:rPr>
        <w:t>份】）；</w:t>
      </w:r>
    </w:p>
    <w:p>
      <w:pPr>
        <w:spacing w:line="400" w:lineRule="exact"/>
        <w:ind w:left="71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（2）投标文件【含自检表、经济文件和商务技术文件，正本</w:t>
      </w:r>
      <w:r>
        <w:rPr>
          <w:rFonts w:hint="eastAsia" w:ascii="仿宋" w:hAnsi="仿宋" w:eastAsia="仿宋" w:cs="仿宋"/>
          <w:color w:val="auto"/>
          <w:kern w:val="2"/>
          <w:szCs w:val="21"/>
          <w:highlight w:val="none"/>
          <w:u w:val="single"/>
          <w:lang w:val="zh-CN"/>
        </w:rPr>
        <w:t>1</w:t>
      </w:r>
      <w:r>
        <w:rPr>
          <w:rFonts w:hint="eastAsia" w:ascii="仿宋" w:hAnsi="仿宋" w:eastAsia="仿宋" w:cs="仿宋"/>
          <w:color w:val="auto"/>
          <w:kern w:val="2"/>
          <w:szCs w:val="21"/>
          <w:highlight w:val="none"/>
          <w:lang w:val="zh-CN"/>
        </w:rPr>
        <w:t>份，副本</w:t>
      </w:r>
      <w:r>
        <w:rPr>
          <w:rFonts w:hint="eastAsia" w:ascii="仿宋" w:hAnsi="仿宋" w:eastAsia="仿宋" w:cs="仿宋"/>
          <w:color w:val="auto"/>
          <w:kern w:val="2"/>
          <w:szCs w:val="21"/>
          <w:highlight w:val="none"/>
          <w:u w:val="single"/>
        </w:rPr>
        <w:t>4</w:t>
      </w:r>
      <w:r>
        <w:rPr>
          <w:rFonts w:hint="eastAsia" w:ascii="仿宋" w:hAnsi="仿宋" w:eastAsia="仿宋" w:cs="仿宋"/>
          <w:color w:val="auto"/>
          <w:kern w:val="2"/>
          <w:szCs w:val="21"/>
          <w:highlight w:val="none"/>
          <w:lang w:val="zh-CN"/>
        </w:rPr>
        <w:t>份】。</w:t>
      </w:r>
    </w:p>
    <w:p>
      <w:pPr>
        <w:spacing w:line="400" w:lineRule="exact"/>
        <w:ind w:firstLine="42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我方己完全明白招标文件的所有条款要求，并重申以下几点：</w:t>
      </w:r>
    </w:p>
    <w:p>
      <w:pPr>
        <w:spacing w:line="400" w:lineRule="exact"/>
        <w:ind w:left="35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（—）我方决定参加采购编号为GDYD230090项目的投标；</w:t>
      </w:r>
    </w:p>
    <w:p>
      <w:pPr>
        <w:spacing w:line="400" w:lineRule="exact"/>
        <w:ind w:left="35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（二）本项目的投标报价（详见投标报价表）；</w:t>
      </w:r>
    </w:p>
    <w:p>
      <w:pPr>
        <w:spacing w:line="400" w:lineRule="exact"/>
        <w:ind w:left="945" w:leftChars="150" w:hanging="630" w:hangingChars="3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（三）本投标文件的有效期自递交投标文件截止日后</w:t>
      </w:r>
      <w:r>
        <w:rPr>
          <w:rFonts w:hint="eastAsia" w:ascii="仿宋" w:hAnsi="仿宋" w:eastAsia="仿宋" w:cs="仿宋"/>
          <w:color w:val="auto"/>
          <w:kern w:val="2"/>
          <w:szCs w:val="21"/>
          <w:highlight w:val="none"/>
          <w:u w:val="single"/>
          <w:lang w:val="zh-CN"/>
        </w:rPr>
        <w:t>90</w:t>
      </w:r>
      <w:r>
        <w:rPr>
          <w:rFonts w:hint="eastAsia" w:ascii="仿宋" w:hAnsi="仿宋" w:eastAsia="仿宋" w:cs="仿宋"/>
          <w:color w:val="auto"/>
          <w:kern w:val="2"/>
          <w:szCs w:val="21"/>
          <w:highlight w:val="none"/>
          <w:lang w:val="zh-CN"/>
        </w:rPr>
        <w:t>天有效，如中标，有效期延至合同终止日为止；</w:t>
      </w:r>
    </w:p>
    <w:p>
      <w:pPr>
        <w:spacing w:line="400" w:lineRule="exact"/>
        <w:ind w:left="945" w:leftChars="150" w:hanging="630" w:hangingChars="3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（四）我方已详细</w:t>
      </w:r>
      <w:r>
        <w:rPr>
          <w:rFonts w:hint="eastAsia" w:ascii="仿宋" w:hAnsi="仿宋" w:eastAsia="仿宋" w:cs="仿宋"/>
          <w:color w:val="auto"/>
          <w:szCs w:val="21"/>
          <w:highlight w:val="none"/>
        </w:rPr>
        <w:t>阅读并</w:t>
      </w:r>
      <w:r>
        <w:rPr>
          <w:rFonts w:hint="eastAsia" w:ascii="仿宋" w:hAnsi="仿宋" w:eastAsia="仿宋" w:cs="仿宋"/>
          <w:color w:val="auto"/>
          <w:kern w:val="2"/>
          <w:szCs w:val="21"/>
          <w:highlight w:val="none"/>
          <w:lang w:val="zh-CN"/>
        </w:rPr>
        <w:t>研究了招标文件的所有内容包括修正文、</w:t>
      </w:r>
      <w:r>
        <w:rPr>
          <w:rFonts w:hint="eastAsia" w:ascii="仿宋" w:hAnsi="仿宋" w:eastAsia="仿宋" w:cs="仿宋"/>
          <w:color w:val="auto"/>
          <w:szCs w:val="21"/>
          <w:highlight w:val="none"/>
        </w:rPr>
        <w:t>答疑纪要、澄清补充通知</w:t>
      </w:r>
      <w:r>
        <w:rPr>
          <w:rFonts w:hint="eastAsia" w:ascii="仿宋" w:hAnsi="仿宋" w:eastAsia="仿宋" w:cs="仿宋"/>
          <w:color w:val="auto"/>
          <w:kern w:val="2"/>
          <w:szCs w:val="21"/>
          <w:highlight w:val="none"/>
          <w:lang w:val="zh-CN"/>
        </w:rPr>
        <w:t>（如有）和所有已提供的参考资料以及有关附件，</w:t>
      </w:r>
      <w:r>
        <w:rPr>
          <w:rFonts w:hint="eastAsia" w:ascii="仿宋" w:hAnsi="仿宋" w:eastAsia="仿宋" w:cs="仿宋"/>
          <w:color w:val="auto"/>
          <w:szCs w:val="21"/>
          <w:highlight w:val="none"/>
        </w:rPr>
        <w:t>我们完全清晰理解招标文件的要求，不存在任何含糊不清和误解之处，</w:t>
      </w:r>
      <w:r>
        <w:rPr>
          <w:rFonts w:hint="eastAsia" w:ascii="仿宋" w:hAnsi="仿宋" w:eastAsia="仿宋" w:cs="仿宋"/>
          <w:color w:val="auto"/>
          <w:kern w:val="2"/>
          <w:szCs w:val="21"/>
          <w:highlight w:val="none"/>
          <w:lang w:val="zh-CN"/>
        </w:rPr>
        <w:t>我方</w:t>
      </w:r>
      <w:r>
        <w:rPr>
          <w:rFonts w:hint="eastAsia" w:ascii="仿宋" w:hAnsi="仿宋" w:eastAsia="仿宋" w:cs="仿宋"/>
          <w:color w:val="auto"/>
          <w:szCs w:val="21"/>
          <w:highlight w:val="none"/>
        </w:rPr>
        <w:t>同意</w:t>
      </w:r>
      <w:r>
        <w:rPr>
          <w:rFonts w:hint="eastAsia" w:ascii="仿宋" w:hAnsi="仿宋" w:eastAsia="仿宋" w:cs="仿宋"/>
          <w:color w:val="auto"/>
          <w:kern w:val="2"/>
          <w:szCs w:val="21"/>
          <w:highlight w:val="none"/>
          <w:lang w:val="zh-CN"/>
        </w:rPr>
        <w:t>放弃在此方面提出含糊意见或误解的一切权力；</w:t>
      </w:r>
    </w:p>
    <w:p>
      <w:pPr>
        <w:spacing w:line="400" w:lineRule="exact"/>
        <w:ind w:left="945" w:leftChars="150" w:hanging="630" w:hangingChars="3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（五）我方明白并愿意在规定的递交投标文件截止时间和日期之后，投标有效期之内不得撤回投标；</w:t>
      </w:r>
    </w:p>
    <w:p>
      <w:pPr>
        <w:spacing w:line="400" w:lineRule="exact"/>
        <w:ind w:left="35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（六）我方同意按照贵方可能提出的要求而提供与投标有关的任何其它数据或信息；</w:t>
      </w:r>
    </w:p>
    <w:p>
      <w:pPr>
        <w:spacing w:line="400" w:lineRule="exact"/>
        <w:ind w:left="945" w:leftChars="150" w:hanging="630" w:hangingChars="30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（七）我方完全服从和尊重评标委员会所作的评定结果，我方理解贵方不一定接受最低报价或任何贵方可能收到的报价；</w:t>
      </w:r>
    </w:p>
    <w:p>
      <w:pPr>
        <w:spacing w:line="400" w:lineRule="exact"/>
        <w:ind w:left="945" w:leftChars="150" w:hanging="630" w:hangingChars="300"/>
        <w:jc w:val="both"/>
        <w:rPr>
          <w:rFonts w:ascii="仿宋" w:hAnsi="仿宋" w:eastAsia="仿宋" w:cs="仿宋"/>
          <w:color w:val="auto"/>
          <w:kern w:val="2"/>
          <w:szCs w:val="21"/>
          <w:highlight w:val="none"/>
          <w:u w:val="single"/>
          <w:lang w:val="zh-CN"/>
        </w:rPr>
      </w:pPr>
      <w:r>
        <w:rPr>
          <w:rFonts w:hint="eastAsia" w:ascii="仿宋" w:hAnsi="仿宋" w:eastAsia="仿宋" w:cs="仿宋"/>
          <w:color w:val="auto"/>
          <w:kern w:val="2"/>
          <w:szCs w:val="21"/>
          <w:highlight w:val="none"/>
          <w:lang w:val="zh-CN"/>
        </w:rPr>
        <w:t>（八）我方如果中标，将保证履行招标文件以及</w:t>
      </w:r>
      <w:r>
        <w:rPr>
          <w:rFonts w:hint="eastAsia" w:ascii="仿宋" w:hAnsi="仿宋" w:eastAsia="仿宋" w:cs="仿宋"/>
          <w:color w:val="auto"/>
          <w:szCs w:val="21"/>
          <w:highlight w:val="none"/>
        </w:rPr>
        <w:t>答疑纪要、澄清补充通知等</w:t>
      </w:r>
      <w:r>
        <w:rPr>
          <w:rFonts w:hint="eastAsia" w:ascii="仿宋" w:hAnsi="仿宋" w:eastAsia="仿宋" w:cs="仿宋"/>
          <w:color w:val="auto"/>
          <w:kern w:val="2"/>
          <w:szCs w:val="21"/>
          <w:highlight w:val="none"/>
          <w:lang w:val="zh-CN"/>
        </w:rPr>
        <w:t>招标文件修改书（如有）中的全部责任和义务，按质、按量、按期完成《合同书》中的全部任务；</w:t>
      </w:r>
      <w:r>
        <w:rPr>
          <w:rFonts w:hint="eastAsia" w:ascii="仿宋" w:hAnsi="仿宋" w:eastAsia="仿宋" w:cs="仿宋"/>
          <w:color w:val="auto"/>
          <w:szCs w:val="21"/>
          <w:highlight w:val="none"/>
        </w:rPr>
        <w:t>其中投标货物交货期为：</w:t>
      </w:r>
      <w:r>
        <w:rPr>
          <w:rFonts w:hint="eastAsia" w:ascii="仿宋" w:hAnsi="仿宋" w:eastAsia="仿宋" w:cs="仿宋"/>
          <w:color w:val="auto"/>
          <w:highlight w:val="none"/>
        </w:rPr>
        <w:t>按招标文件执行。</w:t>
      </w:r>
      <w:r>
        <w:rPr>
          <w:rFonts w:hint="eastAsia" w:ascii="仿宋" w:hAnsi="仿宋" w:eastAsia="仿宋" w:cs="仿宋"/>
          <w:color w:val="auto"/>
          <w:szCs w:val="21"/>
          <w:highlight w:val="none"/>
        </w:rPr>
        <w:t xml:space="preserve"> </w:t>
      </w:r>
    </w:p>
    <w:p>
      <w:pPr>
        <w:spacing w:line="400" w:lineRule="exact"/>
        <w:ind w:left="359"/>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（九）所有与本投标有关的函件请发往下列地址：</w:t>
      </w:r>
    </w:p>
    <w:p>
      <w:pPr>
        <w:pStyle w:val="2"/>
        <w:rPr>
          <w:color w:val="auto"/>
          <w:highlight w:val="none"/>
          <w:lang w:val="zh-CN"/>
        </w:rPr>
      </w:pPr>
    </w:p>
    <w:p>
      <w:pPr>
        <w:spacing w:line="400" w:lineRule="exact"/>
        <w:jc w:val="both"/>
        <w:rPr>
          <w:rFonts w:ascii="仿宋" w:hAnsi="仿宋" w:eastAsia="仿宋" w:cs="仿宋"/>
          <w:color w:val="auto"/>
          <w:kern w:val="2"/>
          <w:szCs w:val="21"/>
          <w:highlight w:val="none"/>
          <w:u w:val="single"/>
          <w:lang w:val="zh-CN"/>
        </w:rPr>
      </w:pPr>
      <w:r>
        <w:rPr>
          <w:rFonts w:hint="eastAsia" w:ascii="仿宋" w:hAnsi="仿宋" w:eastAsia="仿宋" w:cs="仿宋"/>
          <w:color w:val="auto"/>
          <w:kern w:val="2"/>
          <w:szCs w:val="21"/>
          <w:highlight w:val="none"/>
          <w:lang w:val="zh-CN"/>
        </w:rPr>
        <w:t>地  　址：</w:t>
      </w:r>
      <w:r>
        <w:rPr>
          <w:rFonts w:hint="eastAsia" w:ascii="仿宋" w:hAnsi="仿宋" w:eastAsia="仿宋" w:cs="仿宋"/>
          <w:color w:val="auto"/>
          <w:kern w:val="2"/>
          <w:szCs w:val="21"/>
          <w:highlight w:val="none"/>
          <w:u w:val="single"/>
          <w:lang w:val="zh-CN"/>
        </w:rPr>
        <w:t>　　　　　　　　　　　</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邮政编码：</w:t>
      </w:r>
      <w:r>
        <w:rPr>
          <w:rFonts w:hint="eastAsia" w:ascii="仿宋" w:hAnsi="仿宋" w:eastAsia="仿宋" w:cs="仿宋"/>
          <w:color w:val="auto"/>
          <w:kern w:val="2"/>
          <w:szCs w:val="21"/>
          <w:highlight w:val="none"/>
          <w:u w:val="single"/>
          <w:lang w:val="zh-CN"/>
        </w:rPr>
        <w:t xml:space="preserve">　　　　　　　　　　 </w:t>
      </w:r>
    </w:p>
    <w:p>
      <w:pPr>
        <w:spacing w:line="400" w:lineRule="exact"/>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电　　话：</w:t>
      </w:r>
      <w:r>
        <w:rPr>
          <w:rFonts w:hint="eastAsia" w:ascii="仿宋" w:hAnsi="仿宋" w:eastAsia="仿宋" w:cs="仿宋"/>
          <w:color w:val="auto"/>
          <w:kern w:val="2"/>
          <w:szCs w:val="21"/>
          <w:highlight w:val="none"/>
          <w:u w:val="single"/>
          <w:lang w:val="zh-CN"/>
        </w:rPr>
        <w:t>　　　　　　　　　　　</w:t>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ab/>
      </w:r>
      <w:r>
        <w:rPr>
          <w:rFonts w:hint="eastAsia" w:ascii="仿宋" w:hAnsi="仿宋" w:eastAsia="仿宋" w:cs="仿宋"/>
          <w:color w:val="auto"/>
          <w:kern w:val="2"/>
          <w:szCs w:val="21"/>
          <w:highlight w:val="none"/>
          <w:lang w:val="zh-CN"/>
        </w:rPr>
        <w:t>代表姓名：</w:t>
      </w:r>
      <w:r>
        <w:rPr>
          <w:rFonts w:hint="eastAsia" w:ascii="仿宋" w:hAnsi="仿宋" w:eastAsia="仿宋" w:cs="仿宋"/>
          <w:color w:val="auto"/>
          <w:kern w:val="2"/>
          <w:szCs w:val="21"/>
          <w:highlight w:val="none"/>
          <w:u w:val="single"/>
          <w:lang w:val="zh-CN"/>
        </w:rPr>
        <w:t>　　　　　　　　　　</w:t>
      </w:r>
    </w:p>
    <w:p>
      <w:pPr>
        <w:spacing w:line="400" w:lineRule="exact"/>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传　　真：</w:t>
      </w:r>
      <w:r>
        <w:rPr>
          <w:rFonts w:hint="eastAsia" w:ascii="仿宋" w:hAnsi="仿宋" w:eastAsia="仿宋" w:cs="仿宋"/>
          <w:color w:val="auto"/>
          <w:kern w:val="2"/>
          <w:szCs w:val="21"/>
          <w:highlight w:val="none"/>
          <w:u w:val="single"/>
          <w:lang w:val="zh-CN"/>
        </w:rPr>
        <w:t>　　　　　　　　　　　</w:t>
      </w:r>
      <w:r>
        <w:rPr>
          <w:rFonts w:hint="eastAsia" w:ascii="仿宋" w:hAnsi="仿宋" w:eastAsia="仿宋" w:cs="仿宋"/>
          <w:color w:val="auto"/>
          <w:kern w:val="2"/>
          <w:szCs w:val="21"/>
          <w:highlight w:val="none"/>
          <w:lang w:val="zh-CN"/>
        </w:rPr>
        <w:t xml:space="preserve">         职　　务：</w:t>
      </w:r>
      <w:r>
        <w:rPr>
          <w:rFonts w:hint="eastAsia" w:ascii="仿宋" w:hAnsi="仿宋" w:eastAsia="仿宋" w:cs="仿宋"/>
          <w:color w:val="auto"/>
          <w:kern w:val="2"/>
          <w:szCs w:val="21"/>
          <w:highlight w:val="none"/>
          <w:u w:val="single"/>
          <w:lang w:val="zh-CN"/>
        </w:rPr>
        <w:t xml:space="preserve">　　　　　　　　　　 </w:t>
      </w:r>
    </w:p>
    <w:p>
      <w:pPr>
        <w:snapToGrid w:val="0"/>
        <w:spacing w:line="400" w:lineRule="exact"/>
        <w:rPr>
          <w:rFonts w:ascii="仿宋" w:hAnsi="仿宋" w:eastAsia="仿宋" w:cs="仿宋"/>
          <w:color w:val="auto"/>
          <w:szCs w:val="21"/>
          <w:highlight w:val="none"/>
          <w:u w:val="single"/>
        </w:rPr>
      </w:pPr>
      <w:r>
        <w:rPr>
          <w:rFonts w:hint="eastAsia" w:ascii="仿宋" w:hAnsi="仿宋" w:eastAsia="仿宋" w:cs="仿宋"/>
          <w:color w:val="auto"/>
          <w:szCs w:val="21"/>
          <w:highlight w:val="none"/>
        </w:rPr>
        <w:t>开户银行：</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帐    号：</w:t>
      </w:r>
      <w:r>
        <w:rPr>
          <w:rFonts w:hint="eastAsia" w:ascii="仿宋" w:hAnsi="仿宋" w:eastAsia="仿宋" w:cs="仿宋"/>
          <w:color w:val="auto"/>
          <w:szCs w:val="21"/>
          <w:highlight w:val="none"/>
          <w:u w:val="single"/>
        </w:rPr>
        <w:t xml:space="preserve">                     </w:t>
      </w:r>
    </w:p>
    <w:p>
      <w:pPr>
        <w:spacing w:line="400" w:lineRule="exact"/>
        <w:jc w:val="both"/>
        <w:rPr>
          <w:rFonts w:ascii="仿宋" w:hAnsi="仿宋" w:eastAsia="仿宋" w:cs="仿宋"/>
          <w:color w:val="auto"/>
          <w:kern w:val="2"/>
          <w:szCs w:val="21"/>
          <w:highlight w:val="none"/>
        </w:rPr>
      </w:pP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投标人法定代表人（或法定代表人授权代表）亲笔签字：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hAnsi="宋体" w:cs="宋体"/>
          <w:color w:val="auto"/>
          <w:szCs w:val="21"/>
          <w:highlight w:val="none"/>
        </w:rPr>
      </w:pPr>
      <w:r>
        <w:rPr>
          <w:rFonts w:hint="eastAsia" w:ascii="仿宋" w:hAnsi="仿宋" w:eastAsia="仿宋" w:cs="仿宋"/>
          <w:color w:val="auto"/>
          <w:szCs w:val="21"/>
          <w:highlight w:val="none"/>
        </w:rPr>
        <w:t>日期：   年   月   日</w:t>
      </w:r>
    </w:p>
    <w:p>
      <w:pPr>
        <w:pStyle w:val="3"/>
        <w:spacing w:after="120" w:line="480" w:lineRule="exact"/>
        <w:rPr>
          <w:rFonts w:hAnsi="宋体" w:cs="宋体"/>
          <w:b/>
          <w:color w:val="auto"/>
          <w:szCs w:val="20"/>
          <w:highlight w:val="none"/>
        </w:rPr>
      </w:pPr>
      <w:r>
        <w:rPr>
          <w:rFonts w:hint="eastAsia" w:hAnsi="宋体" w:cs="宋体"/>
          <w:b/>
          <w:color w:val="auto"/>
          <w:szCs w:val="20"/>
          <w:highlight w:val="none"/>
        </w:rPr>
        <w:br w:type="page"/>
      </w:r>
      <w:r>
        <w:rPr>
          <w:rFonts w:hint="eastAsia" w:hAnsi="宋体" w:cs="宋体"/>
          <w:b/>
          <w:color w:val="auto"/>
          <w:szCs w:val="20"/>
          <w:highlight w:val="none"/>
        </w:rPr>
        <w:t>附表2.2 投标人资格声明书格式</w:t>
      </w:r>
    </w:p>
    <w:p>
      <w:pPr>
        <w:pStyle w:val="28"/>
        <w:spacing w:line="480" w:lineRule="exact"/>
        <w:jc w:val="center"/>
        <w:rPr>
          <w:rFonts w:hAnsi="宋体" w:cs="宋体"/>
          <w:b/>
          <w:bCs/>
          <w:color w:val="auto"/>
          <w:sz w:val="32"/>
          <w:szCs w:val="32"/>
          <w:highlight w:val="none"/>
        </w:rPr>
      </w:pPr>
      <w:r>
        <w:rPr>
          <w:rFonts w:hint="eastAsia" w:hAnsi="宋体" w:cs="宋体"/>
          <w:b/>
          <w:bCs/>
          <w:color w:val="auto"/>
          <w:sz w:val="32"/>
          <w:szCs w:val="32"/>
          <w:highlight w:val="none"/>
        </w:rPr>
        <w:t>资格声明书</w:t>
      </w:r>
    </w:p>
    <w:p>
      <w:pPr>
        <w:pStyle w:val="28"/>
        <w:spacing w:line="480" w:lineRule="exact"/>
        <w:rPr>
          <w:rFonts w:ascii="仿宋" w:hAnsi="仿宋" w:eastAsia="仿宋" w:cs="仿宋"/>
          <w:color w:val="auto"/>
          <w:highlight w:val="none"/>
        </w:rPr>
      </w:pPr>
      <w:r>
        <w:rPr>
          <w:rFonts w:hint="eastAsia" w:ascii="仿宋" w:hAnsi="仿宋" w:eastAsia="仿宋" w:cs="仿宋"/>
          <w:b/>
          <w:color w:val="auto"/>
          <w:highlight w:val="none"/>
        </w:rPr>
        <w:t>致：</w:t>
      </w:r>
      <w:r>
        <w:rPr>
          <w:rFonts w:hint="eastAsia" w:ascii="仿宋" w:hAnsi="仿宋" w:eastAsia="仿宋" w:cs="仿宋"/>
          <w:b/>
          <w:color w:val="auto"/>
          <w:highlight w:val="none"/>
          <w:u w:val="single"/>
        </w:rPr>
        <w:t xml:space="preserve"> 广东省气象局/ 广东远东招标代理有限公司 </w:t>
      </w:r>
    </w:p>
    <w:p>
      <w:pPr>
        <w:pStyle w:val="28"/>
        <w:spacing w:line="360" w:lineRule="auto"/>
        <w:ind w:firstLine="420"/>
        <w:rPr>
          <w:rFonts w:ascii="仿宋" w:hAnsi="仿宋" w:eastAsia="仿宋" w:cs="仿宋"/>
          <w:color w:val="auto"/>
          <w:szCs w:val="21"/>
          <w:highlight w:val="none"/>
        </w:rPr>
      </w:pPr>
      <w:bookmarkStart w:id="30" w:name="_Hlt10549792"/>
      <w:bookmarkEnd w:id="30"/>
      <w:bookmarkStart w:id="31" w:name="_Toc10548701"/>
      <w:r>
        <w:rPr>
          <w:rFonts w:hint="eastAsia" w:ascii="仿宋" w:hAnsi="仿宋" w:eastAsia="仿宋" w:cs="仿宋"/>
          <w:color w:val="auto"/>
          <w:szCs w:val="21"/>
          <w:highlight w:val="none"/>
        </w:rPr>
        <w:t>为响应你方组织的“南海海洋预警信息发布和沿海恶劣天气防灾叫应系统(二期)”的招标[采购编号为：GDYD230090]，我方愿参与投标并作出如下声明：</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一、我方作为</w:t>
      </w:r>
      <w:r>
        <w:rPr>
          <w:rFonts w:hint="eastAsia" w:ascii="仿宋" w:hAnsi="仿宋" w:eastAsia="仿宋" w:cs="仿宋"/>
          <w:color w:val="auto"/>
          <w:szCs w:val="21"/>
          <w:highlight w:val="none"/>
          <w:u w:val="single"/>
        </w:rPr>
        <w:t xml:space="preserve">   （投标人名称）   </w:t>
      </w:r>
      <w:r>
        <w:rPr>
          <w:rFonts w:hint="eastAsia" w:ascii="仿宋" w:hAnsi="仿宋" w:eastAsia="仿宋" w:cs="仿宋"/>
          <w:color w:val="auto"/>
          <w:szCs w:val="21"/>
          <w:highlight w:val="none"/>
        </w:rPr>
        <w:t>是在法律、财务和运作上独立于采购人、采购代理机构的投标人，提交所有文件和全部说明是真实的和正确的。</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二、本公司（企业）具备《中华人民共和国政府采购法》第二十二条规定的条件：</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（一）具有独立承担民事责任的能力；</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（二）具有良好的商业信誉和健全的财务会计制度；</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（三）具有履行合同所必需的设备和专业技术能力；</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（四）有依法缴纳税收和社会保障资金的良好记录；</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（五）参加政府采购活动前三年内，在经营活动中没有重大违法记录；</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（六）法律、行政法规规定的其他条件。</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三、本公司（企业）的单位负责人与所参投的本采购项目的其他投标人的单位负责人不为同一人且与其他投标人之间不存在直接控股、管理关系。</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五、本公司（企业）承诺在本次招标采购活动中，如有违法、违规、弄虚作假行为，所造成的损失、不良后果及法律责任，一律由我公司（企业）承担。</w:t>
      </w:r>
    </w:p>
    <w:p>
      <w:pPr>
        <w:pStyle w:val="28"/>
        <w:spacing w:line="360" w:lineRule="auto"/>
        <w:ind w:firstLine="420"/>
        <w:rPr>
          <w:rFonts w:ascii="仿宋" w:hAnsi="仿宋" w:eastAsia="仿宋" w:cs="仿宋"/>
          <w:color w:val="auto"/>
          <w:szCs w:val="21"/>
          <w:highlight w:val="none"/>
        </w:rPr>
      </w:pPr>
      <w:r>
        <w:rPr>
          <w:rFonts w:hint="eastAsia" w:ascii="仿宋" w:hAnsi="仿宋" w:eastAsia="仿宋" w:cs="仿宋"/>
          <w:color w:val="auto"/>
          <w:szCs w:val="21"/>
          <w:highlight w:val="none"/>
        </w:rPr>
        <w:t>六、我方理解你方可能还要求提供更进一步的资格资料，并愿意应你方的要求提交。</w:t>
      </w:r>
    </w:p>
    <w:p>
      <w:pPr>
        <w:pStyle w:val="28"/>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zh-CN"/>
        </w:rPr>
        <w:t>加盖法人公章</w:t>
      </w:r>
      <w:r>
        <w:rPr>
          <w:rFonts w:hint="eastAsia" w:ascii="仿宋" w:hAnsi="仿宋" w:eastAsia="仿宋" w:cs="仿宋"/>
          <w:color w:val="auto"/>
          <w:szCs w:val="21"/>
          <w:highlight w:val="none"/>
        </w:rPr>
        <w:t>）</w:t>
      </w:r>
    </w:p>
    <w:p>
      <w:pPr>
        <w:pStyle w:val="28"/>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法 定 地 址：</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pPr>
        <w:pStyle w:val="28"/>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邮       编：</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pPr>
        <w:pStyle w:val="28"/>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授权代表（亲笔签字）：</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签字人姓名（印刷体）</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pPr>
        <w:pStyle w:val="28"/>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电       话：</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pPr>
        <w:pStyle w:val="28"/>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传       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pPr>
        <w:pStyle w:val="3"/>
        <w:spacing w:after="120" w:line="480" w:lineRule="exact"/>
        <w:rPr>
          <w:rFonts w:hAnsi="宋体" w:cs="宋体"/>
          <w:b/>
          <w:color w:val="auto"/>
          <w:szCs w:val="20"/>
          <w:highlight w:val="none"/>
        </w:rPr>
      </w:pPr>
      <w:r>
        <w:rPr>
          <w:rFonts w:hint="eastAsia" w:hAnsi="宋体" w:cs="宋体"/>
          <w:b/>
          <w:color w:val="auto"/>
          <w:szCs w:val="20"/>
          <w:highlight w:val="none"/>
        </w:rPr>
        <w:br w:type="page"/>
      </w:r>
      <w:r>
        <w:rPr>
          <w:rFonts w:hint="eastAsia" w:hAnsi="宋体" w:cs="宋体"/>
          <w:b/>
          <w:color w:val="auto"/>
          <w:szCs w:val="20"/>
          <w:highlight w:val="none"/>
        </w:rPr>
        <w:t>附表2.3 法定代表人证明书格式</w:t>
      </w:r>
    </w:p>
    <w:p>
      <w:pPr>
        <w:spacing w:line="480" w:lineRule="exact"/>
        <w:jc w:val="center"/>
        <w:rPr>
          <w:rFonts w:hAnsi="宋体" w:cs="宋体"/>
          <w:b/>
          <w:color w:val="auto"/>
          <w:sz w:val="28"/>
          <w:szCs w:val="28"/>
          <w:highlight w:val="none"/>
        </w:rPr>
      </w:pPr>
    </w:p>
    <w:p>
      <w:pPr>
        <w:spacing w:line="480" w:lineRule="exact"/>
        <w:jc w:val="center"/>
        <w:rPr>
          <w:rFonts w:hAnsi="宋体" w:cs="宋体"/>
          <w:b/>
          <w:color w:val="auto"/>
          <w:sz w:val="32"/>
          <w:szCs w:val="32"/>
          <w:highlight w:val="none"/>
        </w:rPr>
      </w:pPr>
      <w:r>
        <w:rPr>
          <w:rFonts w:hint="eastAsia" w:hAnsi="宋体" w:cs="宋体"/>
          <w:b/>
          <w:color w:val="auto"/>
          <w:sz w:val="32"/>
          <w:szCs w:val="32"/>
          <w:highlight w:val="none"/>
        </w:rPr>
        <w:t>法定代表人/负责人资格证明书</w:t>
      </w:r>
    </w:p>
    <w:p>
      <w:pPr>
        <w:spacing w:line="480" w:lineRule="exact"/>
        <w:rPr>
          <w:rFonts w:hAnsi="宋体" w:cs="宋体"/>
          <w:color w:val="auto"/>
          <w:szCs w:val="21"/>
          <w:highlight w:val="none"/>
        </w:rPr>
      </w:pPr>
    </w:p>
    <w:p>
      <w:pPr>
        <w:spacing w:line="480" w:lineRule="exact"/>
        <w:rPr>
          <w:rFonts w:ascii="仿宋" w:hAnsi="仿宋" w:eastAsia="仿宋" w:cs="仿宋"/>
          <w:color w:val="auto"/>
          <w:szCs w:val="21"/>
          <w:highlight w:val="none"/>
        </w:rPr>
      </w:pPr>
      <w:r>
        <w:rPr>
          <w:rFonts w:hint="eastAsia" w:ascii="仿宋" w:hAnsi="仿宋" w:eastAsia="仿宋" w:cs="仿宋"/>
          <w:color w:val="auto"/>
          <w:szCs w:val="21"/>
          <w:highlight w:val="none"/>
        </w:rPr>
        <w:t>致：广东省气象局/ 广东远东招标代理有限公司</w:t>
      </w:r>
    </w:p>
    <w:p>
      <w:pPr>
        <w:rPr>
          <w:rFonts w:ascii="仿宋" w:hAnsi="仿宋" w:eastAsia="仿宋" w:cs="仿宋"/>
          <w:color w:val="auto"/>
          <w:szCs w:val="21"/>
          <w:highlight w:val="none"/>
        </w:rPr>
      </w:pPr>
    </w:p>
    <w:p>
      <w:pPr>
        <w:spacing w:line="4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同志，现任我单位</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职务，为法定代表人，特此证明。</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签发日期：           单位：           （</w:t>
      </w:r>
      <w:r>
        <w:rPr>
          <w:rFonts w:hint="eastAsia" w:ascii="仿宋" w:hAnsi="仿宋" w:eastAsia="仿宋" w:cs="仿宋"/>
          <w:color w:val="auto"/>
          <w:kern w:val="2"/>
          <w:szCs w:val="21"/>
          <w:highlight w:val="none"/>
          <w:lang w:val="zh-CN"/>
        </w:rPr>
        <w:t>加盖法人公章</w:t>
      </w:r>
      <w:r>
        <w:rPr>
          <w:rFonts w:hint="eastAsia" w:ascii="仿宋" w:hAnsi="仿宋" w:eastAsia="仿宋" w:cs="仿宋"/>
          <w:color w:val="auto"/>
          <w:szCs w:val="21"/>
          <w:highlight w:val="none"/>
        </w:rPr>
        <w:t>）</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附：代表人性别：            年龄：           身份证号码：</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联系电话：</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营业执照号码：                       经济性质：</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主营（产）：</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兼营（产）：</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进口物品经营许可证号码：</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主营：</w:t>
      </w:r>
    </w:p>
    <w:p>
      <w:pPr>
        <w:spacing w:line="44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兼营：</w:t>
      </w:r>
    </w:p>
    <w:p>
      <w:pPr>
        <w:spacing w:line="4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说明：1.法定代表人为企业事业单位、国家机关、社会团体的主要行政负责人。</w:t>
      </w:r>
    </w:p>
    <w:p>
      <w:pPr>
        <w:spacing w:line="4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2.内容必须填写真实、清楚、涂改无效，不得转让、买卖。</w:t>
      </w:r>
    </w:p>
    <w:p>
      <w:pPr>
        <w:spacing w:line="440" w:lineRule="exact"/>
        <w:ind w:firstLine="630" w:firstLineChars="300"/>
        <w:rPr>
          <w:rFonts w:hAnsi="宋体" w:cs="宋体"/>
          <w:color w:val="auto"/>
          <w:szCs w:val="21"/>
          <w:highlight w:val="none"/>
        </w:rPr>
      </w:pPr>
      <w:r>
        <w:rPr>
          <w:rFonts w:hint="eastAsia" w:ascii="仿宋" w:hAnsi="仿宋" w:eastAsia="仿宋" w:cs="仿宋"/>
          <w:color w:val="auto"/>
          <w:szCs w:val="21"/>
          <w:highlight w:val="none"/>
        </w:rPr>
        <w:t>3.将此证明书提交对方作为合同附件</w:t>
      </w:r>
      <w:r>
        <w:rPr>
          <w:rFonts w:hint="eastAsia" w:ascii="仿宋" w:hAnsi="仿宋" w:eastAsia="仿宋" w:cs="仿宋"/>
          <w:b/>
          <w:color w:val="auto"/>
          <w:szCs w:val="21"/>
          <w:highlight w:val="none"/>
        </w:rPr>
        <w:t>。</w:t>
      </w:r>
    </w:p>
    <w:p>
      <w:pPr>
        <w:rPr>
          <w:rFonts w:hAnsi="宋体" w:cs="宋体"/>
          <w:color w:val="auto"/>
          <w:szCs w:val="21"/>
          <w:highlight w:val="none"/>
        </w:rPr>
      </w:pPr>
    </w:p>
    <w:p>
      <w:pPr>
        <w:rPr>
          <w:rFonts w:hAnsi="宋体" w:cs="宋体"/>
          <w:color w:val="auto"/>
          <w:szCs w:val="21"/>
          <w:highlight w:val="none"/>
        </w:rPr>
      </w:pPr>
    </w:p>
    <w:p>
      <w:pPr>
        <w:rPr>
          <w:rFonts w:hAnsi="宋体" w:cs="宋体"/>
          <w:color w:val="auto"/>
          <w:szCs w:val="21"/>
          <w:highlight w:val="none"/>
        </w:rPr>
      </w:pPr>
    </w:p>
    <w:p>
      <w:pPr>
        <w:rPr>
          <w:rFonts w:hAnsi="宋体" w:cs="宋体"/>
          <w:b/>
          <w:color w:val="auto"/>
          <w:szCs w:val="21"/>
          <w:highlight w:val="none"/>
        </w:rPr>
      </w:pPr>
      <w:r>
        <w:rPr>
          <w:rFonts w:hint="eastAsia" w:hAnsi="宋体" w:cs="宋体"/>
          <w:color w:val="auto"/>
          <w:szCs w:val="21"/>
          <w:highlight w:val="none"/>
        </w:rPr>
        <w:t xml:space="preserve"> </w:t>
      </w:r>
      <w:r>
        <w:rPr>
          <w:rFonts w:hint="eastAsia" w:hAnsi="宋体" w:cs="宋体"/>
          <w:b/>
          <w:color w:val="auto"/>
          <w:szCs w:val="21"/>
          <w:highlight w:val="none"/>
        </w:rPr>
        <w:t xml:space="preserve"> (为避免废标，请投标人务必提供下列附件)</w:t>
      </w:r>
    </w:p>
    <w:p>
      <w:pPr>
        <w:rPr>
          <w:rFonts w:hAnsi="宋体" w:cs="宋体"/>
          <w:b/>
          <w:color w:val="auto"/>
          <w:szCs w:val="21"/>
          <w:highlight w:val="none"/>
        </w:rPr>
      </w:pPr>
    </w:p>
    <w:p>
      <w:pPr>
        <w:rPr>
          <w:rFonts w:hAnsi="宋体" w:cs="宋体"/>
          <w:b/>
          <w:color w:val="auto"/>
          <w:szCs w:val="21"/>
          <w:highlight w:val="none"/>
        </w:rPr>
      </w:pPr>
      <w:r>
        <w:rPr>
          <w:rFonts w:hint="eastAsia" w:hAnsi="宋体" w:cs="宋体"/>
          <w:b/>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2990850</wp:posOffset>
                </wp:positionH>
                <wp:positionV relativeFrom="paragraph">
                  <wp:posOffset>74930</wp:posOffset>
                </wp:positionV>
                <wp:extent cx="2333625" cy="1584325"/>
                <wp:effectExtent l="13335" t="6985" r="5715" b="8890"/>
                <wp:wrapNone/>
                <wp:docPr id="9" name="自选图形 8"/>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wps:spPr>
                      <wps:txbx>
                        <w:txbxContent>
                          <w:p>
                            <w:pPr>
                              <w:jc w:val="center"/>
                              <w:rPr>
                                <w:szCs w:val="21"/>
                              </w:rPr>
                            </w:pPr>
                            <w:r>
                              <w:rPr>
                                <w:rFonts w:hint="eastAsia"/>
                                <w:szCs w:val="21"/>
                              </w:rPr>
                              <w:t>法人身份证复印件反面</w:t>
                            </w:r>
                          </w:p>
                        </w:txbxContent>
                      </wps:txbx>
                      <wps:bodyPr rot="0" vert="horz" wrap="square" lIns="91440" tIns="45720" rIns="91440" bIns="45720" anchor="t" anchorCtr="0" upright="1">
                        <a:noAutofit/>
                      </wps:bodyPr>
                    </wps:wsp>
                  </a:graphicData>
                </a:graphic>
              </wp:anchor>
            </w:drawing>
          </mc:Choice>
          <mc:Fallback>
            <w:pict>
              <v:shape id="自选图形 8" o:spid="_x0000_s1026" o:spt="176" type="#_x0000_t176" style="position:absolute;left:0pt;margin-left:235.5pt;margin-top:5.9pt;height:124.75pt;width:183.75pt;z-index:251661312;mso-width-relative:page;mso-height-relative:page;" fillcolor="#FFFFFF" filled="t" stroked="t" coordsize="21600,21600" o:gfxdata="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fp8cDtgAAAAKAQAADwAAAAAA&#10;AAABACAAAAAiAAAAZHJzL2Rvd25yZXYueG1sUEsBAhQAFAAAAAgAh07iQCXZNOtMAgAAlgQAAA4A&#10;AAAAAAAAAQAgAAAAJwEAAGRycy9lMm9Eb2MueG1sUEsFBgAAAAAGAAYAWQEAAOUFAAAAAA==&#10;">
                <v:fill on="t" focussize="0,0"/>
                <v:stroke color="#000000" miterlimit="8" joinstyle="miter"/>
                <v:imagedata o:title=""/>
                <o:lock v:ext="edit" aspectratio="f"/>
                <v:textbox>
                  <w:txbxContent>
                    <w:p>
                      <w:pPr>
                        <w:jc w:val="center"/>
                        <w:rPr>
                          <w:szCs w:val="21"/>
                        </w:rPr>
                      </w:pPr>
                      <w:r>
                        <w:rPr>
                          <w:rFonts w:hint="eastAsia"/>
                          <w:szCs w:val="21"/>
                        </w:rPr>
                        <w:t>法人身份证复印件反面</w:t>
                      </w:r>
                    </w:p>
                  </w:txbxContent>
                </v:textbox>
              </v:shape>
            </w:pict>
          </mc:Fallback>
        </mc:AlternateContent>
      </w:r>
      <w:r>
        <w:rPr>
          <w:rFonts w:hint="eastAsia" w:hAnsi="宋体" w:cs="宋体"/>
          <w:b/>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447675</wp:posOffset>
                </wp:positionH>
                <wp:positionV relativeFrom="paragraph">
                  <wp:posOffset>74930</wp:posOffset>
                </wp:positionV>
                <wp:extent cx="2333625" cy="1584325"/>
                <wp:effectExtent l="13335" t="6985" r="5715" b="8890"/>
                <wp:wrapNone/>
                <wp:docPr id="8" name="自选图形 2"/>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wps:spPr>
                      <wps:txbx>
                        <w:txbxContent>
                          <w:p>
                            <w:pPr>
                              <w:jc w:val="center"/>
                              <w:rPr>
                                <w:szCs w:val="21"/>
                              </w:rPr>
                            </w:pPr>
                            <w:r>
                              <w:rPr>
                                <w:rFonts w:hint="eastAsia"/>
                                <w:szCs w:val="21"/>
                              </w:rPr>
                              <w:t>法人身份证复印件正面</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35.25pt;margin-top:5.9pt;height:124.75pt;width:183.75pt;z-index:251659264;mso-width-relative:page;mso-height-relative:page;" fillcolor="#FFFFFF" filled="t" stroked="t" coordsize="21600,21600" o:gfxdata="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WVehh1wAAAAkBAAAPAAAAAAAA&#10;AAEAIAAAACIAAABkcnMvZG93bnJldi54bWxQSwECFAAUAAAACACHTuJA1AbZgkwCAACWBAAADgAA&#10;AAAAAAABACAAAAAmAQAAZHJzL2Uyb0RvYy54bWxQSwUGAAAAAAYABgBZAQAA5AUAAAAA&#10;">
                <v:fill on="t" focussize="0,0"/>
                <v:stroke color="#000000" miterlimit="8" joinstyle="miter"/>
                <v:imagedata o:title=""/>
                <o:lock v:ext="edit" aspectratio="f"/>
                <v:textbox>
                  <w:txbxContent>
                    <w:p>
                      <w:pPr>
                        <w:jc w:val="center"/>
                        <w:rPr>
                          <w:szCs w:val="21"/>
                        </w:rPr>
                      </w:pPr>
                      <w:r>
                        <w:rPr>
                          <w:rFonts w:hint="eastAsia"/>
                          <w:szCs w:val="21"/>
                        </w:rPr>
                        <w:t>法人身份证复印件正面</w:t>
                      </w:r>
                    </w:p>
                  </w:txbxContent>
                </v:textbox>
              </v:shape>
            </w:pict>
          </mc:Fallback>
        </mc:AlternateContent>
      </w:r>
    </w:p>
    <w:p>
      <w:pPr>
        <w:rPr>
          <w:rFonts w:hAnsi="宋体" w:cs="宋体"/>
          <w:b/>
          <w:color w:val="auto"/>
          <w:szCs w:val="21"/>
          <w:highlight w:val="none"/>
        </w:rPr>
      </w:pPr>
    </w:p>
    <w:p>
      <w:pPr>
        <w:rPr>
          <w:rFonts w:hAnsi="宋体" w:cs="宋体"/>
          <w:b/>
          <w:color w:val="auto"/>
          <w:szCs w:val="21"/>
          <w:highlight w:val="none"/>
        </w:rPr>
      </w:pPr>
    </w:p>
    <w:p>
      <w:pPr>
        <w:rPr>
          <w:rFonts w:hAnsi="宋体" w:cs="宋体"/>
          <w:b/>
          <w:color w:val="auto"/>
          <w:szCs w:val="21"/>
          <w:highlight w:val="none"/>
        </w:rPr>
      </w:pPr>
    </w:p>
    <w:p>
      <w:pPr>
        <w:tabs>
          <w:tab w:val="left" w:pos="654"/>
          <w:tab w:val="left" w:pos="1734"/>
          <w:tab w:val="left" w:pos="2814"/>
          <w:tab w:val="left" w:pos="3894"/>
          <w:tab w:val="left" w:pos="5334"/>
          <w:tab w:val="left" w:pos="6414"/>
          <w:tab w:val="left" w:pos="7254"/>
          <w:tab w:val="left" w:pos="8574"/>
          <w:tab w:val="left" w:pos="9654"/>
        </w:tabs>
        <w:rPr>
          <w:rFonts w:hAnsi="宋体" w:cs="宋体"/>
          <w:color w:val="auto"/>
          <w:szCs w:val="21"/>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bookmarkEnd w:id="31"/>
    <w:p>
      <w:pPr>
        <w:pStyle w:val="3"/>
        <w:spacing w:after="120" w:line="480" w:lineRule="exact"/>
        <w:rPr>
          <w:rFonts w:hAnsi="宋体" w:cs="宋体"/>
          <w:b/>
          <w:color w:val="auto"/>
          <w:szCs w:val="20"/>
          <w:highlight w:val="none"/>
        </w:rPr>
      </w:pPr>
      <w:r>
        <w:rPr>
          <w:rFonts w:hint="eastAsia" w:hAnsi="宋体" w:cs="宋体"/>
          <w:b/>
          <w:color w:val="auto"/>
          <w:szCs w:val="20"/>
          <w:highlight w:val="none"/>
        </w:rPr>
        <w:br w:type="page"/>
      </w:r>
      <w:r>
        <w:rPr>
          <w:rFonts w:hint="eastAsia" w:hAnsi="宋体" w:cs="宋体"/>
          <w:b/>
          <w:color w:val="auto"/>
          <w:szCs w:val="20"/>
          <w:highlight w:val="none"/>
        </w:rPr>
        <w:t>附表2.4 法定代表人授权书格式（有被授权人时适用）</w:t>
      </w:r>
    </w:p>
    <w:p>
      <w:pPr>
        <w:spacing w:line="360" w:lineRule="auto"/>
        <w:jc w:val="center"/>
        <w:rPr>
          <w:rFonts w:hAnsi="宋体" w:cs="宋体"/>
          <w:b/>
          <w:color w:val="auto"/>
          <w:szCs w:val="21"/>
          <w:highlight w:val="none"/>
        </w:rPr>
      </w:pPr>
    </w:p>
    <w:p>
      <w:pPr>
        <w:spacing w:line="360" w:lineRule="auto"/>
        <w:jc w:val="center"/>
        <w:rPr>
          <w:rFonts w:hAnsi="宋体" w:cs="宋体"/>
          <w:b/>
          <w:color w:val="auto"/>
          <w:szCs w:val="21"/>
          <w:highlight w:val="none"/>
        </w:rPr>
      </w:pPr>
      <w:r>
        <w:rPr>
          <w:rFonts w:hint="eastAsia" w:hAnsi="宋体" w:cs="宋体"/>
          <w:b/>
          <w:color w:val="auto"/>
          <w:szCs w:val="21"/>
          <w:highlight w:val="none"/>
        </w:rPr>
        <w:t>法定代表人授权书格式</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致：广东省气象局/ 广东远东招标代理有限公司</w:t>
      </w:r>
    </w:p>
    <w:p>
      <w:pPr>
        <w:spacing w:line="48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兹授权</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同志，为我方签订经济合同及办理其他事务代理人，其权限是：</w:t>
      </w:r>
    </w:p>
    <w:p>
      <w:pPr>
        <w:spacing w:line="480" w:lineRule="exact"/>
        <w:rPr>
          <w:rFonts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pPr>
        <w:spacing w:line="480" w:lineRule="exact"/>
        <w:rPr>
          <w:rFonts w:ascii="仿宋" w:hAnsi="仿宋" w:eastAsia="仿宋" w:cs="仿宋"/>
          <w:color w:val="auto"/>
          <w:szCs w:val="21"/>
          <w:highlight w:val="none"/>
        </w:rPr>
      </w:pPr>
      <w:r>
        <w:rPr>
          <w:rFonts w:hint="eastAsia" w:ascii="仿宋" w:hAnsi="仿宋" w:eastAsia="仿宋" w:cs="仿宋"/>
          <w:color w:val="auto"/>
          <w:szCs w:val="21"/>
          <w:highlight w:val="none"/>
        </w:rPr>
        <w:t>授权单位：          （</w:t>
      </w:r>
      <w:r>
        <w:rPr>
          <w:rFonts w:hint="eastAsia" w:ascii="仿宋" w:hAnsi="仿宋" w:eastAsia="仿宋" w:cs="仿宋"/>
          <w:color w:val="auto"/>
          <w:kern w:val="2"/>
          <w:szCs w:val="21"/>
          <w:highlight w:val="none"/>
          <w:lang w:val="zh-CN"/>
        </w:rPr>
        <w:t>加盖法人公章</w:t>
      </w:r>
      <w:r>
        <w:rPr>
          <w:rFonts w:hint="eastAsia" w:ascii="仿宋" w:hAnsi="仿宋" w:eastAsia="仿宋" w:cs="仿宋"/>
          <w:color w:val="auto"/>
          <w:szCs w:val="21"/>
          <w:highlight w:val="none"/>
        </w:rPr>
        <w:t>）     法定代表人              （签名亲笔或盖私章）</w:t>
      </w:r>
    </w:p>
    <w:p>
      <w:pPr>
        <w:spacing w:line="480" w:lineRule="exact"/>
        <w:rPr>
          <w:rFonts w:ascii="仿宋" w:hAnsi="仿宋" w:eastAsia="仿宋" w:cs="仿宋"/>
          <w:color w:val="auto"/>
          <w:szCs w:val="21"/>
          <w:highlight w:val="none"/>
        </w:rPr>
      </w:pPr>
      <w:r>
        <w:rPr>
          <w:rFonts w:hint="eastAsia" w:ascii="仿宋" w:hAnsi="仿宋" w:eastAsia="仿宋" w:cs="仿宋"/>
          <w:color w:val="auto"/>
          <w:szCs w:val="21"/>
          <w:highlight w:val="none"/>
        </w:rPr>
        <w:t>有效期限：至        年       月      日       签发日期：</w:t>
      </w:r>
    </w:p>
    <w:p>
      <w:pPr>
        <w:spacing w:line="480" w:lineRule="exact"/>
        <w:rPr>
          <w:rFonts w:ascii="仿宋" w:hAnsi="仿宋" w:eastAsia="仿宋" w:cs="仿宋"/>
          <w:color w:val="auto"/>
          <w:szCs w:val="21"/>
          <w:highlight w:val="none"/>
        </w:rPr>
      </w:pPr>
      <w:r>
        <w:rPr>
          <w:rFonts w:hint="eastAsia" w:ascii="仿宋" w:hAnsi="仿宋" w:eastAsia="仿宋" w:cs="仿宋"/>
          <w:color w:val="auto"/>
          <w:szCs w:val="21"/>
          <w:highlight w:val="none"/>
        </w:rPr>
        <w:t>附：代理人性别：        年龄：       职务：         身份证号码：</w:t>
      </w:r>
    </w:p>
    <w:p>
      <w:pPr>
        <w:spacing w:line="480" w:lineRule="exac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联系电话：</w:t>
      </w:r>
    </w:p>
    <w:p>
      <w:pPr>
        <w:spacing w:line="48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营业执照号码：                         经济性质：</w:t>
      </w:r>
    </w:p>
    <w:p>
      <w:pPr>
        <w:spacing w:line="48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主营（产）：</w:t>
      </w:r>
    </w:p>
    <w:p>
      <w:pPr>
        <w:spacing w:line="480" w:lineRule="exact"/>
        <w:ind w:firstLine="210" w:firstLineChars="100"/>
        <w:rPr>
          <w:rFonts w:ascii="仿宋" w:hAnsi="仿宋" w:eastAsia="仿宋" w:cs="仿宋"/>
          <w:color w:val="auto"/>
          <w:szCs w:val="21"/>
          <w:highlight w:val="none"/>
        </w:rPr>
      </w:pPr>
      <w:r>
        <w:rPr>
          <w:rFonts w:hint="eastAsia" w:ascii="仿宋" w:hAnsi="仿宋" w:eastAsia="仿宋" w:cs="仿宋"/>
          <w:color w:val="auto"/>
          <w:szCs w:val="21"/>
          <w:highlight w:val="none"/>
        </w:rPr>
        <w:t>兼营（产）：</w:t>
      </w:r>
    </w:p>
    <w:p>
      <w:pPr>
        <w:spacing w:line="480" w:lineRule="exact"/>
        <w:rPr>
          <w:rFonts w:ascii="仿宋" w:hAnsi="仿宋" w:eastAsia="仿宋" w:cs="仿宋"/>
          <w:color w:val="auto"/>
          <w:szCs w:val="21"/>
          <w:highlight w:val="none"/>
        </w:rPr>
      </w:pPr>
      <w:r>
        <w:rPr>
          <w:rFonts w:hint="eastAsia" w:ascii="仿宋" w:hAnsi="仿宋" w:eastAsia="仿宋" w:cs="仿宋"/>
          <w:color w:val="auto"/>
          <w:szCs w:val="21"/>
          <w:highlight w:val="none"/>
        </w:rPr>
        <w:t>说明：1.法定代表人为企业事业单位、国家机关、社会团体的主要行政负责人。</w:t>
      </w:r>
    </w:p>
    <w:p>
      <w:pPr>
        <w:spacing w:line="480" w:lineRule="exac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2.内容必须填写真实、清楚、涂改无效，不得转让、买卖。</w:t>
      </w:r>
    </w:p>
    <w:p>
      <w:pPr>
        <w:spacing w:line="480" w:lineRule="exact"/>
        <w:ind w:firstLine="630" w:firstLineChars="300"/>
        <w:rPr>
          <w:rFonts w:ascii="仿宋" w:hAnsi="仿宋" w:eastAsia="仿宋" w:cs="仿宋"/>
          <w:b/>
          <w:color w:val="auto"/>
          <w:szCs w:val="21"/>
          <w:highlight w:val="none"/>
        </w:rPr>
      </w:pPr>
      <w:r>
        <w:rPr>
          <w:rFonts w:hint="eastAsia" w:ascii="仿宋" w:hAnsi="仿宋" w:eastAsia="仿宋" w:cs="仿宋"/>
          <w:color w:val="auto"/>
          <w:szCs w:val="21"/>
          <w:highlight w:val="none"/>
        </w:rPr>
        <w:t>3.将此证明书提交对方作为合同附件</w:t>
      </w:r>
      <w:r>
        <w:rPr>
          <w:rFonts w:hint="eastAsia" w:ascii="仿宋" w:hAnsi="仿宋" w:eastAsia="仿宋" w:cs="仿宋"/>
          <w:b/>
          <w:color w:val="auto"/>
          <w:szCs w:val="21"/>
          <w:highlight w:val="none"/>
        </w:rPr>
        <w:t>。</w:t>
      </w:r>
    </w:p>
    <w:p>
      <w:pPr>
        <w:spacing w:line="480" w:lineRule="exact"/>
        <w:ind w:firstLine="630" w:firstLineChars="300"/>
        <w:rPr>
          <w:rFonts w:ascii="仿宋" w:hAnsi="仿宋" w:eastAsia="仿宋" w:cs="仿宋"/>
          <w:color w:val="auto"/>
          <w:szCs w:val="21"/>
          <w:highlight w:val="none"/>
        </w:rPr>
      </w:pPr>
      <w:r>
        <w:rPr>
          <w:rFonts w:hint="eastAsia" w:ascii="仿宋" w:hAnsi="仿宋" w:eastAsia="仿宋" w:cs="仿宋"/>
          <w:color w:val="auto"/>
          <w:szCs w:val="21"/>
          <w:highlight w:val="none"/>
        </w:rPr>
        <w:t>4.授权权限：全权代表本公司参与上述采购项目的投标，负责提供与签署确认一切文书资料，以及向贵方递交的任何补充承诺。</w:t>
      </w:r>
    </w:p>
    <w:p>
      <w:pPr>
        <w:spacing w:line="440" w:lineRule="exact"/>
        <w:ind w:firstLine="644" w:firstLineChars="307"/>
        <w:rPr>
          <w:rFonts w:ascii="仿宋" w:hAnsi="仿宋" w:eastAsia="仿宋" w:cs="仿宋"/>
          <w:color w:val="auto"/>
          <w:szCs w:val="21"/>
          <w:highlight w:val="none"/>
        </w:rPr>
      </w:pPr>
      <w:r>
        <w:rPr>
          <w:rFonts w:hint="eastAsia" w:ascii="仿宋" w:hAnsi="仿宋" w:eastAsia="仿宋" w:cs="仿宋"/>
          <w:color w:val="auto"/>
          <w:szCs w:val="21"/>
          <w:highlight w:val="none"/>
        </w:rPr>
        <w:t>5.有效期限：与本公司投标文件中标注的投标有效期相同，自本单位盖公章之日起生效。</w:t>
      </w:r>
    </w:p>
    <w:p>
      <w:pPr>
        <w:spacing w:line="440" w:lineRule="exact"/>
        <w:ind w:firstLine="644" w:firstLineChars="307"/>
        <w:rPr>
          <w:rFonts w:ascii="仿宋" w:hAnsi="仿宋" w:eastAsia="仿宋" w:cs="仿宋"/>
          <w:color w:val="auto"/>
          <w:szCs w:val="21"/>
          <w:highlight w:val="none"/>
        </w:rPr>
      </w:pPr>
      <w:r>
        <w:rPr>
          <w:rFonts w:hint="eastAsia" w:ascii="仿宋" w:hAnsi="仿宋" w:eastAsia="仿宋" w:cs="仿宋"/>
          <w:color w:val="auto"/>
          <w:szCs w:val="21"/>
          <w:highlight w:val="none"/>
        </w:rPr>
        <w:t>6.投标签字代表为法定代表人，则本表不适用。</w:t>
      </w:r>
    </w:p>
    <w:p>
      <w:pPr>
        <w:spacing w:line="360" w:lineRule="auto"/>
        <w:ind w:firstLine="420"/>
        <w:rPr>
          <w:rFonts w:hAnsi="宋体" w:cs="宋体"/>
          <w:color w:val="auto"/>
          <w:szCs w:val="21"/>
          <w:highlight w:val="none"/>
          <w:u w:val="single"/>
        </w:rPr>
      </w:pPr>
      <w:r>
        <w:rPr>
          <w:rFonts w:hint="eastAsia" w:hAnsi="宋体" w:cs="宋体"/>
          <w:color w:val="auto"/>
          <w:szCs w:val="21"/>
          <w:highlight w:val="none"/>
          <w:u w:val="single"/>
        </w:rPr>
        <mc:AlternateContent>
          <mc:Choice Requires="wps">
            <w:drawing>
              <wp:anchor distT="0" distB="0" distL="114300" distR="114300" simplePos="0" relativeHeight="251662336" behindDoc="0" locked="0" layoutInCell="1" allowOverlap="1">
                <wp:simplePos x="0" y="0"/>
                <wp:positionH relativeFrom="column">
                  <wp:posOffset>2828925</wp:posOffset>
                </wp:positionH>
                <wp:positionV relativeFrom="paragraph">
                  <wp:posOffset>33020</wp:posOffset>
                </wp:positionV>
                <wp:extent cx="2333625" cy="1584325"/>
                <wp:effectExtent l="13335" t="13970" r="5715" b="11430"/>
                <wp:wrapNone/>
                <wp:docPr id="7" name="自选图形 9"/>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wps:spPr>
                      <wps:txbx>
                        <w:txbxContent>
                          <w:p>
                            <w:pPr>
                              <w:jc w:val="center"/>
                              <w:rPr>
                                <w:szCs w:val="21"/>
                              </w:rPr>
                            </w:pPr>
                            <w:r>
                              <w:rPr>
                                <w:rFonts w:hint="eastAsia"/>
                                <w:szCs w:val="21"/>
                              </w:rPr>
                              <w:t>授权代表身份证复印件反面</w:t>
                            </w:r>
                          </w:p>
                        </w:txbxContent>
                      </wps:txbx>
                      <wps:bodyPr rot="0" vert="horz" wrap="square" lIns="91440" tIns="45720" rIns="91440" bIns="45720" anchor="t" anchorCtr="0" upright="1">
                        <a:noAutofit/>
                      </wps:bodyPr>
                    </wps:wsp>
                  </a:graphicData>
                </a:graphic>
              </wp:anchor>
            </w:drawing>
          </mc:Choice>
          <mc:Fallback>
            <w:pict>
              <v:shape id="自选图形 9" o:spid="_x0000_s1026" o:spt="176" type="#_x0000_t176" style="position:absolute;left:0pt;margin-left:222.75pt;margin-top:2.6pt;height:124.75pt;width:183.75pt;z-index:251662336;mso-width-relative:page;mso-height-relative:page;" fillcolor="#FFFFFF" filled="t" stroked="t" coordsize="21600,21600" o:gfxdata="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O/0eXYAAAACQEAAA8AAAAA&#10;AAAAAQAgAAAAIgAAAGRycy9kb3ducmV2LnhtbFBLAQIUABQAAAAIAIdO4kBAcocwTQIAAJYEAAAO&#10;AAAAAAAAAAEAIAAAACcBAABkcnMvZTJvRG9jLnhtbFBLBQYAAAAABgAGAFkBAADmBQAAAAA=&#10;">
                <v:fill on="t" focussize="0,0"/>
                <v:stroke color="#000000" miterlimit="8" joinstyle="miter"/>
                <v:imagedata o:title=""/>
                <o:lock v:ext="edit" aspectratio="f"/>
                <v:textbox>
                  <w:txbxContent>
                    <w:p>
                      <w:pPr>
                        <w:jc w:val="center"/>
                        <w:rPr>
                          <w:szCs w:val="21"/>
                        </w:rPr>
                      </w:pPr>
                      <w:r>
                        <w:rPr>
                          <w:rFonts w:hint="eastAsia"/>
                          <w:szCs w:val="21"/>
                        </w:rPr>
                        <w:t>授权代表身份证复印件反面</w:t>
                      </w:r>
                    </w:p>
                  </w:txbxContent>
                </v:textbox>
              </v:shape>
            </w:pict>
          </mc:Fallback>
        </mc:AlternateContent>
      </w:r>
      <w:r>
        <w:rPr>
          <w:rFonts w:hint="eastAsia" w:hAnsi="宋体" w:cs="宋体"/>
          <w:color w:val="auto"/>
          <w:szCs w:val="21"/>
          <w:highlight w:val="none"/>
          <w:u w:val="single"/>
        </w:rPr>
        <mc:AlternateContent>
          <mc:Choice Requires="wps">
            <w:drawing>
              <wp:anchor distT="0" distB="0" distL="114300" distR="114300" simplePos="0" relativeHeight="251660288" behindDoc="0" locked="0" layoutInCell="1" allowOverlap="1">
                <wp:simplePos x="0" y="0"/>
                <wp:positionH relativeFrom="column">
                  <wp:posOffset>400050</wp:posOffset>
                </wp:positionH>
                <wp:positionV relativeFrom="paragraph">
                  <wp:posOffset>33020</wp:posOffset>
                </wp:positionV>
                <wp:extent cx="2333625" cy="1584325"/>
                <wp:effectExtent l="13335" t="13970" r="5715" b="11430"/>
                <wp:wrapNone/>
                <wp:docPr id="6" name="自选图形 3"/>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wps:spPr>
                      <wps:txbx>
                        <w:txbxContent>
                          <w:p>
                            <w:pPr>
                              <w:jc w:val="center"/>
                              <w:rPr>
                                <w:szCs w:val="21"/>
                              </w:rPr>
                            </w:pPr>
                            <w:r>
                              <w:rPr>
                                <w:rFonts w:hint="eastAsia"/>
                                <w:szCs w:val="21"/>
                              </w:rPr>
                              <w:t>授权代表身份证复印件正面</w:t>
                            </w:r>
                          </w:p>
                        </w:txbxContent>
                      </wps:txbx>
                      <wps:bodyPr rot="0" vert="horz" wrap="square" lIns="91440" tIns="45720" rIns="91440" bIns="45720" anchor="t" anchorCtr="0" upright="1">
                        <a:noAutofit/>
                      </wps:bodyPr>
                    </wps:wsp>
                  </a:graphicData>
                </a:graphic>
              </wp:anchor>
            </w:drawing>
          </mc:Choice>
          <mc:Fallback>
            <w:pict>
              <v:shape id="自选图形 3" o:spid="_x0000_s1026" o:spt="176" type="#_x0000_t176" style="position:absolute;left:0pt;margin-left:31.5pt;margin-top:2.6pt;height:124.75pt;width:183.75pt;z-index:251660288;mso-width-relative:page;mso-height-relative:page;" fillcolor="#FFFFFF" filled="t" stroked="t" coordsize="21600,21600" o:gfxdata="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5N8zS1wAAAAgBAAAPAAAAAAAA&#10;AAEAIAAAACIAAABkcnMvZG93bnJldi54bWxQSwECFAAUAAAACACHTuJAsa1qWUwCAACWBAAADgAA&#10;AAAAAAABACAAAAAmAQAAZHJzL2Uyb0RvYy54bWxQSwUGAAAAAAYABgBZAQAA5AUAAAAA&#10;">
                <v:fill on="t" focussize="0,0"/>
                <v:stroke color="#000000" miterlimit="8" joinstyle="miter"/>
                <v:imagedata o:title=""/>
                <o:lock v:ext="edit" aspectratio="f"/>
                <v:textbox>
                  <w:txbxContent>
                    <w:p>
                      <w:pPr>
                        <w:jc w:val="center"/>
                        <w:rPr>
                          <w:szCs w:val="21"/>
                        </w:rPr>
                      </w:pPr>
                      <w:r>
                        <w:rPr>
                          <w:rFonts w:hint="eastAsia"/>
                          <w:szCs w:val="21"/>
                        </w:rPr>
                        <w:t>授权代表身份证复印件正面</w:t>
                      </w:r>
                    </w:p>
                  </w:txbxContent>
                </v:textbox>
              </v:shape>
            </w:pict>
          </mc:Fallback>
        </mc:AlternateContent>
      </w:r>
    </w:p>
    <w:p>
      <w:pPr>
        <w:spacing w:line="360" w:lineRule="auto"/>
        <w:ind w:firstLine="420"/>
        <w:rPr>
          <w:rFonts w:hAnsi="宋体" w:cs="宋体"/>
          <w:color w:val="auto"/>
          <w:szCs w:val="21"/>
          <w:highlight w:val="none"/>
          <w:u w:val="single"/>
        </w:rPr>
      </w:pPr>
    </w:p>
    <w:p>
      <w:pPr>
        <w:pStyle w:val="3"/>
        <w:spacing w:after="120" w:line="480" w:lineRule="exact"/>
        <w:rPr>
          <w:rFonts w:hAnsi="宋体" w:cs="宋体"/>
          <w:b/>
          <w:color w:val="auto"/>
          <w:szCs w:val="21"/>
          <w:highlight w:val="none"/>
        </w:rPr>
      </w:pPr>
      <w:bookmarkStart w:id="32" w:name="_Toc10548704"/>
      <w:r>
        <w:rPr>
          <w:rFonts w:hint="eastAsia" w:hAnsi="宋体" w:cs="宋体"/>
          <w:b/>
          <w:color w:val="auto"/>
          <w:szCs w:val="20"/>
          <w:highlight w:val="none"/>
        </w:rPr>
        <w:br w:type="page"/>
      </w:r>
      <w:r>
        <w:rPr>
          <w:rFonts w:hint="eastAsia" w:hAnsi="宋体" w:cs="宋体"/>
          <w:b/>
          <w:color w:val="auto"/>
          <w:szCs w:val="21"/>
          <w:highlight w:val="none"/>
        </w:rPr>
        <w:t>附表2.5 证明投标人的合格性的证明文件格式</w:t>
      </w:r>
    </w:p>
    <w:p>
      <w:pPr>
        <w:spacing w:line="360" w:lineRule="auto"/>
        <w:ind w:right="-34"/>
        <w:jc w:val="both"/>
        <w:rPr>
          <w:rFonts w:ascii="仿宋" w:hAnsi="仿宋" w:eastAsia="仿宋" w:cs="仿宋"/>
          <w:color w:val="auto"/>
          <w:szCs w:val="21"/>
          <w:highlight w:val="none"/>
        </w:rPr>
      </w:pPr>
      <w:r>
        <w:rPr>
          <w:rFonts w:hint="eastAsia" w:ascii="仿宋" w:hAnsi="仿宋" w:eastAsia="仿宋" w:cs="仿宋"/>
          <w:color w:val="auto"/>
          <w:szCs w:val="21"/>
          <w:highlight w:val="none"/>
        </w:rPr>
        <w:t>1.投标供应商应具备《政府采购法》第二十二条规定的条件，提供下列材料：</w:t>
      </w:r>
    </w:p>
    <w:p>
      <w:pPr>
        <w:spacing w:line="360" w:lineRule="auto"/>
        <w:ind w:right="-34"/>
        <w:jc w:val="both"/>
        <w:rPr>
          <w:rFonts w:hint="eastAsia" w:ascii="仿宋" w:hAnsi="仿宋" w:eastAsia="仿宋" w:cs="仿宋"/>
          <w:b/>
          <w:color w:val="auto"/>
          <w:szCs w:val="21"/>
          <w:highlight w:val="none"/>
          <w:lang w:eastAsia="zh-CN"/>
        </w:rPr>
      </w:pPr>
      <w:r>
        <w:rPr>
          <w:rFonts w:hint="eastAsia" w:ascii="仿宋" w:hAnsi="仿宋" w:eastAsia="仿宋" w:cs="仿宋"/>
          <w:b/>
          <w:color w:val="auto"/>
          <w:szCs w:val="21"/>
          <w:highlight w:val="none"/>
        </w:rPr>
        <w:t>1）具有独立承担民事责任的能力：</w:t>
      </w:r>
      <w:r>
        <w:rPr>
          <w:rFonts w:hint="eastAsia" w:ascii="仿宋" w:hAnsi="仿宋" w:eastAsia="仿宋" w:cs="仿宋"/>
          <w:b w:val="0"/>
          <w:bCs/>
          <w:color w:val="000000"/>
          <w:szCs w:val="21"/>
          <w:highlight w:val="none"/>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r>
        <w:rPr>
          <w:rFonts w:hint="eastAsia" w:ascii="仿宋" w:hAnsi="仿宋" w:eastAsia="仿宋" w:cs="仿宋"/>
          <w:bCs/>
          <w:color w:val="auto"/>
          <w:szCs w:val="21"/>
          <w:highlight w:val="none"/>
          <w:lang w:eastAsia="zh-CN"/>
        </w:rPr>
        <w:t>。</w:t>
      </w:r>
    </w:p>
    <w:p>
      <w:pPr>
        <w:pStyle w:val="45"/>
        <w:shd w:val="clear" w:color="auto" w:fill="FFFFFF"/>
        <w:spacing w:before="0" w:beforeAutospacing="0" w:after="0" w:afterAutospacing="0" w:line="360" w:lineRule="auto"/>
        <w:textAlignment w:val="baseline"/>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2）有依法缴纳税收和社会保障资金的良好记录：</w:t>
      </w:r>
      <w:r>
        <w:rPr>
          <w:rFonts w:hint="eastAsia" w:ascii="仿宋" w:hAnsi="仿宋" w:eastAsia="仿宋" w:cs="仿宋"/>
          <w:b w:val="0"/>
          <w:bCs/>
          <w:color w:val="000000"/>
          <w:sz w:val="21"/>
          <w:szCs w:val="21"/>
          <w:highlight w:val="none"/>
          <w:lang w:val="en-US" w:eastAsia="zh-CN" w:bidi="ar-SA"/>
        </w:rPr>
        <w:t>提供投标截止日前6个月内任意1个月依法缴纳税收和社会保障资金的相关材料。如依法免税或不需要缴纳社会保障资金的，提供相应证明材料</w:t>
      </w:r>
      <w:r>
        <w:rPr>
          <w:rFonts w:hint="eastAsia" w:ascii="仿宋" w:hAnsi="仿宋" w:eastAsia="仿宋" w:cs="仿宋"/>
          <w:bCs/>
          <w:color w:val="auto"/>
          <w:sz w:val="21"/>
          <w:szCs w:val="21"/>
          <w:highlight w:val="none"/>
        </w:rPr>
        <w:t>。</w:t>
      </w:r>
    </w:p>
    <w:p>
      <w:pPr>
        <w:pStyle w:val="45"/>
        <w:shd w:val="clear" w:color="auto" w:fill="FFFFFF"/>
        <w:spacing w:before="0" w:beforeAutospacing="0" w:after="0" w:afterAutospacing="0" w:line="360" w:lineRule="auto"/>
        <w:textAlignment w:val="baseline"/>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rPr>
        <w:t>3）具有良好的商业信誉和健全的财务会计制度：</w:t>
      </w:r>
      <w:r>
        <w:rPr>
          <w:rFonts w:hint="eastAsia" w:ascii="仿宋" w:hAnsi="仿宋" w:eastAsia="仿宋" w:cs="仿宋"/>
          <w:b w:val="0"/>
          <w:bCs/>
          <w:color w:val="000000"/>
          <w:sz w:val="21"/>
          <w:szCs w:val="21"/>
          <w:highlight w:val="none"/>
          <w:lang w:val="en-US" w:eastAsia="zh-CN" w:bidi="ar-SA"/>
        </w:rPr>
        <w:t>供应商必须具有良好的商业信誉和健全的财务会计制度（提供2021年度财务状况报告或基本开户行出具的资信证明）</w:t>
      </w:r>
      <w:r>
        <w:rPr>
          <w:rFonts w:hint="eastAsia" w:ascii="仿宋" w:hAnsi="仿宋" w:eastAsia="仿宋" w:cs="仿宋"/>
          <w:bCs/>
          <w:color w:val="auto"/>
          <w:sz w:val="21"/>
          <w:szCs w:val="21"/>
          <w:highlight w:val="none"/>
          <w:lang w:eastAsia="zh-CN"/>
        </w:rPr>
        <w:t>。</w:t>
      </w:r>
    </w:p>
    <w:p>
      <w:pPr>
        <w:pStyle w:val="45"/>
        <w:shd w:val="clear" w:color="auto" w:fill="FFFFFF"/>
        <w:spacing w:before="0" w:beforeAutospacing="0" w:after="0" w:afterAutospacing="0" w:line="360" w:lineRule="auto"/>
        <w:textAlignment w:val="baseline"/>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rPr>
        <w:t>4）履行合同所必需的设备和专业技术能力：</w:t>
      </w:r>
      <w:r>
        <w:rPr>
          <w:rFonts w:hint="eastAsia" w:ascii="仿宋" w:hAnsi="仿宋" w:eastAsia="仿宋" w:cs="仿宋"/>
          <w:bCs/>
          <w:color w:val="auto"/>
          <w:sz w:val="21"/>
          <w:szCs w:val="21"/>
          <w:highlight w:val="none"/>
          <w:lang w:eastAsia="zh-CN"/>
        </w:rPr>
        <w:t>填报所必需的设备及专业技术能力情况。（格式自拟）</w:t>
      </w:r>
    </w:p>
    <w:p>
      <w:pPr>
        <w:pStyle w:val="45"/>
        <w:shd w:val="clear" w:color="auto" w:fill="FFFFFF"/>
        <w:spacing w:before="0" w:beforeAutospacing="0" w:after="0" w:afterAutospacing="0" w:line="360" w:lineRule="auto"/>
        <w:textAlignment w:val="baseline"/>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5）参加采购活动前3年内，在经营活动中没有重大违法记录：</w:t>
      </w:r>
      <w:r>
        <w:rPr>
          <w:rFonts w:hint="eastAsia" w:ascii="仿宋" w:hAnsi="仿宋" w:eastAsia="仿宋" w:cs="仿宋"/>
          <w:b w:val="0"/>
          <w:bCs/>
          <w:color w:val="000000"/>
          <w:sz w:val="21"/>
          <w:szCs w:val="21"/>
          <w:highlight w:val="none"/>
          <w:lang w:val="en-US" w:eastAsia="zh-CN" w:bidi="ar-SA"/>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spacing w:line="360" w:lineRule="auto"/>
        <w:ind w:right="-34"/>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2.落实政府采购政策需满足的资格要求：</w:t>
      </w:r>
      <w:r>
        <w:rPr>
          <w:rFonts w:hint="eastAsia" w:ascii="仿宋" w:hAnsi="仿宋" w:eastAsia="仿宋" w:cs="仿宋"/>
          <w:color w:val="auto"/>
          <w:szCs w:val="21"/>
          <w:highlight w:val="none"/>
        </w:rPr>
        <w:t>无</w:t>
      </w:r>
    </w:p>
    <w:p>
      <w:pPr>
        <w:spacing w:line="360" w:lineRule="auto"/>
        <w:ind w:right="-34"/>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3.本项目的特定资格要求：</w:t>
      </w:r>
    </w:p>
    <w:p>
      <w:pPr>
        <w:spacing w:line="360" w:lineRule="auto"/>
        <w:jc w:val="both"/>
        <w:rPr>
          <w:rFonts w:ascii="仿宋" w:hAnsi="仿宋" w:eastAsia="仿宋" w:cs="仿宋"/>
          <w:b/>
          <w:color w:val="auto"/>
          <w:szCs w:val="21"/>
          <w:highlight w:val="none"/>
        </w:rPr>
      </w:pPr>
      <w:r>
        <w:rPr>
          <w:rFonts w:hint="eastAsia" w:ascii="仿宋" w:hAnsi="仿宋" w:eastAsia="仿宋" w:cs="仿宋"/>
          <w:b/>
          <w:color w:val="auto"/>
          <w:szCs w:val="21"/>
          <w:highlight w:val="none"/>
        </w:rPr>
        <w:t>1）信用记录：</w:t>
      </w:r>
      <w:r>
        <w:rPr>
          <w:rFonts w:hint="eastAsia" w:ascii="仿宋" w:hAnsi="仿宋" w:eastAsia="仿宋" w:cs="仿宋"/>
          <w:color w:val="auto"/>
          <w:szCs w:val="21"/>
          <w:highlight w:val="none"/>
        </w:rPr>
        <w:t>供应商未被列入“信用中国”网站(www.creditchina.gov.cn)“记录失信被执行人或重大税收违法案件当事人名单”记录名单；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 查询结果为准， 如相关失信记录已失效，供应商需提供相关证明资料） 。</w:t>
      </w:r>
    </w:p>
    <w:p>
      <w:pPr>
        <w:pStyle w:val="23"/>
        <w:spacing w:line="360" w:lineRule="auto"/>
        <w:ind w:left="0" w:leftChars="0" w:firstLineChars="0"/>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2）</w:t>
      </w:r>
      <w:r>
        <w:rPr>
          <w:rFonts w:hint="eastAsia" w:ascii="仿宋" w:hAnsi="仿宋" w:eastAsia="仿宋" w:cs="仿宋"/>
          <w:color w:val="auto"/>
          <w:kern w:val="0"/>
          <w:sz w:val="21"/>
          <w:szCs w:val="21"/>
          <w:highlight w:val="none"/>
        </w:rPr>
        <w:t>单位负责人为同一人或者存在直接控股、管理关系的不同供应商，不得同时参加本采购项目（或采购包）投标（响应）。为本项目提供整体设计、规范编制或者项目管理、 监理、检测等服务的供应商，不得再参与本项目投标（响应）。投标（报价） 函相关承诺要求内容。</w:t>
      </w:r>
    </w:p>
    <w:p>
      <w:pPr>
        <w:spacing w:line="360" w:lineRule="auto"/>
        <w:ind w:right="-34"/>
        <w:jc w:val="both"/>
        <w:rPr>
          <w:rFonts w:hAnsi="宋体" w:cs="宋体"/>
          <w:b/>
          <w:color w:val="auto"/>
          <w:szCs w:val="21"/>
          <w:highlight w:val="none"/>
        </w:rPr>
      </w:pPr>
      <w:r>
        <w:rPr>
          <w:rFonts w:hint="eastAsia" w:ascii="仿宋" w:hAnsi="仿宋" w:eastAsia="仿宋" w:cs="仿宋"/>
          <w:b/>
          <w:bCs/>
          <w:color w:val="auto"/>
          <w:szCs w:val="21"/>
          <w:highlight w:val="none"/>
        </w:rPr>
        <w:t>3）</w:t>
      </w:r>
      <w:r>
        <w:rPr>
          <w:rFonts w:hint="eastAsia" w:ascii="仿宋" w:hAnsi="仿宋" w:eastAsia="仿宋" w:cs="仿宋"/>
          <w:color w:val="auto"/>
          <w:szCs w:val="21"/>
          <w:highlight w:val="none"/>
        </w:rPr>
        <w:t>已办理报名并成功购买本招标文件的供应商。</w:t>
      </w:r>
      <w:r>
        <w:rPr>
          <w:rFonts w:hint="eastAsia" w:hAnsi="宋体" w:cs="宋体"/>
          <w:b/>
          <w:color w:val="auto"/>
          <w:szCs w:val="21"/>
          <w:highlight w:val="none"/>
        </w:rPr>
        <w:br w:type="page"/>
      </w:r>
      <w:r>
        <w:rPr>
          <w:rFonts w:hint="eastAsia" w:hAnsi="宋体" w:cs="宋体"/>
          <w:b/>
          <w:color w:val="auto"/>
          <w:szCs w:val="21"/>
          <w:highlight w:val="none"/>
        </w:rPr>
        <w:t>附表2.6 投标人基本情况表格式</w:t>
      </w:r>
    </w:p>
    <w:p>
      <w:pPr>
        <w:spacing w:line="360" w:lineRule="auto"/>
        <w:jc w:val="center"/>
        <w:rPr>
          <w:rFonts w:hAnsi="宋体" w:cs="宋体"/>
          <w:b/>
          <w:color w:val="auto"/>
          <w:szCs w:val="21"/>
          <w:highlight w:val="none"/>
        </w:rPr>
      </w:pPr>
    </w:p>
    <w:p>
      <w:pPr>
        <w:spacing w:line="360" w:lineRule="auto"/>
        <w:jc w:val="center"/>
        <w:rPr>
          <w:rFonts w:hAnsi="宋体" w:cs="宋体"/>
          <w:b/>
          <w:color w:val="auto"/>
          <w:szCs w:val="21"/>
          <w:highlight w:val="none"/>
        </w:rPr>
      </w:pPr>
      <w:r>
        <w:rPr>
          <w:rFonts w:hint="eastAsia" w:hAnsi="宋体" w:cs="宋体"/>
          <w:b/>
          <w:color w:val="auto"/>
          <w:szCs w:val="21"/>
          <w:highlight w:val="none"/>
        </w:rPr>
        <w:t>投标人基本情况表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963"/>
        <w:gridCol w:w="1114"/>
        <w:gridCol w:w="891"/>
        <w:gridCol w:w="989"/>
        <w:gridCol w:w="1221"/>
        <w:gridCol w:w="1321"/>
        <w:gridCol w:w="98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0" w:type="dxa"/>
            <w:tcBorders>
              <w:top w:val="double" w:color="auto" w:sz="4" w:space="0"/>
              <w:left w:val="double" w:color="auto" w:sz="4" w:space="0"/>
            </w:tcBorders>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单位名称</w:t>
            </w:r>
          </w:p>
        </w:tc>
        <w:tc>
          <w:tcPr>
            <w:tcW w:w="2077" w:type="dxa"/>
            <w:gridSpan w:val="2"/>
            <w:tcBorders>
              <w:top w:val="double" w:color="auto" w:sz="4" w:space="0"/>
            </w:tcBorders>
            <w:vAlign w:val="center"/>
          </w:tcPr>
          <w:p>
            <w:pPr>
              <w:tabs>
                <w:tab w:val="left" w:pos="4320"/>
              </w:tabs>
              <w:rPr>
                <w:rFonts w:ascii="仿宋" w:hAnsi="仿宋" w:eastAsia="仿宋" w:cs="仿宋"/>
                <w:color w:val="auto"/>
                <w:szCs w:val="21"/>
                <w:highlight w:val="none"/>
              </w:rPr>
            </w:pPr>
          </w:p>
        </w:tc>
        <w:tc>
          <w:tcPr>
            <w:tcW w:w="891" w:type="dxa"/>
            <w:tcBorders>
              <w:top w:val="double" w:color="auto" w:sz="4" w:space="0"/>
            </w:tcBorders>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989" w:type="dxa"/>
            <w:tcBorders>
              <w:top w:val="double" w:color="auto" w:sz="4" w:space="0"/>
            </w:tcBorders>
            <w:vAlign w:val="center"/>
          </w:tcPr>
          <w:p>
            <w:pPr>
              <w:tabs>
                <w:tab w:val="left" w:pos="4320"/>
              </w:tabs>
              <w:rPr>
                <w:rFonts w:ascii="仿宋" w:hAnsi="仿宋" w:eastAsia="仿宋" w:cs="仿宋"/>
                <w:color w:val="auto"/>
                <w:szCs w:val="21"/>
                <w:highlight w:val="none"/>
              </w:rPr>
            </w:pPr>
          </w:p>
        </w:tc>
        <w:tc>
          <w:tcPr>
            <w:tcW w:w="1221" w:type="dxa"/>
            <w:tcBorders>
              <w:top w:val="double" w:color="auto" w:sz="4" w:space="0"/>
            </w:tcBorders>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法定代表人</w:t>
            </w:r>
          </w:p>
        </w:tc>
        <w:tc>
          <w:tcPr>
            <w:tcW w:w="1321" w:type="dxa"/>
            <w:tcBorders>
              <w:top w:val="double" w:color="auto" w:sz="4" w:space="0"/>
            </w:tcBorders>
            <w:vAlign w:val="center"/>
          </w:tcPr>
          <w:p>
            <w:pPr>
              <w:tabs>
                <w:tab w:val="left" w:pos="4320"/>
              </w:tabs>
              <w:rPr>
                <w:rFonts w:ascii="仿宋" w:hAnsi="仿宋" w:eastAsia="仿宋" w:cs="仿宋"/>
                <w:color w:val="auto"/>
                <w:szCs w:val="21"/>
                <w:highlight w:val="none"/>
              </w:rPr>
            </w:pPr>
          </w:p>
        </w:tc>
        <w:tc>
          <w:tcPr>
            <w:tcW w:w="989" w:type="dxa"/>
            <w:tcBorders>
              <w:top w:val="double" w:color="auto" w:sz="4" w:space="0"/>
            </w:tcBorders>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职务</w:t>
            </w:r>
          </w:p>
        </w:tc>
        <w:tc>
          <w:tcPr>
            <w:tcW w:w="1129" w:type="dxa"/>
            <w:tcBorders>
              <w:top w:val="double" w:color="auto" w:sz="4" w:space="0"/>
              <w:right w:val="double" w:color="auto" w:sz="4" w:space="0"/>
            </w:tcBorders>
            <w:vAlign w:val="center"/>
          </w:tcPr>
          <w:p>
            <w:pPr>
              <w:tabs>
                <w:tab w:val="left" w:pos="4320"/>
              </w:tabs>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0" w:type="dxa"/>
            <w:tcBorders>
              <w:left w:val="double" w:color="auto" w:sz="4" w:space="0"/>
            </w:tcBorders>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地址</w:t>
            </w:r>
          </w:p>
        </w:tc>
        <w:tc>
          <w:tcPr>
            <w:tcW w:w="2077" w:type="dxa"/>
            <w:gridSpan w:val="2"/>
            <w:vAlign w:val="center"/>
          </w:tcPr>
          <w:p>
            <w:pPr>
              <w:tabs>
                <w:tab w:val="left" w:pos="4320"/>
              </w:tabs>
              <w:rPr>
                <w:rFonts w:ascii="仿宋" w:hAnsi="仿宋" w:eastAsia="仿宋" w:cs="仿宋"/>
                <w:color w:val="auto"/>
                <w:szCs w:val="21"/>
                <w:highlight w:val="none"/>
              </w:rPr>
            </w:pPr>
          </w:p>
        </w:tc>
        <w:tc>
          <w:tcPr>
            <w:tcW w:w="891"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传真</w:t>
            </w:r>
          </w:p>
        </w:tc>
        <w:tc>
          <w:tcPr>
            <w:tcW w:w="989" w:type="dxa"/>
            <w:vAlign w:val="center"/>
          </w:tcPr>
          <w:p>
            <w:pPr>
              <w:tabs>
                <w:tab w:val="left" w:pos="4320"/>
              </w:tabs>
              <w:rPr>
                <w:rFonts w:ascii="仿宋" w:hAnsi="仿宋" w:eastAsia="仿宋" w:cs="仿宋"/>
                <w:color w:val="auto"/>
                <w:szCs w:val="21"/>
                <w:highlight w:val="none"/>
              </w:rPr>
            </w:pPr>
          </w:p>
        </w:tc>
        <w:tc>
          <w:tcPr>
            <w:tcW w:w="1221"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被授权人</w:t>
            </w:r>
          </w:p>
        </w:tc>
        <w:tc>
          <w:tcPr>
            <w:tcW w:w="1321" w:type="dxa"/>
            <w:vAlign w:val="center"/>
          </w:tcPr>
          <w:p>
            <w:pPr>
              <w:tabs>
                <w:tab w:val="left" w:pos="4320"/>
              </w:tabs>
              <w:rPr>
                <w:rFonts w:ascii="仿宋" w:hAnsi="仿宋" w:eastAsia="仿宋" w:cs="仿宋"/>
                <w:color w:val="auto"/>
                <w:szCs w:val="21"/>
                <w:highlight w:val="none"/>
              </w:rPr>
            </w:pPr>
          </w:p>
        </w:tc>
        <w:tc>
          <w:tcPr>
            <w:tcW w:w="989"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职务</w:t>
            </w:r>
          </w:p>
        </w:tc>
        <w:tc>
          <w:tcPr>
            <w:tcW w:w="1129" w:type="dxa"/>
            <w:tcBorders>
              <w:right w:val="double" w:color="auto" w:sz="4" w:space="0"/>
            </w:tcBorders>
            <w:vAlign w:val="center"/>
          </w:tcPr>
          <w:p>
            <w:pPr>
              <w:tabs>
                <w:tab w:val="left" w:pos="4320"/>
              </w:tabs>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0" w:type="dxa"/>
            <w:tcBorders>
              <w:left w:val="double" w:color="auto" w:sz="4" w:space="0"/>
            </w:tcBorders>
            <w:vAlign w:val="center"/>
          </w:tcPr>
          <w:p>
            <w:pPr>
              <w:tabs>
                <w:tab w:val="left" w:pos="4320"/>
              </w:tabs>
              <w:ind w:left="210" w:hanging="210" w:hangingChars="100"/>
              <w:rPr>
                <w:rFonts w:ascii="仿宋" w:hAnsi="仿宋" w:eastAsia="仿宋" w:cs="仿宋"/>
                <w:color w:val="auto"/>
                <w:szCs w:val="21"/>
                <w:highlight w:val="none"/>
              </w:rPr>
            </w:pPr>
            <w:r>
              <w:rPr>
                <w:rFonts w:hint="eastAsia" w:ascii="仿宋" w:hAnsi="仿宋" w:eastAsia="仿宋" w:cs="仿宋"/>
                <w:color w:val="auto"/>
                <w:szCs w:val="21"/>
                <w:highlight w:val="none"/>
              </w:rPr>
              <w:t>一、单位简历及隶属关系</w:t>
            </w:r>
          </w:p>
        </w:tc>
        <w:tc>
          <w:tcPr>
            <w:tcW w:w="2968" w:type="dxa"/>
            <w:gridSpan w:val="3"/>
            <w:vAlign w:val="center"/>
          </w:tcPr>
          <w:p>
            <w:pPr>
              <w:tabs>
                <w:tab w:val="left" w:pos="4320"/>
              </w:tabs>
              <w:rPr>
                <w:rFonts w:ascii="仿宋" w:hAnsi="仿宋" w:eastAsia="仿宋" w:cs="仿宋"/>
                <w:color w:val="auto"/>
                <w:szCs w:val="21"/>
                <w:highlight w:val="none"/>
              </w:rPr>
            </w:pPr>
          </w:p>
        </w:tc>
        <w:tc>
          <w:tcPr>
            <w:tcW w:w="989"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单位优势及特长</w:t>
            </w:r>
          </w:p>
        </w:tc>
        <w:tc>
          <w:tcPr>
            <w:tcW w:w="4660" w:type="dxa"/>
            <w:gridSpan w:val="4"/>
            <w:tcBorders>
              <w:right w:val="double" w:color="auto" w:sz="4" w:space="0"/>
            </w:tcBorders>
            <w:vAlign w:val="center"/>
          </w:tcPr>
          <w:p>
            <w:pPr>
              <w:tabs>
                <w:tab w:val="left" w:pos="4320"/>
              </w:tabs>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restart"/>
            <w:tcBorders>
              <w:left w:val="double" w:color="auto" w:sz="4" w:space="0"/>
            </w:tcBorders>
            <w:vAlign w:val="center"/>
          </w:tcPr>
          <w:p>
            <w:pPr>
              <w:tabs>
                <w:tab w:val="left" w:pos="4320"/>
              </w:tabs>
              <w:ind w:left="233" w:hanging="233" w:hangingChars="111"/>
              <w:rPr>
                <w:rFonts w:ascii="仿宋" w:hAnsi="仿宋" w:eastAsia="仿宋" w:cs="仿宋"/>
                <w:color w:val="auto"/>
                <w:szCs w:val="21"/>
                <w:highlight w:val="none"/>
              </w:rPr>
            </w:pPr>
            <w:r>
              <w:rPr>
                <w:rFonts w:hint="eastAsia" w:ascii="仿宋" w:hAnsi="仿宋" w:eastAsia="仿宋" w:cs="仿宋"/>
                <w:color w:val="auto"/>
                <w:szCs w:val="21"/>
                <w:highlight w:val="none"/>
              </w:rPr>
              <w:t>二、单位概况</w:t>
            </w:r>
          </w:p>
        </w:tc>
        <w:tc>
          <w:tcPr>
            <w:tcW w:w="963"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职工总数</w:t>
            </w:r>
          </w:p>
        </w:tc>
        <w:tc>
          <w:tcPr>
            <w:tcW w:w="1114" w:type="dxa"/>
            <w:vAlign w:val="center"/>
          </w:tcPr>
          <w:p>
            <w:pPr>
              <w:tabs>
                <w:tab w:val="left" w:pos="4320"/>
              </w:tabs>
              <w:jc w:val="right"/>
              <w:rPr>
                <w:rFonts w:ascii="仿宋" w:hAnsi="仿宋" w:eastAsia="仿宋" w:cs="仿宋"/>
                <w:color w:val="auto"/>
                <w:szCs w:val="21"/>
                <w:highlight w:val="none"/>
              </w:rPr>
            </w:pPr>
            <w:r>
              <w:rPr>
                <w:rFonts w:hint="eastAsia" w:ascii="仿宋" w:hAnsi="仿宋" w:eastAsia="仿宋" w:cs="仿宋"/>
                <w:color w:val="auto"/>
                <w:szCs w:val="21"/>
                <w:highlight w:val="none"/>
              </w:rPr>
              <w:t>人</w:t>
            </w:r>
          </w:p>
        </w:tc>
        <w:tc>
          <w:tcPr>
            <w:tcW w:w="891" w:type="dxa"/>
            <w:vMerge w:val="restart"/>
            <w:vAlign w:val="center"/>
          </w:tcPr>
          <w:p>
            <w:pPr>
              <w:tabs>
                <w:tab w:val="left" w:pos="4320"/>
              </w:tabs>
              <w:rPr>
                <w:rFonts w:ascii="仿宋" w:hAnsi="仿宋" w:eastAsia="仿宋" w:cs="仿宋"/>
                <w:color w:val="auto"/>
                <w:szCs w:val="21"/>
                <w:highlight w:val="none"/>
              </w:rPr>
            </w:pPr>
            <w:r>
              <w:rPr>
                <w:rFonts w:hint="eastAsia" w:ascii="仿宋" w:hAnsi="仿宋" w:eastAsia="仿宋" w:cs="仿宋"/>
                <w:color w:val="auto"/>
                <w:szCs w:val="21"/>
                <w:highlight w:val="none"/>
              </w:rPr>
              <w:t>上一年主要经济指标</w:t>
            </w:r>
          </w:p>
        </w:tc>
        <w:tc>
          <w:tcPr>
            <w:tcW w:w="989"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营业额</w:t>
            </w:r>
          </w:p>
        </w:tc>
        <w:tc>
          <w:tcPr>
            <w:tcW w:w="1221" w:type="dxa"/>
            <w:vAlign w:val="center"/>
          </w:tcPr>
          <w:p>
            <w:pPr>
              <w:tabs>
                <w:tab w:val="left" w:pos="4320"/>
              </w:tabs>
              <w:rPr>
                <w:rFonts w:ascii="仿宋" w:hAnsi="仿宋" w:eastAsia="仿宋" w:cs="仿宋"/>
                <w:color w:val="auto"/>
                <w:szCs w:val="21"/>
                <w:highlight w:val="none"/>
              </w:rPr>
            </w:pPr>
          </w:p>
        </w:tc>
        <w:tc>
          <w:tcPr>
            <w:tcW w:w="1321"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实现利润</w:t>
            </w:r>
          </w:p>
        </w:tc>
        <w:tc>
          <w:tcPr>
            <w:tcW w:w="2118" w:type="dxa"/>
            <w:gridSpan w:val="2"/>
            <w:tcBorders>
              <w:right w:val="double" w:color="auto" w:sz="4" w:space="0"/>
            </w:tcBorders>
            <w:vAlign w:val="center"/>
          </w:tcPr>
          <w:p>
            <w:pPr>
              <w:tabs>
                <w:tab w:val="left" w:pos="4320"/>
              </w:tabs>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continue"/>
            <w:tcBorders>
              <w:left w:val="double" w:color="auto" w:sz="4" w:space="0"/>
            </w:tcBorders>
            <w:vAlign w:val="center"/>
          </w:tcPr>
          <w:p>
            <w:pPr>
              <w:tabs>
                <w:tab w:val="left" w:pos="4320"/>
              </w:tabs>
              <w:ind w:left="233" w:hanging="233" w:hangingChars="111"/>
              <w:rPr>
                <w:rFonts w:ascii="仿宋" w:hAnsi="仿宋" w:eastAsia="仿宋" w:cs="仿宋"/>
                <w:color w:val="auto"/>
                <w:szCs w:val="21"/>
                <w:highlight w:val="none"/>
              </w:rPr>
            </w:pPr>
          </w:p>
        </w:tc>
        <w:tc>
          <w:tcPr>
            <w:tcW w:w="963"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流动资金</w:t>
            </w:r>
          </w:p>
        </w:tc>
        <w:tc>
          <w:tcPr>
            <w:tcW w:w="1114" w:type="dxa"/>
            <w:vAlign w:val="center"/>
          </w:tcPr>
          <w:p>
            <w:pPr>
              <w:tabs>
                <w:tab w:val="left" w:pos="4320"/>
              </w:tabs>
              <w:jc w:val="right"/>
              <w:rPr>
                <w:rFonts w:ascii="仿宋" w:hAnsi="仿宋" w:eastAsia="仿宋" w:cs="仿宋"/>
                <w:color w:val="auto"/>
                <w:szCs w:val="21"/>
                <w:highlight w:val="none"/>
              </w:rPr>
            </w:pPr>
            <w:r>
              <w:rPr>
                <w:rFonts w:hint="eastAsia" w:ascii="仿宋" w:hAnsi="仿宋" w:eastAsia="仿宋" w:cs="仿宋"/>
                <w:color w:val="auto"/>
                <w:szCs w:val="21"/>
                <w:highlight w:val="none"/>
              </w:rPr>
              <w:t>万元</w:t>
            </w:r>
          </w:p>
        </w:tc>
        <w:tc>
          <w:tcPr>
            <w:tcW w:w="891" w:type="dxa"/>
            <w:vMerge w:val="continue"/>
            <w:vAlign w:val="center"/>
          </w:tcPr>
          <w:p>
            <w:pPr>
              <w:tabs>
                <w:tab w:val="left" w:pos="4320"/>
              </w:tabs>
              <w:rPr>
                <w:rFonts w:ascii="仿宋" w:hAnsi="仿宋" w:eastAsia="仿宋" w:cs="仿宋"/>
                <w:color w:val="auto"/>
                <w:szCs w:val="21"/>
                <w:highlight w:val="none"/>
              </w:rPr>
            </w:pPr>
          </w:p>
        </w:tc>
        <w:tc>
          <w:tcPr>
            <w:tcW w:w="989" w:type="dxa"/>
            <w:vMerge w:val="restart"/>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主要项目</w:t>
            </w:r>
          </w:p>
        </w:tc>
        <w:tc>
          <w:tcPr>
            <w:tcW w:w="4660" w:type="dxa"/>
            <w:gridSpan w:val="4"/>
            <w:tcBorders>
              <w:right w:val="double" w:color="auto" w:sz="4" w:space="0"/>
            </w:tcBorders>
            <w:vAlign w:val="center"/>
          </w:tcPr>
          <w:p>
            <w:pPr>
              <w:tabs>
                <w:tab w:val="left" w:pos="4320"/>
              </w:tabs>
              <w:spacing w:before="120" w:after="120"/>
              <w:rPr>
                <w:rFonts w:ascii="仿宋" w:hAnsi="仿宋" w:eastAsia="仿宋" w:cs="仿宋"/>
                <w:color w:val="auto"/>
                <w:szCs w:val="21"/>
                <w:highlight w:val="none"/>
              </w:rPr>
            </w:pPr>
            <w:r>
              <w:rPr>
                <w:rFonts w:hint="eastAsia" w:ascii="仿宋" w:hAnsi="仿宋" w:eastAsia="仿宋" w:cs="仿宋"/>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continue"/>
            <w:tcBorders>
              <w:left w:val="double" w:color="auto" w:sz="4" w:space="0"/>
            </w:tcBorders>
            <w:vAlign w:val="center"/>
          </w:tcPr>
          <w:p>
            <w:pPr>
              <w:tabs>
                <w:tab w:val="left" w:pos="4320"/>
              </w:tabs>
              <w:ind w:left="233" w:hanging="233" w:hangingChars="111"/>
              <w:rPr>
                <w:rFonts w:ascii="仿宋" w:hAnsi="仿宋" w:eastAsia="仿宋" w:cs="仿宋"/>
                <w:color w:val="auto"/>
                <w:szCs w:val="21"/>
                <w:highlight w:val="none"/>
              </w:rPr>
            </w:pPr>
          </w:p>
        </w:tc>
        <w:tc>
          <w:tcPr>
            <w:tcW w:w="963"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固定资产</w:t>
            </w:r>
          </w:p>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（万元）</w:t>
            </w:r>
          </w:p>
        </w:tc>
        <w:tc>
          <w:tcPr>
            <w:tcW w:w="1114" w:type="dxa"/>
            <w:vAlign w:val="center"/>
          </w:tcPr>
          <w:p>
            <w:pPr>
              <w:tabs>
                <w:tab w:val="left" w:pos="-48"/>
                <w:tab w:val="left" w:pos="4320"/>
              </w:tabs>
              <w:ind w:right="-133" w:hanging="48"/>
              <w:rPr>
                <w:rFonts w:ascii="仿宋" w:hAnsi="仿宋" w:eastAsia="仿宋" w:cs="仿宋"/>
                <w:color w:val="auto"/>
                <w:szCs w:val="21"/>
                <w:highlight w:val="none"/>
              </w:rPr>
            </w:pPr>
            <w:r>
              <w:rPr>
                <w:rFonts w:hint="eastAsia" w:ascii="仿宋" w:hAnsi="仿宋" w:eastAsia="仿宋" w:cs="仿宋"/>
                <w:color w:val="auto"/>
                <w:szCs w:val="21"/>
                <w:highlight w:val="none"/>
              </w:rPr>
              <w:t>原值：</w:t>
            </w:r>
          </w:p>
          <w:p>
            <w:pPr>
              <w:tabs>
                <w:tab w:val="left" w:pos="-48"/>
                <w:tab w:val="left" w:pos="4320"/>
              </w:tabs>
              <w:ind w:hanging="48"/>
              <w:jc w:val="right"/>
              <w:rPr>
                <w:rFonts w:ascii="仿宋" w:hAnsi="仿宋" w:eastAsia="仿宋" w:cs="仿宋"/>
                <w:color w:val="auto"/>
                <w:szCs w:val="21"/>
                <w:highlight w:val="none"/>
              </w:rPr>
            </w:pPr>
          </w:p>
          <w:p>
            <w:pPr>
              <w:tabs>
                <w:tab w:val="left" w:pos="-48"/>
                <w:tab w:val="left" w:pos="4320"/>
              </w:tabs>
              <w:ind w:right="-133" w:hanging="48"/>
              <w:rPr>
                <w:rFonts w:ascii="仿宋" w:hAnsi="仿宋" w:eastAsia="仿宋" w:cs="仿宋"/>
                <w:color w:val="auto"/>
                <w:szCs w:val="21"/>
                <w:highlight w:val="none"/>
              </w:rPr>
            </w:pPr>
            <w:r>
              <w:rPr>
                <w:rFonts w:hint="eastAsia" w:ascii="仿宋" w:hAnsi="仿宋" w:eastAsia="仿宋" w:cs="仿宋"/>
                <w:color w:val="auto"/>
                <w:szCs w:val="21"/>
                <w:highlight w:val="none"/>
              </w:rPr>
              <w:t>净值：</w:t>
            </w:r>
          </w:p>
          <w:p>
            <w:pPr>
              <w:tabs>
                <w:tab w:val="left" w:pos="-48"/>
                <w:tab w:val="left" w:pos="4320"/>
              </w:tabs>
              <w:ind w:hanging="48"/>
              <w:jc w:val="right"/>
              <w:rPr>
                <w:rFonts w:ascii="仿宋" w:hAnsi="仿宋" w:eastAsia="仿宋" w:cs="仿宋"/>
                <w:color w:val="auto"/>
                <w:szCs w:val="21"/>
                <w:highlight w:val="none"/>
              </w:rPr>
            </w:pPr>
          </w:p>
        </w:tc>
        <w:tc>
          <w:tcPr>
            <w:tcW w:w="891" w:type="dxa"/>
            <w:vMerge w:val="continue"/>
            <w:vAlign w:val="center"/>
          </w:tcPr>
          <w:p>
            <w:pPr>
              <w:tabs>
                <w:tab w:val="left" w:pos="4320"/>
              </w:tabs>
              <w:rPr>
                <w:rFonts w:ascii="仿宋" w:hAnsi="仿宋" w:eastAsia="仿宋" w:cs="仿宋"/>
                <w:color w:val="auto"/>
                <w:szCs w:val="21"/>
                <w:highlight w:val="none"/>
              </w:rPr>
            </w:pPr>
          </w:p>
        </w:tc>
        <w:tc>
          <w:tcPr>
            <w:tcW w:w="989" w:type="dxa"/>
            <w:vMerge w:val="continue"/>
            <w:vAlign w:val="center"/>
          </w:tcPr>
          <w:p>
            <w:pPr>
              <w:tabs>
                <w:tab w:val="left" w:pos="4320"/>
              </w:tabs>
              <w:jc w:val="center"/>
              <w:rPr>
                <w:rFonts w:ascii="仿宋" w:hAnsi="仿宋" w:eastAsia="仿宋" w:cs="仿宋"/>
                <w:color w:val="auto"/>
                <w:szCs w:val="21"/>
                <w:highlight w:val="none"/>
              </w:rPr>
            </w:pPr>
          </w:p>
        </w:tc>
        <w:tc>
          <w:tcPr>
            <w:tcW w:w="4660" w:type="dxa"/>
            <w:gridSpan w:val="4"/>
            <w:tcBorders>
              <w:right w:val="double" w:color="auto" w:sz="4" w:space="0"/>
            </w:tcBorders>
            <w:vAlign w:val="center"/>
          </w:tcPr>
          <w:p>
            <w:pPr>
              <w:tabs>
                <w:tab w:val="left" w:pos="4320"/>
              </w:tabs>
              <w:rPr>
                <w:rFonts w:ascii="仿宋" w:hAnsi="仿宋" w:eastAsia="仿宋" w:cs="仿宋"/>
                <w:color w:val="auto"/>
                <w:szCs w:val="21"/>
                <w:highlight w:val="none"/>
              </w:rPr>
            </w:pPr>
            <w:r>
              <w:rPr>
                <w:rFonts w:hint="eastAsia" w:ascii="仿宋" w:hAnsi="仿宋" w:eastAsia="仿宋" w:cs="仿宋"/>
                <w:color w:val="auto"/>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continue"/>
            <w:tcBorders>
              <w:left w:val="double" w:color="auto" w:sz="4" w:space="0"/>
            </w:tcBorders>
            <w:vAlign w:val="center"/>
          </w:tcPr>
          <w:p>
            <w:pPr>
              <w:tabs>
                <w:tab w:val="left" w:pos="4320"/>
              </w:tabs>
              <w:ind w:left="233" w:hanging="233" w:hangingChars="111"/>
              <w:rPr>
                <w:rFonts w:ascii="仿宋" w:hAnsi="仿宋" w:eastAsia="仿宋" w:cs="仿宋"/>
                <w:color w:val="auto"/>
                <w:szCs w:val="21"/>
                <w:highlight w:val="none"/>
              </w:rPr>
            </w:pPr>
          </w:p>
        </w:tc>
        <w:tc>
          <w:tcPr>
            <w:tcW w:w="963" w:type="dxa"/>
            <w:vAlign w:val="center"/>
          </w:tcPr>
          <w:p>
            <w:pPr>
              <w:tabs>
                <w:tab w:val="left" w:pos="4320"/>
              </w:tabs>
              <w:jc w:val="center"/>
              <w:rPr>
                <w:rFonts w:ascii="仿宋" w:hAnsi="仿宋" w:eastAsia="仿宋" w:cs="仿宋"/>
                <w:color w:val="auto"/>
                <w:szCs w:val="21"/>
                <w:highlight w:val="none"/>
              </w:rPr>
            </w:pPr>
            <w:r>
              <w:rPr>
                <w:rFonts w:hint="eastAsia" w:ascii="仿宋" w:hAnsi="仿宋" w:eastAsia="仿宋" w:cs="仿宋"/>
                <w:color w:val="auto"/>
                <w:szCs w:val="21"/>
                <w:highlight w:val="none"/>
              </w:rPr>
              <w:t>占地面积</w:t>
            </w:r>
          </w:p>
        </w:tc>
        <w:tc>
          <w:tcPr>
            <w:tcW w:w="1114" w:type="dxa"/>
            <w:vAlign w:val="center"/>
          </w:tcPr>
          <w:p>
            <w:pPr>
              <w:tabs>
                <w:tab w:val="left" w:pos="4320"/>
              </w:tabs>
              <w:jc w:val="right"/>
              <w:rPr>
                <w:rFonts w:ascii="仿宋" w:hAnsi="仿宋" w:eastAsia="仿宋" w:cs="仿宋"/>
                <w:color w:val="auto"/>
                <w:szCs w:val="21"/>
                <w:highlight w:val="none"/>
              </w:rPr>
            </w:pPr>
            <w:r>
              <w:rPr>
                <w:rFonts w:hint="eastAsia" w:ascii="仿宋" w:hAnsi="仿宋" w:eastAsia="仿宋" w:cs="仿宋"/>
                <w:color w:val="auto"/>
                <w:szCs w:val="21"/>
                <w:highlight w:val="none"/>
              </w:rPr>
              <w:t>M</w:t>
            </w:r>
            <w:r>
              <w:rPr>
                <w:rFonts w:hint="eastAsia" w:ascii="仿宋" w:hAnsi="仿宋" w:eastAsia="仿宋" w:cs="仿宋"/>
                <w:color w:val="auto"/>
                <w:szCs w:val="21"/>
                <w:highlight w:val="none"/>
                <w:vertAlign w:val="superscript"/>
              </w:rPr>
              <w:t>2</w:t>
            </w:r>
          </w:p>
        </w:tc>
        <w:tc>
          <w:tcPr>
            <w:tcW w:w="891" w:type="dxa"/>
            <w:vMerge w:val="continue"/>
            <w:vAlign w:val="center"/>
          </w:tcPr>
          <w:p>
            <w:pPr>
              <w:tabs>
                <w:tab w:val="left" w:pos="4320"/>
              </w:tabs>
              <w:rPr>
                <w:rFonts w:ascii="仿宋" w:hAnsi="仿宋" w:eastAsia="仿宋" w:cs="仿宋"/>
                <w:color w:val="auto"/>
                <w:szCs w:val="21"/>
                <w:highlight w:val="none"/>
              </w:rPr>
            </w:pPr>
          </w:p>
        </w:tc>
        <w:tc>
          <w:tcPr>
            <w:tcW w:w="989" w:type="dxa"/>
            <w:vMerge w:val="continue"/>
            <w:vAlign w:val="center"/>
          </w:tcPr>
          <w:p>
            <w:pPr>
              <w:tabs>
                <w:tab w:val="left" w:pos="4320"/>
              </w:tabs>
              <w:jc w:val="center"/>
              <w:rPr>
                <w:rFonts w:ascii="仿宋" w:hAnsi="仿宋" w:eastAsia="仿宋" w:cs="仿宋"/>
                <w:color w:val="auto"/>
                <w:szCs w:val="21"/>
                <w:highlight w:val="none"/>
              </w:rPr>
            </w:pPr>
          </w:p>
        </w:tc>
        <w:tc>
          <w:tcPr>
            <w:tcW w:w="4660" w:type="dxa"/>
            <w:gridSpan w:val="4"/>
            <w:tcBorders>
              <w:right w:val="double" w:color="auto" w:sz="4" w:space="0"/>
            </w:tcBorders>
            <w:vAlign w:val="center"/>
          </w:tcPr>
          <w:p>
            <w:pPr>
              <w:tabs>
                <w:tab w:val="left" w:pos="4320"/>
              </w:tabs>
              <w:spacing w:before="120" w:after="120"/>
              <w:rPr>
                <w:rFonts w:ascii="仿宋" w:hAnsi="仿宋" w:eastAsia="仿宋" w:cs="仿宋"/>
                <w:color w:val="auto"/>
                <w:szCs w:val="21"/>
                <w:highlight w:val="none"/>
              </w:rPr>
            </w:pPr>
            <w:r>
              <w:rPr>
                <w:rFonts w:hint="eastAsia" w:ascii="仿宋" w:hAnsi="仿宋" w:eastAsia="仿宋" w:cs="仿宋"/>
                <w:color w:val="auto"/>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restart"/>
            <w:tcBorders>
              <w:left w:val="double" w:color="auto" w:sz="4" w:space="0"/>
            </w:tcBorders>
            <w:vAlign w:val="center"/>
          </w:tcPr>
          <w:p>
            <w:pPr>
              <w:tabs>
                <w:tab w:val="left" w:pos="4320"/>
              </w:tabs>
              <w:rPr>
                <w:rFonts w:ascii="仿宋" w:hAnsi="仿宋" w:eastAsia="仿宋" w:cs="仿宋"/>
                <w:color w:val="auto"/>
                <w:szCs w:val="21"/>
                <w:highlight w:val="none"/>
              </w:rPr>
            </w:pPr>
            <w:r>
              <w:rPr>
                <w:rFonts w:hint="eastAsia" w:ascii="仿宋" w:hAnsi="仿宋" w:eastAsia="仿宋" w:cs="仿宋"/>
                <w:color w:val="auto"/>
                <w:szCs w:val="21"/>
                <w:highlight w:val="none"/>
              </w:rPr>
              <w:t>四、其它</w:t>
            </w:r>
          </w:p>
        </w:tc>
        <w:tc>
          <w:tcPr>
            <w:tcW w:w="3957" w:type="dxa"/>
            <w:gridSpan w:val="4"/>
            <w:vAlign w:val="center"/>
          </w:tcPr>
          <w:p>
            <w:pPr>
              <w:tabs>
                <w:tab w:val="left" w:pos="4320"/>
              </w:tabs>
              <w:spacing w:before="60" w:after="60"/>
              <w:rPr>
                <w:rFonts w:ascii="仿宋" w:hAnsi="仿宋" w:eastAsia="仿宋" w:cs="仿宋"/>
                <w:color w:val="auto"/>
                <w:szCs w:val="21"/>
                <w:highlight w:val="none"/>
              </w:rPr>
            </w:pPr>
            <w:r>
              <w:rPr>
                <w:rFonts w:hint="eastAsia" w:ascii="仿宋" w:hAnsi="仿宋" w:eastAsia="仿宋" w:cs="仿宋"/>
                <w:color w:val="auto"/>
                <w:szCs w:val="21"/>
                <w:highlight w:val="none"/>
              </w:rPr>
              <w:t>近3年完成及正在执行的合同中发生的由于投标人违约</w:t>
            </w:r>
            <w:r>
              <w:rPr>
                <w:rFonts w:hint="eastAsia" w:ascii="仿宋" w:hAnsi="仿宋" w:eastAsia="仿宋" w:cs="仿宋"/>
                <w:color w:val="auto"/>
                <w:szCs w:val="21"/>
                <w:highlight w:val="none"/>
                <w:lang w:eastAsia="zh-CN"/>
              </w:rPr>
              <w:t>或部分</w:t>
            </w:r>
            <w:r>
              <w:rPr>
                <w:rFonts w:hint="eastAsia" w:ascii="仿宋" w:hAnsi="仿宋" w:eastAsia="仿宋" w:cs="仿宋"/>
                <w:color w:val="auto"/>
                <w:szCs w:val="21"/>
                <w:highlight w:val="none"/>
              </w:rPr>
              <w:t>违约而引起诉讼和受到索赔的案件具体情况及结果（须如实填写，若对此进行隐瞒，尔后又被采购人或采购代理机构发现，或</w:t>
            </w:r>
            <w:r>
              <w:rPr>
                <w:rFonts w:hint="eastAsia" w:ascii="仿宋" w:hAnsi="仿宋" w:eastAsia="仿宋" w:cs="仿宋"/>
                <w:color w:val="auto"/>
                <w:szCs w:val="21"/>
                <w:highlight w:val="none"/>
                <w:lang w:eastAsia="zh-CN"/>
              </w:rPr>
              <w:t>被他人</w:t>
            </w:r>
            <w:r>
              <w:rPr>
                <w:rFonts w:hint="eastAsia" w:ascii="仿宋" w:hAnsi="仿宋" w:eastAsia="仿宋" w:cs="仿宋"/>
                <w:color w:val="auto"/>
                <w:szCs w:val="21"/>
                <w:highlight w:val="none"/>
              </w:rPr>
              <w:t>举证成立，其投标资格将被取消）。</w:t>
            </w:r>
          </w:p>
        </w:tc>
        <w:tc>
          <w:tcPr>
            <w:tcW w:w="4660" w:type="dxa"/>
            <w:gridSpan w:val="4"/>
            <w:tcBorders>
              <w:right w:val="double" w:color="auto" w:sz="4" w:space="0"/>
            </w:tcBorders>
            <w:vAlign w:val="center"/>
          </w:tcPr>
          <w:p>
            <w:pPr>
              <w:tabs>
                <w:tab w:val="left" w:pos="4320"/>
              </w:tabs>
              <w:spacing w:before="60" w:after="60"/>
              <w:rPr>
                <w:rFonts w:ascii="仿宋" w:hAnsi="仿宋" w:eastAsia="仿宋" w:cs="仿宋"/>
                <w:color w:val="auto"/>
                <w:szCs w:val="21"/>
                <w:highlight w:val="none"/>
              </w:rPr>
            </w:pPr>
            <w:r>
              <w:rPr>
                <w:rFonts w:hint="eastAsia" w:ascii="仿宋" w:hAnsi="仿宋" w:eastAsia="仿宋" w:cs="仿宋"/>
                <w:color w:val="auto"/>
                <w:szCs w:val="21"/>
                <w:highlight w:val="none"/>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1130" w:type="dxa"/>
            <w:vMerge w:val="continue"/>
            <w:tcBorders>
              <w:left w:val="double" w:color="auto" w:sz="4" w:space="0"/>
              <w:bottom w:val="double" w:color="auto" w:sz="4" w:space="0"/>
            </w:tcBorders>
            <w:vAlign w:val="center"/>
          </w:tcPr>
          <w:p>
            <w:pPr>
              <w:tabs>
                <w:tab w:val="left" w:pos="4320"/>
              </w:tabs>
              <w:rPr>
                <w:rFonts w:ascii="仿宋" w:hAnsi="仿宋" w:eastAsia="仿宋" w:cs="仿宋"/>
                <w:color w:val="auto"/>
                <w:szCs w:val="21"/>
                <w:highlight w:val="none"/>
              </w:rPr>
            </w:pPr>
          </w:p>
        </w:tc>
        <w:tc>
          <w:tcPr>
            <w:tcW w:w="3957" w:type="dxa"/>
            <w:gridSpan w:val="4"/>
            <w:tcBorders>
              <w:bottom w:val="double" w:color="auto" w:sz="4" w:space="0"/>
            </w:tcBorders>
            <w:vAlign w:val="center"/>
          </w:tcPr>
          <w:p>
            <w:pPr>
              <w:tabs>
                <w:tab w:val="left" w:pos="4320"/>
              </w:tabs>
              <w:rPr>
                <w:rFonts w:ascii="仿宋" w:hAnsi="仿宋" w:eastAsia="仿宋" w:cs="仿宋"/>
                <w:color w:val="auto"/>
                <w:szCs w:val="21"/>
                <w:highlight w:val="none"/>
              </w:rPr>
            </w:pPr>
          </w:p>
        </w:tc>
        <w:tc>
          <w:tcPr>
            <w:tcW w:w="4660" w:type="dxa"/>
            <w:gridSpan w:val="4"/>
            <w:tcBorders>
              <w:bottom w:val="double" w:color="auto" w:sz="4" w:space="0"/>
              <w:right w:val="double" w:color="auto" w:sz="4" w:space="0"/>
            </w:tcBorders>
            <w:vAlign w:val="center"/>
          </w:tcPr>
          <w:p>
            <w:pPr>
              <w:tabs>
                <w:tab w:val="left" w:pos="4320"/>
              </w:tabs>
              <w:rPr>
                <w:rFonts w:ascii="仿宋" w:hAnsi="仿宋" w:eastAsia="仿宋" w:cs="仿宋"/>
                <w:color w:val="auto"/>
                <w:szCs w:val="21"/>
                <w:highlight w:val="none"/>
              </w:rPr>
            </w:pPr>
          </w:p>
        </w:tc>
      </w:tr>
    </w:tbl>
    <w:p>
      <w:pPr>
        <w:pStyle w:val="79"/>
        <w:spacing w:before="0" w:after="0" w:line="360" w:lineRule="auto"/>
        <w:ind w:left="840" w:hanging="840" w:hangingChars="400"/>
        <w:rPr>
          <w:rFonts w:ascii="宋体" w:hAnsi="宋体" w:cs="宋体"/>
          <w:bCs w:val="0"/>
          <w:color w:val="auto"/>
          <w:spacing w:val="0"/>
          <w:kern w:val="2"/>
          <w:szCs w:val="21"/>
          <w:highlight w:val="none"/>
          <w:lang w:val="en-GB"/>
        </w:rPr>
      </w:pPr>
    </w:p>
    <w:p>
      <w:pPr>
        <w:pStyle w:val="79"/>
        <w:spacing w:before="0" w:after="0" w:line="360" w:lineRule="auto"/>
        <w:ind w:left="840" w:hanging="840" w:hangingChars="400"/>
        <w:rPr>
          <w:rFonts w:ascii="仿宋" w:hAnsi="仿宋" w:eastAsia="仿宋" w:cs="仿宋"/>
          <w:bCs w:val="0"/>
          <w:color w:val="auto"/>
          <w:spacing w:val="0"/>
          <w:kern w:val="2"/>
          <w:szCs w:val="21"/>
          <w:highlight w:val="none"/>
          <w:lang w:val="en-GB"/>
        </w:rPr>
      </w:pPr>
      <w:r>
        <w:rPr>
          <w:rFonts w:hint="eastAsia" w:ascii="仿宋" w:hAnsi="仿宋" w:eastAsia="仿宋" w:cs="仿宋"/>
          <w:bCs w:val="0"/>
          <w:color w:val="auto"/>
          <w:spacing w:val="0"/>
          <w:kern w:val="2"/>
          <w:szCs w:val="21"/>
          <w:highlight w:val="none"/>
          <w:lang w:val="en-GB"/>
        </w:rPr>
        <w:t>注：1）文字描述：单位性质、发展历程、经营规模及服务理念、主营产品、技术力量等。</w:t>
      </w:r>
    </w:p>
    <w:p>
      <w:pPr>
        <w:pStyle w:val="79"/>
        <w:spacing w:before="0" w:after="0" w:line="360" w:lineRule="auto"/>
        <w:ind w:left="840" w:hanging="840" w:hangingChars="400"/>
        <w:rPr>
          <w:rFonts w:ascii="仿宋" w:hAnsi="仿宋" w:eastAsia="仿宋" w:cs="仿宋"/>
          <w:bCs w:val="0"/>
          <w:color w:val="auto"/>
          <w:spacing w:val="0"/>
          <w:kern w:val="2"/>
          <w:szCs w:val="21"/>
          <w:highlight w:val="none"/>
          <w:lang w:val="en-GB"/>
        </w:rPr>
      </w:pPr>
      <w:r>
        <w:rPr>
          <w:rFonts w:hint="eastAsia" w:ascii="仿宋" w:hAnsi="仿宋" w:eastAsia="仿宋" w:cs="仿宋"/>
          <w:bCs w:val="0"/>
          <w:color w:val="auto"/>
          <w:spacing w:val="0"/>
          <w:kern w:val="2"/>
          <w:szCs w:val="21"/>
          <w:highlight w:val="none"/>
          <w:lang w:val="en-GB"/>
        </w:rPr>
        <w:t xml:space="preserve">    2) 图片描述：经营场所、主要或关键产品介绍、生产场所及工艺流程等。</w:t>
      </w:r>
    </w:p>
    <w:p>
      <w:pPr>
        <w:spacing w:line="360" w:lineRule="auto"/>
        <w:ind w:firstLine="420" w:firstLineChars="200"/>
        <w:rPr>
          <w:rFonts w:ascii="仿宋" w:hAnsi="仿宋" w:eastAsia="仿宋" w:cs="仿宋"/>
          <w:color w:val="auto"/>
          <w:kern w:val="2"/>
          <w:szCs w:val="21"/>
          <w:highlight w:val="none"/>
          <w:lang w:val="en-GB"/>
        </w:rPr>
      </w:pPr>
      <w:r>
        <w:rPr>
          <w:rFonts w:hint="eastAsia" w:ascii="仿宋" w:hAnsi="仿宋" w:eastAsia="仿宋" w:cs="仿宋"/>
          <w:color w:val="auto"/>
          <w:kern w:val="2"/>
          <w:szCs w:val="21"/>
          <w:highlight w:val="none"/>
          <w:lang w:val="en-GB"/>
        </w:rPr>
        <w:t>3）如投标人此表数据有虚假，一经查实，自行承担相关责任。</w:t>
      </w:r>
    </w:p>
    <w:p>
      <w:pPr>
        <w:snapToGrid w:val="0"/>
        <w:spacing w:line="300" w:lineRule="auto"/>
        <w:rPr>
          <w:rFonts w:ascii="仿宋" w:hAnsi="仿宋" w:eastAsia="仿宋" w:cs="仿宋"/>
          <w:color w:val="auto"/>
          <w:szCs w:val="21"/>
          <w:highlight w:val="none"/>
        </w:rPr>
      </w:pP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投标人法定代表人（或法定代表人授权代表）亲笔签字：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pStyle w:val="3"/>
        <w:spacing w:after="120" w:line="480" w:lineRule="exact"/>
        <w:rPr>
          <w:rFonts w:hAnsi="宋体" w:cs="宋体"/>
          <w:b/>
          <w:color w:val="auto"/>
          <w:szCs w:val="20"/>
          <w:highlight w:val="none"/>
        </w:rPr>
      </w:pPr>
      <w:r>
        <w:rPr>
          <w:rFonts w:hint="eastAsia" w:hAnsi="宋体" w:cs="宋体"/>
          <w:b/>
          <w:color w:val="auto"/>
          <w:szCs w:val="20"/>
          <w:highlight w:val="none"/>
        </w:rPr>
        <w:br w:type="page"/>
      </w:r>
      <w:r>
        <w:rPr>
          <w:rFonts w:hint="eastAsia" w:hAnsi="宋体" w:cs="宋体"/>
          <w:b/>
          <w:color w:val="auto"/>
          <w:szCs w:val="20"/>
          <w:highlight w:val="none"/>
        </w:rPr>
        <w:t>附表2.7 202</w:t>
      </w:r>
      <w:r>
        <w:rPr>
          <w:rFonts w:hint="eastAsia" w:hAnsi="宋体" w:cs="宋体"/>
          <w:b/>
          <w:color w:val="auto"/>
          <w:szCs w:val="20"/>
          <w:highlight w:val="none"/>
          <w:lang w:val="en-US" w:eastAsia="zh-CN"/>
        </w:rPr>
        <w:t>1</w:t>
      </w:r>
      <w:r>
        <w:rPr>
          <w:rFonts w:hint="eastAsia" w:hAnsi="宋体" w:cs="宋体"/>
          <w:b/>
          <w:color w:val="auto"/>
          <w:szCs w:val="20"/>
          <w:highlight w:val="none"/>
        </w:rPr>
        <w:t>年投标人财务状况表格式</w:t>
      </w:r>
    </w:p>
    <w:p>
      <w:pPr>
        <w:spacing w:line="360" w:lineRule="auto"/>
        <w:ind w:firstLine="420"/>
        <w:rPr>
          <w:rFonts w:hAnsi="宋体" w:cs="宋体"/>
          <w:color w:val="auto"/>
          <w:szCs w:val="20"/>
          <w:highlight w:val="none"/>
        </w:rPr>
      </w:pPr>
    </w:p>
    <w:p>
      <w:pPr>
        <w:spacing w:line="360" w:lineRule="auto"/>
        <w:jc w:val="center"/>
        <w:rPr>
          <w:rFonts w:hAnsi="宋体" w:cs="宋体"/>
          <w:b/>
          <w:color w:val="auto"/>
          <w:szCs w:val="21"/>
          <w:highlight w:val="none"/>
        </w:rPr>
      </w:pPr>
      <w:r>
        <w:rPr>
          <w:rFonts w:hint="eastAsia" w:hAnsi="宋体" w:cs="宋体"/>
          <w:b/>
          <w:color w:val="auto"/>
          <w:szCs w:val="21"/>
          <w:highlight w:val="none"/>
        </w:rPr>
        <w:t>2021年投标人财务状况表</w:t>
      </w:r>
    </w:p>
    <w:tbl>
      <w:tblPr>
        <w:tblStyle w:val="4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21"/>
        <w:gridCol w:w="2137"/>
        <w:gridCol w:w="2137"/>
        <w:gridCol w:w="2137"/>
        <w:gridCol w:w="21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1321"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年  度</w:t>
            </w:r>
          </w:p>
        </w:tc>
        <w:tc>
          <w:tcPr>
            <w:tcW w:w="2137"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总资产（元）</w:t>
            </w:r>
          </w:p>
        </w:tc>
        <w:tc>
          <w:tcPr>
            <w:tcW w:w="2137"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净资产（元）</w:t>
            </w:r>
          </w:p>
        </w:tc>
        <w:tc>
          <w:tcPr>
            <w:tcW w:w="2137"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年营业额（元）</w:t>
            </w:r>
          </w:p>
        </w:tc>
        <w:tc>
          <w:tcPr>
            <w:tcW w:w="2137"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年净利润（元）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1321"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2021</w:t>
            </w:r>
          </w:p>
        </w:tc>
        <w:tc>
          <w:tcPr>
            <w:tcW w:w="2137" w:type="dxa"/>
            <w:vAlign w:val="center"/>
          </w:tcPr>
          <w:p>
            <w:pPr>
              <w:spacing w:line="360" w:lineRule="auto"/>
              <w:jc w:val="center"/>
              <w:rPr>
                <w:rFonts w:ascii="仿宋" w:hAnsi="仿宋" w:eastAsia="仿宋" w:cs="仿宋"/>
                <w:color w:val="auto"/>
                <w:szCs w:val="21"/>
                <w:highlight w:val="none"/>
              </w:rPr>
            </w:pPr>
          </w:p>
        </w:tc>
        <w:tc>
          <w:tcPr>
            <w:tcW w:w="2137" w:type="dxa"/>
            <w:vAlign w:val="center"/>
          </w:tcPr>
          <w:p>
            <w:pPr>
              <w:spacing w:line="360" w:lineRule="auto"/>
              <w:jc w:val="center"/>
              <w:rPr>
                <w:rFonts w:ascii="仿宋" w:hAnsi="仿宋" w:eastAsia="仿宋" w:cs="仿宋"/>
                <w:color w:val="auto"/>
                <w:szCs w:val="21"/>
                <w:highlight w:val="none"/>
              </w:rPr>
            </w:pPr>
          </w:p>
        </w:tc>
        <w:tc>
          <w:tcPr>
            <w:tcW w:w="2137" w:type="dxa"/>
            <w:vAlign w:val="center"/>
          </w:tcPr>
          <w:p>
            <w:pPr>
              <w:spacing w:line="360" w:lineRule="auto"/>
              <w:jc w:val="center"/>
              <w:rPr>
                <w:rFonts w:ascii="仿宋" w:hAnsi="仿宋" w:eastAsia="仿宋" w:cs="仿宋"/>
                <w:color w:val="auto"/>
                <w:szCs w:val="21"/>
                <w:highlight w:val="none"/>
              </w:rPr>
            </w:pPr>
          </w:p>
        </w:tc>
        <w:tc>
          <w:tcPr>
            <w:tcW w:w="2137" w:type="dxa"/>
            <w:vAlign w:val="center"/>
          </w:tcPr>
          <w:p>
            <w:pPr>
              <w:spacing w:line="360" w:lineRule="auto"/>
              <w:jc w:val="center"/>
              <w:rPr>
                <w:rFonts w:ascii="仿宋" w:hAnsi="仿宋" w:eastAsia="仿宋" w:cs="仿宋"/>
                <w:color w:val="auto"/>
                <w:szCs w:val="21"/>
                <w:highlight w:val="none"/>
              </w:rPr>
            </w:pPr>
          </w:p>
        </w:tc>
      </w:tr>
    </w:tbl>
    <w:p>
      <w:pPr>
        <w:spacing w:line="360" w:lineRule="auto"/>
        <w:rPr>
          <w:rFonts w:hAnsi="宋体" w:cs="宋体"/>
          <w:color w:val="auto"/>
          <w:szCs w:val="21"/>
          <w:highlight w:val="none"/>
        </w:rPr>
      </w:pPr>
      <w:r>
        <w:rPr>
          <w:rFonts w:hint="eastAsia" w:hAnsi="宋体" w:cs="宋体"/>
          <w:color w:val="auto"/>
          <w:szCs w:val="21"/>
          <w:highlight w:val="none"/>
        </w:rPr>
        <w:t xml:space="preserve">        </w:t>
      </w:r>
    </w:p>
    <w:p>
      <w:pPr>
        <w:spacing w:line="360" w:lineRule="auto"/>
        <w:rPr>
          <w:rFonts w:ascii="仿宋" w:hAnsi="仿宋" w:eastAsia="仿宋" w:cs="仿宋"/>
          <w:b/>
          <w:color w:val="auto"/>
          <w:szCs w:val="21"/>
          <w:highlight w:val="none"/>
        </w:rPr>
      </w:pPr>
      <w:r>
        <w:rPr>
          <w:rFonts w:hint="eastAsia" w:ascii="仿宋" w:hAnsi="仿宋" w:eastAsia="仿宋" w:cs="仿宋"/>
          <w:color w:val="auto"/>
          <w:szCs w:val="21"/>
          <w:highlight w:val="none"/>
        </w:rPr>
        <w:t>【备注】2022年度成立的公司无需提供此表。</w:t>
      </w:r>
    </w:p>
    <w:p>
      <w:pPr>
        <w:spacing w:line="360" w:lineRule="auto"/>
        <w:rPr>
          <w:rFonts w:hAnsi="宋体" w:cs="宋体"/>
          <w:b/>
          <w:color w:val="auto"/>
          <w:szCs w:val="21"/>
          <w:highlight w:val="none"/>
        </w:rPr>
      </w:pPr>
    </w:p>
    <w:p>
      <w:pPr>
        <w:spacing w:line="360" w:lineRule="auto"/>
        <w:rPr>
          <w:rFonts w:hAnsi="宋体" w:cs="宋体"/>
          <w:b/>
          <w:color w:val="auto"/>
          <w:szCs w:val="21"/>
          <w:highlight w:val="none"/>
        </w:rPr>
      </w:pP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投标人法定代表人（或法定代表人授权代表）亲笔签字：                   </w:t>
      </w: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投标人名称（加盖法人公章）：                        </w:t>
      </w: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          年      月     日</w:t>
      </w:r>
    </w:p>
    <w:p>
      <w:pPr>
        <w:spacing w:line="480" w:lineRule="exact"/>
        <w:rPr>
          <w:rFonts w:hAnsi="宋体" w:cs="宋体"/>
          <w:b/>
          <w:color w:val="auto"/>
          <w:highlight w:val="none"/>
        </w:rPr>
      </w:pPr>
    </w:p>
    <w:p>
      <w:pPr>
        <w:pStyle w:val="3"/>
        <w:spacing w:after="120" w:line="480" w:lineRule="exact"/>
        <w:rPr>
          <w:rFonts w:hAnsi="宋体" w:cs="宋体"/>
          <w:b/>
          <w:color w:val="auto"/>
          <w:szCs w:val="21"/>
          <w:highlight w:val="none"/>
        </w:rPr>
      </w:pPr>
      <w:r>
        <w:rPr>
          <w:rFonts w:hint="eastAsia" w:hAnsi="宋体" w:cs="宋体"/>
          <w:color w:val="auto"/>
          <w:szCs w:val="21"/>
          <w:highlight w:val="none"/>
        </w:rPr>
        <w:br w:type="page"/>
      </w:r>
      <w:r>
        <w:rPr>
          <w:rFonts w:hint="eastAsia" w:hAnsi="宋体" w:cs="宋体"/>
          <w:b/>
          <w:color w:val="auto"/>
          <w:szCs w:val="20"/>
          <w:highlight w:val="none"/>
        </w:rPr>
        <w:t>附表2.8 中标服务费承诺书格式</w:t>
      </w:r>
    </w:p>
    <w:p>
      <w:pPr>
        <w:spacing w:line="360" w:lineRule="auto"/>
        <w:ind w:right="893" w:firstLine="420"/>
        <w:jc w:val="both"/>
        <w:rPr>
          <w:rFonts w:hAnsi="宋体" w:cs="宋体"/>
          <w:color w:val="auto"/>
          <w:kern w:val="2"/>
          <w:szCs w:val="21"/>
          <w:highlight w:val="none"/>
          <w:lang w:val="zh-CN"/>
        </w:rPr>
      </w:pPr>
      <w:r>
        <w:rPr>
          <w:rFonts w:hint="eastAsia" w:hAnsi="宋体" w:cs="宋体"/>
          <w:color w:val="auto"/>
          <w:kern w:val="2"/>
          <w:szCs w:val="21"/>
          <w:highlight w:val="none"/>
          <w:lang w:val="zh-CN"/>
        </w:rPr>
        <w:t xml:space="preserve">                </w:t>
      </w:r>
    </w:p>
    <w:p>
      <w:pPr>
        <w:spacing w:line="360" w:lineRule="auto"/>
        <w:jc w:val="center"/>
        <w:rPr>
          <w:rFonts w:hAnsi="宋体" w:cs="宋体"/>
          <w:b/>
          <w:color w:val="auto"/>
          <w:sz w:val="28"/>
          <w:szCs w:val="28"/>
          <w:highlight w:val="none"/>
        </w:rPr>
      </w:pPr>
      <w:r>
        <w:rPr>
          <w:rFonts w:hint="eastAsia" w:hAnsi="宋体" w:cs="宋体"/>
          <w:b/>
          <w:color w:val="auto"/>
          <w:sz w:val="28"/>
          <w:szCs w:val="28"/>
          <w:highlight w:val="none"/>
        </w:rPr>
        <w:t>中标服务费承诺书</w:t>
      </w:r>
    </w:p>
    <w:p>
      <w:pPr>
        <w:spacing w:line="360" w:lineRule="auto"/>
        <w:ind w:right="893" w:firstLine="420"/>
        <w:jc w:val="both"/>
        <w:rPr>
          <w:rFonts w:hAnsi="宋体" w:cs="宋体"/>
          <w:color w:val="auto"/>
          <w:kern w:val="2"/>
          <w:szCs w:val="21"/>
          <w:highlight w:val="none"/>
          <w:lang w:val="zh-CN"/>
        </w:rPr>
      </w:pPr>
    </w:p>
    <w:p>
      <w:pPr>
        <w:spacing w:line="360" w:lineRule="auto"/>
        <w:ind w:right="893"/>
        <w:jc w:val="both"/>
        <w:rPr>
          <w:rFonts w:ascii="仿宋" w:hAnsi="仿宋" w:eastAsia="仿宋" w:cs="仿宋"/>
          <w:b/>
          <w:bCs/>
          <w:color w:val="auto"/>
          <w:kern w:val="2"/>
          <w:szCs w:val="21"/>
          <w:highlight w:val="none"/>
          <w:lang w:val="zh-CN"/>
        </w:rPr>
      </w:pPr>
      <w:r>
        <w:rPr>
          <w:rFonts w:hint="eastAsia" w:ascii="仿宋" w:hAnsi="仿宋" w:eastAsia="仿宋" w:cs="仿宋"/>
          <w:b/>
          <w:bCs/>
          <w:color w:val="auto"/>
          <w:kern w:val="2"/>
          <w:szCs w:val="21"/>
          <w:highlight w:val="none"/>
          <w:lang w:val="zh-CN"/>
        </w:rPr>
        <w:t>致：</w:t>
      </w:r>
      <w:r>
        <w:rPr>
          <w:rFonts w:hint="eastAsia" w:ascii="仿宋" w:hAnsi="仿宋" w:eastAsia="仿宋" w:cs="仿宋"/>
          <w:b/>
          <w:color w:val="auto"/>
          <w:szCs w:val="21"/>
          <w:highlight w:val="none"/>
          <w:u w:val="single"/>
        </w:rPr>
        <w:t>广东远东招标代理有限公司</w:t>
      </w:r>
    </w:p>
    <w:p>
      <w:pPr>
        <w:spacing w:line="360" w:lineRule="auto"/>
        <w:ind w:right="893" w:firstLine="420"/>
        <w:jc w:val="both"/>
        <w:rPr>
          <w:rFonts w:ascii="仿宋" w:hAnsi="仿宋" w:eastAsia="仿宋" w:cs="仿宋"/>
          <w:color w:val="auto"/>
          <w:kern w:val="2"/>
          <w:szCs w:val="21"/>
          <w:highlight w:val="none"/>
          <w:lang w:val="zh-CN"/>
        </w:rPr>
      </w:pPr>
    </w:p>
    <w:p>
      <w:pPr>
        <w:tabs>
          <w:tab w:val="left" w:pos="-142"/>
        </w:tabs>
        <w:spacing w:line="360" w:lineRule="auto"/>
        <w:ind w:left="-31" w:leftChars="-15" w:right="18" w:firstLine="457" w:firstLineChars="218"/>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我单位在贵司代理的</w:t>
      </w:r>
      <w:r>
        <w:rPr>
          <w:rFonts w:hint="eastAsia" w:ascii="仿宋" w:hAnsi="仿宋" w:eastAsia="仿宋" w:cs="仿宋"/>
          <w:color w:val="auto"/>
          <w:szCs w:val="21"/>
          <w:highlight w:val="none"/>
          <w:u w:val="single"/>
        </w:rPr>
        <w:t xml:space="preserve"> 南海海洋预警信息发布和沿海恶劣天气防灾叫应系统(二期) </w:t>
      </w:r>
      <w:r>
        <w:rPr>
          <w:rFonts w:hint="eastAsia" w:ascii="仿宋" w:hAnsi="仿宋" w:eastAsia="仿宋" w:cs="仿宋"/>
          <w:color w:val="auto"/>
          <w:szCs w:val="21"/>
          <w:highlight w:val="none"/>
        </w:rPr>
        <w:t>(</w:t>
      </w:r>
      <w:r>
        <w:rPr>
          <w:rFonts w:hint="eastAsia" w:ascii="仿宋" w:hAnsi="仿宋" w:eastAsia="仿宋" w:cs="仿宋"/>
          <w:color w:val="auto"/>
          <w:kern w:val="2"/>
          <w:szCs w:val="21"/>
          <w:highlight w:val="none"/>
          <w:lang w:val="zh-CN"/>
        </w:rPr>
        <w:t>采购编号：GDYD230090</w:t>
      </w:r>
      <w:r>
        <w:rPr>
          <w:rFonts w:hint="eastAsia" w:ascii="仿宋" w:hAnsi="仿宋" w:eastAsia="仿宋" w:cs="仿宋"/>
          <w:color w:val="auto"/>
          <w:szCs w:val="21"/>
          <w:highlight w:val="none"/>
        </w:rPr>
        <w:t xml:space="preserve"> </w:t>
      </w:r>
      <w:r>
        <w:rPr>
          <w:rFonts w:hint="eastAsia" w:ascii="仿宋" w:hAnsi="仿宋" w:eastAsia="仿宋" w:cs="仿宋"/>
          <w:color w:val="auto"/>
          <w:kern w:val="2"/>
          <w:szCs w:val="21"/>
          <w:highlight w:val="none"/>
          <w:lang w:val="zh-CN"/>
        </w:rPr>
        <w:t>)招标中若获中标，我们保证在领取中标通知书原件的同时按招标文件的规定，以电汇、现金或经贵公司认可的一种方式，向贵公司即</w:t>
      </w:r>
      <w:r>
        <w:rPr>
          <w:rFonts w:hint="eastAsia" w:ascii="仿宋" w:hAnsi="仿宋" w:eastAsia="仿宋" w:cs="仿宋"/>
          <w:color w:val="auto"/>
          <w:kern w:val="2"/>
          <w:szCs w:val="21"/>
          <w:highlight w:val="none"/>
          <w:u w:val="single"/>
          <w:lang w:val="zh-CN"/>
        </w:rPr>
        <w:t>广东远东招标代理有限公司</w:t>
      </w:r>
      <w:r>
        <w:rPr>
          <w:rFonts w:hint="eastAsia" w:ascii="仿宋" w:hAnsi="仿宋" w:eastAsia="仿宋" w:cs="仿宋"/>
          <w:color w:val="auto"/>
          <w:kern w:val="2"/>
          <w:szCs w:val="21"/>
          <w:highlight w:val="none"/>
          <w:lang w:val="zh-CN"/>
        </w:rPr>
        <w:t>指定的银行账号，一次性支付中标服务费（详见本招标文件投标人须知第37款）。</w:t>
      </w:r>
    </w:p>
    <w:p>
      <w:pPr>
        <w:spacing w:line="360" w:lineRule="auto"/>
        <w:ind w:right="893"/>
        <w:jc w:val="both"/>
        <w:rPr>
          <w:rFonts w:ascii="仿宋" w:hAnsi="仿宋" w:eastAsia="仿宋" w:cs="仿宋"/>
          <w:color w:val="auto"/>
          <w:kern w:val="2"/>
          <w:szCs w:val="21"/>
          <w:highlight w:val="none"/>
          <w:lang w:val="zh-CN"/>
        </w:rPr>
      </w:pPr>
    </w:p>
    <w:p>
      <w:pPr>
        <w:spacing w:line="360" w:lineRule="auto"/>
        <w:ind w:right="893" w:firstLine="480"/>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特此承诺。</w:t>
      </w:r>
    </w:p>
    <w:p>
      <w:pPr>
        <w:spacing w:line="360" w:lineRule="auto"/>
        <w:ind w:right="893"/>
        <w:jc w:val="both"/>
        <w:rPr>
          <w:rFonts w:ascii="仿宋" w:hAnsi="仿宋" w:eastAsia="仿宋" w:cs="仿宋"/>
          <w:color w:val="auto"/>
          <w:kern w:val="2"/>
          <w:szCs w:val="21"/>
          <w:highlight w:val="none"/>
          <w:lang w:val="zh-CN"/>
        </w:rPr>
      </w:pPr>
    </w:p>
    <w:p>
      <w:pPr>
        <w:spacing w:line="360" w:lineRule="auto"/>
        <w:ind w:right="893"/>
        <w:jc w:val="both"/>
        <w:rPr>
          <w:rFonts w:ascii="仿宋" w:hAnsi="仿宋" w:eastAsia="仿宋" w:cs="仿宋"/>
          <w:color w:val="auto"/>
          <w:kern w:val="2"/>
          <w:szCs w:val="21"/>
          <w:highlight w:val="none"/>
          <w:lang w:val="zh-CN"/>
        </w:rPr>
      </w:pPr>
    </w:p>
    <w:p>
      <w:pPr>
        <w:spacing w:line="360" w:lineRule="auto"/>
        <w:ind w:right="893"/>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xml:space="preserve">投标人名称： </w:t>
      </w:r>
      <w:r>
        <w:rPr>
          <w:rFonts w:hint="eastAsia" w:ascii="仿宋" w:hAnsi="仿宋" w:eastAsia="仿宋" w:cs="仿宋"/>
          <w:color w:val="auto"/>
          <w:kern w:val="2"/>
          <w:szCs w:val="21"/>
          <w:highlight w:val="none"/>
          <w:u w:val="single"/>
          <w:lang w:val="zh-CN"/>
        </w:rPr>
        <w:t xml:space="preserve">               </w:t>
      </w:r>
      <w:r>
        <w:rPr>
          <w:rFonts w:hint="eastAsia" w:ascii="仿宋" w:hAnsi="仿宋" w:eastAsia="仿宋" w:cs="仿宋"/>
          <w:color w:val="auto"/>
          <w:kern w:val="2"/>
          <w:szCs w:val="21"/>
          <w:highlight w:val="none"/>
          <w:lang w:val="zh-CN"/>
        </w:rPr>
        <w:t>（加盖法人公章）</w:t>
      </w:r>
    </w:p>
    <w:p>
      <w:pPr>
        <w:spacing w:line="360" w:lineRule="auto"/>
        <w:ind w:right="893"/>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地址：</w:t>
      </w:r>
      <w:r>
        <w:rPr>
          <w:rFonts w:hint="eastAsia" w:ascii="仿宋" w:hAnsi="仿宋" w:eastAsia="仿宋" w:cs="仿宋"/>
          <w:color w:val="auto"/>
          <w:kern w:val="2"/>
          <w:szCs w:val="21"/>
          <w:highlight w:val="none"/>
          <w:u w:val="single"/>
          <w:lang w:val="zh-CN"/>
        </w:rPr>
        <w:t xml:space="preserve">                      </w:t>
      </w:r>
    </w:p>
    <w:p>
      <w:pPr>
        <w:spacing w:line="360" w:lineRule="auto"/>
        <w:ind w:right="893"/>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电话：</w:t>
      </w:r>
      <w:r>
        <w:rPr>
          <w:rFonts w:hint="eastAsia" w:ascii="仿宋" w:hAnsi="仿宋" w:eastAsia="仿宋" w:cs="仿宋"/>
          <w:color w:val="auto"/>
          <w:kern w:val="2"/>
          <w:szCs w:val="21"/>
          <w:highlight w:val="none"/>
          <w:u w:val="single"/>
          <w:lang w:val="zh-CN"/>
        </w:rPr>
        <w:t xml:space="preserve">                      </w:t>
      </w:r>
      <w:r>
        <w:rPr>
          <w:rFonts w:hint="eastAsia" w:ascii="仿宋" w:hAnsi="仿宋" w:eastAsia="仿宋" w:cs="仿宋"/>
          <w:color w:val="auto"/>
          <w:kern w:val="2"/>
          <w:szCs w:val="21"/>
          <w:highlight w:val="none"/>
          <w:lang w:val="zh-CN"/>
        </w:rPr>
        <w:t xml:space="preserve">        传真：</w:t>
      </w:r>
      <w:r>
        <w:rPr>
          <w:rFonts w:hint="eastAsia" w:ascii="仿宋" w:hAnsi="仿宋" w:eastAsia="仿宋" w:cs="仿宋"/>
          <w:color w:val="auto"/>
          <w:kern w:val="2"/>
          <w:szCs w:val="21"/>
          <w:highlight w:val="none"/>
          <w:u w:val="single"/>
          <w:lang w:val="zh-CN"/>
        </w:rPr>
        <w:t xml:space="preserve">                     </w:t>
      </w:r>
    </w:p>
    <w:p>
      <w:pPr>
        <w:spacing w:line="360" w:lineRule="auto"/>
        <w:ind w:right="893"/>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邮箱：</w:t>
      </w:r>
      <w:r>
        <w:rPr>
          <w:rFonts w:hint="eastAsia" w:ascii="仿宋" w:hAnsi="仿宋" w:eastAsia="仿宋" w:cs="仿宋"/>
          <w:color w:val="auto"/>
          <w:kern w:val="2"/>
          <w:szCs w:val="21"/>
          <w:highlight w:val="none"/>
          <w:u w:val="single"/>
          <w:lang w:val="zh-CN"/>
        </w:rPr>
        <w:t xml:space="preserve">                      </w:t>
      </w:r>
      <w:r>
        <w:rPr>
          <w:rFonts w:hint="eastAsia" w:ascii="仿宋" w:hAnsi="仿宋" w:eastAsia="仿宋" w:cs="仿宋"/>
          <w:color w:val="auto"/>
          <w:kern w:val="2"/>
          <w:szCs w:val="21"/>
          <w:highlight w:val="none"/>
          <w:lang w:val="zh-CN"/>
        </w:rPr>
        <w:t xml:space="preserve">          邮编：</w:t>
      </w:r>
      <w:r>
        <w:rPr>
          <w:rFonts w:hint="eastAsia" w:ascii="仿宋" w:hAnsi="仿宋" w:eastAsia="仿宋" w:cs="仿宋"/>
          <w:color w:val="auto"/>
          <w:kern w:val="2"/>
          <w:szCs w:val="21"/>
          <w:highlight w:val="none"/>
          <w:u w:val="single"/>
          <w:lang w:val="zh-CN"/>
        </w:rPr>
        <w:t xml:space="preserve">                   </w:t>
      </w:r>
    </w:p>
    <w:p>
      <w:pPr>
        <w:spacing w:line="360" w:lineRule="auto"/>
        <w:ind w:right="893"/>
        <w:jc w:val="both"/>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法定代表人或其授权代表（亲笔签字）：</w:t>
      </w:r>
      <w:r>
        <w:rPr>
          <w:rFonts w:hint="eastAsia" w:ascii="仿宋" w:hAnsi="仿宋" w:eastAsia="仿宋" w:cs="仿宋"/>
          <w:color w:val="auto"/>
          <w:kern w:val="2"/>
          <w:szCs w:val="21"/>
          <w:highlight w:val="none"/>
          <w:u w:val="single"/>
          <w:lang w:val="zh-CN"/>
        </w:rPr>
        <w:t xml:space="preserve">                           </w:t>
      </w:r>
    </w:p>
    <w:p>
      <w:pPr>
        <w:spacing w:line="360" w:lineRule="auto"/>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承诺日期：</w:t>
      </w:r>
      <w:r>
        <w:rPr>
          <w:rFonts w:hint="eastAsia" w:ascii="仿宋" w:hAnsi="仿宋" w:eastAsia="仿宋" w:cs="仿宋"/>
          <w:color w:val="auto"/>
          <w:kern w:val="2"/>
          <w:szCs w:val="21"/>
          <w:highlight w:val="none"/>
          <w:u w:val="single"/>
          <w:lang w:val="zh-CN"/>
        </w:rPr>
        <w:t xml:space="preserve">                    </w:t>
      </w:r>
    </w:p>
    <w:p>
      <w:pPr>
        <w:spacing w:line="360" w:lineRule="auto"/>
        <w:rPr>
          <w:rFonts w:hAnsi="宋体" w:cs="宋体"/>
          <w:b/>
          <w:color w:val="auto"/>
          <w:szCs w:val="21"/>
          <w:highlight w:val="none"/>
        </w:rPr>
      </w:pPr>
    </w:p>
    <w:p>
      <w:pPr>
        <w:pStyle w:val="3"/>
        <w:spacing w:after="120" w:line="480" w:lineRule="exact"/>
        <w:rPr>
          <w:rFonts w:hAnsi="宋体" w:cs="宋体"/>
          <w:b/>
          <w:color w:val="auto"/>
          <w:szCs w:val="21"/>
          <w:highlight w:val="none"/>
        </w:rPr>
      </w:pPr>
      <w:r>
        <w:rPr>
          <w:rFonts w:hint="eastAsia" w:hAnsi="宋体" w:cs="宋体"/>
          <w:b/>
          <w:color w:val="auto"/>
          <w:szCs w:val="20"/>
          <w:highlight w:val="none"/>
        </w:rPr>
        <w:br w:type="page"/>
      </w:r>
      <w:r>
        <w:rPr>
          <w:rFonts w:hint="eastAsia" w:hAnsi="宋体" w:cs="宋体"/>
          <w:b/>
          <w:color w:val="auto"/>
          <w:szCs w:val="20"/>
          <w:highlight w:val="none"/>
        </w:rPr>
        <w:t>附表2.9 项目管理架构格式</w:t>
      </w:r>
    </w:p>
    <w:p>
      <w:pPr>
        <w:jc w:val="center"/>
        <w:rPr>
          <w:rFonts w:hAnsi="宋体" w:cs="宋体"/>
          <w:b/>
          <w:color w:val="auto"/>
          <w:sz w:val="32"/>
          <w:szCs w:val="32"/>
          <w:highlight w:val="none"/>
        </w:rPr>
      </w:pPr>
    </w:p>
    <w:p>
      <w:pPr>
        <w:jc w:val="center"/>
        <w:rPr>
          <w:rFonts w:hAnsi="宋体" w:cs="宋体"/>
          <w:b/>
          <w:color w:val="auto"/>
          <w:sz w:val="32"/>
          <w:szCs w:val="32"/>
          <w:highlight w:val="none"/>
        </w:rPr>
      </w:pPr>
      <w:r>
        <w:rPr>
          <w:rFonts w:hint="eastAsia" w:hAnsi="宋体" w:cs="宋体"/>
          <w:b/>
          <w:color w:val="auto"/>
          <w:sz w:val="32"/>
          <w:szCs w:val="32"/>
          <w:highlight w:val="none"/>
        </w:rPr>
        <w:t>项目管理架构</w:t>
      </w:r>
    </w:p>
    <w:p>
      <w:pPr>
        <w:rPr>
          <w:rFonts w:hAnsi="宋体" w:cs="宋体"/>
          <w:color w:val="auto"/>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1524"/>
        <w:gridCol w:w="952"/>
        <w:gridCol w:w="2966"/>
        <w:gridCol w:w="763"/>
        <w:gridCol w:w="763"/>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72" w:type="dxa"/>
            <w:tcBorders>
              <w:top w:val="single" w:color="auto" w:sz="4" w:space="0"/>
              <w:left w:val="single" w:color="auto" w:sz="4" w:space="0"/>
              <w:bottom w:val="nil"/>
              <w:right w:val="single" w:color="auto" w:sz="4" w:space="0"/>
            </w:tcBorders>
            <w:shd w:val="clear" w:color="auto" w:fill="F3F3F3"/>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职责分工</w:t>
            </w:r>
          </w:p>
        </w:tc>
        <w:tc>
          <w:tcPr>
            <w:tcW w:w="1524" w:type="dxa"/>
            <w:tcBorders>
              <w:top w:val="single" w:color="auto" w:sz="4" w:space="0"/>
              <w:left w:val="single" w:color="auto" w:sz="4" w:space="0"/>
              <w:bottom w:val="nil"/>
              <w:right w:val="single" w:color="auto" w:sz="4" w:space="0"/>
            </w:tcBorders>
            <w:shd w:val="clear" w:color="auto" w:fill="F3F3F3"/>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姓名</w:t>
            </w:r>
          </w:p>
        </w:tc>
        <w:tc>
          <w:tcPr>
            <w:tcW w:w="952" w:type="dxa"/>
            <w:tcBorders>
              <w:top w:val="single" w:color="auto" w:sz="4" w:space="0"/>
              <w:left w:val="single" w:color="auto" w:sz="4" w:space="0"/>
              <w:bottom w:val="nil"/>
            </w:tcBorders>
            <w:shd w:val="clear" w:color="auto" w:fill="F3F3F3"/>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现职务</w:t>
            </w:r>
          </w:p>
        </w:tc>
        <w:tc>
          <w:tcPr>
            <w:tcW w:w="2966" w:type="dxa"/>
            <w:tcBorders>
              <w:top w:val="single" w:color="auto" w:sz="4" w:space="0"/>
              <w:bottom w:val="nil"/>
            </w:tcBorders>
            <w:shd w:val="clear" w:color="auto" w:fill="F3F3F3"/>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曾主持/参与的同类项目经历</w:t>
            </w:r>
          </w:p>
        </w:tc>
        <w:tc>
          <w:tcPr>
            <w:tcW w:w="763" w:type="dxa"/>
            <w:tcBorders>
              <w:top w:val="single" w:color="auto" w:sz="4" w:space="0"/>
              <w:bottom w:val="nil"/>
            </w:tcBorders>
            <w:shd w:val="clear" w:color="auto" w:fill="F3F3F3"/>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职称</w:t>
            </w:r>
          </w:p>
        </w:tc>
        <w:tc>
          <w:tcPr>
            <w:tcW w:w="763" w:type="dxa"/>
            <w:tcBorders>
              <w:top w:val="single" w:color="auto" w:sz="4" w:space="0"/>
              <w:bottom w:val="nil"/>
              <w:right w:val="single" w:color="auto" w:sz="4" w:space="0"/>
            </w:tcBorders>
            <w:shd w:val="clear" w:color="auto" w:fill="F3F3F3"/>
            <w:vAlign w:val="center"/>
          </w:tcPr>
          <w:p>
            <w:pPr>
              <w:ind w:firstLine="12"/>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专业工龄</w:t>
            </w:r>
          </w:p>
        </w:tc>
        <w:tc>
          <w:tcPr>
            <w:tcW w:w="1715" w:type="dxa"/>
            <w:tcBorders>
              <w:top w:val="single" w:color="auto" w:sz="4" w:space="0"/>
              <w:bottom w:val="nil"/>
              <w:right w:val="single" w:color="auto" w:sz="4" w:space="0"/>
            </w:tcBorders>
            <w:shd w:val="clear" w:color="auto" w:fill="F3F3F3"/>
            <w:vAlign w:val="center"/>
          </w:tcPr>
          <w:p>
            <w:pPr>
              <w:ind w:firstLine="12"/>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联系电话/手机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2" w:type="dxa"/>
            <w:tcBorders>
              <w:top w:val="single" w:color="auto" w:sz="4" w:space="0"/>
              <w:left w:val="single" w:color="auto" w:sz="4" w:space="0"/>
              <w:bottom w:val="nil"/>
              <w:right w:val="single" w:color="auto" w:sz="4" w:space="0"/>
            </w:tcBorders>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总负责人</w:t>
            </w:r>
          </w:p>
        </w:tc>
        <w:tc>
          <w:tcPr>
            <w:tcW w:w="1524" w:type="dxa"/>
            <w:tcBorders>
              <w:top w:val="single" w:color="auto" w:sz="4" w:space="0"/>
              <w:left w:val="single" w:color="auto" w:sz="4" w:space="0"/>
              <w:bottom w:val="nil"/>
              <w:right w:val="single" w:color="auto" w:sz="4" w:space="0"/>
            </w:tcBorders>
            <w:vAlign w:val="center"/>
          </w:tcPr>
          <w:p>
            <w:pPr>
              <w:jc w:val="center"/>
              <w:rPr>
                <w:rFonts w:ascii="仿宋" w:hAnsi="仿宋" w:eastAsia="仿宋" w:cs="仿宋"/>
                <w:color w:val="auto"/>
                <w:szCs w:val="21"/>
                <w:highlight w:val="none"/>
              </w:rPr>
            </w:pPr>
          </w:p>
        </w:tc>
        <w:tc>
          <w:tcPr>
            <w:tcW w:w="952" w:type="dxa"/>
            <w:tcBorders>
              <w:top w:val="single" w:color="auto" w:sz="4" w:space="0"/>
              <w:left w:val="single" w:color="auto" w:sz="4" w:space="0"/>
              <w:bottom w:val="nil"/>
            </w:tcBorders>
            <w:vAlign w:val="center"/>
          </w:tcPr>
          <w:p>
            <w:pPr>
              <w:jc w:val="center"/>
              <w:rPr>
                <w:rFonts w:ascii="仿宋" w:hAnsi="仿宋" w:eastAsia="仿宋" w:cs="仿宋"/>
                <w:color w:val="auto"/>
                <w:szCs w:val="21"/>
                <w:highlight w:val="none"/>
              </w:rPr>
            </w:pPr>
          </w:p>
        </w:tc>
        <w:tc>
          <w:tcPr>
            <w:tcW w:w="2966" w:type="dxa"/>
            <w:tcBorders>
              <w:top w:val="single" w:color="auto" w:sz="4" w:space="0"/>
              <w:bottom w:val="nil"/>
            </w:tcBorders>
            <w:vAlign w:val="center"/>
          </w:tcPr>
          <w:p>
            <w:pPr>
              <w:pStyle w:val="147"/>
              <w:keepNext w:val="0"/>
              <w:adjustRightInd/>
              <w:spacing w:before="0" w:after="0" w:line="240" w:lineRule="auto"/>
              <w:textAlignment w:val="auto"/>
              <w:rPr>
                <w:rFonts w:ascii="仿宋" w:hAnsi="仿宋" w:eastAsia="仿宋" w:cs="仿宋"/>
                <w:snapToGrid/>
                <w:color w:val="auto"/>
                <w:spacing w:val="0"/>
                <w:kern w:val="2"/>
                <w:szCs w:val="21"/>
                <w:highlight w:val="none"/>
              </w:rPr>
            </w:pPr>
          </w:p>
        </w:tc>
        <w:tc>
          <w:tcPr>
            <w:tcW w:w="763" w:type="dxa"/>
            <w:tcBorders>
              <w:top w:val="single" w:color="auto" w:sz="4" w:space="0"/>
              <w:bottom w:val="nil"/>
            </w:tcBorders>
            <w:vAlign w:val="center"/>
          </w:tcPr>
          <w:p>
            <w:pPr>
              <w:jc w:val="center"/>
              <w:rPr>
                <w:rFonts w:ascii="仿宋" w:hAnsi="仿宋" w:eastAsia="仿宋" w:cs="仿宋"/>
                <w:color w:val="auto"/>
                <w:szCs w:val="21"/>
                <w:highlight w:val="none"/>
              </w:rPr>
            </w:pPr>
          </w:p>
        </w:tc>
        <w:tc>
          <w:tcPr>
            <w:tcW w:w="763" w:type="dxa"/>
            <w:tcBorders>
              <w:top w:val="single" w:color="auto" w:sz="4" w:space="0"/>
              <w:bottom w:val="nil"/>
              <w:right w:val="single" w:color="auto" w:sz="4" w:space="0"/>
            </w:tcBorders>
            <w:vAlign w:val="center"/>
          </w:tcPr>
          <w:p>
            <w:pPr>
              <w:ind w:firstLine="12"/>
              <w:jc w:val="center"/>
              <w:rPr>
                <w:rFonts w:ascii="仿宋" w:hAnsi="仿宋" w:eastAsia="仿宋" w:cs="仿宋"/>
                <w:color w:val="auto"/>
                <w:szCs w:val="21"/>
                <w:highlight w:val="none"/>
              </w:rPr>
            </w:pPr>
          </w:p>
        </w:tc>
        <w:tc>
          <w:tcPr>
            <w:tcW w:w="1715" w:type="dxa"/>
            <w:tcBorders>
              <w:top w:val="single" w:color="auto" w:sz="4" w:space="0"/>
              <w:bottom w:val="nil"/>
              <w:right w:val="single" w:color="auto" w:sz="4" w:space="0"/>
            </w:tcBorders>
            <w:vAlign w:val="center"/>
          </w:tcPr>
          <w:p>
            <w:pPr>
              <w:ind w:firstLine="12"/>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restart"/>
            <w:tcBorders>
              <w:left w:val="single" w:color="auto" w:sz="4" w:space="0"/>
              <w:right w:val="single" w:color="auto" w:sz="4" w:space="0"/>
            </w:tcBorders>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其他主要技术人员</w:t>
            </w:r>
          </w:p>
        </w:tc>
        <w:tc>
          <w:tcPr>
            <w:tcW w:w="1524" w:type="dxa"/>
            <w:tcBorders>
              <w:left w:val="single" w:color="auto" w:sz="4" w:space="0"/>
              <w:right w:val="single" w:color="auto" w:sz="4" w:space="0"/>
            </w:tcBorders>
            <w:vAlign w:val="center"/>
          </w:tcPr>
          <w:p>
            <w:pPr>
              <w:jc w:val="center"/>
              <w:rPr>
                <w:rFonts w:ascii="仿宋" w:hAnsi="仿宋" w:eastAsia="仿宋" w:cs="仿宋"/>
                <w:color w:val="auto"/>
                <w:szCs w:val="21"/>
                <w:highlight w:val="none"/>
              </w:rPr>
            </w:pPr>
          </w:p>
        </w:tc>
        <w:tc>
          <w:tcPr>
            <w:tcW w:w="952" w:type="dxa"/>
            <w:tcBorders>
              <w:left w:val="single" w:color="auto" w:sz="4" w:space="0"/>
            </w:tcBorders>
            <w:vAlign w:val="center"/>
          </w:tcPr>
          <w:p>
            <w:pPr>
              <w:jc w:val="center"/>
              <w:rPr>
                <w:rFonts w:ascii="仿宋" w:hAnsi="仿宋" w:eastAsia="仿宋" w:cs="仿宋"/>
                <w:color w:val="auto"/>
                <w:szCs w:val="21"/>
                <w:highlight w:val="none"/>
              </w:rPr>
            </w:pPr>
          </w:p>
        </w:tc>
        <w:tc>
          <w:tcPr>
            <w:tcW w:w="2966" w:type="dxa"/>
            <w:vAlign w:val="center"/>
          </w:tcPr>
          <w:p>
            <w:pPr>
              <w:jc w:val="center"/>
              <w:rPr>
                <w:rFonts w:ascii="仿宋" w:hAnsi="仿宋" w:eastAsia="仿宋" w:cs="仿宋"/>
                <w:color w:val="auto"/>
                <w:szCs w:val="21"/>
                <w:highlight w:val="none"/>
              </w:rPr>
            </w:pPr>
          </w:p>
        </w:tc>
        <w:tc>
          <w:tcPr>
            <w:tcW w:w="763" w:type="dxa"/>
            <w:vAlign w:val="center"/>
          </w:tcPr>
          <w:p>
            <w:pPr>
              <w:jc w:val="center"/>
              <w:rPr>
                <w:rFonts w:ascii="仿宋" w:hAnsi="仿宋" w:eastAsia="仿宋" w:cs="仿宋"/>
                <w:color w:val="auto"/>
                <w:szCs w:val="21"/>
                <w:highlight w:val="none"/>
              </w:rPr>
            </w:pPr>
          </w:p>
        </w:tc>
        <w:tc>
          <w:tcPr>
            <w:tcW w:w="763" w:type="dxa"/>
            <w:tcBorders>
              <w:right w:val="single" w:color="auto" w:sz="4" w:space="0"/>
            </w:tcBorders>
            <w:vAlign w:val="center"/>
          </w:tcPr>
          <w:p>
            <w:pPr>
              <w:jc w:val="center"/>
              <w:rPr>
                <w:rFonts w:ascii="仿宋" w:hAnsi="仿宋" w:eastAsia="仿宋" w:cs="仿宋"/>
                <w:color w:val="auto"/>
                <w:szCs w:val="21"/>
                <w:highlight w:val="none"/>
              </w:rPr>
            </w:pPr>
          </w:p>
        </w:tc>
        <w:tc>
          <w:tcPr>
            <w:tcW w:w="1715" w:type="dxa"/>
            <w:tcBorders>
              <w:right w:val="single" w:color="auto" w:sz="4" w:space="0"/>
            </w:tcBorders>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continue"/>
            <w:tcBorders>
              <w:left w:val="single" w:color="auto" w:sz="4" w:space="0"/>
              <w:right w:val="single" w:color="auto" w:sz="4" w:space="0"/>
            </w:tcBorders>
            <w:vAlign w:val="center"/>
          </w:tcPr>
          <w:p>
            <w:pPr>
              <w:rPr>
                <w:rFonts w:ascii="仿宋" w:hAnsi="仿宋" w:eastAsia="仿宋" w:cs="仿宋"/>
                <w:color w:val="auto"/>
                <w:szCs w:val="21"/>
                <w:highlight w:val="none"/>
              </w:rPr>
            </w:pPr>
          </w:p>
        </w:tc>
        <w:tc>
          <w:tcPr>
            <w:tcW w:w="1524" w:type="dxa"/>
            <w:tcBorders>
              <w:left w:val="single" w:color="auto" w:sz="4" w:space="0"/>
              <w:right w:val="single" w:color="auto" w:sz="4" w:space="0"/>
            </w:tcBorders>
            <w:vAlign w:val="center"/>
          </w:tcPr>
          <w:p>
            <w:pPr>
              <w:jc w:val="center"/>
              <w:rPr>
                <w:rFonts w:ascii="仿宋" w:hAnsi="仿宋" w:eastAsia="仿宋" w:cs="仿宋"/>
                <w:color w:val="auto"/>
                <w:szCs w:val="21"/>
                <w:highlight w:val="none"/>
              </w:rPr>
            </w:pPr>
          </w:p>
        </w:tc>
        <w:tc>
          <w:tcPr>
            <w:tcW w:w="952" w:type="dxa"/>
            <w:tcBorders>
              <w:left w:val="single" w:color="auto" w:sz="4" w:space="0"/>
            </w:tcBorders>
            <w:vAlign w:val="center"/>
          </w:tcPr>
          <w:p>
            <w:pPr>
              <w:jc w:val="center"/>
              <w:rPr>
                <w:rFonts w:ascii="仿宋" w:hAnsi="仿宋" w:eastAsia="仿宋" w:cs="仿宋"/>
                <w:color w:val="auto"/>
                <w:szCs w:val="21"/>
                <w:highlight w:val="none"/>
              </w:rPr>
            </w:pPr>
          </w:p>
        </w:tc>
        <w:tc>
          <w:tcPr>
            <w:tcW w:w="2966" w:type="dxa"/>
            <w:vAlign w:val="center"/>
          </w:tcPr>
          <w:p>
            <w:pPr>
              <w:jc w:val="center"/>
              <w:rPr>
                <w:rFonts w:ascii="仿宋" w:hAnsi="仿宋" w:eastAsia="仿宋" w:cs="仿宋"/>
                <w:color w:val="auto"/>
                <w:szCs w:val="21"/>
                <w:highlight w:val="none"/>
              </w:rPr>
            </w:pPr>
          </w:p>
        </w:tc>
        <w:tc>
          <w:tcPr>
            <w:tcW w:w="763" w:type="dxa"/>
            <w:vAlign w:val="center"/>
          </w:tcPr>
          <w:p>
            <w:pPr>
              <w:jc w:val="center"/>
              <w:rPr>
                <w:rFonts w:ascii="仿宋" w:hAnsi="仿宋" w:eastAsia="仿宋" w:cs="仿宋"/>
                <w:color w:val="auto"/>
                <w:szCs w:val="21"/>
                <w:highlight w:val="none"/>
              </w:rPr>
            </w:pPr>
          </w:p>
        </w:tc>
        <w:tc>
          <w:tcPr>
            <w:tcW w:w="763" w:type="dxa"/>
            <w:tcBorders>
              <w:right w:val="single" w:color="auto" w:sz="4" w:space="0"/>
            </w:tcBorders>
            <w:vAlign w:val="center"/>
          </w:tcPr>
          <w:p>
            <w:pPr>
              <w:jc w:val="center"/>
              <w:rPr>
                <w:rFonts w:ascii="仿宋" w:hAnsi="仿宋" w:eastAsia="仿宋" w:cs="仿宋"/>
                <w:color w:val="auto"/>
                <w:szCs w:val="21"/>
                <w:highlight w:val="none"/>
              </w:rPr>
            </w:pPr>
          </w:p>
        </w:tc>
        <w:tc>
          <w:tcPr>
            <w:tcW w:w="1715" w:type="dxa"/>
            <w:tcBorders>
              <w:right w:val="single" w:color="auto" w:sz="4" w:space="0"/>
            </w:tcBorders>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continue"/>
            <w:tcBorders>
              <w:left w:val="single" w:color="auto" w:sz="4" w:space="0"/>
              <w:right w:val="single" w:color="auto" w:sz="4" w:space="0"/>
            </w:tcBorders>
            <w:vAlign w:val="center"/>
          </w:tcPr>
          <w:p>
            <w:pPr>
              <w:rPr>
                <w:rFonts w:ascii="仿宋" w:hAnsi="仿宋" w:eastAsia="仿宋" w:cs="仿宋"/>
                <w:color w:val="auto"/>
                <w:szCs w:val="21"/>
                <w:highlight w:val="none"/>
              </w:rPr>
            </w:pPr>
          </w:p>
        </w:tc>
        <w:tc>
          <w:tcPr>
            <w:tcW w:w="1524" w:type="dxa"/>
            <w:tcBorders>
              <w:left w:val="single" w:color="auto" w:sz="4" w:space="0"/>
              <w:right w:val="single" w:color="auto" w:sz="4" w:space="0"/>
            </w:tcBorders>
            <w:vAlign w:val="center"/>
          </w:tcPr>
          <w:p>
            <w:pPr>
              <w:jc w:val="center"/>
              <w:rPr>
                <w:rFonts w:ascii="仿宋" w:hAnsi="仿宋" w:eastAsia="仿宋" w:cs="仿宋"/>
                <w:color w:val="auto"/>
                <w:szCs w:val="21"/>
                <w:highlight w:val="none"/>
              </w:rPr>
            </w:pPr>
          </w:p>
        </w:tc>
        <w:tc>
          <w:tcPr>
            <w:tcW w:w="952" w:type="dxa"/>
            <w:tcBorders>
              <w:left w:val="single" w:color="auto" w:sz="4" w:space="0"/>
            </w:tcBorders>
            <w:vAlign w:val="center"/>
          </w:tcPr>
          <w:p>
            <w:pPr>
              <w:jc w:val="center"/>
              <w:rPr>
                <w:rFonts w:ascii="仿宋" w:hAnsi="仿宋" w:eastAsia="仿宋" w:cs="仿宋"/>
                <w:color w:val="auto"/>
                <w:szCs w:val="21"/>
                <w:highlight w:val="none"/>
              </w:rPr>
            </w:pPr>
          </w:p>
        </w:tc>
        <w:tc>
          <w:tcPr>
            <w:tcW w:w="2966" w:type="dxa"/>
            <w:vAlign w:val="center"/>
          </w:tcPr>
          <w:p>
            <w:pPr>
              <w:jc w:val="center"/>
              <w:rPr>
                <w:rFonts w:ascii="仿宋" w:hAnsi="仿宋" w:eastAsia="仿宋" w:cs="仿宋"/>
                <w:color w:val="auto"/>
                <w:szCs w:val="21"/>
                <w:highlight w:val="none"/>
              </w:rPr>
            </w:pPr>
          </w:p>
        </w:tc>
        <w:tc>
          <w:tcPr>
            <w:tcW w:w="763" w:type="dxa"/>
            <w:vAlign w:val="center"/>
          </w:tcPr>
          <w:p>
            <w:pPr>
              <w:jc w:val="center"/>
              <w:rPr>
                <w:rFonts w:ascii="仿宋" w:hAnsi="仿宋" w:eastAsia="仿宋" w:cs="仿宋"/>
                <w:color w:val="auto"/>
                <w:szCs w:val="21"/>
                <w:highlight w:val="none"/>
              </w:rPr>
            </w:pPr>
          </w:p>
        </w:tc>
        <w:tc>
          <w:tcPr>
            <w:tcW w:w="763" w:type="dxa"/>
            <w:tcBorders>
              <w:right w:val="single" w:color="auto" w:sz="4" w:space="0"/>
            </w:tcBorders>
            <w:vAlign w:val="center"/>
          </w:tcPr>
          <w:p>
            <w:pPr>
              <w:jc w:val="center"/>
              <w:rPr>
                <w:rFonts w:ascii="仿宋" w:hAnsi="仿宋" w:eastAsia="仿宋" w:cs="仿宋"/>
                <w:color w:val="auto"/>
                <w:szCs w:val="21"/>
                <w:highlight w:val="none"/>
              </w:rPr>
            </w:pPr>
          </w:p>
        </w:tc>
        <w:tc>
          <w:tcPr>
            <w:tcW w:w="1715" w:type="dxa"/>
            <w:tcBorders>
              <w:right w:val="single" w:color="auto" w:sz="4" w:space="0"/>
            </w:tcBorders>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continue"/>
            <w:tcBorders>
              <w:left w:val="single" w:color="auto" w:sz="4" w:space="0"/>
              <w:right w:val="single" w:color="auto" w:sz="4" w:space="0"/>
            </w:tcBorders>
            <w:vAlign w:val="center"/>
          </w:tcPr>
          <w:p>
            <w:pPr>
              <w:jc w:val="center"/>
              <w:rPr>
                <w:rFonts w:ascii="仿宋" w:hAnsi="仿宋" w:eastAsia="仿宋" w:cs="仿宋"/>
                <w:color w:val="auto"/>
                <w:szCs w:val="21"/>
                <w:highlight w:val="none"/>
              </w:rPr>
            </w:pPr>
          </w:p>
        </w:tc>
        <w:tc>
          <w:tcPr>
            <w:tcW w:w="1524" w:type="dxa"/>
            <w:tcBorders>
              <w:left w:val="single" w:color="auto" w:sz="4" w:space="0"/>
              <w:right w:val="single" w:color="auto" w:sz="4" w:space="0"/>
            </w:tcBorders>
            <w:vAlign w:val="center"/>
          </w:tcPr>
          <w:p>
            <w:pPr>
              <w:jc w:val="center"/>
              <w:rPr>
                <w:rFonts w:ascii="仿宋" w:hAnsi="仿宋" w:eastAsia="仿宋" w:cs="仿宋"/>
                <w:color w:val="auto"/>
                <w:szCs w:val="21"/>
                <w:highlight w:val="none"/>
              </w:rPr>
            </w:pPr>
          </w:p>
        </w:tc>
        <w:tc>
          <w:tcPr>
            <w:tcW w:w="952" w:type="dxa"/>
            <w:tcBorders>
              <w:left w:val="single" w:color="auto" w:sz="4" w:space="0"/>
            </w:tcBorders>
            <w:vAlign w:val="center"/>
          </w:tcPr>
          <w:p>
            <w:pPr>
              <w:jc w:val="center"/>
              <w:rPr>
                <w:rFonts w:ascii="仿宋" w:hAnsi="仿宋" w:eastAsia="仿宋" w:cs="仿宋"/>
                <w:color w:val="auto"/>
                <w:szCs w:val="21"/>
                <w:highlight w:val="none"/>
              </w:rPr>
            </w:pPr>
          </w:p>
        </w:tc>
        <w:tc>
          <w:tcPr>
            <w:tcW w:w="2966" w:type="dxa"/>
            <w:vAlign w:val="center"/>
          </w:tcPr>
          <w:p>
            <w:pPr>
              <w:jc w:val="center"/>
              <w:rPr>
                <w:rFonts w:ascii="仿宋" w:hAnsi="仿宋" w:eastAsia="仿宋" w:cs="仿宋"/>
                <w:color w:val="auto"/>
                <w:szCs w:val="21"/>
                <w:highlight w:val="none"/>
              </w:rPr>
            </w:pPr>
          </w:p>
        </w:tc>
        <w:tc>
          <w:tcPr>
            <w:tcW w:w="763" w:type="dxa"/>
            <w:vAlign w:val="center"/>
          </w:tcPr>
          <w:p>
            <w:pPr>
              <w:jc w:val="center"/>
              <w:rPr>
                <w:rFonts w:ascii="仿宋" w:hAnsi="仿宋" w:eastAsia="仿宋" w:cs="仿宋"/>
                <w:color w:val="auto"/>
                <w:szCs w:val="21"/>
                <w:highlight w:val="none"/>
              </w:rPr>
            </w:pPr>
          </w:p>
        </w:tc>
        <w:tc>
          <w:tcPr>
            <w:tcW w:w="763" w:type="dxa"/>
            <w:tcBorders>
              <w:right w:val="single" w:color="auto" w:sz="4" w:space="0"/>
            </w:tcBorders>
            <w:vAlign w:val="center"/>
          </w:tcPr>
          <w:p>
            <w:pPr>
              <w:jc w:val="center"/>
              <w:rPr>
                <w:rFonts w:ascii="仿宋" w:hAnsi="仿宋" w:eastAsia="仿宋" w:cs="仿宋"/>
                <w:color w:val="auto"/>
                <w:szCs w:val="21"/>
                <w:highlight w:val="none"/>
              </w:rPr>
            </w:pPr>
          </w:p>
        </w:tc>
        <w:tc>
          <w:tcPr>
            <w:tcW w:w="1715" w:type="dxa"/>
            <w:tcBorders>
              <w:right w:val="single" w:color="auto" w:sz="4" w:space="0"/>
            </w:tcBorders>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continue"/>
            <w:tcBorders>
              <w:left w:val="single" w:color="auto" w:sz="4" w:space="0"/>
              <w:right w:val="single" w:color="auto" w:sz="4" w:space="0"/>
            </w:tcBorders>
            <w:vAlign w:val="center"/>
          </w:tcPr>
          <w:p>
            <w:pPr>
              <w:jc w:val="center"/>
              <w:rPr>
                <w:rFonts w:ascii="仿宋" w:hAnsi="仿宋" w:eastAsia="仿宋" w:cs="仿宋"/>
                <w:color w:val="auto"/>
                <w:szCs w:val="21"/>
                <w:highlight w:val="none"/>
              </w:rPr>
            </w:pPr>
          </w:p>
        </w:tc>
        <w:tc>
          <w:tcPr>
            <w:tcW w:w="1524" w:type="dxa"/>
            <w:tcBorders>
              <w:left w:val="single" w:color="auto" w:sz="4" w:space="0"/>
              <w:right w:val="single" w:color="auto" w:sz="4" w:space="0"/>
            </w:tcBorders>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952" w:type="dxa"/>
            <w:tcBorders>
              <w:left w:val="single" w:color="auto" w:sz="4" w:space="0"/>
            </w:tcBorders>
            <w:vAlign w:val="center"/>
          </w:tcPr>
          <w:p>
            <w:pPr>
              <w:jc w:val="center"/>
              <w:rPr>
                <w:rFonts w:ascii="仿宋" w:hAnsi="仿宋" w:eastAsia="仿宋" w:cs="仿宋"/>
                <w:color w:val="auto"/>
                <w:szCs w:val="21"/>
                <w:highlight w:val="none"/>
              </w:rPr>
            </w:pPr>
          </w:p>
        </w:tc>
        <w:tc>
          <w:tcPr>
            <w:tcW w:w="2966" w:type="dxa"/>
            <w:vAlign w:val="center"/>
          </w:tcPr>
          <w:p>
            <w:pPr>
              <w:jc w:val="center"/>
              <w:rPr>
                <w:rFonts w:ascii="仿宋" w:hAnsi="仿宋" w:eastAsia="仿宋" w:cs="仿宋"/>
                <w:color w:val="auto"/>
                <w:szCs w:val="21"/>
                <w:highlight w:val="none"/>
              </w:rPr>
            </w:pPr>
          </w:p>
        </w:tc>
        <w:tc>
          <w:tcPr>
            <w:tcW w:w="763" w:type="dxa"/>
            <w:vAlign w:val="center"/>
          </w:tcPr>
          <w:p>
            <w:pPr>
              <w:jc w:val="center"/>
              <w:rPr>
                <w:rFonts w:ascii="仿宋" w:hAnsi="仿宋" w:eastAsia="仿宋" w:cs="仿宋"/>
                <w:color w:val="auto"/>
                <w:szCs w:val="21"/>
                <w:highlight w:val="none"/>
              </w:rPr>
            </w:pPr>
          </w:p>
        </w:tc>
        <w:tc>
          <w:tcPr>
            <w:tcW w:w="763" w:type="dxa"/>
            <w:tcBorders>
              <w:right w:val="single" w:color="auto" w:sz="4" w:space="0"/>
            </w:tcBorders>
            <w:vAlign w:val="center"/>
          </w:tcPr>
          <w:p>
            <w:pPr>
              <w:jc w:val="center"/>
              <w:rPr>
                <w:rFonts w:ascii="仿宋" w:hAnsi="仿宋" w:eastAsia="仿宋" w:cs="仿宋"/>
                <w:color w:val="auto"/>
                <w:szCs w:val="21"/>
                <w:highlight w:val="none"/>
              </w:rPr>
            </w:pPr>
          </w:p>
        </w:tc>
        <w:tc>
          <w:tcPr>
            <w:tcW w:w="1715" w:type="dxa"/>
            <w:tcBorders>
              <w:right w:val="single" w:color="auto" w:sz="4" w:space="0"/>
            </w:tcBorders>
            <w:vAlign w:val="center"/>
          </w:tcPr>
          <w:p>
            <w:pPr>
              <w:jc w:val="center"/>
              <w:rPr>
                <w:rFonts w:ascii="仿宋" w:hAnsi="仿宋" w:eastAsia="仿宋" w:cs="仿宋"/>
                <w:color w:val="auto"/>
                <w:szCs w:val="21"/>
                <w:highlight w:val="none"/>
              </w:rPr>
            </w:pPr>
          </w:p>
        </w:tc>
      </w:tr>
    </w:tbl>
    <w:p>
      <w:pPr>
        <w:snapToGrid w:val="0"/>
        <w:spacing w:before="156" w:beforeLines="50" w:line="300" w:lineRule="auto"/>
        <w:rPr>
          <w:rFonts w:hAnsi="宋体" w:cs="宋体"/>
          <w:color w:val="auto"/>
          <w:szCs w:val="21"/>
          <w:highlight w:val="none"/>
        </w:rPr>
      </w:pPr>
    </w:p>
    <w:p>
      <w:pPr>
        <w:pStyle w:val="79"/>
        <w:rPr>
          <w:rFonts w:ascii="宋体" w:hAnsi="宋体" w:cs="宋体"/>
          <w:color w:val="auto"/>
          <w:sz w:val="28"/>
          <w:szCs w:val="28"/>
          <w:highlight w:val="none"/>
        </w:rPr>
      </w:pP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pacing w:line="360" w:lineRule="auto"/>
        <w:ind w:right="893"/>
        <w:jc w:val="both"/>
        <w:rPr>
          <w:rFonts w:ascii="仿宋" w:hAnsi="仿宋" w:eastAsia="仿宋" w:cs="仿宋"/>
          <w:color w:val="auto"/>
          <w:kern w:val="2"/>
          <w:highlight w:val="none"/>
          <w:lang w:val="zh-CN"/>
        </w:rPr>
      </w:pPr>
      <w:r>
        <w:rPr>
          <w:rFonts w:hint="eastAsia" w:ascii="仿宋" w:hAnsi="仿宋" w:eastAsia="仿宋" w:cs="仿宋"/>
          <w:color w:val="auto"/>
          <w:kern w:val="2"/>
          <w:highlight w:val="none"/>
          <w:lang w:val="zh-CN"/>
        </w:rPr>
        <w:t>日期：          年      月     日</w:t>
      </w:r>
    </w:p>
    <w:p>
      <w:pPr>
        <w:rPr>
          <w:rFonts w:hAnsi="宋体" w:cs="宋体"/>
          <w:color w:val="auto"/>
          <w:highlight w:val="none"/>
        </w:rPr>
      </w:pPr>
    </w:p>
    <w:p>
      <w:pPr>
        <w:pStyle w:val="3"/>
        <w:spacing w:after="120" w:line="480" w:lineRule="exact"/>
        <w:rPr>
          <w:rFonts w:hAnsi="宋体" w:cs="宋体"/>
          <w:b/>
          <w:color w:val="auto"/>
          <w:szCs w:val="21"/>
          <w:highlight w:val="none"/>
        </w:rPr>
      </w:pPr>
      <w:r>
        <w:rPr>
          <w:rFonts w:hint="eastAsia" w:hAnsi="宋体" w:cs="宋体"/>
          <w:b/>
          <w:color w:val="auto"/>
          <w:szCs w:val="21"/>
          <w:highlight w:val="none"/>
        </w:rPr>
        <w:br w:type="page"/>
      </w:r>
      <w:r>
        <w:rPr>
          <w:rFonts w:hint="eastAsia" w:hAnsi="宋体" w:cs="宋体"/>
          <w:b/>
          <w:color w:val="auto"/>
          <w:szCs w:val="20"/>
          <w:highlight w:val="none"/>
        </w:rPr>
        <w:t>附表2.10商务条款响应表格式</w:t>
      </w:r>
    </w:p>
    <w:p>
      <w:pPr>
        <w:pStyle w:val="164"/>
        <w:ind w:firstLine="442"/>
        <w:jc w:val="both"/>
        <w:rPr>
          <w:b/>
          <w:bCs/>
          <w:color w:val="auto"/>
          <w:sz w:val="22"/>
          <w:szCs w:val="32"/>
          <w:highlight w:val="none"/>
        </w:rPr>
      </w:pPr>
      <w:r>
        <w:rPr>
          <w:rFonts w:hint="eastAsia"/>
          <w:b/>
          <w:bCs/>
          <w:color w:val="auto"/>
          <w:sz w:val="22"/>
          <w:szCs w:val="32"/>
          <w:highlight w:val="none"/>
        </w:rPr>
        <w:t>（1）实质性商务条款（“★”项）响应表格式</w:t>
      </w:r>
    </w:p>
    <w:p>
      <w:pPr>
        <w:pStyle w:val="79"/>
        <w:jc w:val="center"/>
        <w:rPr>
          <w:rFonts w:ascii="宋体" w:hAnsi="宋体" w:cs="宋体"/>
          <w:b/>
          <w:color w:val="auto"/>
          <w:sz w:val="32"/>
          <w:szCs w:val="32"/>
          <w:highlight w:val="none"/>
        </w:rPr>
      </w:pPr>
      <w:bookmarkStart w:id="33" w:name="_Hlk495872607"/>
      <w:r>
        <w:rPr>
          <w:rFonts w:hint="eastAsia" w:ascii="宋体" w:hAnsi="宋体" w:cs="宋体"/>
          <w:b/>
          <w:color w:val="auto"/>
          <w:sz w:val="32"/>
          <w:szCs w:val="32"/>
          <w:highlight w:val="none"/>
        </w:rPr>
        <w:t>实质性商务条款（“★”项）响应表</w:t>
      </w:r>
      <w:bookmarkEnd w:id="33"/>
    </w:p>
    <w:p>
      <w:pPr>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采购编号：GDYD230090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项目名称：南海海洋预警信息发布和沿海恶劣天气防灾叫应系统(二期)</w:t>
      </w:r>
    </w:p>
    <w:p>
      <w:pPr>
        <w:spacing w:line="360" w:lineRule="auto"/>
        <w:rPr>
          <w:rFonts w:ascii="仿宋" w:hAnsi="仿宋" w:eastAsia="仿宋" w:cs="仿宋"/>
          <w:color w:val="auto"/>
          <w:szCs w:val="21"/>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6185"/>
        <w:gridCol w:w="804"/>
        <w:gridCol w:w="2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25" w:type="dxa"/>
            <w:shd w:val="clear" w:color="auto" w:fill="F3F3F3"/>
            <w:vAlign w:val="center"/>
          </w:tcPr>
          <w:p>
            <w:pPr>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6185" w:type="dxa"/>
            <w:shd w:val="clear" w:color="auto" w:fill="F3F3F3"/>
            <w:vAlign w:val="center"/>
          </w:tcPr>
          <w:p>
            <w:pPr>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实质性响应条款要求</w:t>
            </w:r>
          </w:p>
        </w:tc>
        <w:tc>
          <w:tcPr>
            <w:tcW w:w="804" w:type="dxa"/>
            <w:shd w:val="clear" w:color="auto" w:fill="F3F3F3"/>
            <w:vAlign w:val="center"/>
          </w:tcPr>
          <w:p>
            <w:pPr>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是否响应</w:t>
            </w:r>
          </w:p>
        </w:tc>
        <w:tc>
          <w:tcPr>
            <w:tcW w:w="2141" w:type="dxa"/>
            <w:shd w:val="clear" w:color="auto" w:fill="F3F3F3"/>
            <w:vAlign w:val="center"/>
          </w:tcPr>
          <w:p>
            <w:pPr>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jc w:val="center"/>
        </w:trPr>
        <w:tc>
          <w:tcPr>
            <w:tcW w:w="725" w:type="dxa"/>
            <w:vAlign w:val="center"/>
          </w:tcPr>
          <w:p>
            <w:pPr>
              <w:numPr>
                <w:ilvl w:val="1"/>
                <w:numId w:val="19"/>
              </w:numPr>
              <w:autoSpaceDE/>
              <w:autoSpaceDN/>
              <w:adjustRightInd/>
              <w:jc w:val="center"/>
              <w:rPr>
                <w:rFonts w:ascii="仿宋" w:hAnsi="仿宋" w:eastAsia="仿宋" w:cs="仿宋"/>
                <w:color w:val="auto"/>
                <w:szCs w:val="21"/>
                <w:highlight w:val="none"/>
              </w:rPr>
            </w:pPr>
          </w:p>
        </w:tc>
        <w:tc>
          <w:tcPr>
            <w:tcW w:w="6185"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招标文件用户需求书中的所有实质性商务条款（“★”项）均完全响应，无任何偏离</w:t>
            </w:r>
          </w:p>
        </w:tc>
        <w:tc>
          <w:tcPr>
            <w:tcW w:w="804" w:type="dxa"/>
            <w:vAlign w:val="center"/>
          </w:tcPr>
          <w:p>
            <w:pPr>
              <w:pStyle w:val="147"/>
              <w:keepNext w:val="0"/>
              <w:adjustRightInd/>
              <w:spacing w:before="0" w:after="0" w:line="240" w:lineRule="auto"/>
              <w:textAlignment w:val="auto"/>
              <w:rPr>
                <w:rFonts w:ascii="仿宋" w:hAnsi="仿宋" w:eastAsia="仿宋" w:cs="仿宋"/>
                <w:snapToGrid/>
                <w:color w:val="auto"/>
                <w:spacing w:val="0"/>
                <w:kern w:val="2"/>
                <w:szCs w:val="21"/>
                <w:highlight w:val="none"/>
              </w:rPr>
            </w:pPr>
            <w:r>
              <w:rPr>
                <w:rFonts w:hint="eastAsia" w:ascii="仿宋" w:hAnsi="仿宋" w:eastAsia="仿宋" w:cs="仿宋"/>
                <w:snapToGrid/>
                <w:color w:val="auto"/>
                <w:spacing w:val="0"/>
                <w:kern w:val="2"/>
                <w:szCs w:val="21"/>
                <w:highlight w:val="none"/>
              </w:rPr>
              <w:t>是</w:t>
            </w:r>
          </w:p>
        </w:tc>
        <w:tc>
          <w:tcPr>
            <w:tcW w:w="2141"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无偏离</w:t>
            </w:r>
          </w:p>
        </w:tc>
      </w:tr>
    </w:tbl>
    <w:p>
      <w:pPr>
        <w:ind w:left="735" w:leftChars="150" w:hanging="420" w:hangingChars="200"/>
        <w:rPr>
          <w:rFonts w:ascii="仿宋" w:hAnsi="仿宋" w:eastAsia="仿宋" w:cs="仿宋"/>
          <w:color w:val="auto"/>
          <w:szCs w:val="21"/>
          <w:highlight w:val="none"/>
          <w:lang w:val="en-GB"/>
        </w:rPr>
      </w:pPr>
    </w:p>
    <w:p>
      <w:pPr>
        <w:spacing w:line="360" w:lineRule="auto"/>
        <w:ind w:left="851" w:hanging="851"/>
        <w:rPr>
          <w:rFonts w:ascii="仿宋" w:hAnsi="仿宋" w:eastAsia="仿宋" w:cs="仿宋"/>
          <w:color w:val="auto"/>
          <w:szCs w:val="21"/>
          <w:highlight w:val="none"/>
        </w:rPr>
      </w:pPr>
      <w:r>
        <w:rPr>
          <w:rFonts w:hint="eastAsia" w:ascii="仿宋" w:hAnsi="仿宋" w:eastAsia="仿宋" w:cs="仿宋"/>
          <w:color w:val="auto"/>
          <w:szCs w:val="21"/>
          <w:highlight w:val="none"/>
        </w:rPr>
        <w:t>说明：</w:t>
      </w:r>
    </w:p>
    <w:p>
      <w:pPr>
        <w:spacing w:line="360" w:lineRule="auto"/>
        <w:ind w:left="851" w:hanging="851"/>
        <w:rPr>
          <w:rFonts w:ascii="仿宋" w:hAnsi="仿宋" w:eastAsia="仿宋" w:cs="仿宋"/>
          <w:color w:val="auto"/>
          <w:szCs w:val="21"/>
          <w:highlight w:val="none"/>
        </w:rPr>
      </w:pPr>
      <w:r>
        <w:rPr>
          <w:rFonts w:hint="eastAsia" w:ascii="仿宋" w:hAnsi="仿宋" w:eastAsia="仿宋" w:cs="仿宋"/>
          <w:color w:val="auto"/>
          <w:szCs w:val="21"/>
          <w:highlight w:val="none"/>
        </w:rPr>
        <w:t>1.投标人必须对应招标文件的商务条款要求带“★”号的内容逐条响应。如有缺漏，缺漏项</w:t>
      </w:r>
    </w:p>
    <w:p>
      <w:pPr>
        <w:spacing w:line="360" w:lineRule="auto"/>
        <w:ind w:left="851" w:hanging="851"/>
        <w:rPr>
          <w:rFonts w:ascii="仿宋" w:hAnsi="仿宋" w:eastAsia="仿宋" w:cs="仿宋"/>
          <w:color w:val="auto"/>
          <w:szCs w:val="21"/>
          <w:highlight w:val="none"/>
        </w:rPr>
      </w:pPr>
      <w:r>
        <w:rPr>
          <w:rFonts w:hint="eastAsia" w:ascii="仿宋" w:hAnsi="仿宋" w:eastAsia="仿宋" w:cs="仿宋"/>
          <w:color w:val="auto"/>
          <w:szCs w:val="21"/>
          <w:highlight w:val="none"/>
        </w:rPr>
        <w:t>视同不符合招标要求。投标人如响应所有的“★”商务条款，也可在表格中以“招标文件用</w:t>
      </w:r>
    </w:p>
    <w:p>
      <w:pPr>
        <w:spacing w:line="360" w:lineRule="auto"/>
        <w:ind w:left="851" w:hanging="851"/>
        <w:rPr>
          <w:rFonts w:ascii="仿宋" w:hAnsi="仿宋" w:eastAsia="仿宋" w:cs="仿宋"/>
          <w:color w:val="auto"/>
          <w:szCs w:val="21"/>
          <w:highlight w:val="none"/>
          <w:lang w:val="en-GB"/>
        </w:rPr>
      </w:pPr>
      <w:r>
        <w:rPr>
          <w:rFonts w:hint="eastAsia" w:ascii="仿宋" w:hAnsi="仿宋" w:eastAsia="仿宋" w:cs="仿宋"/>
          <w:color w:val="auto"/>
          <w:szCs w:val="21"/>
          <w:highlight w:val="none"/>
        </w:rPr>
        <w:t>户需求书中的所有实质性商务条款（“★”项）均完全响应，无任何偏离”的表述方式表述。</w:t>
      </w:r>
    </w:p>
    <w:p>
      <w:pPr>
        <w:numPr>
          <w:ilvl w:val="0"/>
          <w:numId w:val="20"/>
        </w:num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投标人响应采购需求应具体、明确，含糊不清、不确切或伪造、变造证明材料的，按照不完全响应或者完全不响应处理。构成提供虚假材料的，移送监管部门查处。</w:t>
      </w:r>
    </w:p>
    <w:p>
      <w:pPr>
        <w:numPr>
          <w:ilvl w:val="0"/>
          <w:numId w:val="20"/>
        </w:numPr>
        <w:spacing w:line="360" w:lineRule="auto"/>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本表内容按各自对应所投子包的内容自行更改。</w:t>
      </w:r>
    </w:p>
    <w:p>
      <w:pPr>
        <w:rPr>
          <w:rFonts w:ascii="仿宋" w:hAnsi="仿宋" w:eastAsia="仿宋" w:cs="仿宋"/>
          <w:color w:val="auto"/>
          <w:szCs w:val="21"/>
          <w:highlight w:val="none"/>
          <w:lang w:val="en-GB"/>
        </w:rPr>
      </w:pPr>
    </w:p>
    <w:p>
      <w:pPr>
        <w:rPr>
          <w:rFonts w:ascii="仿宋" w:hAnsi="仿宋" w:eastAsia="仿宋" w:cs="仿宋"/>
          <w:color w:val="auto"/>
          <w:highlight w:val="none"/>
        </w:rPr>
      </w:pP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投标人法定代表人（或法定代表人授权代表）亲笔签字：</w:t>
      </w:r>
      <w:r>
        <w:rPr>
          <w:rFonts w:hint="eastAsia" w:ascii="仿宋" w:hAnsi="仿宋" w:eastAsia="仿宋" w:cs="仿宋"/>
          <w:color w:val="auto"/>
          <w:szCs w:val="21"/>
          <w:highlight w:val="none"/>
          <w:u w:val="single"/>
        </w:rPr>
        <w:t xml:space="preserve">                   </w:t>
      </w:r>
    </w:p>
    <w:p>
      <w:pPr>
        <w:snapToGrid w:val="0"/>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pStyle w:val="164"/>
        <w:ind w:firstLine="422"/>
        <w:jc w:val="both"/>
        <w:rPr>
          <w:rFonts w:hAnsi="宋体" w:cs="宋体"/>
          <w:b/>
          <w:color w:val="auto"/>
          <w:szCs w:val="20"/>
          <w:highlight w:val="none"/>
        </w:rPr>
      </w:pPr>
      <w:r>
        <w:rPr>
          <w:rFonts w:hint="eastAsia" w:hAnsi="宋体" w:cs="宋体"/>
          <w:b/>
          <w:color w:val="auto"/>
          <w:szCs w:val="20"/>
          <w:highlight w:val="none"/>
        </w:rPr>
        <w:br w:type="page"/>
      </w:r>
      <w:r>
        <w:rPr>
          <w:rFonts w:hint="eastAsia"/>
          <w:b/>
          <w:bCs/>
          <w:color w:val="auto"/>
          <w:sz w:val="22"/>
          <w:szCs w:val="32"/>
          <w:highlight w:val="none"/>
        </w:rPr>
        <w:t>（2）一般</w:t>
      </w:r>
      <w:r>
        <w:rPr>
          <w:rFonts w:hint="eastAsia"/>
          <w:b/>
          <w:bCs/>
          <w:color w:val="auto"/>
          <w:sz w:val="22"/>
          <w:szCs w:val="32"/>
          <w:highlight w:val="none"/>
        </w:rPr>
        <w:fldChar w:fldCharType="begin"/>
      </w:r>
      <w:r>
        <w:rPr>
          <w:rFonts w:hint="eastAsia"/>
          <w:b/>
          <w:bCs/>
          <w:color w:val="auto"/>
          <w:sz w:val="22"/>
          <w:szCs w:val="32"/>
          <w:highlight w:val="none"/>
        </w:rPr>
        <w:instrText xml:space="preserve"> DOCVARIABLE  商务条款响应表开始  \* MERGEFORMAT </w:instrText>
      </w:r>
      <w:r>
        <w:rPr>
          <w:rFonts w:hint="eastAsia"/>
          <w:b/>
          <w:bCs/>
          <w:color w:val="auto"/>
          <w:sz w:val="22"/>
          <w:szCs w:val="32"/>
          <w:highlight w:val="none"/>
        </w:rPr>
        <w:fldChar w:fldCharType="end"/>
      </w:r>
      <w:r>
        <w:rPr>
          <w:rFonts w:hint="eastAsia"/>
          <w:b/>
          <w:bCs/>
          <w:color w:val="auto"/>
          <w:sz w:val="22"/>
          <w:szCs w:val="32"/>
          <w:highlight w:val="none"/>
        </w:rPr>
        <w:fldChar w:fldCharType="begin"/>
      </w:r>
      <w:r>
        <w:rPr>
          <w:rFonts w:hint="eastAsia"/>
          <w:b/>
          <w:bCs/>
          <w:color w:val="auto"/>
          <w:sz w:val="22"/>
          <w:szCs w:val="32"/>
          <w:highlight w:val="none"/>
        </w:rPr>
        <w:instrText xml:space="preserve"> DOCVARIABLE  商务条款响应表开始  \* MERGEFORMAT </w:instrText>
      </w:r>
      <w:r>
        <w:rPr>
          <w:rFonts w:hint="eastAsia"/>
          <w:b/>
          <w:bCs/>
          <w:color w:val="auto"/>
          <w:sz w:val="22"/>
          <w:szCs w:val="32"/>
          <w:highlight w:val="none"/>
        </w:rPr>
        <w:fldChar w:fldCharType="end"/>
      </w:r>
      <w:r>
        <w:rPr>
          <w:rFonts w:hint="eastAsia"/>
          <w:b/>
          <w:bCs/>
          <w:color w:val="auto"/>
          <w:sz w:val="22"/>
          <w:szCs w:val="32"/>
          <w:highlight w:val="none"/>
        </w:rPr>
        <w:t>商务条款响应表格式</w:t>
      </w:r>
    </w:p>
    <w:p>
      <w:pPr>
        <w:pStyle w:val="79"/>
        <w:jc w:val="center"/>
        <w:rPr>
          <w:rFonts w:ascii="宋体" w:hAnsi="宋体" w:cs="宋体"/>
          <w:b/>
          <w:color w:val="auto"/>
          <w:sz w:val="28"/>
          <w:szCs w:val="28"/>
          <w:highlight w:val="none"/>
        </w:rPr>
      </w:pPr>
      <w:bookmarkStart w:id="34" w:name="_Hlk495872628"/>
      <w:r>
        <w:rPr>
          <w:rFonts w:hint="eastAsia" w:ascii="宋体" w:hAnsi="宋体" w:cs="宋体"/>
          <w:b/>
          <w:color w:val="auto"/>
          <w:sz w:val="28"/>
          <w:szCs w:val="28"/>
          <w:highlight w:val="none"/>
        </w:rPr>
        <w:t>一般商务条款响应表</w:t>
      </w:r>
    </w:p>
    <w:bookmarkEnd w:id="34"/>
    <w:p>
      <w:pPr>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采购编号：GDYD230090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项目名称：南海海洋预警信息发布和沿海恶劣天气防灾叫应系统(二期)</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348"/>
        <w:gridCol w:w="112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shd w:val="clear" w:color="auto" w:fill="F3F3F3"/>
            <w:vAlign w:val="center"/>
          </w:tcPr>
          <w:p>
            <w:pPr>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5348" w:type="dxa"/>
            <w:shd w:val="clear" w:color="auto" w:fill="F3F3F3"/>
            <w:vAlign w:val="center"/>
          </w:tcPr>
          <w:p>
            <w:pPr>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一般商务条款要求</w:t>
            </w:r>
          </w:p>
        </w:tc>
        <w:tc>
          <w:tcPr>
            <w:tcW w:w="1124" w:type="dxa"/>
            <w:shd w:val="clear" w:color="auto" w:fill="F3F3F3"/>
            <w:vAlign w:val="center"/>
          </w:tcPr>
          <w:p>
            <w:pPr>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是否响应</w:t>
            </w:r>
          </w:p>
        </w:tc>
        <w:tc>
          <w:tcPr>
            <w:tcW w:w="1423" w:type="dxa"/>
            <w:shd w:val="clear" w:color="auto" w:fill="F3F3F3"/>
            <w:vAlign w:val="center"/>
          </w:tcPr>
          <w:p>
            <w:pPr>
              <w:jc w:val="center"/>
              <w:rPr>
                <w:rFonts w:ascii="仿宋" w:hAnsi="仿宋" w:eastAsia="仿宋" w:cs="仿宋"/>
                <w:b/>
                <w:bCs/>
                <w:color w:val="auto"/>
                <w:szCs w:val="21"/>
                <w:highlight w:val="none"/>
              </w:rPr>
            </w:pPr>
            <w:r>
              <w:rPr>
                <w:rFonts w:hint="eastAsia" w:ascii="仿宋" w:hAnsi="仿宋" w:eastAsia="仿宋" w:cs="仿宋"/>
                <w:b/>
                <w:bCs/>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完全理解并接受合同条款要求</w:t>
            </w:r>
          </w:p>
        </w:tc>
        <w:tc>
          <w:tcPr>
            <w:tcW w:w="1124" w:type="dxa"/>
            <w:vAlign w:val="center"/>
          </w:tcPr>
          <w:p>
            <w:pPr>
              <w:pStyle w:val="147"/>
              <w:keepNext w:val="0"/>
              <w:adjustRightInd/>
              <w:spacing w:before="0" w:after="0" w:line="240" w:lineRule="auto"/>
              <w:textAlignment w:val="auto"/>
              <w:rPr>
                <w:rFonts w:ascii="仿宋" w:hAnsi="仿宋" w:eastAsia="仿宋" w:cs="仿宋"/>
                <w:snapToGrid/>
                <w:color w:val="auto"/>
                <w:spacing w:val="0"/>
                <w:kern w:val="2"/>
                <w:szCs w:val="21"/>
                <w:highlight w:val="none"/>
              </w:rPr>
            </w:pPr>
          </w:p>
        </w:tc>
        <w:tc>
          <w:tcPr>
            <w:tcW w:w="1423"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完全理解并接受对合格投标人、合格的货物、工程和服务要求</w:t>
            </w:r>
          </w:p>
        </w:tc>
        <w:tc>
          <w:tcPr>
            <w:tcW w:w="1124" w:type="dxa"/>
            <w:vAlign w:val="center"/>
          </w:tcPr>
          <w:p>
            <w:pPr>
              <w:pStyle w:val="147"/>
              <w:keepNext w:val="0"/>
              <w:adjustRightInd/>
              <w:spacing w:before="0" w:after="0" w:line="240" w:lineRule="auto"/>
              <w:textAlignment w:val="auto"/>
              <w:rPr>
                <w:rFonts w:ascii="仿宋" w:hAnsi="仿宋" w:eastAsia="仿宋" w:cs="仿宋"/>
                <w:snapToGrid/>
                <w:color w:val="auto"/>
                <w:spacing w:val="0"/>
                <w:kern w:val="2"/>
                <w:szCs w:val="21"/>
                <w:highlight w:val="none"/>
              </w:rPr>
            </w:pPr>
          </w:p>
        </w:tc>
        <w:tc>
          <w:tcPr>
            <w:tcW w:w="1423"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完全理解并接受对投标人的各项须知、规约要求和责任义务</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ind w:right="-35"/>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ascii="仿宋" w:hAnsi="仿宋" w:eastAsia="仿宋" w:cs="仿宋"/>
                <w:color w:val="auto"/>
                <w:szCs w:val="21"/>
                <w:highlight w:val="none"/>
              </w:rPr>
              <w:t>4</w:t>
            </w:r>
          </w:p>
        </w:tc>
        <w:tc>
          <w:tcPr>
            <w:tcW w:w="5348" w:type="dxa"/>
            <w:vAlign w:val="center"/>
          </w:tcPr>
          <w:p>
            <w:pPr>
              <w:pStyle w:val="5"/>
              <w:spacing w:line="240" w:lineRule="auto"/>
              <w:rPr>
                <w:rFonts w:ascii="仿宋" w:hAnsi="仿宋" w:eastAsia="仿宋" w:cs="仿宋"/>
                <w:color w:val="auto"/>
                <w:sz w:val="21"/>
                <w:szCs w:val="21"/>
                <w:highlight w:val="none"/>
              </w:rPr>
            </w:pPr>
            <w:r>
              <w:rPr>
                <w:rFonts w:hint="eastAsia" w:ascii="仿宋" w:hAnsi="仿宋" w:eastAsia="仿宋" w:cs="仿宋"/>
                <w:b w:val="0"/>
                <w:color w:val="auto"/>
                <w:sz w:val="21"/>
                <w:szCs w:val="21"/>
                <w:highlight w:val="none"/>
              </w:rPr>
              <w:t>投标有效期：投标有效期为自递交投标文件起不少于 90 天，如确定为正式中标人，则有效期将延至本项目《政府采购合同》执行期满日为止。</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ind w:right="-35"/>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ascii="仿宋" w:hAnsi="仿宋" w:eastAsia="仿宋" w:cs="仿宋"/>
                <w:color w:val="auto"/>
                <w:szCs w:val="21"/>
                <w:highlight w:val="none"/>
              </w:rPr>
              <w:t>5</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报价内容均涵盖报价要求之一切费用和伴随服务</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pStyle w:val="147"/>
              <w:keepNext w:val="0"/>
              <w:adjustRightInd/>
              <w:spacing w:before="0" w:after="0" w:line="240" w:lineRule="auto"/>
              <w:textAlignment w:val="auto"/>
              <w:rPr>
                <w:rFonts w:ascii="仿宋" w:hAnsi="仿宋" w:eastAsia="仿宋" w:cs="仿宋"/>
                <w:snapToGrid/>
                <w:color w:val="auto"/>
                <w:spacing w:val="0"/>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ascii="仿宋" w:hAnsi="仿宋" w:eastAsia="仿宋" w:cs="仿宋"/>
                <w:color w:val="auto"/>
                <w:szCs w:val="21"/>
                <w:highlight w:val="none"/>
              </w:rPr>
              <w:t>6</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所提供的报价不高于产品制造商权威网站目前的报价水平和广东省现市场零售价</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ascii="仿宋" w:hAnsi="仿宋" w:eastAsia="仿宋" w:cs="仿宋"/>
                <w:color w:val="auto"/>
                <w:szCs w:val="21"/>
                <w:highlight w:val="none"/>
              </w:rPr>
              <w:t>7</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主要关键设备均为近</w:t>
            </w:r>
            <w:r>
              <w:rPr>
                <w:rFonts w:hint="eastAsia" w:ascii="仿宋" w:hAnsi="仿宋" w:eastAsia="仿宋" w:cs="仿宋"/>
                <w:color w:val="auto"/>
                <w:szCs w:val="21"/>
                <w:highlight w:val="none"/>
                <w:u w:val="single"/>
              </w:rPr>
              <w:t xml:space="preserve"> 6 </w:t>
            </w:r>
            <w:r>
              <w:rPr>
                <w:rFonts w:hint="eastAsia" w:ascii="仿宋" w:hAnsi="仿宋" w:eastAsia="仿宋" w:cs="仿宋"/>
                <w:color w:val="auto"/>
                <w:szCs w:val="21"/>
                <w:highlight w:val="none"/>
              </w:rPr>
              <w:t>个月内原厂生产的非淘汰类全新产品</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ascii="仿宋" w:hAnsi="仿宋" w:eastAsia="仿宋" w:cs="仿宋"/>
                <w:color w:val="auto"/>
                <w:szCs w:val="21"/>
                <w:highlight w:val="none"/>
              </w:rPr>
              <w:t>8</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交货期</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ascii="仿宋" w:hAnsi="仿宋" w:eastAsia="仿宋" w:cs="仿宋"/>
                <w:color w:val="auto"/>
                <w:szCs w:val="21"/>
                <w:highlight w:val="none"/>
              </w:rPr>
              <w:t>9</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质保期：通过系统验收次日起，8年的免费质保期</w:t>
            </w:r>
            <w:r>
              <w:rPr>
                <w:rFonts w:hint="eastAsia" w:ascii="仿宋" w:hAnsi="仿宋" w:eastAsia="仿宋" w:cs="仿宋"/>
                <w:color w:val="auto"/>
                <w:highlight w:val="none"/>
              </w:rPr>
              <w:t>（探空耗材除外）</w:t>
            </w:r>
            <w:r>
              <w:rPr>
                <w:rFonts w:hint="eastAsia" w:ascii="仿宋" w:hAnsi="仿宋" w:eastAsia="仿宋" w:cs="仿宋"/>
                <w:color w:val="auto"/>
                <w:szCs w:val="21"/>
                <w:highlight w:val="none"/>
              </w:rPr>
              <w:t>。</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r>
              <w:rPr>
                <w:rFonts w:ascii="仿宋" w:hAnsi="仿宋" w:eastAsia="仿宋" w:cs="仿宋"/>
                <w:color w:val="auto"/>
                <w:szCs w:val="21"/>
                <w:highlight w:val="none"/>
              </w:rPr>
              <w:t>0</w:t>
            </w:r>
          </w:p>
        </w:tc>
        <w:tc>
          <w:tcPr>
            <w:tcW w:w="5348" w:type="dxa"/>
            <w:vAlign w:val="center"/>
          </w:tcPr>
          <w:p>
            <w:pPr>
              <w:ind w:left="-4" w:leftChars="-2"/>
              <w:rPr>
                <w:rFonts w:ascii="仿宋" w:hAnsi="仿宋" w:eastAsia="仿宋" w:cs="仿宋"/>
                <w:color w:val="auto"/>
                <w:szCs w:val="21"/>
                <w:highlight w:val="none"/>
                <w:lang w:val="zh-CN"/>
              </w:rPr>
            </w:pPr>
            <w:r>
              <w:rPr>
                <w:rFonts w:hint="eastAsia" w:ascii="仿宋" w:hAnsi="仿宋" w:eastAsia="仿宋" w:cs="仿宋"/>
                <w:color w:val="auto"/>
                <w:szCs w:val="21"/>
                <w:highlight w:val="none"/>
              </w:rPr>
              <w:t>在广东省内有良好的、可靠的后续技术支持、有注册的或工商登记的售后服务机构</w:t>
            </w:r>
            <w:r>
              <w:rPr>
                <w:rFonts w:hint="eastAsia" w:ascii="仿宋" w:hAnsi="仿宋" w:eastAsia="仿宋" w:cs="仿宋"/>
                <w:color w:val="auto"/>
                <w:szCs w:val="21"/>
                <w:highlight w:val="none"/>
                <w:lang w:val="hr-HR"/>
              </w:rPr>
              <w:t>（</w:t>
            </w:r>
            <w:r>
              <w:rPr>
                <w:rFonts w:hint="eastAsia" w:ascii="仿宋" w:hAnsi="仿宋" w:eastAsia="仿宋" w:cs="仿宋"/>
                <w:color w:val="auto"/>
                <w:szCs w:val="21"/>
                <w:highlight w:val="none"/>
              </w:rPr>
              <w:t>相关证明文件）</w:t>
            </w:r>
          </w:p>
        </w:tc>
        <w:tc>
          <w:tcPr>
            <w:tcW w:w="1124" w:type="dxa"/>
            <w:vAlign w:val="center"/>
          </w:tcPr>
          <w:p>
            <w:pPr>
              <w:jc w:val="center"/>
              <w:rPr>
                <w:rFonts w:ascii="仿宋" w:hAnsi="仿宋" w:eastAsia="仿宋" w:cs="仿宋"/>
                <w:color w:val="auto"/>
                <w:szCs w:val="21"/>
                <w:highlight w:val="none"/>
                <w:lang w:val="en-GB"/>
              </w:rPr>
            </w:pPr>
          </w:p>
        </w:tc>
        <w:tc>
          <w:tcPr>
            <w:tcW w:w="1423"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r>
              <w:rPr>
                <w:rFonts w:ascii="仿宋" w:hAnsi="仿宋" w:eastAsia="仿宋" w:cs="仿宋"/>
                <w:color w:val="auto"/>
                <w:szCs w:val="21"/>
                <w:highlight w:val="none"/>
              </w:rPr>
              <w:t>1</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lang w:val="en-GB"/>
              </w:rPr>
              <w:t>同意接受合同范本所列述的各项条款</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pStyle w:val="147"/>
              <w:keepNext w:val="0"/>
              <w:adjustRightInd/>
              <w:spacing w:before="0" w:after="0" w:line="240" w:lineRule="auto"/>
              <w:textAlignment w:val="auto"/>
              <w:rPr>
                <w:rFonts w:ascii="仿宋" w:hAnsi="仿宋" w:eastAsia="仿宋" w:cs="仿宋"/>
                <w:snapToGrid/>
                <w:color w:val="auto"/>
                <w:spacing w:val="0"/>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autoSpaceDE/>
              <w:autoSpaceDN/>
              <w:adjustRightInd/>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r>
              <w:rPr>
                <w:rFonts w:ascii="仿宋" w:hAnsi="仿宋" w:eastAsia="仿宋" w:cs="仿宋"/>
                <w:color w:val="auto"/>
                <w:szCs w:val="21"/>
                <w:highlight w:val="none"/>
              </w:rPr>
              <w:t>2</w:t>
            </w:r>
          </w:p>
        </w:tc>
        <w:tc>
          <w:tcPr>
            <w:tcW w:w="5348" w:type="dxa"/>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同意按本项目要求缴付相关款项</w:t>
            </w:r>
          </w:p>
        </w:tc>
        <w:tc>
          <w:tcPr>
            <w:tcW w:w="1124" w:type="dxa"/>
            <w:vAlign w:val="center"/>
          </w:tcPr>
          <w:p>
            <w:pPr>
              <w:jc w:val="center"/>
              <w:rPr>
                <w:rFonts w:ascii="仿宋" w:hAnsi="仿宋" w:eastAsia="仿宋" w:cs="仿宋"/>
                <w:color w:val="auto"/>
                <w:szCs w:val="21"/>
                <w:highlight w:val="none"/>
              </w:rPr>
            </w:pPr>
          </w:p>
        </w:tc>
        <w:tc>
          <w:tcPr>
            <w:tcW w:w="1423" w:type="dxa"/>
            <w:vAlign w:val="center"/>
          </w:tcPr>
          <w:p>
            <w:pPr>
              <w:pStyle w:val="147"/>
              <w:keepNext w:val="0"/>
              <w:adjustRightInd/>
              <w:spacing w:before="0" w:after="0" w:line="240" w:lineRule="auto"/>
              <w:textAlignment w:val="auto"/>
              <w:rPr>
                <w:rFonts w:ascii="仿宋" w:hAnsi="仿宋" w:eastAsia="仿宋" w:cs="仿宋"/>
                <w:snapToGrid/>
                <w:color w:val="auto"/>
                <w:spacing w:val="0"/>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autoSpaceDE/>
              <w:autoSpaceDN/>
              <w:adjustRightInd/>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r>
              <w:rPr>
                <w:rFonts w:ascii="仿宋" w:hAnsi="仿宋" w:eastAsia="仿宋" w:cs="仿宋"/>
                <w:color w:val="auto"/>
                <w:szCs w:val="21"/>
                <w:highlight w:val="none"/>
              </w:rPr>
              <w:t>3</w:t>
            </w:r>
          </w:p>
        </w:tc>
        <w:tc>
          <w:tcPr>
            <w:tcW w:w="5348" w:type="dxa"/>
            <w:vAlign w:val="center"/>
          </w:tcPr>
          <w:p>
            <w:pPr>
              <w:pStyle w:val="37"/>
              <w:rPr>
                <w:rFonts w:ascii="仿宋" w:hAnsi="仿宋" w:eastAsia="仿宋" w:cs="仿宋"/>
                <w:color w:val="auto"/>
                <w:szCs w:val="21"/>
                <w:highlight w:val="none"/>
              </w:rPr>
            </w:pPr>
            <w:r>
              <w:rPr>
                <w:rFonts w:hint="eastAsia" w:ascii="仿宋" w:hAnsi="仿宋" w:eastAsia="仿宋" w:cs="仿宋"/>
                <w:color w:val="auto"/>
                <w:szCs w:val="21"/>
                <w:highlight w:val="none"/>
              </w:rPr>
              <w:t>同意采购方以任何形式对我方投标文件内容的真实性和有效性进行审查、验证</w:t>
            </w:r>
          </w:p>
        </w:tc>
        <w:tc>
          <w:tcPr>
            <w:tcW w:w="1124" w:type="dxa"/>
            <w:vAlign w:val="center"/>
          </w:tcPr>
          <w:p>
            <w:pPr>
              <w:pStyle w:val="128"/>
              <w:rPr>
                <w:rFonts w:ascii="仿宋" w:hAnsi="仿宋" w:eastAsia="仿宋" w:cs="仿宋"/>
                <w:color w:val="auto"/>
                <w:highlight w:val="none"/>
              </w:rPr>
            </w:pPr>
          </w:p>
        </w:tc>
        <w:tc>
          <w:tcPr>
            <w:tcW w:w="1423" w:type="dxa"/>
            <w:vAlign w:val="center"/>
          </w:tcPr>
          <w:p>
            <w:pPr>
              <w:pStyle w:val="147"/>
              <w:keepNext w:val="0"/>
              <w:adjustRightInd/>
              <w:spacing w:before="0" w:after="0" w:line="240" w:lineRule="auto"/>
              <w:jc w:val="both"/>
              <w:textAlignment w:val="auto"/>
              <w:rPr>
                <w:rFonts w:ascii="仿宋" w:hAnsi="仿宋" w:eastAsia="仿宋" w:cs="仿宋"/>
                <w:snapToGrid/>
                <w:color w:val="auto"/>
                <w:spacing w:val="0"/>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autoSpaceDE/>
              <w:autoSpaceDN/>
              <w:adjustRightInd/>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r>
              <w:rPr>
                <w:rFonts w:ascii="仿宋" w:hAnsi="仿宋" w:eastAsia="仿宋" w:cs="仿宋"/>
                <w:color w:val="auto"/>
                <w:szCs w:val="21"/>
                <w:highlight w:val="none"/>
              </w:rPr>
              <w:t>4</w:t>
            </w:r>
          </w:p>
        </w:tc>
        <w:tc>
          <w:tcPr>
            <w:tcW w:w="7895" w:type="dxa"/>
            <w:gridSpan w:val="3"/>
            <w:vAlign w:val="center"/>
          </w:tcPr>
          <w:p>
            <w:pPr>
              <w:rPr>
                <w:rFonts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pPr>
        <w:pStyle w:val="28"/>
        <w:rPr>
          <w:color w:val="auto"/>
          <w:highlight w:val="none"/>
        </w:rPr>
      </w:pPr>
    </w:p>
    <w:p>
      <w:pPr>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注： 1.</w:t>
      </w:r>
      <w:r>
        <w:rPr>
          <w:rFonts w:hint="eastAsia" w:ascii="仿宋" w:hAnsi="仿宋" w:eastAsia="仿宋" w:cs="仿宋"/>
          <w:color w:val="auto"/>
          <w:szCs w:val="21"/>
          <w:highlight w:val="none"/>
        </w:rPr>
        <w:t>对</w:t>
      </w:r>
      <w:r>
        <w:rPr>
          <w:rFonts w:hint="eastAsia" w:ascii="仿宋" w:hAnsi="仿宋" w:eastAsia="仿宋" w:cs="仿宋"/>
          <w:color w:val="auto"/>
          <w:szCs w:val="21"/>
          <w:highlight w:val="none"/>
          <w:lang w:val="en-GB"/>
        </w:rPr>
        <w:t>于上述要求，如投标人完全响应，则请在“是否响应”栏内打“√”，对空白或打“×”视为偏离，请在“偏离说明”栏内扼要说明偏离情况。</w:t>
      </w:r>
    </w:p>
    <w:p>
      <w:pPr>
        <w:snapToGrid w:val="0"/>
        <w:spacing w:line="360" w:lineRule="auto"/>
        <w:ind w:firstLine="420" w:firstLineChars="200"/>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 xml:space="preserve"> 3.本表内容按各自对应所投子包的内容自行更改。</w:t>
      </w:r>
    </w:p>
    <w:p>
      <w:pPr>
        <w:rPr>
          <w:rFonts w:ascii="仿宋" w:hAnsi="仿宋" w:eastAsia="仿宋" w:cs="仿宋"/>
          <w:color w:val="auto"/>
          <w:highlight w:val="none"/>
          <w:lang w:val="en-GB"/>
        </w:rPr>
      </w:pP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投标人法定代表人（或法定代表人授权代表）亲笔签字：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pacing w:line="360" w:lineRule="auto"/>
        <w:rPr>
          <w:rFonts w:hAnsi="宋体" w:cs="宋体"/>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pStyle w:val="3"/>
        <w:spacing w:after="120" w:line="480" w:lineRule="exact"/>
        <w:rPr>
          <w:rFonts w:hAnsi="宋体" w:cs="宋体"/>
          <w:b/>
          <w:color w:val="auto"/>
          <w:szCs w:val="21"/>
          <w:highlight w:val="none"/>
        </w:rPr>
      </w:pPr>
      <w:r>
        <w:rPr>
          <w:rFonts w:hAnsi="宋体" w:cs="宋体"/>
          <w:b/>
          <w:color w:val="auto"/>
          <w:szCs w:val="20"/>
          <w:highlight w:val="none"/>
        </w:rPr>
        <w:br w:type="page"/>
      </w:r>
      <w:r>
        <w:rPr>
          <w:rFonts w:hint="eastAsia" w:hAnsi="宋体" w:cs="宋体"/>
          <w:b/>
          <w:color w:val="auto"/>
          <w:szCs w:val="20"/>
          <w:highlight w:val="none"/>
        </w:rPr>
        <w:t>附表2.</w:t>
      </w:r>
      <w:bookmarkStart w:id="35" w:name="_Hlk495872671"/>
      <w:r>
        <w:rPr>
          <w:rFonts w:hint="eastAsia" w:hAnsi="宋体" w:cs="宋体"/>
          <w:b/>
          <w:color w:val="auto"/>
          <w:szCs w:val="20"/>
          <w:highlight w:val="none"/>
        </w:rPr>
        <w:t>1</w:t>
      </w:r>
      <w:r>
        <w:rPr>
          <w:rFonts w:hint="eastAsia" w:hAnsi="宋体" w:cs="宋体"/>
          <w:color w:val="auto"/>
          <w:szCs w:val="20"/>
          <w:highlight w:val="none"/>
        </w:rPr>
        <w:t xml:space="preserve">1 </w:t>
      </w:r>
      <w:r>
        <w:rPr>
          <w:rFonts w:hint="eastAsia" w:hAnsi="宋体" w:cs="宋体"/>
          <w:b/>
          <w:color w:val="auto"/>
          <w:szCs w:val="20"/>
          <w:highlight w:val="none"/>
        </w:rPr>
        <w:t>各项声明函（落实政府采购政策时所需）</w:t>
      </w:r>
      <w:bookmarkEnd w:id="35"/>
    </w:p>
    <w:p>
      <w:pPr>
        <w:pStyle w:val="3"/>
        <w:spacing w:after="120" w:line="480" w:lineRule="exact"/>
        <w:rPr>
          <w:rFonts w:hAnsi="宋体" w:cs="宋体"/>
          <w:b/>
          <w:color w:val="auto"/>
          <w:szCs w:val="20"/>
          <w:highlight w:val="none"/>
        </w:rPr>
      </w:pPr>
      <w:r>
        <w:rPr>
          <w:rFonts w:hint="eastAsia" w:hAnsi="宋体" w:cs="宋体"/>
          <w:b/>
          <w:color w:val="auto"/>
          <w:szCs w:val="20"/>
          <w:highlight w:val="none"/>
        </w:rPr>
        <w:t>附表2.1</w:t>
      </w:r>
      <w:r>
        <w:rPr>
          <w:rFonts w:hint="eastAsia" w:hAnsi="宋体" w:cs="宋体"/>
          <w:color w:val="auto"/>
          <w:szCs w:val="20"/>
          <w:highlight w:val="none"/>
        </w:rPr>
        <w:t>1</w:t>
      </w:r>
      <w:r>
        <w:rPr>
          <w:rFonts w:hint="eastAsia" w:hAnsi="宋体" w:cs="宋体"/>
          <w:b/>
          <w:color w:val="auto"/>
          <w:szCs w:val="20"/>
          <w:highlight w:val="none"/>
        </w:rPr>
        <w:t>-1</w:t>
      </w:r>
      <w:bookmarkStart w:id="36" w:name="_Hlk495872698"/>
      <w:r>
        <w:rPr>
          <w:rFonts w:hint="eastAsia" w:hAnsi="宋体" w:cs="宋体"/>
          <w:b/>
          <w:color w:val="auto"/>
          <w:szCs w:val="20"/>
          <w:highlight w:val="none"/>
        </w:rPr>
        <w:t xml:space="preserve"> 中小企业声明函格式</w:t>
      </w:r>
      <w:bookmarkEnd w:id="36"/>
    </w:p>
    <w:p>
      <w:pPr>
        <w:spacing w:line="360" w:lineRule="auto"/>
        <w:ind w:firstLine="480"/>
        <w:rPr>
          <w:rFonts w:ascii="仿宋" w:hAnsi="仿宋" w:eastAsia="仿宋" w:cs="仿宋"/>
          <w:color w:val="auto"/>
          <w:highlight w:val="none"/>
        </w:rPr>
      </w:pPr>
      <w:r>
        <w:rPr>
          <w:rFonts w:hint="eastAsia" w:ascii="仿宋" w:hAnsi="仿宋" w:eastAsia="仿宋" w:cs="仿宋"/>
          <w:color w:val="auto"/>
          <w:highlight w:val="none"/>
        </w:rPr>
        <w:t>（以下格式文件由供应商根据需要选用）</w:t>
      </w:r>
    </w:p>
    <w:p>
      <w:pPr>
        <w:spacing w:line="360" w:lineRule="auto"/>
        <w:ind w:firstLine="480"/>
        <w:rPr>
          <w:rFonts w:ascii="仿宋" w:hAnsi="仿宋" w:eastAsia="仿宋" w:cs="仿宋"/>
          <w:b/>
          <w:color w:val="auto"/>
          <w:sz w:val="24"/>
          <w:highlight w:val="none"/>
        </w:rPr>
      </w:pPr>
      <w:r>
        <w:rPr>
          <w:rFonts w:hint="eastAsia" w:ascii="仿宋" w:hAnsi="仿宋" w:eastAsia="仿宋" w:cs="仿宋"/>
          <w:color w:val="auto"/>
          <w:highlight w:val="none"/>
        </w:rPr>
        <w:t>中小企业声明函（所投产品制造商为中小企业时提交本函，所属行业应符合采购文件中明确的本项目所属行业）</w:t>
      </w:r>
    </w:p>
    <w:p>
      <w:pPr>
        <w:spacing w:line="360" w:lineRule="auto"/>
        <w:jc w:val="center"/>
        <w:rPr>
          <w:rFonts w:ascii="仿宋" w:hAnsi="仿宋" w:eastAsia="仿宋" w:cs="仿宋"/>
          <w:color w:val="auto"/>
          <w:highlight w:val="none"/>
        </w:rPr>
      </w:pPr>
      <w:r>
        <w:rPr>
          <w:rFonts w:hint="eastAsia" w:ascii="仿宋" w:hAnsi="仿宋" w:eastAsia="仿宋" w:cs="仿宋"/>
          <w:b/>
          <w:color w:val="auto"/>
          <w:sz w:val="24"/>
          <w:highlight w:val="none"/>
        </w:rPr>
        <w:t>中小企业声明函（服务）</w:t>
      </w:r>
    </w:p>
    <w:p>
      <w:pPr>
        <w:spacing w:line="360" w:lineRule="auto"/>
        <w:ind w:firstLine="480"/>
        <w:rPr>
          <w:rFonts w:ascii="仿宋" w:hAnsi="仿宋" w:eastAsia="仿宋" w:cs="仿宋"/>
          <w:color w:val="auto"/>
          <w:highlight w:val="none"/>
        </w:rPr>
      </w:pPr>
    </w:p>
    <w:p>
      <w:pPr>
        <w:spacing w:line="360" w:lineRule="auto"/>
        <w:ind w:firstLine="480"/>
        <w:rPr>
          <w:rFonts w:ascii="仿宋" w:hAnsi="仿宋" w:eastAsia="仿宋"/>
          <w:color w:val="auto"/>
          <w:highlight w:val="none"/>
        </w:rPr>
      </w:pPr>
      <w:r>
        <w:rPr>
          <w:rFonts w:ascii="仿宋" w:hAnsi="仿宋" w:eastAsia="仿宋"/>
          <w:color w:val="auto"/>
          <w:highlight w:val="none"/>
        </w:rPr>
        <w:t>本公司（联合体）郑重声明，根据《政府采购促进中小企业发展管理办法》（财库﹝2020﹞46</w:t>
      </w:r>
      <w:r>
        <w:rPr>
          <w:rFonts w:ascii="仿宋" w:hAnsi="仿宋" w:eastAsia="仿宋"/>
          <w:color w:val="auto"/>
          <w:highlight w:val="none"/>
        </w:rPr>
        <w:tab/>
      </w:r>
      <w:r>
        <w:rPr>
          <w:rFonts w:ascii="仿宋" w:hAnsi="仿宋" w:eastAsia="仿宋"/>
          <w:color w:val="auto"/>
          <w:highlight w:val="none"/>
        </w:rPr>
        <w:tab/>
      </w:r>
      <w:r>
        <w:rPr>
          <w:rFonts w:ascii="仿宋" w:hAnsi="仿宋" w:eastAsia="仿宋"/>
          <w:color w:val="auto"/>
          <w:highlight w:val="none"/>
        </w:rPr>
        <w:t xml:space="preserve"> 号）的规定，本公司（联合体）参加</w:t>
      </w:r>
      <w:r>
        <w:rPr>
          <w:rFonts w:ascii="仿宋" w:hAnsi="仿宋" w:eastAsia="仿宋"/>
          <w:color w:val="auto"/>
          <w:highlight w:val="none"/>
          <w:u w:val="single"/>
        </w:rPr>
        <w:t>（单位名称）</w:t>
      </w:r>
      <w:r>
        <w:rPr>
          <w:rFonts w:ascii="仿宋" w:hAnsi="仿宋" w:eastAsia="仿宋"/>
          <w:color w:val="auto"/>
          <w:highlight w:val="none"/>
        </w:rPr>
        <w:t>的</w:t>
      </w:r>
      <w:r>
        <w:rPr>
          <w:rFonts w:ascii="仿宋" w:hAnsi="仿宋" w:eastAsia="仿宋"/>
          <w:color w:val="auto"/>
          <w:highlight w:val="none"/>
          <w:u w:val="single"/>
        </w:rPr>
        <w:t>（项目名称）</w:t>
      </w:r>
      <w:r>
        <w:rPr>
          <w:rFonts w:ascii="仿宋" w:hAnsi="仿宋" w:eastAsia="仿宋"/>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rPr>
          <w:rFonts w:ascii="仿宋" w:hAnsi="仿宋" w:eastAsia="仿宋"/>
          <w:color w:val="auto"/>
          <w:highlight w:val="none"/>
        </w:rPr>
      </w:pPr>
      <w:r>
        <w:rPr>
          <w:rFonts w:ascii="仿宋" w:hAnsi="仿宋" w:eastAsia="仿宋"/>
          <w:color w:val="auto"/>
          <w:highlight w:val="none"/>
        </w:rPr>
        <w:t>1.（标的名称），属于（磋商文件中明确的所属行业）行业；承建（承接）企业为（企业名称），从业人员__________________人，营业收入为__________________万元，资产总额为__________________万元</w:t>
      </w:r>
      <w:r>
        <w:rPr>
          <w:rFonts w:ascii="仿宋" w:hAnsi="仿宋" w:eastAsia="仿宋"/>
          <w:color w:val="auto"/>
          <w:sz w:val="7"/>
          <w:highlight w:val="none"/>
        </w:rPr>
        <w:t>1</w:t>
      </w:r>
      <w:r>
        <w:rPr>
          <w:rFonts w:ascii="仿宋" w:hAnsi="仿宋" w:eastAsia="仿宋"/>
          <w:color w:val="auto"/>
          <w:highlight w:val="none"/>
        </w:rPr>
        <w:t>，属于（中型企业、小型企业、微型企业）；</w:t>
      </w:r>
    </w:p>
    <w:p>
      <w:pPr>
        <w:spacing w:line="360" w:lineRule="auto"/>
        <w:ind w:firstLine="480"/>
        <w:rPr>
          <w:rFonts w:ascii="仿宋" w:hAnsi="仿宋" w:eastAsia="仿宋"/>
          <w:color w:val="auto"/>
          <w:highlight w:val="none"/>
        </w:rPr>
      </w:pPr>
      <w:r>
        <w:rPr>
          <w:rFonts w:ascii="仿宋" w:hAnsi="仿宋" w:eastAsia="仿宋"/>
          <w:color w:val="auto"/>
          <w:highlight w:val="none"/>
        </w:rPr>
        <w:t>2.（标的名称），属于（磋商文件中明确的所属行业）行业；承建（承接）企业为（企业名称），从业人员__________________人，营业收入为__________________万元，资产总额为__________________万元</w:t>
      </w:r>
      <w:r>
        <w:rPr>
          <w:rFonts w:ascii="仿宋" w:hAnsi="仿宋" w:eastAsia="仿宋"/>
          <w:color w:val="auto"/>
          <w:sz w:val="7"/>
          <w:highlight w:val="none"/>
        </w:rPr>
        <w:t>1</w:t>
      </w:r>
      <w:r>
        <w:rPr>
          <w:rFonts w:ascii="仿宋" w:hAnsi="仿宋" w:eastAsia="仿宋"/>
          <w:color w:val="auto"/>
          <w:highlight w:val="none"/>
        </w:rPr>
        <w:t>，属于（中型企业、小型企业、微型企业）；</w:t>
      </w:r>
    </w:p>
    <w:p>
      <w:pPr>
        <w:spacing w:line="360" w:lineRule="auto"/>
        <w:ind w:firstLine="480"/>
        <w:rPr>
          <w:rFonts w:ascii="仿宋" w:hAnsi="仿宋" w:eastAsia="仿宋"/>
          <w:color w:val="auto"/>
          <w:highlight w:val="none"/>
        </w:rPr>
      </w:pPr>
      <w:r>
        <w:rPr>
          <w:rFonts w:ascii="仿宋" w:hAnsi="仿宋" w:eastAsia="仿宋"/>
          <w:color w:val="auto"/>
          <w:highlight w:val="none"/>
        </w:rPr>
        <w:t>……</w:t>
      </w:r>
    </w:p>
    <w:p>
      <w:pPr>
        <w:spacing w:line="360" w:lineRule="auto"/>
        <w:ind w:firstLine="480"/>
        <w:rPr>
          <w:rFonts w:ascii="仿宋" w:hAnsi="仿宋" w:eastAsia="仿宋"/>
          <w:color w:val="auto"/>
          <w:highlight w:val="none"/>
        </w:rPr>
      </w:pPr>
      <w:r>
        <w:rPr>
          <w:rFonts w:ascii="仿宋" w:hAnsi="仿宋" w:eastAsia="仿宋"/>
          <w:color w:val="auto"/>
          <w:highlight w:val="none"/>
        </w:rPr>
        <w:t>以上企业，不属于大企业的分支机构，不存在控股股东为大企业的情形，也不存在与大企业的负责人为同一人的情形。</w:t>
      </w:r>
    </w:p>
    <w:p>
      <w:pPr>
        <w:spacing w:line="360" w:lineRule="auto"/>
        <w:ind w:firstLine="480"/>
        <w:rPr>
          <w:rFonts w:ascii="仿宋" w:hAnsi="仿宋" w:eastAsia="仿宋"/>
          <w:color w:val="auto"/>
          <w:highlight w:val="none"/>
        </w:rPr>
      </w:pPr>
      <w:r>
        <w:rPr>
          <w:rFonts w:ascii="仿宋" w:hAnsi="仿宋" w:eastAsia="仿宋"/>
          <w:color w:val="auto"/>
          <w:highlight w:val="none"/>
        </w:rPr>
        <w:t>本企业对上述声明内容的真实性负责。如有虚假，将依法承担相应责任。</w:t>
      </w:r>
    </w:p>
    <w:p>
      <w:pPr>
        <w:spacing w:line="360" w:lineRule="auto"/>
        <w:jc w:val="right"/>
        <w:rPr>
          <w:rFonts w:ascii="仿宋" w:hAnsi="仿宋" w:eastAsia="仿宋"/>
          <w:color w:val="auto"/>
          <w:highlight w:val="none"/>
        </w:rPr>
      </w:pPr>
      <w:r>
        <w:rPr>
          <w:rFonts w:ascii="仿宋" w:hAnsi="仿宋" w:eastAsia="仿宋"/>
          <w:color w:val="auto"/>
          <w:highlight w:val="none"/>
        </w:rPr>
        <w:t xml:space="preserve"> 企业名称（盖章）：__________________</w:t>
      </w:r>
    </w:p>
    <w:p>
      <w:pPr>
        <w:spacing w:line="360" w:lineRule="auto"/>
        <w:jc w:val="right"/>
        <w:rPr>
          <w:rFonts w:ascii="仿宋" w:hAnsi="仿宋" w:eastAsia="仿宋"/>
          <w:color w:val="auto"/>
          <w:highlight w:val="none"/>
        </w:rPr>
      </w:pPr>
      <w:r>
        <w:rPr>
          <w:rFonts w:ascii="仿宋" w:hAnsi="仿宋" w:eastAsia="仿宋"/>
          <w:color w:val="auto"/>
          <w:highlight w:val="none"/>
        </w:rPr>
        <w:t xml:space="preserve"> 日  期：__________________</w:t>
      </w:r>
    </w:p>
    <w:p>
      <w:pPr>
        <w:spacing w:line="360" w:lineRule="auto"/>
        <w:ind w:firstLine="480"/>
        <w:rPr>
          <w:rFonts w:ascii="仿宋" w:hAnsi="仿宋" w:eastAsia="仿宋"/>
          <w:color w:val="auto"/>
          <w:highlight w:val="none"/>
        </w:rPr>
      </w:pPr>
      <w:r>
        <w:rPr>
          <w:rFonts w:ascii="仿宋" w:hAnsi="仿宋" w:eastAsia="仿宋"/>
          <w:color w:val="auto"/>
          <w:highlight w:val="none"/>
        </w:rPr>
        <w:t>1：从业人员、营业收入、资产总额填报上一年度数据，无上一年度数据的新成立企业可不填报。</w:t>
      </w:r>
    </w:p>
    <w:p>
      <w:pPr>
        <w:spacing w:line="360" w:lineRule="auto"/>
        <w:ind w:firstLine="480"/>
        <w:rPr>
          <w:rFonts w:ascii="仿宋" w:hAnsi="仿宋" w:eastAsia="仿宋"/>
          <w:color w:val="auto"/>
          <w:highlight w:val="none"/>
        </w:rPr>
      </w:pPr>
      <w:r>
        <w:rPr>
          <w:rFonts w:ascii="仿宋" w:hAnsi="仿宋" w:eastAsia="仿宋"/>
          <w:color w:val="auto"/>
          <w:highlight w:val="none"/>
        </w:rPr>
        <w:t>2：供应商应当自行核实是否属于小微企业，并认真填写声明函，若有虚假将追究其责任。</w:t>
      </w:r>
    </w:p>
    <w:p>
      <w:pPr>
        <w:spacing w:line="360" w:lineRule="auto"/>
        <w:jc w:val="center"/>
        <w:rPr>
          <w:rFonts w:ascii="仿宋" w:hAnsi="仿宋" w:eastAsia="仿宋" w:cs="仿宋"/>
          <w:b/>
          <w:color w:val="auto"/>
          <w:sz w:val="24"/>
          <w:highlight w:val="none"/>
        </w:rPr>
      </w:pPr>
    </w:p>
    <w:p>
      <w:pPr>
        <w:spacing w:line="300" w:lineRule="auto"/>
        <w:jc w:val="both"/>
        <w:rPr>
          <w:rFonts w:hAnsi="宋体" w:cs="宋体"/>
          <w:color w:val="auto"/>
          <w:kern w:val="2"/>
          <w:szCs w:val="21"/>
          <w:highlight w:val="none"/>
        </w:rPr>
      </w:pPr>
    </w:p>
    <w:p>
      <w:pPr>
        <w:rPr>
          <w:color w:val="auto"/>
          <w:highlight w:val="none"/>
        </w:rPr>
      </w:pPr>
    </w:p>
    <w:p>
      <w:pPr>
        <w:spacing w:line="300" w:lineRule="auto"/>
        <w:jc w:val="both"/>
        <w:rPr>
          <w:rFonts w:hAnsi="宋体" w:cs="宋体"/>
          <w:color w:val="auto"/>
          <w:kern w:val="2"/>
          <w:szCs w:val="21"/>
          <w:highlight w:val="none"/>
        </w:rPr>
      </w:pPr>
    </w:p>
    <w:p>
      <w:pPr>
        <w:pStyle w:val="3"/>
        <w:spacing w:after="120" w:line="480" w:lineRule="exact"/>
        <w:rPr>
          <w:rFonts w:hAnsi="宋体" w:cs="宋体"/>
          <w:b/>
          <w:color w:val="auto"/>
          <w:szCs w:val="20"/>
          <w:highlight w:val="none"/>
        </w:rPr>
      </w:pPr>
      <w:r>
        <w:rPr>
          <w:rFonts w:hint="eastAsia" w:hAnsi="宋体" w:cs="宋体"/>
          <w:b/>
          <w:color w:val="auto"/>
          <w:szCs w:val="20"/>
          <w:highlight w:val="none"/>
        </w:rPr>
        <w:br w:type="page"/>
      </w:r>
      <w:r>
        <w:rPr>
          <w:rFonts w:hint="eastAsia" w:hAnsi="宋体" w:cs="宋体"/>
          <w:b/>
          <w:color w:val="auto"/>
          <w:szCs w:val="20"/>
          <w:highlight w:val="none"/>
        </w:rPr>
        <w:t>附表2.1</w:t>
      </w:r>
      <w:r>
        <w:rPr>
          <w:rFonts w:hint="eastAsia" w:hAnsi="宋体" w:cs="宋体"/>
          <w:color w:val="auto"/>
          <w:szCs w:val="20"/>
          <w:highlight w:val="none"/>
        </w:rPr>
        <w:t>1</w:t>
      </w:r>
      <w:r>
        <w:rPr>
          <w:rFonts w:hint="eastAsia" w:hAnsi="宋体" w:cs="宋体"/>
          <w:b/>
          <w:color w:val="auto"/>
          <w:szCs w:val="20"/>
          <w:highlight w:val="none"/>
        </w:rPr>
        <w:t>-2监狱企业的证明文件（如有）</w:t>
      </w:r>
    </w:p>
    <w:p>
      <w:pPr>
        <w:ind w:firstLine="480"/>
        <w:rPr>
          <w:color w:val="auto"/>
          <w:highlight w:val="none"/>
        </w:rPr>
      </w:pPr>
      <w:r>
        <w:rPr>
          <w:rFonts w:hint="eastAsia" w:ascii="仿宋" w:hAnsi="仿宋" w:eastAsia="仿宋" w:cs="仿宋"/>
          <w:color w:val="auto"/>
          <w:kern w:val="2"/>
          <w:szCs w:val="21"/>
          <w:highlight w:val="none"/>
        </w:rPr>
        <w:t>说明：监狱企业参加政府采购活动时，应当提供由监狱管理局、戒毒管理局（含新疆生产建设兵团）出具的属于监狱企业的证明文件。</w:t>
      </w:r>
    </w:p>
    <w:p>
      <w:pPr>
        <w:spacing w:line="300" w:lineRule="auto"/>
        <w:jc w:val="both"/>
        <w:rPr>
          <w:rFonts w:ascii="仿宋" w:hAnsi="仿宋" w:eastAsia="仿宋" w:cs="仿宋"/>
          <w:color w:val="auto"/>
          <w:kern w:val="2"/>
          <w:szCs w:val="21"/>
          <w:highlight w:val="none"/>
        </w:rPr>
      </w:pPr>
    </w:p>
    <w:p>
      <w:pPr>
        <w:tabs>
          <w:tab w:val="left" w:pos="360"/>
          <w:tab w:val="left" w:pos="993"/>
        </w:tabs>
        <w:spacing w:line="360" w:lineRule="auto"/>
        <w:rPr>
          <w:rFonts w:hAnsi="宋体" w:cs="宋体"/>
          <w:color w:val="auto"/>
          <w:szCs w:val="21"/>
          <w:highlight w:val="none"/>
          <w:lang w:val="en-GB"/>
        </w:rPr>
      </w:pPr>
    </w:p>
    <w:p>
      <w:pPr>
        <w:pStyle w:val="3"/>
        <w:spacing w:after="120" w:line="480" w:lineRule="exact"/>
        <w:rPr>
          <w:rFonts w:hAnsi="宋体" w:cs="宋体"/>
          <w:b/>
          <w:color w:val="auto"/>
          <w:szCs w:val="20"/>
          <w:highlight w:val="none"/>
        </w:rPr>
      </w:pPr>
      <w:bookmarkStart w:id="37" w:name="_Hlk495871330"/>
      <w:r>
        <w:rPr>
          <w:rFonts w:hint="eastAsia" w:hAnsi="宋体" w:cs="宋体"/>
          <w:b/>
          <w:color w:val="auto"/>
          <w:szCs w:val="20"/>
          <w:highlight w:val="none"/>
        </w:rPr>
        <w:br w:type="page"/>
      </w:r>
      <w:r>
        <w:rPr>
          <w:rFonts w:hint="eastAsia" w:hAnsi="宋体" w:cs="宋体"/>
          <w:b/>
          <w:color w:val="auto"/>
          <w:szCs w:val="20"/>
          <w:highlight w:val="none"/>
        </w:rPr>
        <w:t>附表2.1</w:t>
      </w:r>
      <w:r>
        <w:rPr>
          <w:rFonts w:hint="eastAsia" w:hAnsi="宋体" w:cs="宋体"/>
          <w:color w:val="auto"/>
          <w:szCs w:val="20"/>
          <w:highlight w:val="none"/>
        </w:rPr>
        <w:t>1</w:t>
      </w:r>
      <w:r>
        <w:rPr>
          <w:rFonts w:hint="eastAsia" w:hAnsi="宋体" w:cs="宋体"/>
          <w:b/>
          <w:color w:val="auto"/>
          <w:szCs w:val="20"/>
          <w:highlight w:val="none"/>
        </w:rPr>
        <w:t>-3</w:t>
      </w:r>
      <w:bookmarkEnd w:id="37"/>
      <w:r>
        <w:rPr>
          <w:rFonts w:hint="eastAsia" w:hAnsi="宋体" w:cs="宋体"/>
          <w:b/>
          <w:color w:val="auto"/>
          <w:szCs w:val="20"/>
          <w:highlight w:val="none"/>
        </w:rPr>
        <w:t xml:space="preserve"> 残疾人福利性单位的声明函及证明文件（如有）</w:t>
      </w:r>
    </w:p>
    <w:p>
      <w:pPr>
        <w:tabs>
          <w:tab w:val="left" w:pos="360"/>
          <w:tab w:val="left" w:pos="993"/>
        </w:tabs>
        <w:spacing w:line="360" w:lineRule="auto"/>
        <w:ind w:firstLine="420" w:firstLineChars="200"/>
        <w:rPr>
          <w:rFonts w:ascii="仿宋" w:hAnsi="仿宋" w:eastAsia="仿宋" w:cs="仿宋"/>
          <w:color w:val="auto"/>
          <w:szCs w:val="21"/>
          <w:highlight w:val="none"/>
          <w:lang w:val="en-GB"/>
        </w:rPr>
      </w:pPr>
    </w:p>
    <w:p>
      <w:pPr>
        <w:tabs>
          <w:tab w:val="left" w:pos="360"/>
          <w:tab w:val="left" w:pos="993"/>
        </w:tabs>
        <w:spacing w:line="360" w:lineRule="auto"/>
        <w:ind w:firstLine="420" w:firstLineChars="200"/>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tabs>
          <w:tab w:val="left" w:pos="360"/>
          <w:tab w:val="left" w:pos="993"/>
        </w:tabs>
        <w:spacing w:line="360" w:lineRule="auto"/>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本单位对上述声明的真实性负责。如有虚假，将依法承担相应责任。</w:t>
      </w:r>
    </w:p>
    <w:p>
      <w:pPr>
        <w:tabs>
          <w:tab w:val="left" w:pos="360"/>
          <w:tab w:val="left" w:pos="993"/>
        </w:tabs>
        <w:spacing w:line="360" w:lineRule="auto"/>
        <w:rPr>
          <w:rFonts w:ascii="仿宋" w:hAnsi="仿宋" w:eastAsia="仿宋" w:cs="仿宋"/>
          <w:color w:val="auto"/>
          <w:szCs w:val="21"/>
          <w:highlight w:val="none"/>
          <w:lang w:val="en-GB"/>
        </w:rPr>
      </w:pPr>
    </w:p>
    <w:p>
      <w:pPr>
        <w:tabs>
          <w:tab w:val="left" w:pos="360"/>
          <w:tab w:val="left" w:pos="993"/>
        </w:tabs>
        <w:spacing w:line="360" w:lineRule="auto"/>
        <w:rPr>
          <w:rFonts w:ascii="仿宋" w:hAnsi="仿宋" w:eastAsia="仿宋" w:cs="仿宋"/>
          <w:color w:val="auto"/>
          <w:szCs w:val="21"/>
          <w:highlight w:val="none"/>
          <w:lang w:val="en-GB"/>
        </w:rPr>
      </w:pPr>
    </w:p>
    <w:p>
      <w:pPr>
        <w:tabs>
          <w:tab w:val="left" w:pos="360"/>
          <w:tab w:val="left" w:pos="993"/>
        </w:tabs>
        <w:spacing w:line="360" w:lineRule="auto"/>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单位名称（盖章）：</w:t>
      </w:r>
    </w:p>
    <w:p>
      <w:pPr>
        <w:tabs>
          <w:tab w:val="left" w:pos="360"/>
          <w:tab w:val="left" w:pos="993"/>
        </w:tabs>
        <w:spacing w:line="360" w:lineRule="auto"/>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日  期：</w:t>
      </w: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tabs>
          <w:tab w:val="left" w:pos="360"/>
          <w:tab w:val="left" w:pos="993"/>
        </w:tabs>
        <w:spacing w:line="360" w:lineRule="auto"/>
        <w:rPr>
          <w:rFonts w:hAnsi="宋体" w:cs="宋体"/>
          <w:color w:val="auto"/>
          <w:szCs w:val="21"/>
          <w:highlight w:val="none"/>
          <w:lang w:val="en-GB"/>
        </w:rPr>
      </w:pPr>
    </w:p>
    <w:p>
      <w:pPr>
        <w:pStyle w:val="3"/>
        <w:spacing w:after="120" w:line="480" w:lineRule="exact"/>
        <w:rPr>
          <w:rFonts w:hAnsi="宋体"/>
          <w:b/>
          <w:color w:val="auto"/>
          <w:sz w:val="21"/>
          <w:szCs w:val="20"/>
          <w:highlight w:val="none"/>
        </w:rPr>
      </w:pPr>
      <w:r>
        <w:rPr>
          <w:rFonts w:hint="eastAsia" w:hAnsi="宋体" w:cs="宋体"/>
          <w:b/>
          <w:color w:val="auto"/>
          <w:szCs w:val="20"/>
          <w:highlight w:val="none"/>
        </w:rPr>
        <w:br w:type="page"/>
      </w:r>
      <w:r>
        <w:rPr>
          <w:rFonts w:hint="eastAsia" w:hAnsi="宋体" w:cs="宋体"/>
          <w:b/>
          <w:color w:val="auto"/>
          <w:szCs w:val="20"/>
          <w:highlight w:val="none"/>
        </w:rPr>
        <w:t xml:space="preserve">附表2.11-4 </w:t>
      </w:r>
      <w:bookmarkStart w:id="38" w:name="_Hlk495872840"/>
      <w:r>
        <w:rPr>
          <w:rFonts w:hint="eastAsia" w:hAnsi="宋体" w:cs="宋体"/>
          <w:b/>
          <w:color w:val="auto"/>
          <w:szCs w:val="20"/>
          <w:highlight w:val="none"/>
        </w:rPr>
        <w:t>节能产品或环境保护标志产品（如有）</w:t>
      </w:r>
      <w:bookmarkEnd w:id="38"/>
    </w:p>
    <w:p>
      <w:pPr>
        <w:jc w:val="center"/>
        <w:rPr>
          <w:b/>
          <w:color w:val="auto"/>
          <w:highlight w:val="none"/>
        </w:rPr>
      </w:pPr>
    </w:p>
    <w:p>
      <w:pPr>
        <w:jc w:val="center"/>
        <w:rPr>
          <w:rFonts w:ascii="仿宋" w:hAnsi="仿宋" w:eastAsia="仿宋" w:cs="仿宋"/>
          <w:b/>
          <w:color w:val="auto"/>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800"/>
        <w:gridCol w:w="1706"/>
        <w:gridCol w:w="1508"/>
        <w:gridCol w:w="2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00" w:type="dxa"/>
            <w:vAlign w:val="center"/>
          </w:tcPr>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r>
              <w:rPr>
                <w:rFonts w:hint="eastAsia" w:ascii="仿宋" w:hAnsi="仿宋" w:eastAsia="仿宋" w:cs="仿宋"/>
                <w:b/>
                <w:color w:val="auto"/>
                <w:szCs w:val="21"/>
                <w:highlight w:val="none"/>
                <w:lang w:val="en-GB"/>
              </w:rPr>
              <w:t>类别</w:t>
            </w:r>
          </w:p>
        </w:tc>
        <w:tc>
          <w:tcPr>
            <w:tcW w:w="1800" w:type="dxa"/>
            <w:vAlign w:val="center"/>
          </w:tcPr>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r>
              <w:rPr>
                <w:rFonts w:hint="eastAsia" w:ascii="仿宋" w:hAnsi="仿宋" w:eastAsia="仿宋" w:cs="仿宋"/>
                <w:b/>
                <w:color w:val="auto"/>
                <w:szCs w:val="21"/>
                <w:highlight w:val="none"/>
                <w:lang w:val="en-GB"/>
              </w:rPr>
              <w:t>投标产品</w:t>
            </w:r>
          </w:p>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r>
              <w:rPr>
                <w:rFonts w:hint="eastAsia" w:ascii="仿宋" w:hAnsi="仿宋" w:eastAsia="仿宋" w:cs="仿宋"/>
                <w:b/>
                <w:color w:val="auto"/>
                <w:szCs w:val="21"/>
                <w:highlight w:val="none"/>
                <w:lang w:val="en-GB"/>
              </w:rPr>
              <w:t>（规格型号）</w:t>
            </w:r>
          </w:p>
        </w:tc>
        <w:tc>
          <w:tcPr>
            <w:tcW w:w="1706" w:type="dxa"/>
            <w:vAlign w:val="center"/>
          </w:tcPr>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r>
              <w:rPr>
                <w:rFonts w:hint="eastAsia" w:ascii="仿宋" w:hAnsi="仿宋" w:eastAsia="仿宋" w:cs="仿宋"/>
                <w:b/>
                <w:color w:val="auto"/>
                <w:szCs w:val="21"/>
                <w:highlight w:val="none"/>
                <w:lang w:val="en-GB"/>
              </w:rPr>
              <w:t>制造商</w:t>
            </w:r>
          </w:p>
        </w:tc>
        <w:tc>
          <w:tcPr>
            <w:tcW w:w="1508" w:type="dxa"/>
            <w:vAlign w:val="center"/>
          </w:tcPr>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r>
              <w:rPr>
                <w:rFonts w:hint="eastAsia" w:ascii="仿宋" w:hAnsi="仿宋" w:eastAsia="仿宋" w:cs="仿宋"/>
                <w:b/>
                <w:color w:val="auto"/>
                <w:szCs w:val="21"/>
                <w:highlight w:val="none"/>
                <w:lang w:val="en-GB"/>
              </w:rPr>
              <w:t>认证证书编号</w:t>
            </w:r>
          </w:p>
        </w:tc>
        <w:tc>
          <w:tcPr>
            <w:tcW w:w="2608" w:type="dxa"/>
            <w:vAlign w:val="center"/>
          </w:tcPr>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r>
              <w:rPr>
                <w:rFonts w:hint="eastAsia" w:ascii="仿宋" w:hAnsi="仿宋" w:eastAsia="仿宋" w:cs="仿宋"/>
                <w:b/>
                <w:color w:val="auto"/>
                <w:szCs w:val="21"/>
                <w:highlight w:val="none"/>
                <w:lang w:val="en-GB"/>
              </w:rPr>
              <w:t>清 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0" w:type="dxa"/>
            <w:vMerge w:val="restart"/>
            <w:vAlign w:val="center"/>
          </w:tcPr>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r>
              <w:rPr>
                <w:rFonts w:hint="eastAsia" w:ascii="仿宋" w:hAnsi="仿宋" w:eastAsia="仿宋" w:cs="仿宋"/>
                <w:b/>
                <w:color w:val="auto"/>
                <w:szCs w:val="21"/>
                <w:highlight w:val="none"/>
                <w:lang w:val="en-GB"/>
              </w:rPr>
              <w:t>节能产品</w:t>
            </w:r>
          </w:p>
        </w:tc>
        <w:tc>
          <w:tcPr>
            <w:tcW w:w="1800"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1706"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1508"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2608" w:type="dxa"/>
            <w:vAlign w:val="center"/>
          </w:tcPr>
          <w:p>
            <w:pPr>
              <w:tabs>
                <w:tab w:val="left" w:pos="1260"/>
              </w:tabs>
              <w:spacing w:line="360" w:lineRule="auto"/>
              <w:jc w:val="center"/>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第</w:t>
            </w:r>
            <w:r>
              <w:rPr>
                <w:rFonts w:hint="eastAsia" w:ascii="仿宋" w:hAnsi="仿宋" w:eastAsia="仿宋" w:cs="仿宋"/>
                <w:color w:val="auto"/>
                <w:szCs w:val="21"/>
                <w:highlight w:val="none"/>
                <w:u w:val="single"/>
                <w:lang w:val="en-GB"/>
              </w:rPr>
              <w:t>　</w:t>
            </w:r>
            <w:r>
              <w:rPr>
                <w:rFonts w:hint="eastAsia" w:ascii="仿宋" w:hAnsi="仿宋" w:eastAsia="仿宋" w:cs="仿宋"/>
                <w:color w:val="auto"/>
                <w:szCs w:val="21"/>
                <w:highlight w:val="none"/>
                <w:lang w:val="en-GB"/>
              </w:rPr>
              <w:t>期清单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0" w:type="dxa"/>
            <w:vMerge w:val="continue"/>
            <w:vAlign w:val="center"/>
          </w:tcPr>
          <w:p>
            <w:pPr>
              <w:tabs>
                <w:tab w:val="left" w:pos="1260"/>
              </w:tabs>
              <w:spacing w:line="360" w:lineRule="auto"/>
              <w:jc w:val="center"/>
              <w:rPr>
                <w:rFonts w:ascii="仿宋" w:hAnsi="仿宋" w:eastAsia="仿宋" w:cs="仿宋"/>
                <w:b/>
                <w:color w:val="auto"/>
                <w:szCs w:val="21"/>
                <w:highlight w:val="none"/>
                <w:lang w:val="en-GB"/>
              </w:rPr>
            </w:pPr>
          </w:p>
        </w:tc>
        <w:tc>
          <w:tcPr>
            <w:tcW w:w="1800"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1706"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1508"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2608" w:type="dxa"/>
            <w:vAlign w:val="center"/>
          </w:tcPr>
          <w:p>
            <w:pPr>
              <w:tabs>
                <w:tab w:val="left" w:pos="1260"/>
              </w:tabs>
              <w:spacing w:line="360" w:lineRule="auto"/>
              <w:jc w:val="center"/>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第</w:t>
            </w:r>
            <w:r>
              <w:rPr>
                <w:rFonts w:hint="eastAsia" w:ascii="仿宋" w:hAnsi="仿宋" w:eastAsia="仿宋" w:cs="仿宋"/>
                <w:color w:val="auto"/>
                <w:szCs w:val="21"/>
                <w:highlight w:val="none"/>
                <w:u w:val="single"/>
                <w:lang w:val="en-GB"/>
              </w:rPr>
              <w:t>　</w:t>
            </w:r>
            <w:r>
              <w:rPr>
                <w:rFonts w:hint="eastAsia" w:ascii="仿宋" w:hAnsi="仿宋" w:eastAsia="仿宋" w:cs="仿宋"/>
                <w:color w:val="auto"/>
                <w:szCs w:val="21"/>
                <w:highlight w:val="none"/>
                <w:lang w:val="en-GB"/>
              </w:rPr>
              <w:t>期清单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0" w:type="dxa"/>
            <w:vMerge w:val="restart"/>
            <w:vAlign w:val="center"/>
          </w:tcPr>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r>
              <w:rPr>
                <w:rFonts w:hint="eastAsia" w:ascii="仿宋" w:hAnsi="仿宋" w:eastAsia="仿宋" w:cs="仿宋"/>
                <w:b/>
                <w:color w:val="auto"/>
                <w:szCs w:val="21"/>
                <w:highlight w:val="none"/>
                <w:lang w:val="en-GB"/>
              </w:rPr>
              <w:t>环保标志产品</w:t>
            </w:r>
          </w:p>
        </w:tc>
        <w:tc>
          <w:tcPr>
            <w:tcW w:w="1800"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1706"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1508"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2608" w:type="dxa"/>
            <w:vAlign w:val="center"/>
          </w:tcPr>
          <w:p>
            <w:pPr>
              <w:tabs>
                <w:tab w:val="left" w:pos="1260"/>
              </w:tabs>
              <w:spacing w:line="360" w:lineRule="auto"/>
              <w:jc w:val="center"/>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第</w:t>
            </w:r>
            <w:r>
              <w:rPr>
                <w:rFonts w:hint="eastAsia" w:ascii="仿宋" w:hAnsi="仿宋" w:eastAsia="仿宋" w:cs="仿宋"/>
                <w:color w:val="auto"/>
                <w:szCs w:val="21"/>
                <w:highlight w:val="none"/>
                <w:u w:val="single"/>
                <w:lang w:val="en-GB"/>
              </w:rPr>
              <w:t>　</w:t>
            </w:r>
            <w:r>
              <w:rPr>
                <w:rFonts w:hint="eastAsia" w:ascii="仿宋" w:hAnsi="仿宋" w:eastAsia="仿宋" w:cs="仿宋"/>
                <w:color w:val="auto"/>
                <w:szCs w:val="21"/>
                <w:highlight w:val="none"/>
                <w:lang w:val="en-GB"/>
              </w:rPr>
              <w:t>期清单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0" w:type="dxa"/>
            <w:vMerge w:val="continue"/>
            <w:vAlign w:val="center"/>
          </w:tcPr>
          <w:p>
            <w:pPr>
              <w:tabs>
                <w:tab w:val="left" w:pos="1260"/>
              </w:tabs>
              <w:spacing w:line="360" w:lineRule="auto"/>
              <w:ind w:left="-86" w:leftChars="-41" w:right="-71" w:rightChars="-34"/>
              <w:jc w:val="center"/>
              <w:rPr>
                <w:rFonts w:ascii="仿宋" w:hAnsi="仿宋" w:eastAsia="仿宋" w:cs="仿宋"/>
                <w:b/>
                <w:color w:val="auto"/>
                <w:szCs w:val="21"/>
                <w:highlight w:val="none"/>
                <w:lang w:val="en-GB"/>
              </w:rPr>
            </w:pPr>
          </w:p>
        </w:tc>
        <w:tc>
          <w:tcPr>
            <w:tcW w:w="1800"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1706"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1508" w:type="dxa"/>
            <w:vAlign w:val="center"/>
          </w:tcPr>
          <w:p>
            <w:pPr>
              <w:tabs>
                <w:tab w:val="left" w:pos="1260"/>
              </w:tabs>
              <w:spacing w:line="360" w:lineRule="auto"/>
              <w:jc w:val="center"/>
              <w:rPr>
                <w:rFonts w:ascii="仿宋" w:hAnsi="仿宋" w:eastAsia="仿宋" w:cs="仿宋"/>
                <w:color w:val="auto"/>
                <w:szCs w:val="21"/>
                <w:highlight w:val="none"/>
                <w:lang w:val="en-GB"/>
              </w:rPr>
            </w:pPr>
          </w:p>
        </w:tc>
        <w:tc>
          <w:tcPr>
            <w:tcW w:w="2608" w:type="dxa"/>
            <w:vAlign w:val="center"/>
          </w:tcPr>
          <w:p>
            <w:pPr>
              <w:tabs>
                <w:tab w:val="left" w:pos="1260"/>
              </w:tabs>
              <w:spacing w:line="360" w:lineRule="auto"/>
              <w:jc w:val="center"/>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第</w:t>
            </w:r>
            <w:r>
              <w:rPr>
                <w:rFonts w:hint="eastAsia" w:ascii="仿宋" w:hAnsi="仿宋" w:eastAsia="仿宋" w:cs="仿宋"/>
                <w:color w:val="auto"/>
                <w:szCs w:val="21"/>
                <w:highlight w:val="none"/>
                <w:u w:val="single"/>
                <w:lang w:val="en-GB"/>
              </w:rPr>
              <w:t>　</w:t>
            </w:r>
            <w:r>
              <w:rPr>
                <w:rFonts w:hint="eastAsia" w:ascii="仿宋" w:hAnsi="仿宋" w:eastAsia="仿宋" w:cs="仿宋"/>
                <w:color w:val="auto"/>
                <w:szCs w:val="21"/>
                <w:highlight w:val="none"/>
                <w:lang w:val="en-GB"/>
              </w:rPr>
              <w:t>期清单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0" w:type="dxa"/>
            <w:vAlign w:val="center"/>
          </w:tcPr>
          <w:p>
            <w:pPr>
              <w:tabs>
                <w:tab w:val="left" w:pos="1260"/>
              </w:tabs>
              <w:spacing w:line="360" w:lineRule="auto"/>
              <w:ind w:left="-86" w:leftChars="-41" w:right="-71" w:rightChars="-34"/>
              <w:jc w:val="center"/>
              <w:rPr>
                <w:rFonts w:ascii="仿宋" w:hAnsi="仿宋" w:eastAsia="仿宋" w:cs="仿宋"/>
                <w:color w:val="auto"/>
                <w:szCs w:val="21"/>
                <w:highlight w:val="none"/>
                <w:lang w:val="en-GB"/>
              </w:rPr>
            </w:pPr>
            <w:r>
              <w:rPr>
                <w:rFonts w:hint="eastAsia" w:ascii="仿宋" w:hAnsi="仿宋" w:eastAsia="仿宋" w:cs="仿宋"/>
                <w:b/>
                <w:color w:val="auto"/>
                <w:szCs w:val="21"/>
                <w:highlight w:val="none"/>
                <w:lang w:val="en-GB"/>
              </w:rPr>
              <w:t>说明</w:t>
            </w:r>
          </w:p>
        </w:tc>
        <w:tc>
          <w:tcPr>
            <w:tcW w:w="7622" w:type="dxa"/>
            <w:gridSpan w:val="4"/>
            <w:vAlign w:val="center"/>
          </w:tcPr>
          <w:p>
            <w:pPr>
              <w:tabs>
                <w:tab w:val="left" w:pos="1260"/>
              </w:tabs>
              <w:spacing w:line="360" w:lineRule="auto"/>
              <w:rPr>
                <w:rFonts w:ascii="仿宋" w:hAnsi="仿宋" w:eastAsia="仿宋" w:cs="仿宋"/>
                <w:color w:val="auto"/>
                <w:szCs w:val="21"/>
                <w:highlight w:val="none"/>
                <w:lang w:val="en-GB"/>
              </w:rPr>
            </w:pPr>
          </w:p>
        </w:tc>
      </w:tr>
    </w:tbl>
    <w:p>
      <w:pPr>
        <w:tabs>
          <w:tab w:val="left" w:pos="360"/>
          <w:tab w:val="left" w:pos="993"/>
        </w:tabs>
        <w:spacing w:line="360" w:lineRule="auto"/>
        <w:rPr>
          <w:rFonts w:ascii="仿宋" w:hAnsi="仿宋" w:eastAsia="仿宋" w:cs="仿宋"/>
          <w:color w:val="auto"/>
          <w:szCs w:val="21"/>
          <w:highlight w:val="none"/>
          <w:lang w:val="en-GB"/>
        </w:rPr>
      </w:pPr>
      <w:r>
        <w:rPr>
          <w:rFonts w:hint="eastAsia" w:ascii="仿宋" w:hAnsi="仿宋" w:eastAsia="仿宋" w:cs="仿宋"/>
          <w:color w:val="auto"/>
          <w:szCs w:val="21"/>
          <w:highlight w:val="none"/>
          <w:lang w:val="en-GB"/>
        </w:rPr>
        <w:t>注： “节能产品、环保标志产品”是属于国家行业主管部门颁布的清单目录中的产品，须填写认证证书编号，并在“清单”栏中填写属于“第</w:t>
      </w:r>
      <w:r>
        <w:rPr>
          <w:rFonts w:hint="eastAsia" w:ascii="仿宋" w:hAnsi="仿宋" w:eastAsia="仿宋" w:cs="仿宋"/>
          <w:color w:val="auto"/>
          <w:szCs w:val="21"/>
          <w:highlight w:val="none"/>
          <w:u w:val="single"/>
          <w:lang w:val="en-GB"/>
        </w:rPr>
        <w:t>　</w:t>
      </w:r>
      <w:r>
        <w:rPr>
          <w:rFonts w:hint="eastAsia" w:ascii="仿宋" w:hAnsi="仿宋" w:eastAsia="仿宋" w:cs="仿宋"/>
          <w:color w:val="auto"/>
          <w:szCs w:val="21"/>
          <w:highlight w:val="none"/>
          <w:lang w:val="en-GB"/>
        </w:rPr>
        <w:t>期清单”的产品（产品被列入多期清单的，</w:t>
      </w:r>
      <w:r>
        <w:rPr>
          <w:rFonts w:hint="eastAsia" w:ascii="仿宋" w:hAnsi="仿宋" w:eastAsia="仿宋" w:cs="仿宋"/>
          <w:b/>
          <w:color w:val="auto"/>
          <w:szCs w:val="21"/>
          <w:highlight w:val="none"/>
          <w:lang w:val="en-GB"/>
        </w:rPr>
        <w:t>以最新一期为准</w:t>
      </w:r>
      <w:r>
        <w:rPr>
          <w:rFonts w:hint="eastAsia" w:ascii="仿宋" w:hAnsi="仿宋" w:eastAsia="仿宋" w:cs="仿宋"/>
          <w:color w:val="auto"/>
          <w:szCs w:val="21"/>
          <w:highlight w:val="none"/>
          <w:lang w:val="en-GB"/>
        </w:rPr>
        <w:t>），同时提供有效期内的证书复印件以及下述文件</w:t>
      </w:r>
      <w:r>
        <w:rPr>
          <w:rFonts w:hint="eastAsia" w:ascii="仿宋" w:hAnsi="仿宋" w:eastAsia="仿宋" w:cs="仿宋"/>
          <w:color w:val="auto"/>
          <w:szCs w:val="21"/>
          <w:highlight w:val="none"/>
        </w:rPr>
        <w:t>（均为复印件，加盖投标人公章）</w:t>
      </w:r>
      <w:r>
        <w:rPr>
          <w:rFonts w:hint="eastAsia" w:ascii="仿宋" w:hAnsi="仿宋" w:eastAsia="仿宋" w:cs="仿宋"/>
          <w:color w:val="auto"/>
          <w:szCs w:val="21"/>
          <w:highlight w:val="none"/>
          <w:lang w:val="en-GB"/>
        </w:rPr>
        <w:t>：</w:t>
      </w:r>
    </w:p>
    <w:p>
      <w:pPr>
        <w:tabs>
          <w:tab w:val="left" w:pos="567"/>
          <w:tab w:val="left" w:pos="993"/>
        </w:tabs>
        <w:autoSpaceDE/>
        <w:autoSpaceDN/>
        <w:adjustRightInd/>
        <w:spacing w:line="360" w:lineRule="auto"/>
        <w:ind w:firstLine="630" w:firstLineChars="300"/>
        <w:jc w:val="both"/>
        <w:rPr>
          <w:rFonts w:ascii="仿宋" w:hAnsi="仿宋" w:eastAsia="仿宋" w:cs="仿宋"/>
          <w:color w:val="auto"/>
          <w:szCs w:val="21"/>
          <w:highlight w:val="none"/>
        </w:rPr>
      </w:pPr>
      <w:r>
        <w:rPr>
          <w:rFonts w:hint="eastAsia" w:ascii="仿宋" w:hAnsi="仿宋" w:eastAsia="仿宋" w:cs="仿宋"/>
          <w:color w:val="auto"/>
          <w:szCs w:val="21"/>
          <w:highlight w:val="none"/>
        </w:rPr>
        <w:t>1.属于“节能产品政府采购清单”中品目的产品，提供“节能产品政府采购清单（第___期）”中投标产品所在清单页并加盖投标人公章，节能清单在中华人民共和国财政部网站（http://www.mof.gov.cn）、中国政府采购网（http://www.ccgp.gov.cn/）、国家发展改革委网站（http://hzs.ndrc.gov.cn/）和中国质量认证中心网站（http://www.cqc.com.cn/）上发布；</w:t>
      </w:r>
    </w:p>
    <w:p>
      <w:pPr>
        <w:tabs>
          <w:tab w:val="left" w:pos="567"/>
          <w:tab w:val="left" w:pos="993"/>
        </w:tabs>
        <w:autoSpaceDE/>
        <w:autoSpaceDN/>
        <w:adjustRightInd/>
        <w:spacing w:line="360" w:lineRule="auto"/>
        <w:ind w:firstLine="630" w:firstLineChars="300"/>
        <w:jc w:val="both"/>
        <w:rPr>
          <w:rFonts w:ascii="仿宋" w:hAnsi="仿宋" w:eastAsia="仿宋" w:cs="仿宋"/>
          <w:color w:val="auto"/>
          <w:szCs w:val="21"/>
          <w:highlight w:val="none"/>
        </w:rPr>
      </w:pPr>
      <w:r>
        <w:rPr>
          <w:rFonts w:hint="eastAsia" w:ascii="仿宋" w:hAnsi="仿宋" w:eastAsia="仿宋" w:cs="仿宋"/>
          <w:color w:val="auto"/>
          <w:szCs w:val="21"/>
          <w:highlight w:val="none"/>
        </w:rPr>
        <w:t>2.属于“环境标志产品政府采购清单”中品目的产品，提供最新“环境标志产品政府采购清单”中投标产品所在清单页并加盖投标人公章，清单在中华人民共和国财政部网站（http://www.mof.gov.cn）、中国政府采购网（http://www.ccgp.gov.cn/）、中华人民共和国环境保护部网站（http://www.zhb.gov.cn）、中国绿色采购网（http://www.cgpn.org/）上发布。</w:t>
      </w:r>
    </w:p>
    <w:p>
      <w:pPr>
        <w:snapToGrid w:val="0"/>
        <w:spacing w:line="360" w:lineRule="auto"/>
        <w:rPr>
          <w:rFonts w:ascii="仿宋" w:hAnsi="仿宋" w:eastAsia="仿宋" w:cs="仿宋"/>
          <w:color w:val="auto"/>
          <w:szCs w:val="21"/>
          <w:highlight w:val="none"/>
        </w:rPr>
      </w:pP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pacing w:line="360" w:lineRule="auto"/>
        <w:rPr>
          <w:rFonts w:ascii="仿宋" w:hAnsi="仿宋" w:eastAsia="仿宋" w:cs="仿宋"/>
          <w:b/>
          <w:color w:val="auto"/>
          <w:szCs w:val="21"/>
          <w:highlight w:val="none"/>
        </w:rPr>
      </w:pPr>
      <w:r>
        <w:rPr>
          <w:rFonts w:hint="eastAsia" w:ascii="仿宋" w:hAnsi="仿宋" w:eastAsia="仿宋" w:cs="仿宋"/>
          <w:color w:val="auto"/>
          <w:szCs w:val="21"/>
          <w:highlight w:val="none"/>
        </w:rPr>
        <w:t>日期：   年   月   日</w:t>
      </w:r>
    </w:p>
    <w:p>
      <w:pPr>
        <w:pStyle w:val="3"/>
        <w:spacing w:after="120" w:line="480" w:lineRule="exact"/>
        <w:rPr>
          <w:rFonts w:hAnsi="宋体" w:cs="宋体"/>
          <w:b/>
          <w:color w:val="auto"/>
          <w:szCs w:val="21"/>
          <w:highlight w:val="none"/>
        </w:rPr>
      </w:pPr>
      <w:r>
        <w:rPr>
          <w:rFonts w:hAnsi="宋体" w:cs="宋体"/>
          <w:b/>
          <w:color w:val="auto"/>
          <w:szCs w:val="20"/>
          <w:highlight w:val="none"/>
        </w:rPr>
        <w:br w:type="page"/>
      </w:r>
      <w:r>
        <w:rPr>
          <w:rFonts w:hint="eastAsia" w:hAnsi="宋体" w:cs="宋体"/>
          <w:b/>
          <w:color w:val="auto"/>
          <w:szCs w:val="20"/>
          <w:highlight w:val="none"/>
        </w:rPr>
        <w:t>附表2.1</w:t>
      </w:r>
      <w:r>
        <w:rPr>
          <w:rFonts w:hint="eastAsia" w:hAnsi="宋体" w:cs="宋体"/>
          <w:color w:val="auto"/>
          <w:szCs w:val="20"/>
          <w:highlight w:val="none"/>
        </w:rPr>
        <w:t>2</w:t>
      </w:r>
      <w:r>
        <w:rPr>
          <w:rFonts w:hint="eastAsia" w:hAnsi="宋体" w:cs="宋体"/>
          <w:b/>
          <w:color w:val="auto"/>
          <w:szCs w:val="20"/>
          <w:highlight w:val="none"/>
        </w:rPr>
        <w:t>投标人认为完成本项目所需的其他证明文件</w:t>
      </w:r>
    </w:p>
    <w:p>
      <w:pPr>
        <w:spacing w:line="360" w:lineRule="auto"/>
        <w:ind w:firstLine="420" w:firstLineChars="200"/>
        <w:rPr>
          <w:rFonts w:hAnsi="宋体" w:cs="宋体"/>
          <w:color w:val="auto"/>
          <w:szCs w:val="21"/>
          <w:highlight w:val="none"/>
        </w:rPr>
      </w:pPr>
      <w:r>
        <w:rPr>
          <w:rFonts w:hint="eastAsia" w:hAnsi="宋体" w:cs="宋体"/>
          <w:color w:val="auto"/>
          <w:szCs w:val="21"/>
          <w:highlight w:val="none"/>
        </w:rPr>
        <w:t xml:space="preserve"> </w:t>
      </w:r>
    </w:p>
    <w:p>
      <w:pPr>
        <w:spacing w:line="360" w:lineRule="auto"/>
        <w:ind w:firstLine="420" w:firstLineChars="200"/>
        <w:rPr>
          <w:rFonts w:hAnsi="宋体" w:cs="宋体"/>
          <w:color w:val="auto"/>
          <w:szCs w:val="21"/>
          <w:highlight w:val="none"/>
        </w:rPr>
      </w:pPr>
    </w:p>
    <w:p>
      <w:pPr>
        <w:spacing w:line="360" w:lineRule="auto"/>
        <w:ind w:firstLine="420" w:firstLineChars="200"/>
        <w:rPr>
          <w:rFonts w:hAnsi="宋体" w:cs="宋体"/>
          <w:color w:val="auto"/>
          <w:szCs w:val="21"/>
          <w:highlight w:val="none"/>
        </w:rPr>
      </w:pPr>
    </w:p>
    <w:p>
      <w:pPr>
        <w:spacing w:line="360" w:lineRule="auto"/>
        <w:ind w:firstLine="420" w:firstLineChars="200"/>
        <w:rPr>
          <w:rFonts w:hAnsi="宋体" w:cs="宋体"/>
          <w:color w:val="auto"/>
          <w:szCs w:val="21"/>
          <w:highlight w:val="none"/>
        </w:rPr>
      </w:pPr>
    </w:p>
    <w:p>
      <w:pPr>
        <w:spacing w:line="360" w:lineRule="auto"/>
        <w:ind w:firstLine="420" w:firstLineChars="200"/>
        <w:rPr>
          <w:rFonts w:hAnsi="宋体" w:cs="宋体"/>
          <w:color w:val="auto"/>
          <w:szCs w:val="21"/>
          <w:highlight w:val="none"/>
        </w:rPr>
      </w:pPr>
      <w:r>
        <w:rPr>
          <w:rFonts w:hint="eastAsia" w:hAnsi="宋体" w:cs="宋体"/>
          <w:color w:val="auto"/>
          <w:szCs w:val="21"/>
          <w:highlight w:val="none"/>
        </w:rPr>
        <w:t>（格式自定）</w:t>
      </w:r>
    </w:p>
    <w:p>
      <w:pPr>
        <w:widowControl/>
        <w:spacing w:before="100" w:beforeAutospacing="1" w:after="100" w:afterAutospacing="1" w:line="360" w:lineRule="auto"/>
        <w:rPr>
          <w:rFonts w:hAnsi="宋体" w:cs="宋体"/>
          <w:color w:val="auto"/>
          <w:szCs w:val="21"/>
          <w:highlight w:val="none"/>
        </w:rPr>
        <w:sectPr>
          <w:pgSz w:w="11906" w:h="16838"/>
          <w:pgMar w:top="1089" w:right="1191" w:bottom="1089" w:left="1191" w:header="851" w:footer="1021" w:gutter="0"/>
          <w:cols w:space="720" w:num="1"/>
          <w:docGrid w:type="lines" w:linePitch="312" w:charSpace="0"/>
        </w:sectPr>
      </w:pPr>
      <w:r>
        <w:rPr>
          <w:rFonts w:hint="eastAsia" w:hAnsi="宋体" w:cs="宋体"/>
          <w:color w:val="auto"/>
          <w:szCs w:val="21"/>
          <w:highlight w:val="none"/>
        </w:rPr>
        <w:t xml:space="preserve"> </w:t>
      </w:r>
    </w:p>
    <w:p>
      <w:pPr>
        <w:pStyle w:val="3"/>
        <w:spacing w:after="120" w:line="480" w:lineRule="exact"/>
        <w:rPr>
          <w:rFonts w:hAnsi="宋体" w:cs="宋体"/>
          <w:b/>
          <w:color w:val="auto"/>
          <w:szCs w:val="20"/>
          <w:highlight w:val="none"/>
        </w:rPr>
      </w:pPr>
      <w:bookmarkStart w:id="39" w:name="_Hlk495871502"/>
      <w:r>
        <w:rPr>
          <w:rFonts w:hint="eastAsia" w:hAnsi="宋体" w:cs="宋体"/>
          <w:b/>
          <w:color w:val="auto"/>
          <w:szCs w:val="20"/>
          <w:highlight w:val="none"/>
        </w:rPr>
        <w:t>附表2.1</w:t>
      </w:r>
      <w:r>
        <w:rPr>
          <w:rFonts w:hint="eastAsia" w:hAnsi="宋体" w:cs="宋体"/>
          <w:color w:val="auto"/>
          <w:szCs w:val="20"/>
          <w:highlight w:val="none"/>
        </w:rPr>
        <w:t>3</w:t>
      </w:r>
      <w:r>
        <w:rPr>
          <w:rFonts w:hint="eastAsia" w:hAnsi="宋体" w:cs="宋体"/>
          <w:b/>
          <w:color w:val="auto"/>
          <w:szCs w:val="20"/>
          <w:highlight w:val="none"/>
        </w:rPr>
        <w:t>公平竞争承诺书</w:t>
      </w:r>
    </w:p>
    <w:bookmarkEnd w:id="39"/>
    <w:p>
      <w:pPr>
        <w:spacing w:line="360" w:lineRule="auto"/>
        <w:ind w:firstLine="422" w:firstLineChars="200"/>
        <w:jc w:val="center"/>
        <w:rPr>
          <w:rFonts w:hAnsi="宋体" w:cs="宋体"/>
          <w:b/>
          <w:color w:val="auto"/>
          <w:highlight w:val="none"/>
        </w:rPr>
      </w:pPr>
      <w:bookmarkStart w:id="40" w:name="_Toc345249422"/>
      <w:bookmarkStart w:id="41" w:name="_Hlk495871495"/>
      <w:r>
        <w:rPr>
          <w:rFonts w:hint="eastAsia" w:hAnsi="宋体" w:cs="宋体"/>
          <w:b/>
          <w:color w:val="auto"/>
          <w:highlight w:val="none"/>
        </w:rPr>
        <w:t>公平竞争承诺书</w:t>
      </w:r>
      <w:bookmarkEnd w:id="40"/>
    </w:p>
    <w:bookmarkEnd w:id="41"/>
    <w:p>
      <w:pPr>
        <w:spacing w:line="360" w:lineRule="auto"/>
        <w:ind w:firstLine="420" w:firstLineChars="200"/>
        <w:rPr>
          <w:rFonts w:hAnsi="宋体" w:cs="宋体"/>
          <w:color w:val="auto"/>
          <w:highlight w:val="none"/>
        </w:rPr>
      </w:pPr>
    </w:p>
    <w:p>
      <w:pPr>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 xml:space="preserve">本公司郑重承诺：本公司保证所提交的相关资质文件和证明材料的真实性，有良好的历史诚信记录，并将依法参与 </w:t>
      </w:r>
      <w:r>
        <w:rPr>
          <w:rFonts w:hint="eastAsia" w:ascii="仿宋" w:hAnsi="仿宋" w:eastAsia="仿宋" w:cs="仿宋"/>
          <w:color w:val="auto"/>
          <w:highlight w:val="none"/>
          <w:u w:val="single"/>
        </w:rPr>
        <w:t xml:space="preserve"> 南海海洋预警信息发布和沿海恶劣天气防灾叫应系统(二期) </w:t>
      </w:r>
      <w:r>
        <w:rPr>
          <w:rFonts w:hint="eastAsia" w:ascii="仿宋" w:hAnsi="仿宋" w:eastAsia="仿宋" w:cs="仿宋"/>
          <w:color w:val="auto"/>
          <w:highlight w:val="none"/>
        </w:rPr>
        <w:t xml:space="preserve">项目的公平竞争，不以任何不正当行为谋取不当利益，否则承担相应的法律责任。  </w:t>
      </w:r>
    </w:p>
    <w:p>
      <w:pPr>
        <w:spacing w:line="360" w:lineRule="auto"/>
        <w:rPr>
          <w:rFonts w:ascii="仿宋" w:hAnsi="仿宋" w:eastAsia="仿宋" w:cs="仿宋"/>
          <w:color w:val="auto"/>
          <w:highlight w:val="none"/>
        </w:rPr>
      </w:pPr>
    </w:p>
    <w:p>
      <w:pPr>
        <w:spacing w:line="360" w:lineRule="auto"/>
        <w:rPr>
          <w:rFonts w:ascii="仿宋" w:hAnsi="仿宋" w:eastAsia="仿宋" w:cs="仿宋"/>
          <w:color w:val="auto"/>
          <w:highlight w:val="none"/>
        </w:rPr>
      </w:pPr>
    </w:p>
    <w:p>
      <w:pPr>
        <w:spacing w:line="360" w:lineRule="auto"/>
        <w:rPr>
          <w:rFonts w:ascii="仿宋" w:hAnsi="仿宋" w:eastAsia="仿宋" w:cs="仿宋"/>
          <w:color w:val="auto"/>
          <w:highlight w:val="none"/>
        </w:rPr>
      </w:pPr>
    </w:p>
    <w:p>
      <w:pPr>
        <w:spacing w:line="360" w:lineRule="auto"/>
        <w:jc w:val="right"/>
        <w:rPr>
          <w:rFonts w:ascii="仿宋" w:hAnsi="仿宋" w:eastAsia="仿宋" w:cs="仿宋"/>
          <w:color w:val="auto"/>
          <w:highlight w:val="none"/>
        </w:rPr>
      </w:pPr>
      <w:r>
        <w:rPr>
          <w:rFonts w:hint="eastAsia" w:ascii="仿宋" w:hAnsi="仿宋" w:eastAsia="仿宋" w:cs="仿宋"/>
          <w:color w:val="auto"/>
          <w:highlight w:val="none"/>
        </w:rPr>
        <w:t>（公司名称，加盖公章）</w:t>
      </w:r>
    </w:p>
    <w:p>
      <w:pPr>
        <w:spacing w:line="440" w:lineRule="exact"/>
        <w:jc w:val="right"/>
        <w:rPr>
          <w:rFonts w:hAnsi="宋体" w:cs="宋体"/>
          <w:color w:val="auto"/>
          <w:highlight w:val="none"/>
        </w:rPr>
      </w:pPr>
      <w:r>
        <w:rPr>
          <w:rFonts w:hint="eastAsia" w:ascii="仿宋" w:hAnsi="仿宋" w:eastAsia="仿宋" w:cs="仿宋"/>
          <w:color w:val="auto"/>
          <w:highlight w:val="none"/>
        </w:rPr>
        <w:t>时间：  年    月   日</w:t>
      </w: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rFonts w:hAnsi="宋体" w:cs="宋体"/>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3"/>
        <w:spacing w:before="312" w:line="480" w:lineRule="exact"/>
        <w:jc w:val="center"/>
        <w:rPr>
          <w:rFonts w:hAnsi="宋体" w:cs="宋体"/>
          <w:b/>
          <w:color w:val="auto"/>
          <w:sz w:val="32"/>
          <w:szCs w:val="32"/>
          <w:highlight w:val="none"/>
        </w:rPr>
      </w:pPr>
      <w:r>
        <w:rPr>
          <w:rFonts w:hint="eastAsia"/>
          <w:color w:val="auto"/>
          <w:highlight w:val="none"/>
        </w:rPr>
        <w:br w:type="page"/>
      </w:r>
      <w:r>
        <w:rPr>
          <w:rFonts w:hint="eastAsia" w:hAnsi="宋体" w:cs="宋体"/>
          <w:b/>
          <w:color w:val="auto"/>
          <w:sz w:val="32"/>
          <w:szCs w:val="32"/>
          <w:highlight w:val="none"/>
        </w:rPr>
        <w:t>三、技术部分文件</w:t>
      </w:r>
    </w:p>
    <w:p>
      <w:pPr>
        <w:jc w:val="center"/>
        <w:rPr>
          <w:rFonts w:hAnsi="宋体" w:cs="宋体"/>
          <w:b/>
          <w:color w:val="auto"/>
          <w:highlight w:val="none"/>
        </w:rPr>
      </w:pPr>
      <w:r>
        <w:rPr>
          <w:rFonts w:hint="eastAsia" w:hAnsi="宋体" w:cs="宋体"/>
          <w:b/>
          <w:color w:val="auto"/>
          <w:szCs w:val="21"/>
          <w:highlight w:val="none"/>
        </w:rPr>
        <w:t xml:space="preserve"> </w:t>
      </w:r>
      <w:bookmarkEnd w:id="32"/>
    </w:p>
    <w:p>
      <w:pPr>
        <w:spacing w:line="480" w:lineRule="exact"/>
        <w:ind w:left="709" w:hanging="709"/>
        <w:jc w:val="both"/>
        <w:rPr>
          <w:rFonts w:ascii="仿宋" w:hAnsi="仿宋" w:eastAsia="仿宋" w:cs="仿宋"/>
          <w:color w:val="auto"/>
          <w:szCs w:val="21"/>
          <w:highlight w:val="none"/>
        </w:rPr>
      </w:pPr>
      <w:r>
        <w:rPr>
          <w:rFonts w:hint="eastAsia" w:ascii="仿宋" w:hAnsi="仿宋" w:eastAsia="仿宋" w:cs="仿宋"/>
          <w:b/>
          <w:color w:val="auto"/>
          <w:szCs w:val="21"/>
          <w:highlight w:val="none"/>
        </w:rPr>
        <w:t>[说明]</w:t>
      </w:r>
      <w:r>
        <w:rPr>
          <w:rFonts w:hint="eastAsia" w:ascii="仿宋" w:hAnsi="仿宋" w:eastAsia="仿宋" w:cs="仿宋"/>
          <w:color w:val="auto"/>
          <w:szCs w:val="21"/>
          <w:highlight w:val="none"/>
        </w:rPr>
        <w:t xml:space="preserve"> 投标人应按照招标文件要求，根据“用户需求书”内容作出全面响应。编制和提交的内容应包括但不限于以下各项。对必须满足的内容，必须完全满足。对响应有差异的，则说明差异的内容。</w:t>
      </w:r>
    </w:p>
    <w:p>
      <w:pPr>
        <w:spacing w:line="360" w:lineRule="auto"/>
        <w:rPr>
          <w:rFonts w:ascii="仿宋" w:hAnsi="仿宋" w:eastAsia="仿宋" w:cs="仿宋"/>
          <w:color w:val="auto"/>
          <w:szCs w:val="21"/>
          <w:highlight w:val="none"/>
        </w:rPr>
      </w:pPr>
    </w:p>
    <w:p>
      <w:pPr>
        <w:spacing w:line="360" w:lineRule="auto"/>
        <w:ind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附表3.1   需求分析及运营服务原则和思路</w:t>
      </w:r>
    </w:p>
    <w:p>
      <w:pPr>
        <w:spacing w:line="360" w:lineRule="auto"/>
        <w:ind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附表3.2   预警信息采集、发布与质控</w:t>
      </w:r>
    </w:p>
    <w:p>
      <w:pPr>
        <w:spacing w:line="360" w:lineRule="auto"/>
        <w:ind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附表3.3   报灾模块运营服务</w:t>
      </w:r>
    </w:p>
    <w:p>
      <w:pPr>
        <w:spacing w:line="360" w:lineRule="auto"/>
        <w:ind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附表3.4   预警信息发布系统运营服务</w:t>
      </w:r>
    </w:p>
    <w:p>
      <w:pPr>
        <w:spacing w:line="360" w:lineRule="auto"/>
        <w:ind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附表3.</w:t>
      </w:r>
      <w:r>
        <w:rPr>
          <w:rFonts w:ascii="仿宋" w:hAnsi="仿宋" w:eastAsia="仿宋" w:cs="仿宋"/>
          <w:color w:val="auto"/>
          <w:szCs w:val="21"/>
          <w:highlight w:val="none"/>
        </w:rPr>
        <w:t>5</w:t>
      </w:r>
      <w:r>
        <w:rPr>
          <w:rFonts w:hint="eastAsia" w:ascii="仿宋" w:hAnsi="仿宋" w:eastAsia="仿宋" w:cs="仿宋"/>
          <w:color w:val="auto"/>
          <w:szCs w:val="21"/>
          <w:highlight w:val="none"/>
        </w:rPr>
        <w:t xml:space="preserve">   数据接口运营与分析</w:t>
      </w:r>
    </w:p>
    <w:p>
      <w:pPr>
        <w:spacing w:line="360" w:lineRule="auto"/>
        <w:ind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附表3.</w:t>
      </w:r>
      <w:r>
        <w:rPr>
          <w:rFonts w:ascii="仿宋" w:hAnsi="仿宋" w:eastAsia="仿宋" w:cs="仿宋"/>
          <w:color w:val="auto"/>
          <w:szCs w:val="21"/>
          <w:highlight w:val="none"/>
        </w:rPr>
        <w:t>5</w:t>
      </w:r>
      <w:r>
        <w:rPr>
          <w:rFonts w:hint="eastAsia" w:ascii="仿宋" w:hAnsi="仿宋" w:eastAsia="仿宋" w:cs="仿宋"/>
          <w:color w:val="auto"/>
          <w:szCs w:val="21"/>
          <w:highlight w:val="none"/>
        </w:rPr>
        <w:t xml:space="preserve">   人员安排</w:t>
      </w:r>
    </w:p>
    <w:p>
      <w:pPr>
        <w:pStyle w:val="2"/>
        <w:rPr>
          <w:color w:val="auto"/>
          <w:highlight w:val="none"/>
        </w:rPr>
      </w:pPr>
    </w:p>
    <w:p>
      <w:pPr>
        <w:pStyle w:val="2"/>
        <w:rPr>
          <w:color w:val="auto"/>
          <w:highlight w:val="none"/>
        </w:rPr>
      </w:pPr>
    </w:p>
    <w:p>
      <w:pPr>
        <w:pStyle w:val="120"/>
        <w:rPr>
          <w:color w:val="auto"/>
          <w:highlight w:val="none"/>
        </w:rPr>
      </w:pPr>
    </w:p>
    <w:p>
      <w:pPr>
        <w:spacing w:line="360" w:lineRule="auto"/>
        <w:rPr>
          <w:rFonts w:hAnsi="宋体" w:cs="宋体"/>
          <w:b/>
          <w:color w:val="auto"/>
          <w:szCs w:val="21"/>
          <w:highlight w:val="none"/>
        </w:rPr>
      </w:pPr>
    </w:p>
    <w:p>
      <w:pPr>
        <w:spacing w:line="360" w:lineRule="auto"/>
        <w:rPr>
          <w:rFonts w:hAnsi="宋体" w:cs="宋体"/>
          <w:b/>
          <w:color w:val="auto"/>
          <w:szCs w:val="21"/>
          <w:highlight w:val="none"/>
        </w:rPr>
      </w:pPr>
    </w:p>
    <w:p>
      <w:pPr>
        <w:spacing w:line="360" w:lineRule="auto"/>
        <w:rPr>
          <w:rFonts w:hAnsi="宋体" w:cs="宋体"/>
          <w:color w:val="auto"/>
          <w:szCs w:val="21"/>
          <w:highlight w:val="none"/>
        </w:rPr>
      </w:pPr>
    </w:p>
    <w:p>
      <w:pPr>
        <w:pStyle w:val="3"/>
        <w:spacing w:after="120" w:line="480" w:lineRule="exact"/>
        <w:rPr>
          <w:rFonts w:ascii="仿宋" w:hAnsi="仿宋" w:eastAsia="仿宋" w:cs="仿宋"/>
          <w:b/>
          <w:color w:val="auto"/>
          <w:sz w:val="21"/>
          <w:szCs w:val="21"/>
          <w:highlight w:val="none"/>
        </w:rPr>
      </w:pPr>
      <w:r>
        <w:rPr>
          <w:rFonts w:hint="eastAsia" w:hAnsi="宋体" w:cs="宋体"/>
          <w:b/>
          <w:color w:val="auto"/>
          <w:highlight w:val="none"/>
        </w:rPr>
        <w:br w:type="page"/>
      </w:r>
      <w:r>
        <w:rPr>
          <w:rFonts w:hint="eastAsia" w:ascii="仿宋" w:hAnsi="仿宋" w:eastAsia="仿宋" w:cs="仿宋"/>
          <w:bCs/>
          <w:color w:val="auto"/>
          <w:sz w:val="21"/>
          <w:szCs w:val="21"/>
          <w:highlight w:val="none"/>
        </w:rPr>
        <w:t>附表3.1 需求分析及运营服务原则和思路</w:t>
      </w:r>
    </w:p>
    <w:p>
      <w:pPr>
        <w:spacing w:line="360" w:lineRule="auto"/>
        <w:rPr>
          <w:rFonts w:ascii="仿宋" w:hAnsi="仿宋" w:eastAsia="仿宋" w:cs="仿宋"/>
          <w:color w:val="auto"/>
          <w:szCs w:val="21"/>
          <w:highlight w:val="none"/>
        </w:rPr>
      </w:pPr>
      <w:r>
        <w:rPr>
          <w:rFonts w:hint="eastAsia" w:ascii="仿宋" w:hAnsi="仿宋" w:eastAsia="仿宋" w:cs="仿宋"/>
          <w:b/>
          <w:color w:val="auto"/>
          <w:szCs w:val="21"/>
          <w:highlight w:val="none"/>
        </w:rPr>
        <w:t>...............</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spacing w:line="360" w:lineRule="auto"/>
        <w:rPr>
          <w:rFonts w:ascii="仿宋" w:hAnsi="仿宋" w:eastAsia="仿宋" w:cs="仿宋"/>
          <w:color w:val="auto"/>
          <w:szCs w:val="21"/>
          <w:highlight w:val="none"/>
        </w:rPr>
      </w:pPr>
    </w:p>
    <w:p>
      <w:pPr>
        <w:pStyle w:val="3"/>
        <w:spacing w:after="120" w:line="480" w:lineRule="exact"/>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附表3.2 预警信息采集、发布与质控</w:t>
      </w:r>
    </w:p>
    <w:p>
      <w:pPr>
        <w:spacing w:line="360" w:lineRule="auto"/>
        <w:rPr>
          <w:rFonts w:ascii="仿宋" w:hAnsi="仿宋" w:eastAsia="仿宋" w:cs="仿宋"/>
          <w:color w:val="auto"/>
          <w:szCs w:val="21"/>
          <w:highlight w:val="none"/>
        </w:rPr>
      </w:pPr>
      <w:r>
        <w:rPr>
          <w:rFonts w:hint="eastAsia" w:ascii="仿宋" w:hAnsi="仿宋" w:eastAsia="仿宋" w:cs="仿宋"/>
          <w:b/>
          <w:color w:val="auto"/>
          <w:szCs w:val="21"/>
          <w:highlight w:val="none"/>
        </w:rPr>
        <w:t>...............</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spacing w:line="360" w:lineRule="auto"/>
        <w:rPr>
          <w:rFonts w:ascii="仿宋" w:hAnsi="仿宋" w:eastAsia="仿宋" w:cs="仿宋"/>
          <w:color w:val="auto"/>
          <w:szCs w:val="21"/>
          <w:highlight w:val="none"/>
        </w:rPr>
      </w:pPr>
    </w:p>
    <w:p>
      <w:pPr>
        <w:pStyle w:val="3"/>
        <w:spacing w:after="120" w:line="48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附表3.3 报灾模块运营服务</w:t>
      </w:r>
    </w:p>
    <w:p>
      <w:pPr>
        <w:spacing w:line="360" w:lineRule="auto"/>
        <w:rPr>
          <w:rFonts w:ascii="仿宋" w:hAnsi="仿宋" w:eastAsia="仿宋" w:cs="仿宋"/>
          <w:color w:val="auto"/>
          <w:szCs w:val="21"/>
          <w:highlight w:val="none"/>
        </w:rPr>
      </w:pPr>
      <w:r>
        <w:rPr>
          <w:rFonts w:hint="eastAsia" w:ascii="仿宋" w:hAnsi="仿宋" w:eastAsia="仿宋" w:cs="仿宋"/>
          <w:b/>
          <w:color w:val="auto"/>
          <w:szCs w:val="21"/>
          <w:highlight w:val="none"/>
        </w:rPr>
        <w:t>...............</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pStyle w:val="120"/>
        <w:rPr>
          <w:rFonts w:ascii="仿宋" w:hAnsi="仿宋" w:eastAsia="仿宋" w:cs="仿宋"/>
          <w:color w:val="auto"/>
          <w:szCs w:val="21"/>
          <w:highlight w:val="none"/>
        </w:rPr>
      </w:pPr>
    </w:p>
    <w:p>
      <w:pPr>
        <w:pStyle w:val="3"/>
        <w:spacing w:after="120" w:line="48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附表3.4 预警信息发布系统运营服务</w:t>
      </w:r>
    </w:p>
    <w:p>
      <w:pPr>
        <w:spacing w:line="360" w:lineRule="auto"/>
        <w:rPr>
          <w:rFonts w:ascii="仿宋" w:hAnsi="仿宋" w:eastAsia="仿宋" w:cs="仿宋"/>
          <w:color w:val="auto"/>
          <w:szCs w:val="21"/>
          <w:highlight w:val="none"/>
        </w:rPr>
      </w:pPr>
      <w:r>
        <w:rPr>
          <w:rFonts w:hint="eastAsia" w:ascii="仿宋" w:hAnsi="仿宋" w:eastAsia="仿宋" w:cs="仿宋"/>
          <w:b/>
          <w:color w:val="auto"/>
          <w:szCs w:val="21"/>
          <w:highlight w:val="none"/>
        </w:rPr>
        <w:t>...............</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pStyle w:val="120"/>
        <w:rPr>
          <w:rFonts w:ascii="仿宋" w:hAnsi="仿宋" w:eastAsia="仿宋" w:cs="仿宋"/>
          <w:color w:val="auto"/>
          <w:highlight w:val="none"/>
        </w:rPr>
      </w:pPr>
    </w:p>
    <w:p>
      <w:pPr>
        <w:pStyle w:val="3"/>
        <w:spacing w:after="120" w:line="48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附表3.</w:t>
      </w:r>
      <w:r>
        <w:rPr>
          <w:rFonts w:ascii="仿宋" w:hAnsi="仿宋" w:eastAsia="仿宋" w:cs="仿宋"/>
          <w:color w:val="auto"/>
          <w:sz w:val="21"/>
          <w:szCs w:val="21"/>
          <w:highlight w:val="none"/>
        </w:rPr>
        <w:t>5</w:t>
      </w:r>
      <w:r>
        <w:rPr>
          <w:rFonts w:hint="eastAsia" w:ascii="仿宋" w:hAnsi="仿宋" w:eastAsia="仿宋" w:cs="仿宋"/>
          <w:color w:val="auto"/>
          <w:sz w:val="21"/>
          <w:szCs w:val="21"/>
          <w:highlight w:val="none"/>
        </w:rPr>
        <w:t xml:space="preserve"> 数据接口运营与分析</w:t>
      </w:r>
    </w:p>
    <w:p>
      <w:pPr>
        <w:spacing w:line="360" w:lineRule="auto"/>
        <w:rPr>
          <w:rFonts w:ascii="仿宋" w:hAnsi="仿宋" w:eastAsia="仿宋" w:cs="仿宋"/>
          <w:color w:val="auto"/>
          <w:szCs w:val="21"/>
          <w:highlight w:val="none"/>
        </w:rPr>
      </w:pPr>
      <w:r>
        <w:rPr>
          <w:rFonts w:hint="eastAsia" w:ascii="仿宋" w:hAnsi="仿宋" w:eastAsia="仿宋" w:cs="仿宋"/>
          <w:b/>
          <w:color w:val="auto"/>
          <w:szCs w:val="21"/>
          <w:highlight w:val="none"/>
        </w:rPr>
        <w:t>...............</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pStyle w:val="120"/>
        <w:rPr>
          <w:rFonts w:ascii="仿宋" w:hAnsi="仿宋" w:eastAsia="仿宋" w:cs="仿宋"/>
          <w:color w:val="auto"/>
          <w:highlight w:val="none"/>
        </w:rPr>
      </w:pPr>
    </w:p>
    <w:p>
      <w:pPr>
        <w:pStyle w:val="3"/>
        <w:spacing w:after="120" w:line="48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附表3.</w:t>
      </w:r>
      <w:r>
        <w:rPr>
          <w:rFonts w:ascii="仿宋" w:hAnsi="仿宋" w:eastAsia="仿宋" w:cs="仿宋"/>
          <w:color w:val="auto"/>
          <w:sz w:val="21"/>
          <w:szCs w:val="21"/>
          <w:highlight w:val="none"/>
        </w:rPr>
        <w:t>6</w:t>
      </w:r>
      <w:r>
        <w:rPr>
          <w:rFonts w:hint="eastAsia" w:ascii="仿宋" w:hAnsi="仿宋" w:eastAsia="仿宋" w:cs="仿宋"/>
          <w:color w:val="auto"/>
          <w:sz w:val="21"/>
          <w:szCs w:val="21"/>
          <w:highlight w:val="none"/>
        </w:rPr>
        <w:t xml:space="preserve"> 人员安排</w:t>
      </w:r>
    </w:p>
    <w:p>
      <w:pPr>
        <w:spacing w:line="360" w:lineRule="auto"/>
        <w:rPr>
          <w:rFonts w:ascii="仿宋" w:hAnsi="仿宋" w:eastAsia="仿宋" w:cs="仿宋"/>
          <w:color w:val="auto"/>
          <w:szCs w:val="21"/>
          <w:highlight w:val="none"/>
        </w:rPr>
      </w:pPr>
      <w:r>
        <w:rPr>
          <w:rFonts w:hint="eastAsia" w:ascii="仿宋" w:hAnsi="仿宋" w:eastAsia="仿宋" w:cs="仿宋"/>
          <w:b/>
          <w:color w:val="auto"/>
          <w:szCs w:val="21"/>
          <w:highlight w:val="none"/>
        </w:rPr>
        <w:t>...............</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pStyle w:val="120"/>
        <w:rPr>
          <w:rFonts w:ascii="仿宋" w:hAnsi="仿宋" w:eastAsia="仿宋" w:cs="仿宋"/>
          <w:color w:val="auto"/>
          <w:highlight w:val="none"/>
        </w:rPr>
      </w:pPr>
    </w:p>
    <w:p>
      <w:pPr>
        <w:pStyle w:val="3"/>
        <w:spacing w:after="120" w:line="480" w:lineRule="exact"/>
        <w:rPr>
          <w:rFonts w:hAnsi="宋体" w:cs="宋体"/>
          <w:b/>
          <w:color w:val="auto"/>
          <w:szCs w:val="21"/>
          <w:highlight w:val="none"/>
        </w:rPr>
      </w:pPr>
      <w:r>
        <w:rPr>
          <w:rFonts w:hint="eastAsia" w:hAnsi="宋体" w:cs="宋体"/>
          <w:color w:val="auto"/>
          <w:szCs w:val="21"/>
          <w:highlight w:val="none"/>
        </w:rPr>
        <w:br w:type="page"/>
      </w:r>
      <w:bookmarkStart w:id="42" w:name="_Hlt10567911"/>
      <w:bookmarkEnd w:id="42"/>
      <w:bookmarkStart w:id="43" w:name="_Toc10548709"/>
      <w:bookmarkStart w:id="44" w:name="_Toc4471833"/>
      <w:r>
        <w:rPr>
          <w:rFonts w:hint="eastAsia" w:ascii="仿宋" w:hAnsi="仿宋" w:eastAsia="仿宋" w:cs="仿宋"/>
          <w:color w:val="auto"/>
          <w:szCs w:val="21"/>
          <w:highlight w:val="none"/>
        </w:rPr>
        <w:t>附表3.</w:t>
      </w:r>
      <w:r>
        <w:rPr>
          <w:rFonts w:ascii="仿宋" w:hAnsi="仿宋" w:eastAsia="仿宋" w:cs="仿宋"/>
          <w:color w:val="auto"/>
          <w:szCs w:val="21"/>
          <w:highlight w:val="none"/>
        </w:rPr>
        <w:t>5</w:t>
      </w:r>
      <w:r>
        <w:rPr>
          <w:rFonts w:hint="eastAsia" w:ascii="仿宋" w:hAnsi="仿宋" w:eastAsia="仿宋" w:cs="仿宋"/>
          <w:color w:val="auto"/>
          <w:szCs w:val="21"/>
          <w:highlight w:val="none"/>
        </w:rPr>
        <w:t xml:space="preserve"> 技术规格偏离表格式</w:t>
      </w:r>
      <w:bookmarkEnd w:id="43"/>
      <w:bookmarkEnd w:id="44"/>
    </w:p>
    <w:p>
      <w:pPr>
        <w:pStyle w:val="164"/>
        <w:ind w:firstLine="442"/>
        <w:rPr>
          <w:b/>
          <w:bCs/>
          <w:color w:val="auto"/>
          <w:sz w:val="22"/>
          <w:szCs w:val="32"/>
          <w:highlight w:val="none"/>
        </w:rPr>
      </w:pPr>
      <w:r>
        <w:rPr>
          <w:rFonts w:hint="eastAsia"/>
          <w:b/>
          <w:bCs/>
          <w:color w:val="auto"/>
          <w:sz w:val="22"/>
          <w:szCs w:val="32"/>
          <w:highlight w:val="none"/>
        </w:rPr>
        <w:t>（</w:t>
      </w:r>
      <w:bookmarkStart w:id="45" w:name="_Hlk495873026"/>
      <w:r>
        <w:rPr>
          <w:rFonts w:hint="eastAsia"/>
          <w:b/>
          <w:bCs/>
          <w:color w:val="auto"/>
          <w:sz w:val="22"/>
          <w:szCs w:val="32"/>
          <w:highlight w:val="none"/>
        </w:rPr>
        <w:t>1）实质性响应技术条款（“★”项）响应表格式</w:t>
      </w:r>
    </w:p>
    <w:bookmarkEnd w:id="45"/>
    <w:p>
      <w:pPr>
        <w:spacing w:line="360" w:lineRule="auto"/>
        <w:rPr>
          <w:rFonts w:hAnsi="宋体" w:cs="宋体"/>
          <w:color w:val="auto"/>
          <w:szCs w:val="21"/>
          <w:highlight w:val="none"/>
        </w:rPr>
      </w:pPr>
    </w:p>
    <w:p>
      <w:pPr>
        <w:spacing w:line="360" w:lineRule="auto"/>
        <w:jc w:val="center"/>
        <w:rPr>
          <w:rFonts w:hAnsi="宋体" w:cs="宋体"/>
          <w:color w:val="auto"/>
          <w:sz w:val="28"/>
          <w:szCs w:val="28"/>
          <w:highlight w:val="none"/>
        </w:rPr>
      </w:pPr>
      <w:bookmarkStart w:id="46" w:name="_Hlk502600877"/>
      <w:r>
        <w:rPr>
          <w:rFonts w:hint="eastAsia" w:hAnsi="宋体" w:cs="宋体"/>
          <w:b/>
          <w:color w:val="auto"/>
          <w:sz w:val="28"/>
          <w:szCs w:val="28"/>
          <w:highlight w:val="none"/>
        </w:rPr>
        <w:t>实质性响应技术条款（“★”项）</w:t>
      </w:r>
      <w:bookmarkEnd w:id="46"/>
      <w:r>
        <w:rPr>
          <w:rFonts w:hint="eastAsia" w:hAnsi="宋体" w:cs="宋体"/>
          <w:b/>
          <w:color w:val="auto"/>
          <w:sz w:val="28"/>
          <w:szCs w:val="28"/>
          <w:highlight w:val="none"/>
        </w:rPr>
        <w:t>响应表</w:t>
      </w:r>
    </w:p>
    <w:p>
      <w:pPr>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项目名称：南海海洋预警信息发布和沿海恶劣天气防灾叫应系统(二期)</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采购编号：GDYD230090    </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920"/>
        <w:gridCol w:w="3588"/>
        <w:gridCol w:w="211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773"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1920"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招标规格/要求</w:t>
            </w:r>
          </w:p>
        </w:tc>
        <w:tc>
          <w:tcPr>
            <w:tcW w:w="3588"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投标实际参数</w:t>
            </w:r>
          </w:p>
          <w:p>
            <w:pPr>
              <w:jc w:val="center"/>
              <w:rPr>
                <w:rFonts w:ascii="仿宋" w:hAnsi="仿宋" w:eastAsia="仿宋" w:cs="仿宋"/>
                <w:b/>
                <w:color w:val="auto"/>
                <w:szCs w:val="21"/>
                <w:highlight w:val="none"/>
              </w:rPr>
            </w:pPr>
            <w:r>
              <w:rPr>
                <w:rFonts w:hint="eastAsia" w:ascii="仿宋" w:hAnsi="仿宋" w:eastAsia="仿宋" w:cs="仿宋"/>
                <w:b/>
                <w:bCs/>
                <w:color w:val="auto"/>
                <w:szCs w:val="21"/>
                <w:highlight w:val="none"/>
              </w:rPr>
              <w:t>(投标人应按投标货物/服务实际数据填写，不能照抄招标要求)</w:t>
            </w:r>
          </w:p>
        </w:tc>
        <w:tc>
          <w:tcPr>
            <w:tcW w:w="2115"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是否偏离（无偏离/正偏离/负偏离）</w:t>
            </w:r>
          </w:p>
        </w:tc>
        <w:tc>
          <w:tcPr>
            <w:tcW w:w="1295"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73"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508" w:type="dxa"/>
            <w:gridSpan w:val="2"/>
          </w:tcPr>
          <w:p>
            <w:pPr>
              <w:rPr>
                <w:rFonts w:ascii="仿宋" w:hAnsi="仿宋" w:eastAsia="仿宋" w:cs="仿宋"/>
                <w:color w:val="auto"/>
                <w:szCs w:val="21"/>
                <w:highlight w:val="none"/>
              </w:rPr>
            </w:pPr>
            <w:r>
              <w:rPr>
                <w:rFonts w:hint="eastAsia" w:ascii="仿宋" w:hAnsi="仿宋" w:eastAsia="仿宋" w:cs="仿宋"/>
                <w:color w:val="auto"/>
                <w:szCs w:val="21"/>
                <w:highlight w:val="none"/>
                <w:lang w:val="en-GB"/>
              </w:rPr>
              <w:t>招标文件用户需求书中的所有实质性响应技术条款（“★”项）均完全响应，无任何偏离</w:t>
            </w:r>
          </w:p>
        </w:tc>
        <w:tc>
          <w:tcPr>
            <w:tcW w:w="2115"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无偏离</w:t>
            </w:r>
          </w:p>
        </w:tc>
        <w:tc>
          <w:tcPr>
            <w:tcW w:w="1295" w:type="dxa"/>
          </w:tcPr>
          <w:p>
            <w:pP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73"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920" w:type="dxa"/>
          </w:tcPr>
          <w:p>
            <w:pPr>
              <w:jc w:val="center"/>
              <w:rPr>
                <w:rFonts w:ascii="仿宋" w:hAnsi="仿宋" w:eastAsia="仿宋" w:cs="仿宋"/>
                <w:color w:val="auto"/>
                <w:szCs w:val="21"/>
                <w:highlight w:val="none"/>
              </w:rPr>
            </w:pPr>
          </w:p>
        </w:tc>
        <w:tc>
          <w:tcPr>
            <w:tcW w:w="3588" w:type="dxa"/>
          </w:tcPr>
          <w:p>
            <w:pPr>
              <w:rPr>
                <w:rFonts w:ascii="仿宋" w:hAnsi="仿宋" w:eastAsia="仿宋" w:cs="仿宋"/>
                <w:color w:val="auto"/>
                <w:szCs w:val="21"/>
                <w:highlight w:val="none"/>
              </w:rPr>
            </w:pPr>
          </w:p>
        </w:tc>
        <w:tc>
          <w:tcPr>
            <w:tcW w:w="2115" w:type="dxa"/>
          </w:tcPr>
          <w:p>
            <w:pPr>
              <w:rPr>
                <w:rFonts w:ascii="仿宋" w:hAnsi="仿宋" w:eastAsia="仿宋" w:cs="仿宋"/>
                <w:color w:val="auto"/>
                <w:szCs w:val="21"/>
                <w:highlight w:val="none"/>
              </w:rPr>
            </w:pPr>
          </w:p>
        </w:tc>
        <w:tc>
          <w:tcPr>
            <w:tcW w:w="1295" w:type="dxa"/>
          </w:tcPr>
          <w:p>
            <w:pPr>
              <w:rPr>
                <w:rFonts w:ascii="仿宋" w:hAnsi="仿宋" w:eastAsia="仿宋" w:cs="仿宋"/>
                <w:color w:val="auto"/>
                <w:szCs w:val="21"/>
                <w:highlight w:val="none"/>
              </w:rPr>
            </w:pPr>
          </w:p>
        </w:tc>
      </w:tr>
    </w:tbl>
    <w:p>
      <w:pPr>
        <w:snapToGrid w:val="0"/>
        <w:spacing w:line="360" w:lineRule="auto"/>
        <w:ind w:left="420" w:hanging="420" w:hangingChars="200"/>
        <w:rPr>
          <w:rFonts w:ascii="仿宋" w:hAnsi="仿宋" w:eastAsia="仿宋" w:cs="仿宋"/>
          <w:color w:val="auto"/>
          <w:szCs w:val="21"/>
          <w:highlight w:val="none"/>
        </w:rPr>
      </w:pPr>
      <w:r>
        <w:rPr>
          <w:rFonts w:hint="eastAsia" w:ascii="仿宋" w:hAnsi="仿宋" w:eastAsia="仿宋" w:cs="仿宋"/>
          <w:color w:val="auto"/>
          <w:szCs w:val="21"/>
          <w:highlight w:val="none"/>
        </w:rPr>
        <w:t>注：1.投标人必须对应招标文件“第四篇用户需求书”的</w:t>
      </w:r>
      <w:r>
        <w:rPr>
          <w:rFonts w:hint="eastAsia" w:ascii="仿宋" w:hAnsi="仿宋" w:eastAsia="仿宋" w:cs="仿宋"/>
          <w:color w:val="auto"/>
          <w:szCs w:val="21"/>
          <w:highlight w:val="none"/>
          <w:lang w:val="en-GB"/>
        </w:rPr>
        <w:t>“★” 项</w:t>
      </w:r>
      <w:r>
        <w:rPr>
          <w:rFonts w:hint="eastAsia" w:ascii="仿宋" w:hAnsi="仿宋" w:eastAsia="仿宋" w:cs="仿宋"/>
          <w:color w:val="auto"/>
          <w:szCs w:val="21"/>
          <w:highlight w:val="none"/>
        </w:rPr>
        <w:t>内容逐条响应。如有缺漏，缺漏项视同不符合招标要求。</w:t>
      </w:r>
      <w:r>
        <w:rPr>
          <w:rFonts w:hint="eastAsia" w:ascii="仿宋" w:hAnsi="仿宋" w:eastAsia="仿宋" w:cs="仿宋"/>
          <w:color w:val="auto"/>
          <w:szCs w:val="21"/>
          <w:highlight w:val="none"/>
          <w:lang w:val="en-GB"/>
        </w:rPr>
        <w:t>打</w:t>
      </w:r>
      <w:bookmarkStart w:id="47" w:name="_Hlk502600843"/>
      <w:r>
        <w:rPr>
          <w:rFonts w:hint="eastAsia" w:ascii="仿宋" w:hAnsi="仿宋" w:eastAsia="仿宋" w:cs="仿宋"/>
          <w:color w:val="auto"/>
          <w:szCs w:val="21"/>
          <w:highlight w:val="none"/>
          <w:lang w:val="en-GB"/>
        </w:rPr>
        <w:t>“★”</w:t>
      </w:r>
      <w:bookmarkEnd w:id="47"/>
      <w:r>
        <w:rPr>
          <w:rFonts w:hint="eastAsia" w:ascii="仿宋" w:hAnsi="仿宋" w:eastAsia="仿宋" w:cs="仿宋"/>
          <w:color w:val="auto"/>
          <w:szCs w:val="21"/>
          <w:highlight w:val="none"/>
          <w:lang w:val="en-GB"/>
        </w:rPr>
        <w:t xml:space="preserve"> 项为不可负偏离(劣于)的重要项。投标人如响应所有的“★”技术条款，也可在表格中以“招标文件用户需求书中的所有实质性响应技术条款（“★”项）均完全响应，无任何偏离”的表述方式表述。</w:t>
      </w:r>
    </w:p>
    <w:p>
      <w:pPr>
        <w:snapToGrid w:val="0"/>
        <w:spacing w:line="360" w:lineRule="auto"/>
        <w:ind w:left="420" w:leftChars="200"/>
        <w:rPr>
          <w:rFonts w:ascii="仿宋" w:hAnsi="仿宋" w:eastAsia="仿宋" w:cs="仿宋"/>
          <w:b/>
          <w:color w:val="auto"/>
          <w:szCs w:val="21"/>
          <w:highlight w:val="none"/>
          <w:u w:val="single"/>
        </w:rPr>
      </w:pPr>
      <w:r>
        <w:rPr>
          <w:rFonts w:hint="eastAsia" w:ascii="仿宋" w:hAnsi="仿宋" w:eastAsia="仿宋" w:cs="仿宋"/>
          <w:b/>
          <w:color w:val="auto"/>
          <w:szCs w:val="21"/>
          <w:highlight w:val="none"/>
          <w:u w:val="single"/>
          <w:lang w:val="en-GB"/>
        </w:rPr>
        <w:t>2.</w:t>
      </w:r>
      <w:r>
        <w:rPr>
          <w:rFonts w:hint="eastAsia" w:ascii="仿宋" w:hAnsi="仿宋" w:eastAsia="仿宋" w:cs="仿宋"/>
          <w:b/>
          <w:color w:val="auto"/>
          <w:szCs w:val="21"/>
          <w:highlight w:val="none"/>
          <w:u w:val="single"/>
        </w:rPr>
        <w:t>投标人响应采购需求应具体、明确；含糊不清、不确切或伪造、变造证明材料的，按照不完全响应或者完全不响应处理。构成提供虚假材料的，移送监管部门查处。</w:t>
      </w:r>
    </w:p>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lang w:val="en-GB"/>
        </w:rPr>
        <w:t>3.本表内容按各自对应所投子包的内容自行更改。</w:t>
      </w:r>
    </w:p>
    <w:p>
      <w:pPr>
        <w:spacing w:line="360" w:lineRule="auto"/>
        <w:ind w:firstLine="420" w:firstLineChars="200"/>
        <w:rPr>
          <w:rFonts w:ascii="仿宋" w:hAnsi="仿宋" w:eastAsia="仿宋" w:cs="仿宋"/>
          <w:color w:val="auto"/>
          <w:szCs w:val="21"/>
          <w:highlight w:val="none"/>
        </w:rPr>
      </w:pPr>
    </w:p>
    <w:p>
      <w:pPr>
        <w:snapToGrid w:val="0"/>
        <w:spacing w:line="300" w:lineRule="auto"/>
        <w:rPr>
          <w:rFonts w:ascii="仿宋" w:hAnsi="仿宋" w:eastAsia="仿宋" w:cs="仿宋"/>
          <w:color w:val="auto"/>
          <w:szCs w:val="21"/>
          <w:highlight w:val="none"/>
        </w:rPr>
      </w:pP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pStyle w:val="164"/>
        <w:ind w:firstLine="420"/>
        <w:rPr>
          <w:rFonts w:hAnsi="宋体" w:cs="宋体"/>
          <w:b/>
          <w:bCs/>
          <w:color w:val="auto"/>
          <w:szCs w:val="21"/>
          <w:highlight w:val="none"/>
        </w:rPr>
      </w:pPr>
      <w:r>
        <w:rPr>
          <w:rFonts w:hint="eastAsia" w:hAnsi="宋体" w:cs="宋体"/>
          <w:color w:val="auto"/>
          <w:szCs w:val="21"/>
          <w:highlight w:val="none"/>
        </w:rPr>
        <w:br w:type="page"/>
      </w:r>
      <w:bookmarkStart w:id="48" w:name="_Hlk495873055"/>
      <w:r>
        <w:rPr>
          <w:rFonts w:hint="eastAsia"/>
          <w:b/>
          <w:bCs/>
          <w:color w:val="auto"/>
          <w:sz w:val="22"/>
          <w:szCs w:val="32"/>
          <w:highlight w:val="none"/>
        </w:rPr>
        <w:t>（2）一般技术条款响应表格式</w:t>
      </w:r>
      <w:bookmarkEnd w:id="48"/>
    </w:p>
    <w:p>
      <w:pPr>
        <w:spacing w:line="360" w:lineRule="auto"/>
        <w:rPr>
          <w:rFonts w:hAnsi="宋体" w:cs="宋体"/>
          <w:color w:val="auto"/>
          <w:szCs w:val="21"/>
          <w:highlight w:val="none"/>
        </w:rPr>
      </w:pPr>
    </w:p>
    <w:p>
      <w:pPr>
        <w:spacing w:line="360" w:lineRule="auto"/>
        <w:jc w:val="center"/>
        <w:rPr>
          <w:rFonts w:hAnsi="宋体" w:cs="宋体"/>
          <w:color w:val="auto"/>
          <w:sz w:val="28"/>
          <w:szCs w:val="28"/>
          <w:highlight w:val="none"/>
        </w:rPr>
      </w:pPr>
      <w:r>
        <w:rPr>
          <w:rFonts w:hint="eastAsia" w:hAnsi="宋体" w:cs="宋体"/>
          <w:b/>
          <w:color w:val="auto"/>
          <w:sz w:val="28"/>
          <w:szCs w:val="28"/>
          <w:highlight w:val="none"/>
        </w:rPr>
        <w:t>一般技术条款响应表</w:t>
      </w:r>
    </w:p>
    <w:p>
      <w:pPr>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项目名称：南海海洋预警信息发布和沿海恶劣天气防灾叫应系统(二期)</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采购编号：GDYD230090  </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920"/>
        <w:gridCol w:w="3588"/>
        <w:gridCol w:w="211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3"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1920"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招标规格/要求</w:t>
            </w:r>
          </w:p>
        </w:tc>
        <w:tc>
          <w:tcPr>
            <w:tcW w:w="3588"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投标实际参数</w:t>
            </w:r>
          </w:p>
          <w:p>
            <w:pPr>
              <w:jc w:val="center"/>
              <w:rPr>
                <w:rFonts w:ascii="仿宋" w:hAnsi="仿宋" w:eastAsia="仿宋" w:cs="仿宋"/>
                <w:b/>
                <w:color w:val="auto"/>
                <w:szCs w:val="21"/>
                <w:highlight w:val="none"/>
              </w:rPr>
            </w:pPr>
            <w:r>
              <w:rPr>
                <w:rFonts w:hint="eastAsia" w:ascii="仿宋" w:hAnsi="仿宋" w:eastAsia="仿宋" w:cs="仿宋"/>
                <w:b/>
                <w:bCs/>
                <w:color w:val="auto"/>
                <w:szCs w:val="21"/>
                <w:highlight w:val="none"/>
              </w:rPr>
              <w:t>(投标人应按投标货物/服务实际数据填写，不能照抄招标要求)</w:t>
            </w:r>
          </w:p>
        </w:tc>
        <w:tc>
          <w:tcPr>
            <w:tcW w:w="2115"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是否偏离（无偏离/正偏离/负偏离）</w:t>
            </w:r>
          </w:p>
        </w:tc>
        <w:tc>
          <w:tcPr>
            <w:tcW w:w="1295"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3"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920" w:type="dxa"/>
            <w:vAlign w:val="center"/>
          </w:tcPr>
          <w:p>
            <w:pPr>
              <w:widowControl/>
              <w:snapToGrid w:val="0"/>
              <w:spacing w:line="480" w:lineRule="auto"/>
              <w:jc w:val="center"/>
              <w:rPr>
                <w:rFonts w:ascii="仿宋" w:hAnsi="仿宋" w:eastAsia="仿宋" w:cs="仿宋"/>
                <w:color w:val="auto"/>
                <w:szCs w:val="21"/>
                <w:highlight w:val="none"/>
              </w:rPr>
            </w:pPr>
          </w:p>
        </w:tc>
        <w:tc>
          <w:tcPr>
            <w:tcW w:w="3588" w:type="dxa"/>
            <w:vAlign w:val="center"/>
          </w:tcPr>
          <w:p>
            <w:pPr>
              <w:jc w:val="center"/>
              <w:rPr>
                <w:rFonts w:ascii="仿宋" w:hAnsi="仿宋" w:eastAsia="仿宋" w:cs="仿宋"/>
                <w:color w:val="auto"/>
                <w:szCs w:val="21"/>
                <w:highlight w:val="none"/>
              </w:rPr>
            </w:pPr>
          </w:p>
        </w:tc>
        <w:tc>
          <w:tcPr>
            <w:tcW w:w="2115" w:type="dxa"/>
            <w:vAlign w:val="center"/>
          </w:tcPr>
          <w:p>
            <w:pPr>
              <w:jc w:val="center"/>
              <w:rPr>
                <w:rFonts w:ascii="仿宋" w:hAnsi="仿宋" w:eastAsia="仿宋" w:cs="仿宋"/>
                <w:color w:val="auto"/>
                <w:szCs w:val="21"/>
                <w:highlight w:val="none"/>
              </w:rPr>
            </w:pPr>
          </w:p>
        </w:tc>
        <w:tc>
          <w:tcPr>
            <w:tcW w:w="1295"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3"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920" w:type="dxa"/>
            <w:vAlign w:val="center"/>
          </w:tcPr>
          <w:p>
            <w:pPr>
              <w:widowControl/>
              <w:snapToGrid w:val="0"/>
              <w:spacing w:line="480" w:lineRule="auto"/>
              <w:jc w:val="center"/>
              <w:rPr>
                <w:rFonts w:ascii="仿宋" w:hAnsi="仿宋" w:eastAsia="仿宋" w:cs="仿宋"/>
                <w:color w:val="auto"/>
                <w:szCs w:val="21"/>
                <w:highlight w:val="none"/>
              </w:rPr>
            </w:pPr>
          </w:p>
        </w:tc>
        <w:tc>
          <w:tcPr>
            <w:tcW w:w="3588" w:type="dxa"/>
            <w:vAlign w:val="center"/>
          </w:tcPr>
          <w:p>
            <w:pPr>
              <w:jc w:val="center"/>
              <w:rPr>
                <w:rFonts w:ascii="仿宋" w:hAnsi="仿宋" w:eastAsia="仿宋" w:cs="仿宋"/>
                <w:color w:val="auto"/>
                <w:szCs w:val="21"/>
                <w:highlight w:val="none"/>
              </w:rPr>
            </w:pPr>
          </w:p>
        </w:tc>
        <w:tc>
          <w:tcPr>
            <w:tcW w:w="2115" w:type="dxa"/>
            <w:vAlign w:val="center"/>
          </w:tcPr>
          <w:p>
            <w:pPr>
              <w:jc w:val="center"/>
              <w:rPr>
                <w:rFonts w:ascii="仿宋" w:hAnsi="仿宋" w:eastAsia="仿宋" w:cs="仿宋"/>
                <w:color w:val="auto"/>
                <w:szCs w:val="21"/>
                <w:highlight w:val="none"/>
              </w:rPr>
            </w:pPr>
          </w:p>
        </w:tc>
        <w:tc>
          <w:tcPr>
            <w:tcW w:w="1295" w:type="dxa"/>
            <w:vAlign w:val="center"/>
          </w:tcPr>
          <w:p>
            <w:pPr>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3"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920" w:type="dxa"/>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3588" w:type="dxa"/>
            <w:vAlign w:val="center"/>
          </w:tcPr>
          <w:p>
            <w:pPr>
              <w:jc w:val="center"/>
              <w:rPr>
                <w:rFonts w:ascii="仿宋" w:hAnsi="仿宋" w:eastAsia="仿宋" w:cs="仿宋"/>
                <w:color w:val="auto"/>
                <w:szCs w:val="21"/>
                <w:highlight w:val="none"/>
              </w:rPr>
            </w:pPr>
          </w:p>
        </w:tc>
        <w:tc>
          <w:tcPr>
            <w:tcW w:w="2115" w:type="dxa"/>
            <w:vAlign w:val="center"/>
          </w:tcPr>
          <w:p>
            <w:pPr>
              <w:jc w:val="center"/>
              <w:rPr>
                <w:rFonts w:ascii="仿宋" w:hAnsi="仿宋" w:eastAsia="仿宋" w:cs="仿宋"/>
                <w:color w:val="auto"/>
                <w:szCs w:val="21"/>
                <w:highlight w:val="none"/>
              </w:rPr>
            </w:pPr>
          </w:p>
        </w:tc>
        <w:tc>
          <w:tcPr>
            <w:tcW w:w="1295" w:type="dxa"/>
            <w:vAlign w:val="center"/>
          </w:tcPr>
          <w:p>
            <w:pPr>
              <w:jc w:val="center"/>
              <w:rPr>
                <w:rFonts w:ascii="仿宋" w:hAnsi="仿宋" w:eastAsia="仿宋" w:cs="仿宋"/>
                <w:color w:val="auto"/>
                <w:szCs w:val="21"/>
                <w:highlight w:val="none"/>
              </w:rPr>
            </w:pPr>
          </w:p>
        </w:tc>
      </w:tr>
    </w:tbl>
    <w:p>
      <w:pPr>
        <w:snapToGrid w:val="0"/>
        <w:spacing w:line="360" w:lineRule="auto"/>
        <w:ind w:firstLine="420" w:firstLineChars="200"/>
        <w:rPr>
          <w:rFonts w:ascii="仿宋" w:hAnsi="仿宋" w:eastAsia="仿宋" w:cs="仿宋"/>
          <w:color w:val="auto"/>
          <w:highlight w:val="none"/>
        </w:rPr>
      </w:pPr>
    </w:p>
    <w:p>
      <w:pPr>
        <w:snapToGrid w:val="0"/>
        <w:spacing w:line="360" w:lineRule="auto"/>
        <w:ind w:left="403" w:hanging="403" w:hangingChars="192"/>
        <w:rPr>
          <w:rFonts w:ascii="仿宋" w:hAnsi="仿宋" w:eastAsia="仿宋" w:cs="仿宋"/>
          <w:color w:val="auto"/>
          <w:szCs w:val="21"/>
          <w:highlight w:val="none"/>
          <w:lang w:val="en-GB"/>
        </w:rPr>
      </w:pPr>
      <w:r>
        <w:rPr>
          <w:rFonts w:hint="eastAsia" w:ascii="仿宋" w:hAnsi="仿宋" w:eastAsia="仿宋" w:cs="仿宋"/>
          <w:color w:val="auto"/>
          <w:szCs w:val="21"/>
          <w:highlight w:val="none"/>
        </w:rPr>
        <w:t>注：1.投标人必须对应招标文件“第四篇用户需求书”的内容逐条响应。如有缺漏，缺漏项有权视同不符合招标要求。</w:t>
      </w:r>
    </w:p>
    <w:p>
      <w:pPr>
        <w:snapToGrid w:val="0"/>
        <w:spacing w:line="360" w:lineRule="auto"/>
        <w:ind w:left="420" w:leftChars="200"/>
        <w:rPr>
          <w:rFonts w:ascii="仿宋" w:hAnsi="仿宋" w:eastAsia="仿宋" w:cs="仿宋"/>
          <w:b/>
          <w:color w:val="auto"/>
          <w:szCs w:val="21"/>
          <w:highlight w:val="none"/>
          <w:u w:val="single"/>
        </w:rPr>
      </w:pPr>
      <w:r>
        <w:rPr>
          <w:rFonts w:hint="eastAsia" w:ascii="仿宋" w:hAnsi="仿宋" w:eastAsia="仿宋" w:cs="仿宋"/>
          <w:b/>
          <w:color w:val="auto"/>
          <w:szCs w:val="21"/>
          <w:highlight w:val="none"/>
          <w:u w:val="single"/>
          <w:lang w:val="en-GB"/>
        </w:rPr>
        <w:t>2.</w:t>
      </w:r>
      <w:r>
        <w:rPr>
          <w:rFonts w:hint="eastAsia" w:ascii="仿宋" w:hAnsi="仿宋" w:eastAsia="仿宋" w:cs="仿宋"/>
          <w:b/>
          <w:color w:val="auto"/>
          <w:szCs w:val="21"/>
          <w:highlight w:val="none"/>
          <w:u w:val="single"/>
        </w:rPr>
        <w:t>投标人响应采购需求应具体、明确；含糊不清、不确切或伪造、变造证明材料的，按照不完全响应或者完全不响应处理。构成提供虚假材料的，移送监管部门查处。</w:t>
      </w:r>
    </w:p>
    <w:p>
      <w:pPr>
        <w:snapToGrid w:val="0"/>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lang w:val="en-GB"/>
        </w:rPr>
        <w:t>3.本表内容按各自对应所投子包的内容自行更改。</w:t>
      </w:r>
    </w:p>
    <w:p>
      <w:pPr>
        <w:spacing w:line="360" w:lineRule="auto"/>
        <w:rPr>
          <w:rFonts w:ascii="仿宋" w:hAnsi="仿宋" w:eastAsia="仿宋" w:cs="仿宋"/>
          <w:color w:val="auto"/>
          <w:szCs w:val="21"/>
          <w:highlight w:val="none"/>
        </w:rPr>
      </w:pPr>
    </w:p>
    <w:p>
      <w:pPr>
        <w:snapToGrid w:val="0"/>
        <w:spacing w:line="300" w:lineRule="auto"/>
        <w:rPr>
          <w:rFonts w:ascii="仿宋" w:hAnsi="仿宋" w:eastAsia="仿宋" w:cs="仿宋"/>
          <w:color w:val="auto"/>
          <w:szCs w:val="21"/>
          <w:highlight w:val="none"/>
        </w:rPr>
      </w:pPr>
    </w:p>
    <w:p>
      <w:pPr>
        <w:snapToGrid w:val="0"/>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投标人法定代表人（或法定代表人授权代表）签字：</w:t>
      </w:r>
      <w:r>
        <w:rPr>
          <w:rFonts w:hint="eastAsia" w:ascii="仿宋" w:hAnsi="仿宋" w:eastAsia="仿宋" w:cs="仿宋"/>
          <w:color w:val="auto"/>
          <w:szCs w:val="21"/>
          <w:highlight w:val="none"/>
          <w:u w:val="single"/>
        </w:rPr>
        <w:t xml:space="preserve">                   </w:t>
      </w:r>
    </w:p>
    <w:p>
      <w:pPr>
        <w:snapToGrid w:val="0"/>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投标人名称（加盖法人公章）：</w:t>
      </w:r>
      <w:r>
        <w:rPr>
          <w:rFonts w:hint="eastAsia" w:ascii="仿宋" w:hAnsi="仿宋" w:eastAsia="仿宋" w:cs="仿宋"/>
          <w:color w:val="auto"/>
          <w:szCs w:val="21"/>
          <w:highlight w:val="none"/>
          <w:u w:val="single"/>
        </w:rPr>
        <w:t xml:space="preserve">                        </w:t>
      </w:r>
    </w:p>
    <w:p>
      <w:pPr>
        <w:snapToGrid w:val="0"/>
        <w:spacing w:line="300" w:lineRule="auto"/>
        <w:rPr>
          <w:rFonts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pPr>
        <w:snapToGrid w:val="0"/>
        <w:spacing w:line="360" w:lineRule="auto"/>
        <w:rPr>
          <w:rFonts w:hAnsi="宋体" w:cs="宋体"/>
          <w:color w:val="auto"/>
          <w:szCs w:val="21"/>
          <w:highlight w:val="none"/>
        </w:rPr>
      </w:pPr>
    </w:p>
    <w:p>
      <w:pPr>
        <w:snapToGrid w:val="0"/>
        <w:spacing w:line="360" w:lineRule="auto"/>
        <w:rPr>
          <w:rFonts w:hAnsi="宋体" w:cs="宋体"/>
          <w:color w:val="auto"/>
          <w:szCs w:val="21"/>
          <w:highlight w:val="none"/>
        </w:rPr>
      </w:pPr>
    </w:p>
    <w:p>
      <w:pPr>
        <w:snapToGrid w:val="0"/>
        <w:spacing w:line="360" w:lineRule="auto"/>
        <w:rPr>
          <w:rFonts w:hAnsi="宋体" w:cs="宋体"/>
          <w:color w:val="auto"/>
          <w:szCs w:val="21"/>
          <w:highlight w:val="none"/>
        </w:rPr>
      </w:pPr>
    </w:p>
    <w:p>
      <w:pPr>
        <w:snapToGrid w:val="0"/>
        <w:spacing w:line="360" w:lineRule="auto"/>
        <w:rPr>
          <w:rFonts w:hAnsi="宋体" w:cs="宋体"/>
          <w:color w:val="auto"/>
          <w:szCs w:val="21"/>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3"/>
        <w:spacing w:before="312" w:line="480" w:lineRule="exact"/>
        <w:jc w:val="center"/>
        <w:rPr>
          <w:rFonts w:hAnsi="宋体" w:cs="宋体"/>
          <w:b/>
          <w:color w:val="auto"/>
          <w:sz w:val="32"/>
          <w:szCs w:val="32"/>
          <w:highlight w:val="none"/>
        </w:rPr>
      </w:pPr>
      <w:r>
        <w:rPr>
          <w:rFonts w:hint="eastAsia" w:hAnsi="宋体" w:cs="宋体"/>
          <w:b/>
          <w:color w:val="auto"/>
          <w:sz w:val="32"/>
          <w:szCs w:val="32"/>
          <w:highlight w:val="none"/>
        </w:rPr>
        <w:br w:type="page"/>
      </w:r>
      <w:r>
        <w:rPr>
          <w:rFonts w:hint="eastAsia" w:hAnsi="宋体" w:cs="宋体"/>
          <w:b/>
          <w:color w:val="auto"/>
          <w:sz w:val="32"/>
          <w:szCs w:val="32"/>
          <w:highlight w:val="none"/>
        </w:rPr>
        <w:t>四、经济</w:t>
      </w:r>
      <w:bookmarkStart w:id="49" w:name="_Hlt10456397"/>
      <w:bookmarkEnd w:id="49"/>
      <w:bookmarkStart w:id="50" w:name="_Hlt10519799"/>
      <w:bookmarkEnd w:id="50"/>
      <w:r>
        <w:rPr>
          <w:rFonts w:hint="eastAsia" w:hAnsi="宋体" w:cs="宋体"/>
          <w:b/>
          <w:color w:val="auto"/>
          <w:sz w:val="32"/>
          <w:szCs w:val="32"/>
          <w:highlight w:val="none"/>
        </w:rPr>
        <w:t>部分文件</w:t>
      </w:r>
    </w:p>
    <w:p>
      <w:pPr>
        <w:pStyle w:val="3"/>
        <w:spacing w:after="120" w:line="480" w:lineRule="exact"/>
        <w:rPr>
          <w:rFonts w:hAnsi="宋体" w:cs="宋体"/>
          <w:b/>
          <w:color w:val="auto"/>
          <w:szCs w:val="20"/>
          <w:highlight w:val="none"/>
        </w:rPr>
      </w:pPr>
      <w:r>
        <w:rPr>
          <w:rFonts w:hint="eastAsia" w:hAnsi="宋体" w:cs="宋体"/>
          <w:b/>
          <w:color w:val="auto"/>
          <w:szCs w:val="20"/>
          <w:highlight w:val="none"/>
        </w:rPr>
        <w:t>附表4.1  投标报价总表格式</w:t>
      </w:r>
    </w:p>
    <w:p>
      <w:pPr>
        <w:pStyle w:val="28"/>
        <w:spacing w:line="480" w:lineRule="exact"/>
        <w:jc w:val="center"/>
        <w:rPr>
          <w:rFonts w:hAnsi="宋体" w:cs="宋体"/>
          <w:b/>
          <w:color w:val="auto"/>
          <w:kern w:val="0"/>
          <w:sz w:val="28"/>
          <w:szCs w:val="28"/>
          <w:highlight w:val="none"/>
        </w:rPr>
      </w:pPr>
    </w:p>
    <w:p>
      <w:pPr>
        <w:pStyle w:val="28"/>
        <w:spacing w:line="480" w:lineRule="exact"/>
        <w:jc w:val="center"/>
        <w:rPr>
          <w:rFonts w:hAnsi="宋体" w:cs="宋体"/>
          <w:b/>
          <w:color w:val="auto"/>
          <w:kern w:val="0"/>
          <w:sz w:val="32"/>
          <w:szCs w:val="32"/>
          <w:highlight w:val="none"/>
        </w:rPr>
      </w:pPr>
      <w:r>
        <w:rPr>
          <w:rFonts w:hint="eastAsia" w:hAnsi="宋体" w:cs="宋体"/>
          <w:b/>
          <w:color w:val="auto"/>
          <w:kern w:val="0"/>
          <w:sz w:val="32"/>
          <w:szCs w:val="32"/>
          <w:highlight w:val="none"/>
        </w:rPr>
        <w:t>投标报价总表</w:t>
      </w:r>
    </w:p>
    <w:p>
      <w:pPr>
        <w:pStyle w:val="28"/>
        <w:spacing w:line="480" w:lineRule="exact"/>
        <w:jc w:val="center"/>
        <w:rPr>
          <w:rFonts w:hAnsi="宋体" w:cs="宋体"/>
          <w:color w:val="auto"/>
          <w:sz w:val="24"/>
          <w:highlight w:val="none"/>
        </w:rPr>
      </w:pPr>
      <w:r>
        <w:rPr>
          <w:rFonts w:hint="eastAsia" w:hAnsi="宋体" w:cs="宋体"/>
          <w:color w:val="auto"/>
          <w:highlight w:val="none"/>
        </w:rPr>
        <w:t>[货币单位：人民币元]</w:t>
      </w:r>
    </w:p>
    <w:p>
      <w:pPr>
        <w:pStyle w:val="28"/>
        <w:spacing w:line="360" w:lineRule="auto"/>
        <w:rPr>
          <w:rFonts w:ascii="仿宋" w:hAnsi="仿宋" w:eastAsia="仿宋" w:cs="仿宋"/>
          <w:color w:val="auto"/>
          <w:highlight w:val="none"/>
        </w:rPr>
      </w:pPr>
      <w:r>
        <w:rPr>
          <w:rFonts w:hint="eastAsia" w:ascii="仿宋" w:hAnsi="仿宋" w:eastAsia="仿宋" w:cs="仿宋"/>
          <w:color w:val="auto"/>
          <w:highlight w:val="none"/>
        </w:rPr>
        <w:t>投标人名称：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采购编号：GDYD230090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项目名称：南海海洋预警信息发布和沿海恶劣天气防灾叫应系统(二期)</w:t>
      </w:r>
    </w:p>
    <w:p>
      <w:pPr>
        <w:pStyle w:val="28"/>
        <w:rPr>
          <w:rFonts w:ascii="仿宋" w:hAnsi="仿宋" w:eastAsia="仿宋" w:cs="仿宋"/>
          <w:color w:val="auto"/>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2331"/>
        <w:gridCol w:w="4597"/>
        <w:gridCol w:w="1437"/>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730"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2331"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项目名称</w:t>
            </w:r>
          </w:p>
        </w:tc>
        <w:tc>
          <w:tcPr>
            <w:tcW w:w="4597"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投标总价（元）</w:t>
            </w:r>
          </w:p>
        </w:tc>
        <w:tc>
          <w:tcPr>
            <w:tcW w:w="1437"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交货期（天）</w:t>
            </w:r>
          </w:p>
        </w:tc>
        <w:tc>
          <w:tcPr>
            <w:tcW w:w="760" w:type="dxa"/>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pPr>
              <w:spacing w:line="360" w:lineRule="auto"/>
              <w:jc w:val="center"/>
              <w:rPr>
                <w:rFonts w:ascii="仿宋" w:hAnsi="仿宋" w:eastAsia="仿宋" w:cs="仿宋"/>
                <w:color w:val="auto"/>
                <w:szCs w:val="21"/>
                <w:highlight w:val="none"/>
              </w:rPr>
            </w:pPr>
          </w:p>
        </w:tc>
        <w:tc>
          <w:tcPr>
            <w:tcW w:w="2331" w:type="dxa"/>
            <w:vAlign w:val="center"/>
          </w:tcPr>
          <w:p>
            <w:pPr>
              <w:spacing w:line="360" w:lineRule="auto"/>
              <w:jc w:val="center"/>
              <w:rPr>
                <w:rFonts w:ascii="仿宋" w:hAnsi="仿宋" w:eastAsia="仿宋" w:cs="仿宋"/>
                <w:color w:val="auto"/>
                <w:szCs w:val="21"/>
                <w:highlight w:val="none"/>
              </w:rPr>
            </w:pPr>
          </w:p>
        </w:tc>
        <w:tc>
          <w:tcPr>
            <w:tcW w:w="4597" w:type="dxa"/>
            <w:vAlign w:val="center"/>
          </w:tcPr>
          <w:p>
            <w:pPr>
              <w:spacing w:line="360" w:lineRule="auto"/>
              <w:jc w:val="center"/>
              <w:rPr>
                <w:rFonts w:ascii="仿宋" w:hAnsi="仿宋" w:eastAsia="仿宋" w:cs="仿宋"/>
                <w:color w:val="auto"/>
                <w:szCs w:val="21"/>
                <w:highlight w:val="none"/>
              </w:rPr>
            </w:pPr>
          </w:p>
        </w:tc>
        <w:tc>
          <w:tcPr>
            <w:tcW w:w="1437" w:type="dxa"/>
            <w:vAlign w:val="center"/>
          </w:tcPr>
          <w:p>
            <w:pPr>
              <w:spacing w:line="360" w:lineRule="auto"/>
              <w:jc w:val="center"/>
              <w:rPr>
                <w:rFonts w:ascii="仿宋" w:hAnsi="仿宋" w:eastAsia="仿宋" w:cs="仿宋"/>
                <w:color w:val="auto"/>
                <w:szCs w:val="21"/>
                <w:highlight w:val="none"/>
              </w:rPr>
            </w:pPr>
          </w:p>
        </w:tc>
        <w:tc>
          <w:tcPr>
            <w:tcW w:w="760" w:type="dxa"/>
            <w:vAlign w:val="center"/>
          </w:tcPr>
          <w:p>
            <w:pPr>
              <w:spacing w:line="360" w:lineRule="auto"/>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pPr>
              <w:spacing w:line="360" w:lineRule="auto"/>
              <w:jc w:val="center"/>
              <w:rPr>
                <w:rFonts w:ascii="仿宋" w:hAnsi="仿宋" w:eastAsia="仿宋" w:cs="仿宋"/>
                <w:color w:val="auto"/>
                <w:szCs w:val="21"/>
                <w:highlight w:val="none"/>
              </w:rPr>
            </w:pPr>
          </w:p>
        </w:tc>
        <w:tc>
          <w:tcPr>
            <w:tcW w:w="2331" w:type="dxa"/>
            <w:vAlign w:val="center"/>
          </w:tcPr>
          <w:p>
            <w:pPr>
              <w:spacing w:line="360" w:lineRule="auto"/>
              <w:jc w:val="center"/>
              <w:rPr>
                <w:rFonts w:ascii="仿宋" w:hAnsi="仿宋" w:eastAsia="仿宋" w:cs="仿宋"/>
                <w:color w:val="auto"/>
                <w:szCs w:val="21"/>
                <w:highlight w:val="none"/>
              </w:rPr>
            </w:pPr>
          </w:p>
        </w:tc>
        <w:tc>
          <w:tcPr>
            <w:tcW w:w="4597" w:type="dxa"/>
            <w:vAlign w:val="center"/>
          </w:tcPr>
          <w:p>
            <w:pPr>
              <w:spacing w:line="360" w:lineRule="auto"/>
              <w:jc w:val="center"/>
              <w:rPr>
                <w:rFonts w:ascii="仿宋" w:hAnsi="仿宋" w:eastAsia="仿宋" w:cs="仿宋"/>
                <w:color w:val="auto"/>
                <w:szCs w:val="21"/>
                <w:highlight w:val="none"/>
              </w:rPr>
            </w:pPr>
          </w:p>
        </w:tc>
        <w:tc>
          <w:tcPr>
            <w:tcW w:w="1437" w:type="dxa"/>
            <w:vAlign w:val="center"/>
          </w:tcPr>
          <w:p>
            <w:pPr>
              <w:spacing w:line="360" w:lineRule="auto"/>
              <w:jc w:val="center"/>
              <w:rPr>
                <w:rFonts w:ascii="仿宋" w:hAnsi="仿宋" w:eastAsia="仿宋" w:cs="仿宋"/>
                <w:color w:val="auto"/>
                <w:szCs w:val="21"/>
                <w:highlight w:val="none"/>
              </w:rPr>
            </w:pPr>
          </w:p>
        </w:tc>
        <w:tc>
          <w:tcPr>
            <w:tcW w:w="760" w:type="dxa"/>
            <w:vAlign w:val="center"/>
          </w:tcPr>
          <w:p>
            <w:pPr>
              <w:spacing w:line="360" w:lineRule="auto"/>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pPr>
              <w:spacing w:line="360" w:lineRule="auto"/>
              <w:jc w:val="center"/>
              <w:rPr>
                <w:rFonts w:ascii="仿宋" w:hAnsi="仿宋" w:eastAsia="仿宋" w:cs="仿宋"/>
                <w:color w:val="auto"/>
                <w:szCs w:val="21"/>
                <w:highlight w:val="none"/>
              </w:rPr>
            </w:pPr>
          </w:p>
        </w:tc>
        <w:tc>
          <w:tcPr>
            <w:tcW w:w="2331" w:type="dxa"/>
            <w:vAlign w:val="center"/>
          </w:tcPr>
          <w:p>
            <w:pPr>
              <w:spacing w:line="360" w:lineRule="auto"/>
              <w:jc w:val="center"/>
              <w:rPr>
                <w:rFonts w:ascii="仿宋" w:hAnsi="仿宋" w:eastAsia="仿宋" w:cs="仿宋"/>
                <w:color w:val="auto"/>
                <w:szCs w:val="21"/>
                <w:highlight w:val="none"/>
              </w:rPr>
            </w:pPr>
          </w:p>
        </w:tc>
        <w:tc>
          <w:tcPr>
            <w:tcW w:w="4597" w:type="dxa"/>
            <w:vAlign w:val="center"/>
          </w:tcPr>
          <w:p>
            <w:pPr>
              <w:spacing w:line="360" w:lineRule="auto"/>
              <w:jc w:val="center"/>
              <w:rPr>
                <w:rFonts w:ascii="仿宋" w:hAnsi="仿宋" w:eastAsia="仿宋" w:cs="仿宋"/>
                <w:color w:val="auto"/>
                <w:szCs w:val="21"/>
                <w:highlight w:val="none"/>
              </w:rPr>
            </w:pPr>
          </w:p>
        </w:tc>
        <w:tc>
          <w:tcPr>
            <w:tcW w:w="1437" w:type="dxa"/>
            <w:vAlign w:val="center"/>
          </w:tcPr>
          <w:p>
            <w:pPr>
              <w:spacing w:line="360" w:lineRule="auto"/>
              <w:jc w:val="center"/>
              <w:rPr>
                <w:rFonts w:ascii="仿宋" w:hAnsi="仿宋" w:eastAsia="仿宋" w:cs="仿宋"/>
                <w:color w:val="auto"/>
                <w:szCs w:val="21"/>
                <w:highlight w:val="none"/>
              </w:rPr>
            </w:pPr>
          </w:p>
        </w:tc>
        <w:tc>
          <w:tcPr>
            <w:tcW w:w="760" w:type="dxa"/>
            <w:vAlign w:val="center"/>
          </w:tcPr>
          <w:p>
            <w:pPr>
              <w:spacing w:line="360" w:lineRule="auto"/>
              <w:jc w:val="center"/>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5" w:type="dxa"/>
            <w:gridSpan w:val="5"/>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备注：详细内容见《分项报价明细表》。</w:t>
            </w:r>
          </w:p>
        </w:tc>
      </w:tr>
    </w:tbl>
    <w:p>
      <w:pPr>
        <w:pStyle w:val="28"/>
        <w:rPr>
          <w:rFonts w:ascii="仿宋" w:hAnsi="仿宋" w:eastAsia="仿宋" w:cs="仿宋"/>
          <w:color w:val="auto"/>
          <w:highlight w:val="none"/>
        </w:rPr>
      </w:pPr>
    </w:p>
    <w:p>
      <w:pPr>
        <w:spacing w:line="360" w:lineRule="auto"/>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注：1.投标人须按要求填写所有信息，不得随意更改本表格式。</w:t>
      </w:r>
    </w:p>
    <w:p>
      <w:pPr>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2.所有价格均应以人民币报价，金额单位为元。</w:t>
      </w:r>
    </w:p>
    <w:p>
      <w:pPr>
        <w:spacing w:line="360" w:lineRule="auto"/>
        <w:ind w:firstLine="420" w:firstLineChars="200"/>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3.此表是投标文件的必要文件，是投标文件的组成部分，还应另附一份并与优惠声明（若有）封装在一个信封中，作为唱标之用。</w:t>
      </w:r>
    </w:p>
    <w:p>
      <w:pPr>
        <w:snapToGrid w:val="0"/>
        <w:spacing w:line="360" w:lineRule="auto"/>
        <w:rPr>
          <w:rFonts w:ascii="仿宋" w:hAnsi="仿宋" w:eastAsia="仿宋" w:cs="仿宋"/>
          <w:bCs/>
          <w:color w:val="auto"/>
          <w:kern w:val="2"/>
          <w:szCs w:val="21"/>
          <w:highlight w:val="none"/>
        </w:rPr>
      </w:pPr>
    </w:p>
    <w:p>
      <w:pPr>
        <w:snapToGrid w:val="0"/>
        <w:spacing w:line="360" w:lineRule="auto"/>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 xml:space="preserve">投标人法定代表人（或法定代表人授权代表）亲笔签字：                   </w:t>
      </w:r>
    </w:p>
    <w:p>
      <w:pPr>
        <w:snapToGrid w:val="0"/>
        <w:spacing w:line="360" w:lineRule="auto"/>
        <w:rPr>
          <w:rFonts w:ascii="仿宋" w:hAnsi="仿宋" w:eastAsia="仿宋" w:cs="仿宋"/>
          <w:bCs/>
          <w:color w:val="auto"/>
          <w:kern w:val="2"/>
          <w:szCs w:val="21"/>
          <w:highlight w:val="none"/>
        </w:rPr>
      </w:pPr>
      <w:r>
        <w:rPr>
          <w:rFonts w:hint="eastAsia" w:ascii="仿宋" w:hAnsi="仿宋" w:eastAsia="仿宋" w:cs="仿宋"/>
          <w:bCs/>
          <w:color w:val="auto"/>
          <w:kern w:val="2"/>
          <w:szCs w:val="21"/>
          <w:highlight w:val="none"/>
        </w:rPr>
        <w:t xml:space="preserve">投标人名称（加盖法人公章）：                        </w:t>
      </w:r>
    </w:p>
    <w:p>
      <w:pPr>
        <w:pStyle w:val="28"/>
        <w:spacing w:line="360" w:lineRule="auto"/>
        <w:rPr>
          <w:rFonts w:ascii="仿宋" w:hAnsi="仿宋" w:eastAsia="仿宋" w:cs="仿宋"/>
          <w:color w:val="auto"/>
          <w:szCs w:val="21"/>
          <w:highlight w:val="none"/>
        </w:rPr>
      </w:pPr>
      <w:r>
        <w:rPr>
          <w:rFonts w:hint="eastAsia" w:ascii="仿宋" w:hAnsi="仿宋" w:eastAsia="仿宋" w:cs="仿宋"/>
          <w:bCs/>
          <w:color w:val="auto"/>
          <w:szCs w:val="21"/>
          <w:highlight w:val="none"/>
        </w:rPr>
        <w:t>日期：   年   月   日</w:t>
      </w:r>
    </w:p>
    <w:p>
      <w:pPr>
        <w:pStyle w:val="28"/>
        <w:spacing w:line="480" w:lineRule="exact"/>
        <w:rPr>
          <w:rFonts w:hAnsi="宋体" w:cs="宋体"/>
          <w:color w:val="auto"/>
          <w:szCs w:val="21"/>
          <w:highlight w:val="none"/>
        </w:rPr>
      </w:pPr>
    </w:p>
    <w:p>
      <w:pPr>
        <w:pStyle w:val="3"/>
        <w:spacing w:after="120" w:line="480" w:lineRule="exact"/>
        <w:rPr>
          <w:rFonts w:hAnsi="宋体" w:cs="宋体"/>
          <w:b/>
          <w:color w:val="auto"/>
          <w:szCs w:val="20"/>
          <w:highlight w:val="none"/>
        </w:rPr>
      </w:pPr>
      <w:r>
        <w:rPr>
          <w:rFonts w:hint="eastAsia" w:hAnsi="宋体" w:cs="宋体"/>
          <w:b/>
          <w:color w:val="auto"/>
          <w:szCs w:val="20"/>
          <w:highlight w:val="none"/>
        </w:rPr>
        <w:br w:type="page"/>
      </w:r>
      <w:r>
        <w:rPr>
          <w:rFonts w:hint="eastAsia" w:hAnsi="宋体" w:cs="宋体"/>
          <w:b/>
          <w:color w:val="auto"/>
          <w:szCs w:val="20"/>
          <w:highlight w:val="none"/>
        </w:rPr>
        <w:t>附表4.2  分项报价明细表格式</w:t>
      </w:r>
    </w:p>
    <w:p>
      <w:pPr>
        <w:pStyle w:val="28"/>
        <w:spacing w:line="360" w:lineRule="auto"/>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分项报价明细表</w:t>
      </w:r>
    </w:p>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[货币单位：人民币元]</w:t>
      </w:r>
    </w:p>
    <w:p>
      <w:pPr>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投标人名称：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采购编号：GDYD230090       </w:t>
      </w:r>
    </w:p>
    <w:p>
      <w:pPr>
        <w:spacing w:line="360" w:lineRule="auto"/>
        <w:rPr>
          <w:rFonts w:ascii="仿宋" w:hAnsi="仿宋" w:eastAsia="仿宋" w:cs="仿宋"/>
          <w:color w:val="auto"/>
          <w:szCs w:val="21"/>
          <w:highlight w:val="none"/>
          <w:u w:val="single"/>
        </w:rPr>
      </w:pPr>
      <w:r>
        <w:rPr>
          <w:rFonts w:hint="eastAsia" w:ascii="仿宋" w:hAnsi="仿宋" w:eastAsia="仿宋" w:cs="仿宋"/>
          <w:color w:val="auto"/>
          <w:szCs w:val="21"/>
          <w:highlight w:val="none"/>
        </w:rPr>
        <w:t>项目名称：南海海洋预警信息发布和沿海恶劣天气防灾叫应系统(二期)</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562"/>
        <w:gridCol w:w="1444"/>
        <w:gridCol w:w="877"/>
        <w:gridCol w:w="1108"/>
        <w:gridCol w:w="894"/>
        <w:gridCol w:w="938"/>
        <w:gridCol w:w="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5"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2562"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1444"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规格型号</w:t>
            </w:r>
          </w:p>
        </w:tc>
        <w:tc>
          <w:tcPr>
            <w:tcW w:w="877"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108"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产地</w:t>
            </w:r>
          </w:p>
        </w:tc>
        <w:tc>
          <w:tcPr>
            <w:tcW w:w="894"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单价</w:t>
            </w:r>
          </w:p>
        </w:tc>
        <w:tc>
          <w:tcPr>
            <w:tcW w:w="938"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总价</w:t>
            </w:r>
          </w:p>
        </w:tc>
        <w:tc>
          <w:tcPr>
            <w:tcW w:w="958"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2562" w:type="dxa"/>
            <w:vAlign w:val="center"/>
          </w:tcPr>
          <w:p>
            <w:pPr>
              <w:pStyle w:val="28"/>
              <w:spacing w:line="360" w:lineRule="auto"/>
              <w:rPr>
                <w:rFonts w:ascii="仿宋" w:hAnsi="仿宋" w:eastAsia="仿宋" w:cs="仿宋"/>
                <w:color w:val="auto"/>
                <w:szCs w:val="21"/>
                <w:highlight w:val="none"/>
              </w:rPr>
            </w:pPr>
          </w:p>
        </w:tc>
        <w:tc>
          <w:tcPr>
            <w:tcW w:w="1444" w:type="dxa"/>
            <w:vAlign w:val="center"/>
          </w:tcPr>
          <w:p>
            <w:pPr>
              <w:pStyle w:val="28"/>
              <w:spacing w:line="360" w:lineRule="auto"/>
              <w:rPr>
                <w:rFonts w:ascii="仿宋" w:hAnsi="仿宋" w:eastAsia="仿宋" w:cs="仿宋"/>
                <w:color w:val="auto"/>
                <w:szCs w:val="21"/>
                <w:highlight w:val="none"/>
              </w:rPr>
            </w:pPr>
          </w:p>
        </w:tc>
        <w:tc>
          <w:tcPr>
            <w:tcW w:w="877" w:type="dxa"/>
            <w:vAlign w:val="center"/>
          </w:tcPr>
          <w:p>
            <w:pPr>
              <w:pStyle w:val="28"/>
              <w:spacing w:line="360" w:lineRule="auto"/>
              <w:rPr>
                <w:rFonts w:ascii="仿宋" w:hAnsi="仿宋" w:eastAsia="仿宋" w:cs="仿宋"/>
                <w:color w:val="auto"/>
                <w:szCs w:val="21"/>
                <w:highlight w:val="none"/>
              </w:rPr>
            </w:pPr>
          </w:p>
        </w:tc>
        <w:tc>
          <w:tcPr>
            <w:tcW w:w="1108" w:type="dxa"/>
            <w:vAlign w:val="center"/>
          </w:tcPr>
          <w:p>
            <w:pPr>
              <w:pStyle w:val="28"/>
              <w:spacing w:line="360" w:lineRule="auto"/>
              <w:rPr>
                <w:rFonts w:ascii="仿宋" w:hAnsi="仿宋" w:eastAsia="仿宋" w:cs="仿宋"/>
                <w:color w:val="auto"/>
                <w:szCs w:val="21"/>
                <w:highlight w:val="none"/>
              </w:rPr>
            </w:pPr>
          </w:p>
        </w:tc>
        <w:tc>
          <w:tcPr>
            <w:tcW w:w="894" w:type="dxa"/>
            <w:vAlign w:val="center"/>
          </w:tcPr>
          <w:p>
            <w:pPr>
              <w:pStyle w:val="28"/>
              <w:spacing w:line="360" w:lineRule="auto"/>
              <w:rPr>
                <w:rFonts w:ascii="仿宋" w:hAnsi="仿宋" w:eastAsia="仿宋" w:cs="仿宋"/>
                <w:color w:val="auto"/>
                <w:szCs w:val="21"/>
                <w:highlight w:val="none"/>
              </w:rPr>
            </w:pPr>
          </w:p>
        </w:tc>
        <w:tc>
          <w:tcPr>
            <w:tcW w:w="938" w:type="dxa"/>
            <w:vAlign w:val="center"/>
          </w:tcPr>
          <w:p>
            <w:pPr>
              <w:pStyle w:val="28"/>
              <w:spacing w:line="360" w:lineRule="auto"/>
              <w:rPr>
                <w:rFonts w:ascii="仿宋" w:hAnsi="仿宋" w:eastAsia="仿宋" w:cs="仿宋"/>
                <w:color w:val="auto"/>
                <w:szCs w:val="21"/>
                <w:highlight w:val="none"/>
              </w:rPr>
            </w:pPr>
          </w:p>
        </w:tc>
        <w:tc>
          <w:tcPr>
            <w:tcW w:w="958" w:type="dxa"/>
            <w:vAlign w:val="center"/>
          </w:tcPr>
          <w:p>
            <w:pPr>
              <w:pStyle w:val="28"/>
              <w:spacing w:line="360" w:lineRule="auto"/>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2562" w:type="dxa"/>
            <w:vAlign w:val="center"/>
          </w:tcPr>
          <w:p>
            <w:pPr>
              <w:pStyle w:val="28"/>
              <w:spacing w:line="360" w:lineRule="auto"/>
              <w:rPr>
                <w:rFonts w:ascii="仿宋" w:hAnsi="仿宋" w:eastAsia="仿宋" w:cs="仿宋"/>
                <w:color w:val="auto"/>
                <w:szCs w:val="21"/>
                <w:highlight w:val="none"/>
              </w:rPr>
            </w:pPr>
          </w:p>
        </w:tc>
        <w:tc>
          <w:tcPr>
            <w:tcW w:w="1444" w:type="dxa"/>
            <w:vAlign w:val="center"/>
          </w:tcPr>
          <w:p>
            <w:pPr>
              <w:pStyle w:val="28"/>
              <w:spacing w:line="360" w:lineRule="auto"/>
              <w:rPr>
                <w:rFonts w:ascii="仿宋" w:hAnsi="仿宋" w:eastAsia="仿宋" w:cs="仿宋"/>
                <w:color w:val="auto"/>
                <w:szCs w:val="21"/>
                <w:highlight w:val="none"/>
              </w:rPr>
            </w:pPr>
          </w:p>
        </w:tc>
        <w:tc>
          <w:tcPr>
            <w:tcW w:w="877" w:type="dxa"/>
            <w:vAlign w:val="center"/>
          </w:tcPr>
          <w:p>
            <w:pPr>
              <w:pStyle w:val="28"/>
              <w:spacing w:line="360" w:lineRule="auto"/>
              <w:rPr>
                <w:rFonts w:ascii="仿宋" w:hAnsi="仿宋" w:eastAsia="仿宋" w:cs="仿宋"/>
                <w:color w:val="auto"/>
                <w:szCs w:val="21"/>
                <w:highlight w:val="none"/>
              </w:rPr>
            </w:pPr>
          </w:p>
        </w:tc>
        <w:tc>
          <w:tcPr>
            <w:tcW w:w="1108" w:type="dxa"/>
            <w:vAlign w:val="center"/>
          </w:tcPr>
          <w:p>
            <w:pPr>
              <w:pStyle w:val="28"/>
              <w:spacing w:line="360" w:lineRule="auto"/>
              <w:rPr>
                <w:rFonts w:ascii="仿宋" w:hAnsi="仿宋" w:eastAsia="仿宋" w:cs="仿宋"/>
                <w:color w:val="auto"/>
                <w:szCs w:val="21"/>
                <w:highlight w:val="none"/>
              </w:rPr>
            </w:pPr>
          </w:p>
        </w:tc>
        <w:tc>
          <w:tcPr>
            <w:tcW w:w="894" w:type="dxa"/>
            <w:vAlign w:val="center"/>
          </w:tcPr>
          <w:p>
            <w:pPr>
              <w:pStyle w:val="28"/>
              <w:spacing w:line="360" w:lineRule="auto"/>
              <w:rPr>
                <w:rFonts w:ascii="仿宋" w:hAnsi="仿宋" w:eastAsia="仿宋" w:cs="仿宋"/>
                <w:color w:val="auto"/>
                <w:szCs w:val="21"/>
                <w:highlight w:val="none"/>
              </w:rPr>
            </w:pPr>
          </w:p>
        </w:tc>
        <w:tc>
          <w:tcPr>
            <w:tcW w:w="938" w:type="dxa"/>
            <w:vAlign w:val="center"/>
          </w:tcPr>
          <w:p>
            <w:pPr>
              <w:pStyle w:val="28"/>
              <w:spacing w:line="360" w:lineRule="auto"/>
              <w:rPr>
                <w:rFonts w:ascii="仿宋" w:hAnsi="仿宋" w:eastAsia="仿宋" w:cs="仿宋"/>
                <w:color w:val="auto"/>
                <w:szCs w:val="21"/>
                <w:highlight w:val="none"/>
              </w:rPr>
            </w:pPr>
          </w:p>
        </w:tc>
        <w:tc>
          <w:tcPr>
            <w:tcW w:w="958" w:type="dxa"/>
            <w:vAlign w:val="center"/>
          </w:tcPr>
          <w:p>
            <w:pPr>
              <w:pStyle w:val="28"/>
              <w:spacing w:line="360" w:lineRule="auto"/>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2562" w:type="dxa"/>
            <w:vAlign w:val="center"/>
          </w:tcPr>
          <w:p>
            <w:pPr>
              <w:pStyle w:val="28"/>
              <w:spacing w:line="360" w:lineRule="auto"/>
              <w:rPr>
                <w:rFonts w:ascii="仿宋" w:hAnsi="仿宋" w:eastAsia="仿宋" w:cs="仿宋"/>
                <w:color w:val="auto"/>
                <w:szCs w:val="21"/>
                <w:highlight w:val="none"/>
              </w:rPr>
            </w:pPr>
          </w:p>
        </w:tc>
        <w:tc>
          <w:tcPr>
            <w:tcW w:w="1444" w:type="dxa"/>
            <w:vAlign w:val="center"/>
          </w:tcPr>
          <w:p>
            <w:pPr>
              <w:pStyle w:val="28"/>
              <w:spacing w:line="360" w:lineRule="auto"/>
              <w:rPr>
                <w:rFonts w:ascii="仿宋" w:hAnsi="仿宋" w:eastAsia="仿宋" w:cs="仿宋"/>
                <w:color w:val="auto"/>
                <w:szCs w:val="21"/>
                <w:highlight w:val="none"/>
              </w:rPr>
            </w:pPr>
          </w:p>
        </w:tc>
        <w:tc>
          <w:tcPr>
            <w:tcW w:w="877" w:type="dxa"/>
            <w:vAlign w:val="center"/>
          </w:tcPr>
          <w:p>
            <w:pPr>
              <w:pStyle w:val="28"/>
              <w:spacing w:line="360" w:lineRule="auto"/>
              <w:rPr>
                <w:rFonts w:ascii="仿宋" w:hAnsi="仿宋" w:eastAsia="仿宋" w:cs="仿宋"/>
                <w:color w:val="auto"/>
                <w:szCs w:val="21"/>
                <w:highlight w:val="none"/>
              </w:rPr>
            </w:pPr>
          </w:p>
        </w:tc>
        <w:tc>
          <w:tcPr>
            <w:tcW w:w="1108" w:type="dxa"/>
            <w:vAlign w:val="center"/>
          </w:tcPr>
          <w:p>
            <w:pPr>
              <w:pStyle w:val="28"/>
              <w:spacing w:line="360" w:lineRule="auto"/>
              <w:rPr>
                <w:rFonts w:ascii="仿宋" w:hAnsi="仿宋" w:eastAsia="仿宋" w:cs="仿宋"/>
                <w:color w:val="auto"/>
                <w:szCs w:val="21"/>
                <w:highlight w:val="none"/>
              </w:rPr>
            </w:pPr>
          </w:p>
        </w:tc>
        <w:tc>
          <w:tcPr>
            <w:tcW w:w="894" w:type="dxa"/>
            <w:vAlign w:val="center"/>
          </w:tcPr>
          <w:p>
            <w:pPr>
              <w:pStyle w:val="28"/>
              <w:spacing w:line="360" w:lineRule="auto"/>
              <w:rPr>
                <w:rFonts w:ascii="仿宋" w:hAnsi="仿宋" w:eastAsia="仿宋" w:cs="仿宋"/>
                <w:color w:val="auto"/>
                <w:szCs w:val="21"/>
                <w:highlight w:val="none"/>
              </w:rPr>
            </w:pPr>
          </w:p>
        </w:tc>
        <w:tc>
          <w:tcPr>
            <w:tcW w:w="938" w:type="dxa"/>
            <w:vAlign w:val="center"/>
          </w:tcPr>
          <w:p>
            <w:pPr>
              <w:pStyle w:val="28"/>
              <w:spacing w:line="360" w:lineRule="auto"/>
              <w:rPr>
                <w:rFonts w:ascii="仿宋" w:hAnsi="仿宋" w:eastAsia="仿宋" w:cs="仿宋"/>
                <w:color w:val="auto"/>
                <w:szCs w:val="21"/>
                <w:highlight w:val="none"/>
              </w:rPr>
            </w:pPr>
          </w:p>
        </w:tc>
        <w:tc>
          <w:tcPr>
            <w:tcW w:w="958" w:type="dxa"/>
            <w:vAlign w:val="center"/>
          </w:tcPr>
          <w:p>
            <w:pPr>
              <w:pStyle w:val="28"/>
              <w:spacing w:line="360" w:lineRule="auto"/>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2562" w:type="dxa"/>
            <w:vAlign w:val="center"/>
          </w:tcPr>
          <w:p>
            <w:pPr>
              <w:pStyle w:val="28"/>
              <w:spacing w:line="360" w:lineRule="auto"/>
              <w:rPr>
                <w:rFonts w:ascii="仿宋" w:hAnsi="仿宋" w:eastAsia="仿宋" w:cs="仿宋"/>
                <w:color w:val="auto"/>
                <w:szCs w:val="21"/>
                <w:highlight w:val="none"/>
              </w:rPr>
            </w:pPr>
          </w:p>
        </w:tc>
        <w:tc>
          <w:tcPr>
            <w:tcW w:w="1444" w:type="dxa"/>
            <w:vAlign w:val="center"/>
          </w:tcPr>
          <w:p>
            <w:pPr>
              <w:pStyle w:val="28"/>
              <w:spacing w:line="360" w:lineRule="auto"/>
              <w:rPr>
                <w:rFonts w:ascii="仿宋" w:hAnsi="仿宋" w:eastAsia="仿宋" w:cs="仿宋"/>
                <w:color w:val="auto"/>
                <w:szCs w:val="21"/>
                <w:highlight w:val="none"/>
              </w:rPr>
            </w:pPr>
          </w:p>
        </w:tc>
        <w:tc>
          <w:tcPr>
            <w:tcW w:w="877" w:type="dxa"/>
            <w:vAlign w:val="center"/>
          </w:tcPr>
          <w:p>
            <w:pPr>
              <w:pStyle w:val="28"/>
              <w:spacing w:line="360" w:lineRule="auto"/>
              <w:rPr>
                <w:rFonts w:ascii="仿宋" w:hAnsi="仿宋" w:eastAsia="仿宋" w:cs="仿宋"/>
                <w:color w:val="auto"/>
                <w:szCs w:val="21"/>
                <w:highlight w:val="none"/>
              </w:rPr>
            </w:pPr>
          </w:p>
        </w:tc>
        <w:tc>
          <w:tcPr>
            <w:tcW w:w="1108" w:type="dxa"/>
            <w:vAlign w:val="center"/>
          </w:tcPr>
          <w:p>
            <w:pPr>
              <w:pStyle w:val="28"/>
              <w:spacing w:line="360" w:lineRule="auto"/>
              <w:rPr>
                <w:rFonts w:ascii="仿宋" w:hAnsi="仿宋" w:eastAsia="仿宋" w:cs="仿宋"/>
                <w:color w:val="auto"/>
                <w:szCs w:val="21"/>
                <w:highlight w:val="none"/>
              </w:rPr>
            </w:pPr>
          </w:p>
        </w:tc>
        <w:tc>
          <w:tcPr>
            <w:tcW w:w="894" w:type="dxa"/>
            <w:vAlign w:val="center"/>
          </w:tcPr>
          <w:p>
            <w:pPr>
              <w:pStyle w:val="28"/>
              <w:spacing w:line="360" w:lineRule="auto"/>
              <w:rPr>
                <w:rFonts w:ascii="仿宋" w:hAnsi="仿宋" w:eastAsia="仿宋" w:cs="仿宋"/>
                <w:color w:val="auto"/>
                <w:szCs w:val="21"/>
                <w:highlight w:val="none"/>
              </w:rPr>
            </w:pPr>
          </w:p>
        </w:tc>
        <w:tc>
          <w:tcPr>
            <w:tcW w:w="938" w:type="dxa"/>
            <w:vAlign w:val="center"/>
          </w:tcPr>
          <w:p>
            <w:pPr>
              <w:pStyle w:val="28"/>
              <w:spacing w:line="360" w:lineRule="auto"/>
              <w:rPr>
                <w:rFonts w:ascii="仿宋" w:hAnsi="仿宋" w:eastAsia="仿宋" w:cs="仿宋"/>
                <w:color w:val="auto"/>
                <w:szCs w:val="21"/>
                <w:highlight w:val="none"/>
              </w:rPr>
            </w:pPr>
          </w:p>
        </w:tc>
        <w:tc>
          <w:tcPr>
            <w:tcW w:w="958" w:type="dxa"/>
            <w:vAlign w:val="center"/>
          </w:tcPr>
          <w:p>
            <w:pPr>
              <w:pStyle w:val="28"/>
              <w:spacing w:line="360" w:lineRule="auto"/>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5</w:t>
            </w:r>
          </w:p>
        </w:tc>
        <w:tc>
          <w:tcPr>
            <w:tcW w:w="2562" w:type="dxa"/>
            <w:vAlign w:val="center"/>
          </w:tcPr>
          <w:p>
            <w:pPr>
              <w:pStyle w:val="28"/>
              <w:spacing w:line="360" w:lineRule="auto"/>
              <w:rPr>
                <w:rFonts w:ascii="仿宋" w:hAnsi="仿宋" w:eastAsia="仿宋" w:cs="仿宋"/>
                <w:color w:val="auto"/>
                <w:szCs w:val="21"/>
                <w:highlight w:val="none"/>
              </w:rPr>
            </w:pPr>
          </w:p>
        </w:tc>
        <w:tc>
          <w:tcPr>
            <w:tcW w:w="1444" w:type="dxa"/>
            <w:vAlign w:val="center"/>
          </w:tcPr>
          <w:p>
            <w:pPr>
              <w:pStyle w:val="28"/>
              <w:spacing w:line="360" w:lineRule="auto"/>
              <w:rPr>
                <w:rFonts w:ascii="仿宋" w:hAnsi="仿宋" w:eastAsia="仿宋" w:cs="仿宋"/>
                <w:color w:val="auto"/>
                <w:szCs w:val="21"/>
                <w:highlight w:val="none"/>
              </w:rPr>
            </w:pPr>
          </w:p>
        </w:tc>
        <w:tc>
          <w:tcPr>
            <w:tcW w:w="877" w:type="dxa"/>
            <w:vAlign w:val="center"/>
          </w:tcPr>
          <w:p>
            <w:pPr>
              <w:pStyle w:val="28"/>
              <w:spacing w:line="360" w:lineRule="auto"/>
              <w:rPr>
                <w:rFonts w:ascii="仿宋" w:hAnsi="仿宋" w:eastAsia="仿宋" w:cs="仿宋"/>
                <w:color w:val="auto"/>
                <w:szCs w:val="21"/>
                <w:highlight w:val="none"/>
              </w:rPr>
            </w:pPr>
          </w:p>
        </w:tc>
        <w:tc>
          <w:tcPr>
            <w:tcW w:w="1108" w:type="dxa"/>
            <w:vAlign w:val="center"/>
          </w:tcPr>
          <w:p>
            <w:pPr>
              <w:pStyle w:val="28"/>
              <w:spacing w:line="360" w:lineRule="auto"/>
              <w:rPr>
                <w:rFonts w:ascii="仿宋" w:hAnsi="仿宋" w:eastAsia="仿宋" w:cs="仿宋"/>
                <w:color w:val="auto"/>
                <w:szCs w:val="21"/>
                <w:highlight w:val="none"/>
              </w:rPr>
            </w:pPr>
          </w:p>
        </w:tc>
        <w:tc>
          <w:tcPr>
            <w:tcW w:w="894" w:type="dxa"/>
            <w:vAlign w:val="center"/>
          </w:tcPr>
          <w:p>
            <w:pPr>
              <w:pStyle w:val="28"/>
              <w:spacing w:line="360" w:lineRule="auto"/>
              <w:rPr>
                <w:rFonts w:ascii="仿宋" w:hAnsi="仿宋" w:eastAsia="仿宋" w:cs="仿宋"/>
                <w:color w:val="auto"/>
                <w:szCs w:val="21"/>
                <w:highlight w:val="none"/>
              </w:rPr>
            </w:pPr>
          </w:p>
        </w:tc>
        <w:tc>
          <w:tcPr>
            <w:tcW w:w="938" w:type="dxa"/>
            <w:vAlign w:val="center"/>
          </w:tcPr>
          <w:p>
            <w:pPr>
              <w:pStyle w:val="28"/>
              <w:spacing w:line="360" w:lineRule="auto"/>
              <w:rPr>
                <w:rFonts w:ascii="仿宋" w:hAnsi="仿宋" w:eastAsia="仿宋" w:cs="仿宋"/>
                <w:color w:val="auto"/>
                <w:szCs w:val="21"/>
                <w:highlight w:val="none"/>
              </w:rPr>
            </w:pPr>
          </w:p>
        </w:tc>
        <w:tc>
          <w:tcPr>
            <w:tcW w:w="958" w:type="dxa"/>
            <w:vAlign w:val="center"/>
          </w:tcPr>
          <w:p>
            <w:pPr>
              <w:pStyle w:val="28"/>
              <w:spacing w:line="360" w:lineRule="auto"/>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6</w:t>
            </w:r>
          </w:p>
        </w:tc>
        <w:tc>
          <w:tcPr>
            <w:tcW w:w="2562" w:type="dxa"/>
            <w:vAlign w:val="center"/>
          </w:tcPr>
          <w:p>
            <w:pPr>
              <w:pStyle w:val="28"/>
              <w:spacing w:line="360" w:lineRule="auto"/>
              <w:rPr>
                <w:rFonts w:ascii="仿宋" w:hAnsi="仿宋" w:eastAsia="仿宋" w:cs="仿宋"/>
                <w:color w:val="auto"/>
                <w:szCs w:val="21"/>
                <w:highlight w:val="none"/>
              </w:rPr>
            </w:pPr>
          </w:p>
        </w:tc>
        <w:tc>
          <w:tcPr>
            <w:tcW w:w="1444" w:type="dxa"/>
            <w:vAlign w:val="center"/>
          </w:tcPr>
          <w:p>
            <w:pPr>
              <w:pStyle w:val="28"/>
              <w:spacing w:line="360" w:lineRule="auto"/>
              <w:rPr>
                <w:rFonts w:ascii="仿宋" w:hAnsi="仿宋" w:eastAsia="仿宋" w:cs="仿宋"/>
                <w:color w:val="auto"/>
                <w:szCs w:val="21"/>
                <w:highlight w:val="none"/>
              </w:rPr>
            </w:pPr>
          </w:p>
        </w:tc>
        <w:tc>
          <w:tcPr>
            <w:tcW w:w="877" w:type="dxa"/>
            <w:vAlign w:val="center"/>
          </w:tcPr>
          <w:p>
            <w:pPr>
              <w:pStyle w:val="28"/>
              <w:spacing w:line="360" w:lineRule="auto"/>
              <w:rPr>
                <w:rFonts w:ascii="仿宋" w:hAnsi="仿宋" w:eastAsia="仿宋" w:cs="仿宋"/>
                <w:color w:val="auto"/>
                <w:szCs w:val="21"/>
                <w:highlight w:val="none"/>
              </w:rPr>
            </w:pPr>
          </w:p>
        </w:tc>
        <w:tc>
          <w:tcPr>
            <w:tcW w:w="1108" w:type="dxa"/>
            <w:vAlign w:val="center"/>
          </w:tcPr>
          <w:p>
            <w:pPr>
              <w:pStyle w:val="28"/>
              <w:spacing w:line="360" w:lineRule="auto"/>
              <w:rPr>
                <w:rFonts w:ascii="仿宋" w:hAnsi="仿宋" w:eastAsia="仿宋" w:cs="仿宋"/>
                <w:color w:val="auto"/>
                <w:szCs w:val="21"/>
                <w:highlight w:val="none"/>
              </w:rPr>
            </w:pPr>
          </w:p>
        </w:tc>
        <w:tc>
          <w:tcPr>
            <w:tcW w:w="894" w:type="dxa"/>
            <w:vAlign w:val="center"/>
          </w:tcPr>
          <w:p>
            <w:pPr>
              <w:pStyle w:val="28"/>
              <w:spacing w:line="360" w:lineRule="auto"/>
              <w:rPr>
                <w:rFonts w:ascii="仿宋" w:hAnsi="仿宋" w:eastAsia="仿宋" w:cs="仿宋"/>
                <w:color w:val="auto"/>
                <w:szCs w:val="21"/>
                <w:highlight w:val="none"/>
              </w:rPr>
            </w:pPr>
          </w:p>
        </w:tc>
        <w:tc>
          <w:tcPr>
            <w:tcW w:w="938" w:type="dxa"/>
            <w:vAlign w:val="center"/>
          </w:tcPr>
          <w:p>
            <w:pPr>
              <w:pStyle w:val="28"/>
              <w:spacing w:line="360" w:lineRule="auto"/>
              <w:rPr>
                <w:rFonts w:ascii="仿宋" w:hAnsi="仿宋" w:eastAsia="仿宋" w:cs="仿宋"/>
                <w:color w:val="auto"/>
                <w:szCs w:val="21"/>
                <w:highlight w:val="none"/>
              </w:rPr>
            </w:pPr>
          </w:p>
        </w:tc>
        <w:tc>
          <w:tcPr>
            <w:tcW w:w="958" w:type="dxa"/>
            <w:vAlign w:val="center"/>
          </w:tcPr>
          <w:p>
            <w:pPr>
              <w:pStyle w:val="28"/>
              <w:spacing w:line="360" w:lineRule="auto"/>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 w:type="dxa"/>
            <w:vAlign w:val="center"/>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7</w:t>
            </w:r>
          </w:p>
        </w:tc>
        <w:tc>
          <w:tcPr>
            <w:tcW w:w="2562" w:type="dxa"/>
            <w:vAlign w:val="center"/>
          </w:tcPr>
          <w:p>
            <w:pPr>
              <w:pStyle w:val="28"/>
              <w:spacing w:line="360" w:lineRule="auto"/>
              <w:rPr>
                <w:rFonts w:ascii="仿宋" w:hAnsi="仿宋" w:eastAsia="仿宋" w:cs="仿宋"/>
                <w:color w:val="auto"/>
                <w:szCs w:val="21"/>
                <w:highlight w:val="none"/>
              </w:rPr>
            </w:pPr>
          </w:p>
        </w:tc>
        <w:tc>
          <w:tcPr>
            <w:tcW w:w="1444" w:type="dxa"/>
            <w:vAlign w:val="center"/>
          </w:tcPr>
          <w:p>
            <w:pPr>
              <w:pStyle w:val="28"/>
              <w:spacing w:line="360" w:lineRule="auto"/>
              <w:rPr>
                <w:rFonts w:ascii="仿宋" w:hAnsi="仿宋" w:eastAsia="仿宋" w:cs="仿宋"/>
                <w:color w:val="auto"/>
                <w:szCs w:val="21"/>
                <w:highlight w:val="none"/>
              </w:rPr>
            </w:pPr>
          </w:p>
        </w:tc>
        <w:tc>
          <w:tcPr>
            <w:tcW w:w="877" w:type="dxa"/>
            <w:vAlign w:val="center"/>
          </w:tcPr>
          <w:p>
            <w:pPr>
              <w:pStyle w:val="28"/>
              <w:spacing w:line="360" w:lineRule="auto"/>
              <w:rPr>
                <w:rFonts w:ascii="仿宋" w:hAnsi="仿宋" w:eastAsia="仿宋" w:cs="仿宋"/>
                <w:color w:val="auto"/>
                <w:szCs w:val="21"/>
                <w:highlight w:val="none"/>
              </w:rPr>
            </w:pPr>
          </w:p>
        </w:tc>
        <w:tc>
          <w:tcPr>
            <w:tcW w:w="1108" w:type="dxa"/>
            <w:vAlign w:val="center"/>
          </w:tcPr>
          <w:p>
            <w:pPr>
              <w:pStyle w:val="28"/>
              <w:spacing w:line="360" w:lineRule="auto"/>
              <w:rPr>
                <w:rFonts w:ascii="仿宋" w:hAnsi="仿宋" w:eastAsia="仿宋" w:cs="仿宋"/>
                <w:color w:val="auto"/>
                <w:szCs w:val="21"/>
                <w:highlight w:val="none"/>
              </w:rPr>
            </w:pPr>
          </w:p>
        </w:tc>
        <w:tc>
          <w:tcPr>
            <w:tcW w:w="894" w:type="dxa"/>
            <w:vAlign w:val="center"/>
          </w:tcPr>
          <w:p>
            <w:pPr>
              <w:pStyle w:val="28"/>
              <w:spacing w:line="360" w:lineRule="auto"/>
              <w:rPr>
                <w:rFonts w:ascii="仿宋" w:hAnsi="仿宋" w:eastAsia="仿宋" w:cs="仿宋"/>
                <w:color w:val="auto"/>
                <w:szCs w:val="21"/>
                <w:highlight w:val="none"/>
              </w:rPr>
            </w:pPr>
          </w:p>
        </w:tc>
        <w:tc>
          <w:tcPr>
            <w:tcW w:w="938" w:type="dxa"/>
            <w:vAlign w:val="center"/>
          </w:tcPr>
          <w:p>
            <w:pPr>
              <w:pStyle w:val="28"/>
              <w:spacing w:line="360" w:lineRule="auto"/>
              <w:rPr>
                <w:rFonts w:ascii="仿宋" w:hAnsi="仿宋" w:eastAsia="仿宋" w:cs="仿宋"/>
                <w:color w:val="auto"/>
                <w:szCs w:val="21"/>
                <w:highlight w:val="none"/>
              </w:rPr>
            </w:pPr>
          </w:p>
        </w:tc>
        <w:tc>
          <w:tcPr>
            <w:tcW w:w="958" w:type="dxa"/>
            <w:vAlign w:val="center"/>
          </w:tcPr>
          <w:p>
            <w:pPr>
              <w:pStyle w:val="28"/>
              <w:spacing w:line="360" w:lineRule="auto"/>
              <w:rPr>
                <w:rFonts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0" w:type="dxa"/>
            <w:gridSpan w:val="6"/>
          </w:tcPr>
          <w:p>
            <w:pPr>
              <w:pStyle w:val="28"/>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总 价</w:t>
            </w:r>
          </w:p>
        </w:tc>
        <w:tc>
          <w:tcPr>
            <w:tcW w:w="938" w:type="dxa"/>
          </w:tcPr>
          <w:p>
            <w:pPr>
              <w:pStyle w:val="28"/>
              <w:spacing w:line="360" w:lineRule="auto"/>
              <w:jc w:val="center"/>
              <w:rPr>
                <w:rFonts w:ascii="仿宋" w:hAnsi="仿宋" w:eastAsia="仿宋" w:cs="仿宋"/>
                <w:color w:val="auto"/>
                <w:szCs w:val="21"/>
                <w:highlight w:val="none"/>
              </w:rPr>
            </w:pPr>
          </w:p>
        </w:tc>
        <w:tc>
          <w:tcPr>
            <w:tcW w:w="958" w:type="dxa"/>
          </w:tcPr>
          <w:p>
            <w:pPr>
              <w:pStyle w:val="28"/>
              <w:spacing w:line="360" w:lineRule="auto"/>
              <w:jc w:val="center"/>
              <w:rPr>
                <w:rFonts w:ascii="仿宋" w:hAnsi="仿宋" w:eastAsia="仿宋" w:cs="仿宋"/>
                <w:color w:val="auto"/>
                <w:szCs w:val="21"/>
                <w:highlight w:val="none"/>
              </w:rPr>
            </w:pPr>
          </w:p>
        </w:tc>
      </w:tr>
    </w:tbl>
    <w:p>
      <w:pPr>
        <w:spacing w:line="360" w:lineRule="auto"/>
        <w:rPr>
          <w:rFonts w:ascii="仿宋" w:hAnsi="仿宋" w:eastAsia="仿宋" w:cs="仿宋"/>
          <w:color w:val="auto"/>
          <w:szCs w:val="21"/>
          <w:highlight w:val="none"/>
        </w:rPr>
      </w:pP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注：1.上述各项的详细分项报价，按上述内容可另页描述。</w:t>
      </w:r>
    </w:p>
    <w:p>
      <w:pPr>
        <w:spacing w:line="360" w:lineRule="auto"/>
        <w:ind w:left="685" w:leftChars="176" w:hanging="315" w:hangingChars="150"/>
        <w:rPr>
          <w:rFonts w:ascii="仿宋" w:hAnsi="仿宋" w:eastAsia="仿宋" w:cs="仿宋"/>
          <w:color w:val="auto"/>
          <w:szCs w:val="21"/>
          <w:highlight w:val="none"/>
        </w:rPr>
      </w:pPr>
      <w:r>
        <w:rPr>
          <w:rFonts w:hint="eastAsia" w:ascii="仿宋" w:hAnsi="仿宋" w:eastAsia="仿宋" w:cs="仿宋"/>
          <w:color w:val="auto"/>
          <w:szCs w:val="21"/>
          <w:highlight w:val="none"/>
        </w:rPr>
        <w:t>2.详细分项报价必须提供相应的品牌、规格型号、产地、单价、数量、小计、合计等详细信息。</w:t>
      </w:r>
    </w:p>
    <w:p>
      <w:pPr>
        <w:pStyle w:val="28"/>
        <w:spacing w:line="360" w:lineRule="auto"/>
        <w:jc w:val="center"/>
        <w:rPr>
          <w:rFonts w:ascii="仿宋" w:hAnsi="仿宋" w:eastAsia="仿宋" w:cs="仿宋"/>
          <w:color w:val="auto"/>
          <w:szCs w:val="21"/>
          <w:highlight w:val="none"/>
        </w:rPr>
      </w:pPr>
    </w:p>
    <w:p>
      <w:pPr>
        <w:pStyle w:val="28"/>
        <w:spacing w:line="360" w:lineRule="auto"/>
        <w:jc w:val="center"/>
        <w:rPr>
          <w:rFonts w:ascii="仿宋" w:hAnsi="仿宋" w:eastAsia="仿宋" w:cs="仿宋"/>
          <w:color w:val="auto"/>
          <w:szCs w:val="21"/>
          <w:highlight w:val="none"/>
        </w:rPr>
      </w:pPr>
    </w:p>
    <w:p>
      <w:pPr>
        <w:spacing w:line="360" w:lineRule="auto"/>
        <w:ind w:firstLine="5040"/>
        <w:jc w:val="both"/>
        <w:rPr>
          <w:rFonts w:ascii="仿宋" w:hAnsi="仿宋" w:eastAsia="仿宋" w:cs="仿宋"/>
          <w:color w:val="auto"/>
          <w:kern w:val="2"/>
          <w:szCs w:val="21"/>
          <w:highlight w:val="none"/>
        </w:rPr>
      </w:pPr>
    </w:p>
    <w:p>
      <w:pPr>
        <w:spacing w:line="360" w:lineRule="auto"/>
        <w:rPr>
          <w:rFonts w:ascii="仿宋" w:hAnsi="仿宋" w:eastAsia="仿宋" w:cs="仿宋"/>
          <w:color w:val="auto"/>
          <w:kern w:val="2"/>
          <w:szCs w:val="21"/>
          <w:highlight w:val="none"/>
        </w:rPr>
      </w:pPr>
      <w:r>
        <w:rPr>
          <w:rFonts w:hint="eastAsia" w:ascii="仿宋" w:hAnsi="仿宋" w:eastAsia="仿宋" w:cs="仿宋"/>
          <w:color w:val="auto"/>
          <w:kern w:val="2"/>
          <w:szCs w:val="21"/>
          <w:highlight w:val="none"/>
          <w:lang w:val="zh-CN"/>
        </w:rPr>
        <w:t>投标人：（法人公章）</w:t>
      </w:r>
    </w:p>
    <w:p>
      <w:pPr>
        <w:spacing w:line="360" w:lineRule="auto"/>
        <w:rPr>
          <w:rFonts w:ascii="仿宋" w:hAnsi="仿宋" w:eastAsia="仿宋" w:cs="仿宋"/>
          <w:color w:val="auto"/>
          <w:kern w:val="2"/>
          <w:szCs w:val="21"/>
          <w:highlight w:val="none"/>
          <w:lang w:val="zh-CN"/>
        </w:rPr>
      </w:pPr>
      <w:r>
        <w:rPr>
          <w:rFonts w:hint="eastAsia" w:ascii="仿宋" w:hAnsi="仿宋" w:eastAsia="仿宋" w:cs="仿宋"/>
          <w:color w:val="auto"/>
          <w:kern w:val="2"/>
          <w:szCs w:val="21"/>
          <w:highlight w:val="none"/>
          <w:lang w:val="zh-CN"/>
        </w:rPr>
        <w:t xml:space="preserve">法定代表人或其授权代表（亲笔签名）： </w:t>
      </w:r>
    </w:p>
    <w:p>
      <w:pPr>
        <w:pStyle w:val="28"/>
        <w:spacing w:line="360" w:lineRule="auto"/>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 xml:space="preserve">日期：   年    月     日  </w:t>
      </w:r>
    </w:p>
    <w:p>
      <w:pPr>
        <w:pStyle w:val="28"/>
        <w:spacing w:line="480" w:lineRule="exact"/>
        <w:rPr>
          <w:rFonts w:hAnsi="宋体" w:cs="宋体"/>
          <w:b/>
          <w:color w:val="auto"/>
          <w:kern w:val="0"/>
          <w:szCs w:val="21"/>
          <w:highlight w:val="none"/>
        </w:rPr>
      </w:pPr>
    </w:p>
    <w:p>
      <w:pPr>
        <w:pStyle w:val="3"/>
        <w:spacing w:after="120" w:line="480" w:lineRule="exact"/>
        <w:rPr>
          <w:rFonts w:hAnsi="宋体" w:cs="宋体"/>
          <w:b/>
          <w:color w:val="auto"/>
          <w:sz w:val="28"/>
          <w:szCs w:val="28"/>
          <w:highlight w:val="none"/>
        </w:rPr>
      </w:pPr>
      <w:r>
        <w:rPr>
          <w:rFonts w:hint="eastAsia" w:hAnsi="宋体" w:cs="宋体"/>
          <w:b/>
          <w:color w:val="auto"/>
          <w:sz w:val="28"/>
          <w:szCs w:val="28"/>
          <w:highlight w:val="none"/>
        </w:rPr>
        <w:br w:type="page"/>
      </w:r>
      <w:r>
        <w:rPr>
          <w:rFonts w:hint="eastAsia" w:hAnsi="宋体" w:cs="宋体"/>
          <w:b/>
          <w:color w:val="auto"/>
          <w:sz w:val="28"/>
          <w:szCs w:val="28"/>
          <w:highlight w:val="none"/>
        </w:rPr>
        <w:t>附件一：评标工作大纲</w:t>
      </w:r>
    </w:p>
    <w:p>
      <w:pPr>
        <w:tabs>
          <w:tab w:val="left" w:pos="1287"/>
        </w:tabs>
        <w:snapToGrid w:val="0"/>
        <w:spacing w:line="360" w:lineRule="auto"/>
        <w:ind w:leftChars="-171" w:hanging="359" w:hangingChars="171"/>
        <w:rPr>
          <w:rFonts w:ascii="仿宋" w:hAnsi="仿宋" w:eastAsia="仿宋" w:cs="仿宋"/>
          <w:color w:val="auto"/>
          <w:szCs w:val="21"/>
          <w:highlight w:val="none"/>
        </w:rPr>
      </w:pPr>
      <w:r>
        <w:rPr>
          <w:rFonts w:hint="eastAsia" w:ascii="仿宋" w:hAnsi="仿宋" w:eastAsia="仿宋" w:cs="仿宋"/>
          <w:color w:val="auto"/>
          <w:szCs w:val="21"/>
          <w:highlight w:val="none"/>
        </w:rPr>
        <w:t>一、评标原则和目的</w:t>
      </w:r>
    </w:p>
    <w:p>
      <w:pPr>
        <w:numPr>
          <w:ilvl w:val="1"/>
          <w:numId w:val="21"/>
        </w:numPr>
        <w:autoSpaceDE/>
        <w:autoSpaceDN/>
        <w:adjustRightInd/>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“南海海洋预警信息发布和沿海恶劣天气防灾叫应系统(二期)”（采购编号：</w:t>
      </w:r>
      <w:r>
        <w:rPr>
          <w:rFonts w:hint="eastAsia" w:ascii="仿宋" w:hAnsi="仿宋" w:eastAsia="仿宋" w:cs="仿宋"/>
          <w:color w:val="auto"/>
          <w:kern w:val="2"/>
          <w:szCs w:val="21"/>
          <w:highlight w:val="none"/>
          <w:lang w:val="zh-CN"/>
        </w:rPr>
        <w:t>GDYD230090</w:t>
      </w:r>
      <w:r>
        <w:rPr>
          <w:rFonts w:hint="eastAsia" w:ascii="仿宋" w:hAnsi="仿宋" w:eastAsia="仿宋" w:cs="仿宋"/>
          <w:color w:val="auto"/>
          <w:szCs w:val="21"/>
          <w:highlight w:val="none"/>
        </w:rPr>
        <w:t>）的招标依照《中华人民共和国政府采购法》、《政府采购货物和服务招标投标管理办法》（财政部令第87号）及国家和地方政府关于采购的有关规定进行。评标必须遵循公开、公平、公正、诚实信用的原则。评标按照招标文件规定的内容进行，采取综合评标办法，避免纯技术或纯经济的倾向。</w:t>
      </w:r>
    </w:p>
    <w:p>
      <w:pPr>
        <w:numPr>
          <w:ilvl w:val="1"/>
          <w:numId w:val="21"/>
        </w:numPr>
        <w:autoSpaceDE/>
        <w:autoSpaceDN/>
        <w:adjustRightInd/>
        <w:spacing w:line="360" w:lineRule="auto"/>
        <w:jc w:val="both"/>
        <w:rPr>
          <w:rFonts w:ascii="仿宋" w:hAnsi="仿宋" w:eastAsia="仿宋" w:cs="仿宋"/>
          <w:color w:val="auto"/>
          <w:szCs w:val="21"/>
          <w:highlight w:val="none"/>
        </w:rPr>
      </w:pPr>
      <w:r>
        <w:rPr>
          <w:rFonts w:hint="eastAsia" w:ascii="仿宋" w:hAnsi="仿宋" w:eastAsia="仿宋" w:cs="仿宋"/>
          <w:color w:val="auto"/>
          <w:szCs w:val="21"/>
          <w:highlight w:val="none"/>
        </w:rPr>
        <w:t>本办法的评标对象是指投标人按照招标文件要求提供的有效投标文件，包括投标人应评标委员会要求对原投标文件作出的正式书面澄清文件。</w:t>
      </w:r>
    </w:p>
    <w:p>
      <w:pPr>
        <w:tabs>
          <w:tab w:val="left" w:pos="1287"/>
        </w:tabs>
        <w:snapToGrid w:val="0"/>
        <w:spacing w:line="360" w:lineRule="auto"/>
        <w:ind w:leftChars="-171" w:hanging="359" w:hangingChars="171"/>
        <w:rPr>
          <w:rFonts w:ascii="仿宋" w:hAnsi="仿宋" w:eastAsia="仿宋" w:cs="仿宋"/>
          <w:color w:val="auto"/>
          <w:szCs w:val="21"/>
          <w:highlight w:val="none"/>
        </w:rPr>
      </w:pPr>
      <w:r>
        <w:rPr>
          <w:rFonts w:hint="eastAsia" w:ascii="仿宋" w:hAnsi="仿宋" w:eastAsia="仿宋" w:cs="仿宋"/>
          <w:color w:val="auto"/>
          <w:szCs w:val="21"/>
          <w:highlight w:val="none"/>
        </w:rPr>
        <w:t>二、评标程序</w:t>
      </w:r>
    </w:p>
    <w:p>
      <w:pPr>
        <w:tabs>
          <w:tab w:val="left" w:pos="984"/>
        </w:tabs>
        <w:snapToGrid w:val="0"/>
        <w:spacing w:line="360" w:lineRule="auto"/>
        <w:ind w:left="-171" w:hanging="9"/>
        <w:rPr>
          <w:rFonts w:ascii="仿宋" w:hAnsi="仿宋" w:eastAsia="仿宋" w:cs="仿宋"/>
          <w:color w:val="auto"/>
          <w:szCs w:val="21"/>
          <w:highlight w:val="none"/>
        </w:rPr>
      </w:pPr>
      <w:r>
        <w:rPr>
          <w:rFonts w:hint="eastAsia" w:ascii="仿宋" w:hAnsi="仿宋" w:eastAsia="仿宋" w:cs="仿宋"/>
          <w:color w:val="auto"/>
          <w:szCs w:val="21"/>
          <w:highlight w:val="none"/>
        </w:rPr>
        <w:t>（一）对投标人的资格性检查（由招标代理机构负责）</w:t>
      </w:r>
    </w:p>
    <w:p>
      <w:pPr>
        <w:snapToGrid w:val="0"/>
        <w:spacing w:line="360" w:lineRule="auto"/>
        <w:ind w:left="-171" w:firstLine="576"/>
        <w:rPr>
          <w:rFonts w:ascii="仿宋" w:hAnsi="仿宋" w:eastAsia="仿宋" w:cs="仿宋"/>
          <w:color w:val="auto"/>
          <w:szCs w:val="21"/>
          <w:highlight w:val="none"/>
        </w:rPr>
      </w:pPr>
      <w:r>
        <w:rPr>
          <w:rFonts w:hint="eastAsia" w:ascii="仿宋" w:hAnsi="仿宋" w:eastAsia="仿宋" w:cs="仿宋"/>
          <w:color w:val="auto"/>
          <w:szCs w:val="21"/>
          <w:highlight w:val="none"/>
        </w:rPr>
        <w:t>评标过程应在开标后立即开始。依据法律法规和招标文件的规定，对投标文件中的资格证明、投标保证金等进行审查，以确定投标人是否具备投标资格</w:t>
      </w:r>
      <w:r>
        <w:rPr>
          <w:rFonts w:hint="eastAsia" w:ascii="仿宋" w:hAnsi="仿宋" w:eastAsia="仿宋" w:cs="仿宋"/>
          <w:color w:val="auto"/>
          <w:szCs w:val="21"/>
          <w:highlight w:val="none"/>
          <w:lang w:val="zh-CN"/>
        </w:rPr>
        <w:t>。</w:t>
      </w:r>
      <w:r>
        <w:rPr>
          <w:rFonts w:hint="eastAsia" w:ascii="仿宋" w:hAnsi="仿宋" w:eastAsia="仿宋" w:cs="仿宋"/>
          <w:color w:val="auto"/>
          <w:szCs w:val="21"/>
          <w:highlight w:val="none"/>
        </w:rPr>
        <w:t>应进行以下审核：</w:t>
      </w:r>
    </w:p>
    <w:p>
      <w:pPr>
        <w:pStyle w:val="99"/>
        <w:keepNext w:val="0"/>
        <w:numPr>
          <w:ilvl w:val="0"/>
          <w:numId w:val="22"/>
        </w:numPr>
        <w:tabs>
          <w:tab w:val="left" w:pos="960"/>
        </w:tabs>
        <w:spacing w:after="0" w:line="360" w:lineRule="auto"/>
        <w:ind w:left="960" w:hanging="480"/>
        <w:rPr>
          <w:rFonts w:ascii="仿宋" w:hAnsi="仿宋" w:eastAsia="仿宋" w:cs="仿宋"/>
          <w:bCs/>
          <w:color w:val="auto"/>
          <w:szCs w:val="21"/>
          <w:highlight w:val="none"/>
        </w:rPr>
      </w:pPr>
      <w:r>
        <w:rPr>
          <w:rFonts w:hint="eastAsia" w:ascii="仿宋" w:hAnsi="仿宋" w:eastAsia="仿宋" w:cs="仿宋"/>
          <w:color w:val="auto"/>
          <w:szCs w:val="21"/>
          <w:highlight w:val="none"/>
        </w:rPr>
        <w:t>投标函</w:t>
      </w:r>
    </w:p>
    <w:p>
      <w:pPr>
        <w:pStyle w:val="99"/>
        <w:keepNext w:val="0"/>
        <w:numPr>
          <w:ilvl w:val="0"/>
          <w:numId w:val="22"/>
        </w:numPr>
        <w:tabs>
          <w:tab w:val="left" w:pos="960"/>
        </w:tabs>
        <w:spacing w:after="0" w:line="360" w:lineRule="auto"/>
        <w:ind w:left="960" w:hanging="480"/>
        <w:rPr>
          <w:rFonts w:ascii="仿宋" w:hAnsi="仿宋" w:eastAsia="仿宋" w:cs="仿宋"/>
          <w:bCs/>
          <w:color w:val="auto"/>
          <w:szCs w:val="21"/>
          <w:highlight w:val="none"/>
        </w:rPr>
      </w:pPr>
      <w:r>
        <w:rPr>
          <w:rFonts w:hint="eastAsia" w:ascii="仿宋" w:hAnsi="仿宋" w:eastAsia="仿宋" w:cs="仿宋"/>
          <w:color w:val="auto"/>
          <w:szCs w:val="21"/>
          <w:highlight w:val="none"/>
        </w:rPr>
        <w:t>法定代表人/负责人资格证明书及授权委托书</w:t>
      </w:r>
    </w:p>
    <w:p>
      <w:pPr>
        <w:pStyle w:val="99"/>
        <w:keepNext w:val="0"/>
        <w:numPr>
          <w:ilvl w:val="0"/>
          <w:numId w:val="22"/>
        </w:numPr>
        <w:tabs>
          <w:tab w:val="left" w:pos="960"/>
        </w:tabs>
        <w:spacing w:after="0" w:line="360" w:lineRule="auto"/>
        <w:ind w:left="960" w:hanging="480"/>
        <w:rPr>
          <w:rFonts w:ascii="仿宋" w:hAnsi="仿宋" w:eastAsia="仿宋" w:cs="仿宋"/>
          <w:bCs/>
          <w:color w:val="auto"/>
          <w:szCs w:val="21"/>
          <w:highlight w:val="none"/>
        </w:rPr>
      </w:pPr>
      <w:r>
        <w:rPr>
          <w:rFonts w:hint="eastAsia" w:ascii="仿宋" w:hAnsi="仿宋" w:eastAsia="仿宋" w:cs="仿宋"/>
          <w:bCs/>
          <w:color w:val="auto"/>
          <w:szCs w:val="21"/>
          <w:highlight w:val="none"/>
        </w:rPr>
        <w:t>营业执照副本复印件（加盖公章）</w:t>
      </w:r>
    </w:p>
    <w:p>
      <w:pPr>
        <w:pStyle w:val="99"/>
        <w:keepNext w:val="0"/>
        <w:numPr>
          <w:ilvl w:val="0"/>
          <w:numId w:val="22"/>
        </w:numPr>
        <w:tabs>
          <w:tab w:val="left" w:pos="960"/>
        </w:tabs>
        <w:spacing w:after="0" w:line="360" w:lineRule="auto"/>
        <w:ind w:left="960" w:hanging="480"/>
        <w:rPr>
          <w:rFonts w:ascii="仿宋" w:hAnsi="仿宋" w:eastAsia="仿宋" w:cs="仿宋"/>
          <w:bCs/>
          <w:color w:val="auto"/>
          <w:szCs w:val="21"/>
          <w:highlight w:val="none"/>
        </w:rPr>
      </w:pPr>
      <w:r>
        <w:rPr>
          <w:rFonts w:hint="eastAsia" w:ascii="仿宋" w:hAnsi="仿宋" w:eastAsia="仿宋" w:cs="仿宋"/>
          <w:color w:val="auto"/>
          <w:szCs w:val="21"/>
          <w:highlight w:val="none"/>
        </w:rPr>
        <w:t>在参与政府采购活动中未有违法违纪行为并受过处罚</w:t>
      </w:r>
    </w:p>
    <w:p>
      <w:pPr>
        <w:pStyle w:val="99"/>
        <w:keepNext w:val="0"/>
        <w:numPr>
          <w:ilvl w:val="0"/>
          <w:numId w:val="22"/>
        </w:numPr>
        <w:tabs>
          <w:tab w:val="left" w:pos="960"/>
        </w:tabs>
        <w:spacing w:after="0" w:line="360" w:lineRule="auto"/>
        <w:ind w:left="960" w:hanging="480"/>
        <w:rPr>
          <w:rFonts w:ascii="仿宋" w:hAnsi="仿宋" w:eastAsia="仿宋" w:cs="仿宋"/>
          <w:bCs/>
          <w:color w:val="auto"/>
          <w:szCs w:val="21"/>
          <w:highlight w:val="none"/>
        </w:rPr>
      </w:pPr>
      <w:r>
        <w:rPr>
          <w:rFonts w:hint="eastAsia" w:ascii="仿宋" w:hAnsi="仿宋" w:eastAsia="仿宋" w:cs="仿宋"/>
          <w:bCs/>
          <w:color w:val="auto"/>
          <w:szCs w:val="21"/>
          <w:highlight w:val="none"/>
        </w:rPr>
        <w:t>招标公告要求的资质资格证明复印件（加盖公章）</w:t>
      </w:r>
    </w:p>
    <w:p>
      <w:pPr>
        <w:pStyle w:val="45"/>
        <w:widowControl w:val="0"/>
        <w:spacing w:before="0" w:beforeAutospacing="0" w:after="0" w:afterAutospacing="0" w:line="360" w:lineRule="auto"/>
        <w:ind w:leftChars="-85" w:hanging="178" w:hangingChars="85"/>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（二）对投标人的符合性检查（由评审专家组负责）</w:t>
      </w:r>
    </w:p>
    <w:p>
      <w:pPr>
        <w:pStyle w:val="45"/>
        <w:widowControl w:val="0"/>
        <w:tabs>
          <w:tab w:val="left" w:pos="1080"/>
        </w:tabs>
        <w:spacing w:before="0" w:beforeAutospacing="0" w:after="0" w:afterAutospacing="0" w:line="360" w:lineRule="auto"/>
        <w:ind w:left="134" w:leftChars="64" w:firstLine="420" w:firstLineChars="200"/>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符合性检查是依据招标文件的规定，从投标文件的有效性、完整性和对招标文件的响应程度进行审查，以确定是否对招标文件的实质性要求作出响应。</w:t>
      </w:r>
      <w:r>
        <w:rPr>
          <w:rFonts w:hint="eastAsia" w:ascii="仿宋" w:hAnsi="仿宋" w:eastAsia="仿宋" w:cs="仿宋"/>
          <w:color w:val="auto"/>
          <w:sz w:val="21"/>
          <w:szCs w:val="21"/>
          <w:highlight w:val="none"/>
        </w:rPr>
        <w:t>应进行以下审核：</w:t>
      </w:r>
    </w:p>
    <w:p>
      <w:pPr>
        <w:pStyle w:val="99"/>
        <w:keepNext w:val="0"/>
        <w:numPr>
          <w:ilvl w:val="0"/>
          <w:numId w:val="23"/>
        </w:numPr>
        <w:tabs>
          <w:tab w:val="left" w:pos="960"/>
        </w:tabs>
        <w:spacing w:after="0" w:line="360" w:lineRule="auto"/>
        <w:ind w:hanging="9"/>
        <w:rPr>
          <w:rFonts w:ascii="仿宋" w:hAnsi="仿宋" w:eastAsia="仿宋" w:cs="仿宋"/>
          <w:bCs/>
          <w:color w:val="auto"/>
          <w:szCs w:val="21"/>
          <w:highlight w:val="none"/>
        </w:rPr>
      </w:pPr>
      <w:r>
        <w:rPr>
          <w:rFonts w:hint="eastAsia" w:ascii="仿宋" w:hAnsi="仿宋" w:eastAsia="仿宋" w:cs="仿宋"/>
          <w:bCs/>
          <w:color w:val="auto"/>
          <w:szCs w:val="21"/>
          <w:highlight w:val="none"/>
        </w:rPr>
        <w:t>投标报价不超过最高限价</w:t>
      </w:r>
    </w:p>
    <w:p>
      <w:pPr>
        <w:pStyle w:val="99"/>
        <w:keepNext w:val="0"/>
        <w:numPr>
          <w:ilvl w:val="0"/>
          <w:numId w:val="23"/>
        </w:numPr>
        <w:tabs>
          <w:tab w:val="left" w:pos="960"/>
        </w:tabs>
        <w:spacing w:after="0" w:line="360" w:lineRule="auto"/>
        <w:ind w:hanging="9"/>
        <w:rPr>
          <w:rFonts w:ascii="仿宋" w:hAnsi="仿宋" w:eastAsia="仿宋" w:cs="仿宋"/>
          <w:bCs/>
          <w:color w:val="auto"/>
          <w:szCs w:val="21"/>
          <w:highlight w:val="none"/>
        </w:rPr>
      </w:pPr>
      <w:r>
        <w:rPr>
          <w:rFonts w:hint="eastAsia" w:ascii="仿宋" w:hAnsi="仿宋" w:eastAsia="仿宋" w:cs="仿宋"/>
          <w:color w:val="auto"/>
          <w:szCs w:val="21"/>
          <w:highlight w:val="none"/>
        </w:rPr>
        <w:t>报价方案是唯一确定</w:t>
      </w:r>
    </w:p>
    <w:p>
      <w:pPr>
        <w:pStyle w:val="99"/>
        <w:keepNext w:val="0"/>
        <w:numPr>
          <w:ilvl w:val="0"/>
          <w:numId w:val="23"/>
        </w:numPr>
        <w:tabs>
          <w:tab w:val="left" w:pos="960"/>
        </w:tabs>
        <w:spacing w:after="0" w:line="360" w:lineRule="auto"/>
        <w:ind w:hanging="9"/>
        <w:rPr>
          <w:rFonts w:ascii="仿宋" w:hAnsi="仿宋" w:eastAsia="仿宋" w:cs="仿宋"/>
          <w:bCs/>
          <w:color w:val="auto"/>
          <w:szCs w:val="21"/>
          <w:highlight w:val="none"/>
        </w:rPr>
      </w:pPr>
      <w:r>
        <w:rPr>
          <w:rFonts w:hint="eastAsia" w:ascii="仿宋" w:hAnsi="仿宋" w:eastAsia="仿宋" w:cs="仿宋"/>
          <w:color w:val="auto"/>
          <w:szCs w:val="21"/>
          <w:highlight w:val="none"/>
        </w:rPr>
        <w:t>实质性响应招标文件中“★”号参数的商务要求</w:t>
      </w:r>
    </w:p>
    <w:p>
      <w:pPr>
        <w:pStyle w:val="99"/>
        <w:keepNext w:val="0"/>
        <w:numPr>
          <w:ilvl w:val="0"/>
          <w:numId w:val="23"/>
        </w:numPr>
        <w:tabs>
          <w:tab w:val="left" w:pos="960"/>
        </w:tabs>
        <w:spacing w:after="0" w:line="360" w:lineRule="auto"/>
        <w:ind w:hanging="9"/>
        <w:rPr>
          <w:rFonts w:ascii="仿宋" w:hAnsi="仿宋" w:eastAsia="仿宋" w:cs="仿宋"/>
          <w:bCs/>
          <w:color w:val="auto"/>
          <w:szCs w:val="21"/>
          <w:highlight w:val="none"/>
        </w:rPr>
      </w:pPr>
      <w:r>
        <w:rPr>
          <w:rFonts w:hint="eastAsia" w:ascii="仿宋" w:hAnsi="仿宋" w:eastAsia="仿宋" w:cs="仿宋"/>
          <w:color w:val="auto"/>
          <w:szCs w:val="21"/>
          <w:highlight w:val="none"/>
        </w:rPr>
        <w:t>实质性响应招标文件中“★”号参数的技术要求</w:t>
      </w:r>
    </w:p>
    <w:p>
      <w:pPr>
        <w:pStyle w:val="99"/>
        <w:keepNext w:val="0"/>
        <w:numPr>
          <w:ilvl w:val="0"/>
          <w:numId w:val="23"/>
        </w:numPr>
        <w:tabs>
          <w:tab w:val="left" w:pos="960"/>
        </w:tabs>
        <w:spacing w:after="0" w:line="360" w:lineRule="auto"/>
        <w:ind w:hanging="9"/>
        <w:rPr>
          <w:rFonts w:ascii="仿宋" w:hAnsi="仿宋" w:eastAsia="仿宋" w:cs="仿宋"/>
          <w:bCs/>
          <w:color w:val="auto"/>
          <w:szCs w:val="21"/>
          <w:highlight w:val="none"/>
        </w:rPr>
      </w:pPr>
      <w:r>
        <w:rPr>
          <w:rFonts w:hint="eastAsia" w:ascii="仿宋" w:hAnsi="仿宋" w:eastAsia="仿宋" w:cs="仿宋"/>
          <w:color w:val="auto"/>
          <w:szCs w:val="21"/>
          <w:highlight w:val="none"/>
        </w:rPr>
        <w:t>服务期</w:t>
      </w:r>
    </w:p>
    <w:p>
      <w:pPr>
        <w:pStyle w:val="99"/>
        <w:keepNext w:val="0"/>
        <w:numPr>
          <w:ilvl w:val="0"/>
          <w:numId w:val="23"/>
        </w:numPr>
        <w:tabs>
          <w:tab w:val="left" w:pos="960"/>
        </w:tabs>
        <w:spacing w:after="0" w:line="360" w:lineRule="auto"/>
        <w:ind w:hanging="9"/>
        <w:rPr>
          <w:rFonts w:ascii="仿宋" w:hAnsi="仿宋" w:eastAsia="仿宋" w:cs="仿宋"/>
          <w:bCs/>
          <w:color w:val="auto"/>
          <w:szCs w:val="21"/>
          <w:highlight w:val="none"/>
        </w:rPr>
      </w:pPr>
      <w:r>
        <w:rPr>
          <w:rFonts w:hint="eastAsia" w:ascii="仿宋" w:hAnsi="仿宋" w:eastAsia="仿宋" w:cs="仿宋"/>
          <w:bCs/>
          <w:color w:val="auto"/>
          <w:szCs w:val="21"/>
          <w:highlight w:val="none"/>
        </w:rPr>
        <w:t>无招标文件规定的投标无效情况</w:t>
      </w:r>
    </w:p>
    <w:p>
      <w:pPr>
        <w:pStyle w:val="99"/>
        <w:keepNext w:val="0"/>
        <w:spacing w:after="0" w:line="360" w:lineRule="auto"/>
        <w:ind w:firstLine="422" w:firstLineChars="200"/>
        <w:rPr>
          <w:rFonts w:ascii="仿宋" w:hAnsi="仿宋" w:eastAsia="仿宋" w:cs="仿宋"/>
          <w:b/>
          <w:color w:val="auto"/>
          <w:szCs w:val="21"/>
          <w:highlight w:val="none"/>
        </w:rPr>
      </w:pPr>
      <w:r>
        <w:rPr>
          <w:rFonts w:hint="eastAsia" w:ascii="仿宋" w:hAnsi="仿宋" w:eastAsia="仿宋" w:cs="仿宋"/>
          <w:b/>
          <w:color w:val="auto"/>
          <w:szCs w:val="21"/>
          <w:highlight w:val="none"/>
        </w:rPr>
        <w:t>有下列情况之一的，投标无效：</w:t>
      </w:r>
    </w:p>
    <w:p>
      <w:pPr>
        <w:pStyle w:val="45"/>
        <w:widowControl w:val="0"/>
        <w:spacing w:before="0" w:beforeAutospacing="0" w:after="0" w:afterAutospacing="0" w:line="360" w:lineRule="auto"/>
        <w:ind w:left="537" w:leftChars="115" w:hanging="296" w:hangingChars="14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（1）未按照招标文件的规定提交投标保证金的；</w:t>
      </w:r>
    </w:p>
    <w:p>
      <w:pPr>
        <w:pStyle w:val="45"/>
        <w:widowControl w:val="0"/>
        <w:spacing w:before="0" w:beforeAutospacing="0" w:after="0" w:afterAutospacing="0" w:line="360" w:lineRule="auto"/>
        <w:ind w:left="537" w:leftChars="115" w:hanging="296" w:hangingChars="14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（2）投标文件未按招标文件要求签署、盖章的；</w:t>
      </w:r>
    </w:p>
    <w:p>
      <w:pPr>
        <w:pStyle w:val="45"/>
        <w:widowControl w:val="0"/>
        <w:spacing w:before="0" w:beforeAutospacing="0" w:after="0" w:afterAutospacing="0" w:line="360" w:lineRule="auto"/>
        <w:ind w:left="537" w:leftChars="115" w:hanging="296" w:hangingChars="14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（3）不具备招标文件中规定的资格要求的；</w:t>
      </w:r>
    </w:p>
    <w:p>
      <w:pPr>
        <w:pStyle w:val="45"/>
        <w:widowControl w:val="0"/>
        <w:spacing w:before="0" w:beforeAutospacing="0" w:after="0" w:afterAutospacing="0" w:line="360" w:lineRule="auto"/>
        <w:ind w:left="537" w:leftChars="115" w:hanging="296" w:hangingChars="14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（4）报价超过招标文件中规定的预算金额或者最高限价的；</w:t>
      </w:r>
    </w:p>
    <w:p>
      <w:pPr>
        <w:pStyle w:val="45"/>
        <w:widowControl w:val="0"/>
        <w:spacing w:before="0" w:beforeAutospacing="0" w:after="0" w:afterAutospacing="0" w:line="360" w:lineRule="auto"/>
        <w:ind w:left="537" w:leftChars="115" w:hanging="296" w:hangingChars="14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（5）投标文件含有采购人不能接受的附加条件的;</w:t>
      </w:r>
    </w:p>
    <w:p>
      <w:pPr>
        <w:pStyle w:val="45"/>
        <w:widowControl w:val="0"/>
        <w:spacing w:before="0" w:beforeAutospacing="0" w:after="0" w:afterAutospacing="0" w:line="360" w:lineRule="auto"/>
        <w:ind w:left="537" w:leftChars="115" w:hanging="296" w:hangingChars="14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（6）无提供参加政府采购活动前3年内在经营活动中没有重大违法记录的书面声明。</w:t>
      </w:r>
    </w:p>
    <w:p>
      <w:pPr>
        <w:pStyle w:val="45"/>
        <w:widowControl w:val="0"/>
        <w:spacing w:before="0" w:beforeAutospacing="0" w:after="0" w:afterAutospacing="0" w:line="360" w:lineRule="auto"/>
        <w:ind w:left="537" w:leftChars="115" w:hanging="296" w:hangingChars="14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（7）法律、法规和招标文件规定的其他无效情形。</w:t>
      </w:r>
    </w:p>
    <w:p>
      <w:pPr>
        <w:pStyle w:val="45"/>
        <w:widowControl w:val="0"/>
        <w:spacing w:before="0" w:beforeAutospacing="0" w:after="0" w:afterAutospacing="0" w:line="360" w:lineRule="auto"/>
        <w:ind w:left="538" w:leftChars="-85" w:hanging="716" w:hangingChars="34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（三） 以上资格性检查、符合性检查中带部分有不合格分项的投标文件，将作废标处理。经评标委员会确认的无效投标文件，采购人和采购代理机构将予以拒绝，并且不允许通过修正或</w:t>
      </w:r>
      <w:r>
        <w:rPr>
          <w:rFonts w:hint="eastAsia" w:ascii="仿宋" w:hAnsi="仿宋" w:eastAsia="仿宋" w:cs="仿宋"/>
          <w:color w:val="auto"/>
          <w:sz w:val="21"/>
          <w:szCs w:val="21"/>
          <w:highlight w:val="none"/>
          <w:lang w:eastAsia="zh-CN"/>
        </w:rPr>
        <w:t>撤销其</w:t>
      </w:r>
      <w:r>
        <w:rPr>
          <w:rFonts w:hint="eastAsia" w:ascii="仿宋" w:hAnsi="仿宋" w:eastAsia="仿宋" w:cs="仿宋"/>
          <w:color w:val="auto"/>
          <w:sz w:val="21"/>
          <w:szCs w:val="21"/>
          <w:highlight w:val="none"/>
        </w:rPr>
        <w:t>不符合要求的差异，使之成为具有符合性的投标文件。</w:t>
      </w:r>
    </w:p>
    <w:p>
      <w:pPr>
        <w:pStyle w:val="45"/>
        <w:widowControl w:val="0"/>
        <w:spacing w:before="0" w:beforeAutospacing="0" w:after="0" w:afterAutospacing="0" w:line="360" w:lineRule="auto"/>
        <w:ind w:left="410" w:leftChars="-85" w:hanging="588" w:hangingChars="2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四）开标之后首先由采购代理机构工作人员就投标人的投标文件进行资格性检查，资格性检查通过的投标人将由负责评标委员会进行符合性检查，经评标委员会确认具有有效投标文件的投标人不足三家时将重新组织招标。</w:t>
      </w:r>
    </w:p>
    <w:p>
      <w:pPr>
        <w:pStyle w:val="45"/>
        <w:widowControl w:val="0"/>
        <w:spacing w:before="0" w:beforeAutospacing="0" w:after="0" w:afterAutospacing="0" w:line="360" w:lineRule="auto"/>
        <w:ind w:left="410" w:leftChars="-85" w:hanging="588" w:hangingChars="2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（五）现场澄清：按招标文件第二篇。</w:t>
      </w:r>
    </w:p>
    <w:p>
      <w:pPr>
        <w:pStyle w:val="45"/>
        <w:widowControl w:val="0"/>
        <w:spacing w:before="0" w:beforeAutospacing="0" w:after="0" w:afterAutospacing="0" w:line="360" w:lineRule="auto"/>
        <w:ind w:left="410" w:leftChars="-85" w:hanging="588" w:hangingChars="2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（六）细微偏差修正</w:t>
      </w:r>
    </w:p>
    <w:p>
      <w:pPr>
        <w:spacing w:line="360" w:lineRule="auto"/>
        <w:ind w:firstLine="840" w:firstLineChars="400"/>
        <w:rPr>
          <w:rFonts w:ascii="仿宋" w:hAnsi="仿宋" w:eastAsia="仿宋" w:cs="仿宋"/>
          <w:color w:val="auto"/>
          <w:szCs w:val="21"/>
          <w:highlight w:val="none"/>
        </w:rPr>
      </w:pPr>
      <w:r>
        <w:rPr>
          <w:rFonts w:hint="eastAsia" w:ascii="仿宋" w:hAnsi="仿宋" w:eastAsia="仿宋" w:cs="仿宋"/>
          <w:color w:val="auto"/>
          <w:szCs w:val="21"/>
          <w:highlight w:val="none"/>
        </w:rPr>
        <w:t>1.投标文件中开标一览表（报价表）内容与投标文件中相应内容不一致的，以开标一览表（报价</w:t>
      </w:r>
    </w:p>
    <w:p>
      <w:pPr>
        <w:spacing w:line="360" w:lineRule="auto"/>
        <w:ind w:firstLine="1050" w:firstLineChars="500"/>
        <w:rPr>
          <w:rFonts w:ascii="仿宋" w:hAnsi="仿宋" w:eastAsia="仿宋" w:cs="仿宋"/>
          <w:color w:val="auto"/>
          <w:szCs w:val="21"/>
          <w:highlight w:val="none"/>
        </w:rPr>
      </w:pPr>
      <w:r>
        <w:rPr>
          <w:rFonts w:hint="eastAsia" w:ascii="仿宋" w:hAnsi="仿宋" w:eastAsia="仿宋" w:cs="仿宋"/>
          <w:color w:val="auto"/>
          <w:szCs w:val="21"/>
          <w:highlight w:val="none"/>
        </w:rPr>
        <w:t>表）为准；</w:t>
      </w:r>
    </w:p>
    <w:p>
      <w:pPr>
        <w:spacing w:line="360" w:lineRule="auto"/>
        <w:ind w:firstLine="840" w:firstLineChars="400"/>
        <w:rPr>
          <w:rFonts w:ascii="仿宋" w:hAnsi="仿宋" w:eastAsia="仿宋" w:cs="仿宋"/>
          <w:color w:val="auto"/>
          <w:szCs w:val="21"/>
          <w:highlight w:val="none"/>
        </w:rPr>
      </w:pPr>
      <w:r>
        <w:rPr>
          <w:rFonts w:hint="eastAsia" w:ascii="仿宋" w:hAnsi="仿宋" w:eastAsia="仿宋" w:cs="仿宋"/>
          <w:color w:val="auto"/>
          <w:szCs w:val="21"/>
          <w:highlight w:val="none"/>
        </w:rPr>
        <w:t>2.大写金额和小写金额不一致的，以大写金额为准；</w:t>
      </w:r>
    </w:p>
    <w:p>
      <w:pPr>
        <w:spacing w:line="360" w:lineRule="auto"/>
        <w:ind w:firstLine="840" w:firstLineChars="400"/>
        <w:rPr>
          <w:rFonts w:ascii="仿宋" w:hAnsi="仿宋" w:eastAsia="仿宋" w:cs="仿宋"/>
          <w:color w:val="auto"/>
          <w:szCs w:val="21"/>
          <w:highlight w:val="none"/>
        </w:rPr>
      </w:pPr>
      <w:r>
        <w:rPr>
          <w:rFonts w:hint="eastAsia" w:ascii="仿宋" w:hAnsi="仿宋" w:eastAsia="仿宋" w:cs="仿宋"/>
          <w:color w:val="auto"/>
          <w:szCs w:val="21"/>
          <w:highlight w:val="none"/>
        </w:rPr>
        <w:t>3.单价金额小数点或者百分比有明显错位的，以开标一览表的总价为准，并修改单价；</w:t>
      </w:r>
    </w:p>
    <w:p>
      <w:pPr>
        <w:spacing w:line="360" w:lineRule="auto"/>
        <w:ind w:firstLine="840" w:firstLineChars="400"/>
        <w:rPr>
          <w:rFonts w:ascii="仿宋" w:hAnsi="仿宋" w:eastAsia="仿宋" w:cs="仿宋"/>
          <w:color w:val="auto"/>
          <w:szCs w:val="21"/>
          <w:highlight w:val="none"/>
        </w:rPr>
      </w:pPr>
      <w:r>
        <w:rPr>
          <w:rFonts w:hint="eastAsia" w:ascii="仿宋" w:hAnsi="仿宋" w:eastAsia="仿宋" w:cs="仿宋"/>
          <w:color w:val="auto"/>
          <w:szCs w:val="21"/>
          <w:highlight w:val="none"/>
        </w:rPr>
        <w:t>4.总价金额与按单价汇总金额不一致的，以单价金额计算结果为准。</w:t>
      </w:r>
    </w:p>
    <w:p>
      <w:pPr>
        <w:pStyle w:val="45"/>
        <w:widowControl w:val="0"/>
        <w:spacing w:before="0" w:beforeAutospacing="0" w:after="0" w:afterAutospacing="0" w:line="360" w:lineRule="auto"/>
        <w:ind w:left="859" w:leftChars="257" w:hanging="319" w:hangingChars="152"/>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　同时出现两种以上不一致的，按照前款规定的顺序修正。修正后的报价按照《政府采购货物和服</w:t>
      </w:r>
    </w:p>
    <w:p>
      <w:pPr>
        <w:pStyle w:val="45"/>
        <w:widowControl w:val="0"/>
        <w:spacing w:before="0" w:beforeAutospacing="0" w:after="0" w:afterAutospacing="0" w:line="360" w:lineRule="auto"/>
        <w:ind w:left="829" w:leftChars="344" w:hanging="107" w:hangingChars="5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务招标投标管理办法》（财政部令第87号）第五十一条第二款的规定经投标人确认后产生约束</w:t>
      </w:r>
    </w:p>
    <w:p>
      <w:pPr>
        <w:pStyle w:val="45"/>
        <w:widowControl w:val="0"/>
        <w:spacing w:before="0" w:beforeAutospacing="0" w:after="0" w:afterAutospacing="0" w:line="360" w:lineRule="auto"/>
        <w:ind w:left="829" w:leftChars="344" w:hanging="107" w:hangingChars="51"/>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力，投标人不确认的，其投标无效。</w:t>
      </w:r>
    </w:p>
    <w:p>
      <w:pPr>
        <w:snapToGrid w:val="0"/>
        <w:spacing w:line="360" w:lineRule="auto"/>
        <w:ind w:left="708" w:hanging="707" w:hangingChars="337"/>
        <w:rPr>
          <w:rFonts w:ascii="仿宋" w:hAnsi="仿宋" w:eastAsia="仿宋" w:cs="仿宋"/>
          <w:color w:val="auto"/>
          <w:szCs w:val="21"/>
          <w:highlight w:val="none"/>
        </w:rPr>
      </w:pPr>
      <w:r>
        <w:rPr>
          <w:rFonts w:hint="eastAsia" w:ascii="仿宋" w:hAnsi="仿宋" w:eastAsia="仿宋" w:cs="仿宋"/>
          <w:color w:val="auto"/>
          <w:szCs w:val="21"/>
          <w:highlight w:val="none"/>
        </w:rPr>
        <w:t>（七）评标委员会根据《关于印发中小企业划型标准规定的通知》（工信部联企业[2011]300号）、《政府采购促进中小企业发展管理办法》(财库(2020)46号)、《关于政府采购支持监狱企业发展有关问题的通知》(财库〔2014〕68号)、《关于促进残疾人就业政府采购政策的通知》（财库〔2017〕141号)、《关于环境标志产品政府采购实施的意见》（财库〔2006〕90号、《节能产品政府采购实施意见》的通知（财库〔2004〕185号）的有关规定，对通过资格性检查和符合性检查的投标文件进行相对应的审核工作(如需要)。</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（八）得分统计及推荐中标候选人名单</w:t>
      </w:r>
    </w:p>
    <w:p>
      <w:pPr>
        <w:spacing w:line="360" w:lineRule="auto"/>
        <w:ind w:left="554" w:leftChars="264"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1.评标委员会按照采购文件确定的评审标准、程序和方法，对投标文件进行评审，提出书面评标报告。</w:t>
      </w:r>
    </w:p>
    <w:p>
      <w:pPr>
        <w:spacing w:line="360" w:lineRule="auto"/>
        <w:ind w:left="554" w:leftChars="264"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2.采用综合评分法，按照评标程序、评分标准以及权重分配的规定，评标委员会各成员分别首先就各个投标人的技术状况、商务状况及其对招标文件要求的响应情况进行评议和比较，评出其商务评分和技术评分，所有评委各投标人的商务得分和技术得分应为各评委的评分相加，再除以评委人数，得出平均得分，将各投标人的商务得分、技术得分和价格得分相加得出其综合得分。</w:t>
      </w:r>
    </w:p>
    <w:p>
      <w:pPr>
        <w:spacing w:line="360" w:lineRule="auto"/>
        <w:ind w:left="554" w:leftChars="264"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3.投标人的最终评标得分＝商务得分+技术得分+价格得分,评分统计的结果数据须经评委验算审核并签名确认。</w:t>
      </w:r>
    </w:p>
    <w:p>
      <w:pPr>
        <w:spacing w:line="360" w:lineRule="auto"/>
        <w:ind w:left="554" w:leftChars="264"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4.评标委员会按评审后综合评分由高到低顺序排列。综合评分相同的投标人，所投产品符合《关于环境标志产品政府采购实施的意见》（财库〔2006〕90号或《节能产品政府采购实施意见》的通知（财库〔2004〕185号）规定的投标人排序优先。如条件相等，则评标价格低的投标人排序优先。综合得分相同且评标价相同的，则技术部分评分得分高的优先。综合评分相同，且评标价和技术评分及政策性扶持条件（关于环境标志产品政府采购实施的意见》（财库〔2006〕90号或《节能产品政府采购实施意见》的通知（财库〔2004〕185号））均相同的，名次由评委会投票决定。评委会按上述排列向采购人推荐综合总得分第一名为中标候选供应商，第二名为第二中标候选供应商。第二名报价高于第一名报价20％以上的，只推荐一名中标候选人。第一中标候选人不得随意放弃中标资格。</w:t>
      </w:r>
    </w:p>
    <w:p>
      <w:pPr>
        <w:spacing w:line="360" w:lineRule="auto"/>
        <w:ind w:left="554" w:leftChars="264"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5.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同品牌产品只适用于标注有【核心产品】的产品）</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（九）编制评标报告。</w:t>
      </w:r>
    </w:p>
    <w:p>
      <w:pPr>
        <w:spacing w:line="360" w:lineRule="auto"/>
        <w:ind w:left="554" w:leftChars="264"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评标委员会根据评标结果撰写评标报告。评标报告是评标委员会根据全体评标成员签字的原始评标记录和评标结果编写的报告，其主要内容包括：</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1.招标公告刊登的媒体名称、开标日期和地点；</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2.购买招标文件的投标人名单和评标委员会成员名单；</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3.评标方法和标准；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4.开标记录和评标情况及说明，包括投标无效投标人名单及原因；</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5.评标结果和中标候选供应商排序表；</w:t>
      </w:r>
    </w:p>
    <w:p>
      <w:pPr>
        <w:pStyle w:val="28"/>
        <w:spacing w:line="360" w:lineRule="auto"/>
        <w:ind w:firstLine="630" w:firstLineChars="300"/>
        <w:rPr>
          <w:rFonts w:ascii="仿宋" w:hAnsi="仿宋" w:eastAsia="仿宋" w:cs="仿宋"/>
          <w:color w:val="auto"/>
          <w:szCs w:val="21"/>
          <w:highlight w:val="none"/>
        </w:rPr>
        <w:sectPr>
          <w:headerReference r:id="rId6" w:type="first"/>
          <w:footerReference r:id="rId7" w:type="even"/>
          <w:type w:val="nextColumn"/>
          <w:pgSz w:w="11907" w:h="16840"/>
          <w:pgMar w:top="1304" w:right="1134" w:bottom="1247" w:left="1134" w:header="709" w:footer="697" w:gutter="0"/>
          <w:cols w:space="720" w:num="1"/>
          <w:docGrid w:linePitch="285" w:charSpace="0"/>
        </w:sectPr>
      </w:pPr>
      <w:r>
        <w:rPr>
          <w:rFonts w:hint="eastAsia" w:ascii="仿宋" w:hAnsi="仿宋" w:eastAsia="仿宋" w:cs="仿宋"/>
          <w:color w:val="auto"/>
          <w:szCs w:val="21"/>
          <w:highlight w:val="none"/>
        </w:rPr>
        <w:t>6.评标委员会的授标建议。</w:t>
      </w:r>
    </w:p>
    <w:p>
      <w:pPr>
        <w:pStyle w:val="3"/>
        <w:spacing w:after="120" w:line="480" w:lineRule="exact"/>
        <w:rPr>
          <w:rFonts w:hAnsi="宋体" w:cs="宋体"/>
          <w:b/>
          <w:color w:val="auto"/>
          <w:sz w:val="28"/>
          <w:szCs w:val="28"/>
          <w:highlight w:val="none"/>
        </w:rPr>
      </w:pPr>
      <w:r>
        <w:rPr>
          <w:rFonts w:hint="eastAsia" w:hAnsi="宋体" w:cs="宋体"/>
          <w:b/>
          <w:color w:val="auto"/>
          <w:sz w:val="28"/>
          <w:szCs w:val="28"/>
          <w:highlight w:val="none"/>
        </w:rPr>
        <w:t>资格性检查表：</w:t>
      </w:r>
    </w:p>
    <w:p>
      <w:pPr>
        <w:rPr>
          <w:rFonts w:hAnsi="宋体" w:cs="宋体"/>
          <w:color w:val="auto"/>
          <w:szCs w:val="21"/>
          <w:highlight w:val="none"/>
        </w:rPr>
      </w:pP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采购编号：</w:t>
      </w:r>
      <w:r>
        <w:rPr>
          <w:rFonts w:hint="eastAsia" w:ascii="仿宋" w:hAnsi="仿宋" w:eastAsia="仿宋" w:cs="仿宋"/>
          <w:color w:val="auto"/>
          <w:kern w:val="2"/>
          <w:szCs w:val="21"/>
          <w:highlight w:val="none"/>
          <w:lang w:val="zh-CN"/>
        </w:rPr>
        <w:t>GDYD230090</w:t>
      </w:r>
      <w:r>
        <w:rPr>
          <w:rFonts w:hint="eastAsia" w:ascii="仿宋" w:hAnsi="仿宋" w:eastAsia="仿宋" w:cs="仿宋"/>
          <w:color w:val="auto"/>
          <w:szCs w:val="21"/>
          <w:highlight w:val="none"/>
        </w:rPr>
        <w:t xml:space="preserve">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项目名称：南海海洋预警信息发布和沿海恶劣天气防灾叫应系统(二期)</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3937"/>
        <w:gridCol w:w="1115"/>
        <w:gridCol w:w="1115"/>
        <w:gridCol w:w="1115"/>
        <w:gridCol w:w="1115"/>
        <w:gridCol w:w="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427" w:type="dxa"/>
            <w:vAlign w:val="center"/>
          </w:tcPr>
          <w:p>
            <w:pPr>
              <w:pStyle w:val="13"/>
              <w:tabs>
                <w:tab w:val="left" w:pos="7740"/>
              </w:tabs>
              <w:snapToGrid w:val="0"/>
              <w:ind w:firstLine="0" w:firstLineChars="0"/>
              <w:rPr>
                <w:rFonts w:ascii="仿宋" w:hAnsi="仿宋" w:eastAsia="仿宋" w:cs="仿宋"/>
                <w:color w:val="auto"/>
                <w:sz w:val="21"/>
                <w:szCs w:val="21"/>
                <w:highlight w:val="none"/>
              </w:rPr>
            </w:pPr>
          </w:p>
        </w:tc>
        <w:tc>
          <w:tcPr>
            <w:tcW w:w="3937" w:type="dxa"/>
            <w:tcBorders>
              <w:tl2br w:val="single" w:color="auto" w:sz="4" w:space="0"/>
            </w:tcBorders>
            <w:vAlign w:val="center"/>
          </w:tcPr>
          <w:p>
            <w:pPr>
              <w:pStyle w:val="13"/>
              <w:tabs>
                <w:tab w:val="left" w:pos="7740"/>
              </w:tabs>
              <w:snapToGrid w:val="0"/>
              <w:ind w:firstLine="0" w:firstLineChars="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审查内容                                    投标人名称</w:t>
            </w:r>
          </w:p>
        </w:tc>
        <w:tc>
          <w:tcPr>
            <w:tcW w:w="1115" w:type="dxa"/>
            <w:vAlign w:val="center"/>
          </w:tcPr>
          <w:p>
            <w:pPr>
              <w:pStyle w:val="13"/>
              <w:tabs>
                <w:tab w:val="left" w:pos="7740"/>
              </w:tabs>
              <w:snapToGrid w:val="0"/>
              <w:ind w:firstLine="0" w:firstLineChars="0"/>
              <w:jc w:val="center"/>
              <w:rPr>
                <w:rFonts w:ascii="仿宋" w:hAnsi="仿宋" w:eastAsia="仿宋" w:cs="仿宋"/>
                <w:color w:val="auto"/>
                <w:sz w:val="21"/>
                <w:szCs w:val="21"/>
                <w:highlight w:val="none"/>
                <w:lang w:val="hr-HR"/>
              </w:rPr>
            </w:pPr>
            <w:r>
              <w:rPr>
                <w:rFonts w:hint="eastAsia" w:ascii="仿宋" w:hAnsi="仿宋" w:eastAsia="仿宋" w:cs="仿宋"/>
                <w:color w:val="auto"/>
                <w:sz w:val="21"/>
                <w:szCs w:val="21"/>
                <w:highlight w:val="none"/>
              </w:rPr>
              <w:t>投标人1</w:t>
            </w:r>
          </w:p>
        </w:tc>
        <w:tc>
          <w:tcPr>
            <w:tcW w:w="1115" w:type="dxa"/>
            <w:vAlign w:val="center"/>
          </w:tcPr>
          <w:p>
            <w:pPr>
              <w:snapToGrid w:val="0"/>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投标人2</w:t>
            </w:r>
          </w:p>
        </w:tc>
        <w:tc>
          <w:tcPr>
            <w:tcW w:w="1115" w:type="dxa"/>
            <w:vAlign w:val="center"/>
          </w:tcPr>
          <w:p>
            <w:pPr>
              <w:snapToGrid w:val="0"/>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投标人3</w:t>
            </w:r>
          </w:p>
        </w:tc>
        <w:tc>
          <w:tcPr>
            <w:tcW w:w="1115" w:type="dxa"/>
            <w:vAlign w:val="center"/>
          </w:tcPr>
          <w:p>
            <w:pPr>
              <w:snapToGrid w:val="0"/>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投标人4</w:t>
            </w:r>
          </w:p>
        </w:tc>
        <w:tc>
          <w:tcPr>
            <w:tcW w:w="465" w:type="dxa"/>
            <w:vAlign w:val="center"/>
          </w:tcPr>
          <w:p>
            <w:pPr>
              <w:pStyle w:val="13"/>
              <w:tabs>
                <w:tab w:val="left" w:pos="7740"/>
              </w:tabs>
              <w:snapToGrid w:val="0"/>
              <w:ind w:firstLine="0" w:firstLineChars="0"/>
              <w:jc w:val="center"/>
              <w:rPr>
                <w:rFonts w:ascii="仿宋" w:hAnsi="仿宋" w:eastAsia="仿宋" w:cs="仿宋"/>
                <w:color w:val="auto"/>
                <w:sz w:val="21"/>
                <w:szCs w:val="21"/>
                <w:highlight w:val="none"/>
                <w:lang w:val="hr-HR"/>
              </w:rPr>
            </w:pPr>
            <w:r>
              <w:rPr>
                <w:rFonts w:hint="eastAsia" w:ascii="仿宋" w:hAnsi="仿宋" w:eastAsia="仿宋" w:cs="仿宋"/>
                <w:color w:val="auto"/>
                <w:sz w:val="21"/>
                <w:szCs w:val="21"/>
                <w:highlight w:val="none"/>
                <w:lang w:val="hr-H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restart"/>
            <w:vAlign w:val="center"/>
          </w:tcPr>
          <w:p>
            <w:pPr>
              <w:pStyle w:val="13"/>
              <w:tabs>
                <w:tab w:val="left" w:pos="7740"/>
              </w:tabs>
              <w:snapToGrid w:val="0"/>
              <w:ind w:firstLine="0" w:firstLineChars="0"/>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资</w:t>
            </w:r>
          </w:p>
          <w:p>
            <w:pPr>
              <w:pStyle w:val="13"/>
              <w:tabs>
                <w:tab w:val="left" w:pos="7740"/>
              </w:tabs>
              <w:snapToGrid w:val="0"/>
              <w:ind w:firstLine="0" w:firstLineChars="0"/>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格</w:t>
            </w:r>
          </w:p>
          <w:p>
            <w:pPr>
              <w:pStyle w:val="13"/>
              <w:tabs>
                <w:tab w:val="left" w:pos="7740"/>
              </w:tabs>
              <w:snapToGrid w:val="0"/>
              <w:ind w:firstLine="0" w:firstLineChars="0"/>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性</w:t>
            </w:r>
          </w:p>
          <w:p>
            <w:pPr>
              <w:pStyle w:val="13"/>
              <w:tabs>
                <w:tab w:val="left" w:pos="7740"/>
              </w:tabs>
              <w:snapToGrid w:val="0"/>
              <w:ind w:firstLine="0" w:firstLineChars="0"/>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检</w:t>
            </w:r>
          </w:p>
          <w:p>
            <w:pPr>
              <w:pStyle w:val="13"/>
              <w:tabs>
                <w:tab w:val="left" w:pos="7740"/>
              </w:tabs>
              <w:snapToGrid w:val="0"/>
              <w:ind w:firstLine="0" w:firstLineChars="0"/>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查</w:t>
            </w:r>
          </w:p>
        </w:tc>
        <w:tc>
          <w:tcPr>
            <w:tcW w:w="3937"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法定代表人/负责人资格证明书及授权委托书</w:t>
            </w:r>
          </w:p>
        </w:tc>
        <w:tc>
          <w:tcPr>
            <w:tcW w:w="1115" w:type="dxa"/>
          </w:tcPr>
          <w:p>
            <w:pPr>
              <w:tabs>
                <w:tab w:val="left" w:pos="146"/>
              </w:tabs>
              <w:ind w:left="146" w:hanging="180"/>
              <w:jc w:val="both"/>
              <w:rPr>
                <w:rFonts w:ascii="仿宋" w:hAnsi="仿宋" w:eastAsia="仿宋" w:cs="仿宋"/>
                <w:b/>
                <w:bCs/>
                <w:color w:val="auto"/>
                <w:szCs w:val="21"/>
                <w:highlight w:val="none"/>
              </w:rPr>
            </w:pPr>
          </w:p>
        </w:tc>
        <w:tc>
          <w:tcPr>
            <w:tcW w:w="1115" w:type="dxa"/>
          </w:tcPr>
          <w:p>
            <w:pPr>
              <w:tabs>
                <w:tab w:val="left" w:pos="0"/>
              </w:tabs>
              <w:jc w:val="both"/>
              <w:rPr>
                <w:rFonts w:ascii="仿宋" w:hAnsi="仿宋" w:eastAsia="仿宋" w:cs="仿宋"/>
                <w:b/>
                <w:bCs/>
                <w:color w:val="auto"/>
                <w:szCs w:val="21"/>
                <w:highlight w:val="none"/>
              </w:rPr>
            </w:pPr>
          </w:p>
        </w:tc>
        <w:tc>
          <w:tcPr>
            <w:tcW w:w="111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111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46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vAlign w:val="center"/>
          </w:tcPr>
          <w:p>
            <w:pPr>
              <w:pStyle w:val="13"/>
              <w:tabs>
                <w:tab w:val="left" w:pos="7740"/>
              </w:tabs>
              <w:snapToGrid w:val="0"/>
              <w:ind w:firstLine="0" w:firstLineChars="0"/>
              <w:jc w:val="center"/>
              <w:rPr>
                <w:rFonts w:ascii="仿宋" w:hAnsi="仿宋" w:eastAsia="仿宋" w:cs="仿宋"/>
                <w:b/>
                <w:color w:val="auto"/>
                <w:sz w:val="21"/>
                <w:szCs w:val="21"/>
                <w:highlight w:val="none"/>
              </w:rPr>
            </w:pPr>
          </w:p>
        </w:tc>
        <w:tc>
          <w:tcPr>
            <w:tcW w:w="3937"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r>
              <w:rPr>
                <w:rFonts w:ascii="仿宋" w:hAnsi="仿宋" w:eastAsia="仿宋" w:cs="仿宋"/>
                <w:bCs/>
                <w:color w:val="auto"/>
                <w:szCs w:val="21"/>
                <w:highlight w:val="none"/>
              </w:rPr>
              <w:t>营业执照副本复印件（加盖公章）</w:t>
            </w:r>
          </w:p>
        </w:tc>
        <w:tc>
          <w:tcPr>
            <w:tcW w:w="1115" w:type="dxa"/>
          </w:tcPr>
          <w:p>
            <w:pPr>
              <w:tabs>
                <w:tab w:val="left" w:pos="146"/>
              </w:tabs>
              <w:ind w:left="146" w:hanging="180"/>
              <w:jc w:val="both"/>
              <w:rPr>
                <w:rFonts w:ascii="仿宋" w:hAnsi="仿宋" w:eastAsia="仿宋" w:cs="仿宋"/>
                <w:b/>
                <w:bCs/>
                <w:color w:val="auto"/>
                <w:szCs w:val="21"/>
                <w:highlight w:val="none"/>
              </w:rPr>
            </w:pPr>
          </w:p>
        </w:tc>
        <w:tc>
          <w:tcPr>
            <w:tcW w:w="1115" w:type="dxa"/>
          </w:tcPr>
          <w:p>
            <w:pPr>
              <w:tabs>
                <w:tab w:val="left" w:pos="0"/>
              </w:tabs>
              <w:jc w:val="both"/>
              <w:rPr>
                <w:rFonts w:ascii="仿宋" w:hAnsi="仿宋" w:eastAsia="仿宋" w:cs="仿宋"/>
                <w:b/>
                <w:bCs/>
                <w:color w:val="auto"/>
                <w:szCs w:val="21"/>
                <w:highlight w:val="none"/>
              </w:rPr>
            </w:pPr>
          </w:p>
        </w:tc>
        <w:tc>
          <w:tcPr>
            <w:tcW w:w="111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111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46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vAlign w:val="center"/>
          </w:tcPr>
          <w:p>
            <w:pPr>
              <w:pStyle w:val="13"/>
              <w:tabs>
                <w:tab w:val="left" w:pos="7740"/>
              </w:tabs>
              <w:snapToGrid w:val="0"/>
              <w:ind w:firstLine="0" w:firstLineChars="0"/>
              <w:jc w:val="center"/>
              <w:rPr>
                <w:rFonts w:ascii="仿宋" w:hAnsi="仿宋" w:eastAsia="仿宋" w:cs="仿宋"/>
                <w:b/>
                <w:color w:val="auto"/>
                <w:sz w:val="21"/>
                <w:szCs w:val="21"/>
                <w:highlight w:val="none"/>
              </w:rPr>
            </w:pPr>
          </w:p>
        </w:tc>
        <w:tc>
          <w:tcPr>
            <w:tcW w:w="3937" w:type="dxa"/>
            <w:vAlign w:val="center"/>
          </w:tcPr>
          <w:p>
            <w:pPr>
              <w:pStyle w:val="142"/>
              <w:tabs>
                <w:tab w:val="left" w:pos="7740"/>
              </w:tabs>
              <w:snapToGrid w:val="0"/>
              <w:spacing w:before="0" w:beforeAutospacing="0" w:after="0" w:afterAutospacing="0"/>
              <w:jc w:val="both"/>
              <w:rPr>
                <w:rFonts w:hint="default" w:ascii="仿宋" w:hAnsi="仿宋" w:eastAsia="仿宋" w:cs="仿宋"/>
                <w:bCs/>
                <w:color w:val="auto"/>
                <w:szCs w:val="21"/>
                <w:highlight w:val="none"/>
              </w:rPr>
            </w:pPr>
            <w:r>
              <w:rPr>
                <w:rFonts w:ascii="仿宋" w:hAnsi="仿宋" w:eastAsia="仿宋" w:cs="仿宋"/>
                <w:color w:val="auto"/>
                <w:szCs w:val="21"/>
                <w:highlight w:val="none"/>
              </w:rPr>
              <w:t>在参与政府采购活动中未有违法违纪行为并受过处罚</w:t>
            </w:r>
          </w:p>
        </w:tc>
        <w:tc>
          <w:tcPr>
            <w:tcW w:w="1115" w:type="dxa"/>
          </w:tcPr>
          <w:p>
            <w:pPr>
              <w:tabs>
                <w:tab w:val="left" w:pos="146"/>
              </w:tabs>
              <w:ind w:left="146" w:hanging="180"/>
              <w:jc w:val="both"/>
              <w:rPr>
                <w:rFonts w:ascii="仿宋" w:hAnsi="仿宋" w:eastAsia="仿宋" w:cs="仿宋"/>
                <w:b/>
                <w:bCs/>
                <w:color w:val="auto"/>
                <w:szCs w:val="21"/>
                <w:highlight w:val="none"/>
              </w:rPr>
            </w:pPr>
          </w:p>
        </w:tc>
        <w:tc>
          <w:tcPr>
            <w:tcW w:w="1115" w:type="dxa"/>
          </w:tcPr>
          <w:p>
            <w:pPr>
              <w:tabs>
                <w:tab w:val="left" w:pos="0"/>
              </w:tabs>
              <w:jc w:val="both"/>
              <w:rPr>
                <w:rFonts w:ascii="仿宋" w:hAnsi="仿宋" w:eastAsia="仿宋" w:cs="仿宋"/>
                <w:b/>
                <w:bCs/>
                <w:color w:val="auto"/>
                <w:szCs w:val="21"/>
                <w:highlight w:val="none"/>
              </w:rPr>
            </w:pPr>
          </w:p>
        </w:tc>
        <w:tc>
          <w:tcPr>
            <w:tcW w:w="111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111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465"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vAlign w:val="center"/>
          </w:tcPr>
          <w:p>
            <w:pPr>
              <w:pStyle w:val="13"/>
              <w:tabs>
                <w:tab w:val="left" w:pos="7740"/>
              </w:tabs>
              <w:snapToGrid w:val="0"/>
              <w:ind w:firstLine="0" w:firstLineChars="0"/>
              <w:jc w:val="center"/>
              <w:rPr>
                <w:rFonts w:ascii="仿宋" w:hAnsi="仿宋" w:eastAsia="仿宋" w:cs="仿宋"/>
                <w:color w:val="auto"/>
                <w:sz w:val="21"/>
                <w:szCs w:val="21"/>
                <w:highlight w:val="none"/>
              </w:rPr>
            </w:pPr>
          </w:p>
        </w:tc>
        <w:tc>
          <w:tcPr>
            <w:tcW w:w="3937"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r>
              <w:rPr>
                <w:rFonts w:hint="eastAsia" w:ascii="仿宋" w:hAnsi="仿宋" w:eastAsia="仿宋" w:cs="仿宋"/>
                <w:bCs/>
                <w:color w:val="auto"/>
                <w:sz w:val="21"/>
                <w:szCs w:val="21"/>
                <w:highlight w:val="none"/>
              </w:rPr>
              <w:t>招标公告要求的资质资格证明复印件（加盖公章）</w:t>
            </w:r>
          </w:p>
        </w:tc>
        <w:tc>
          <w:tcPr>
            <w:tcW w:w="1115" w:type="dxa"/>
            <w:vAlign w:val="center"/>
          </w:tcPr>
          <w:p>
            <w:pPr>
              <w:pStyle w:val="13"/>
              <w:tabs>
                <w:tab w:val="left" w:pos="7740"/>
              </w:tabs>
              <w:snapToGrid w:val="0"/>
              <w:ind w:firstLine="0" w:firstLineChars="0"/>
              <w:rPr>
                <w:rFonts w:ascii="仿宋" w:hAnsi="仿宋" w:eastAsia="仿宋" w:cs="仿宋"/>
                <w:color w:val="auto"/>
                <w:sz w:val="21"/>
                <w:szCs w:val="21"/>
                <w:highlight w:val="none"/>
              </w:rPr>
            </w:pPr>
          </w:p>
        </w:tc>
        <w:tc>
          <w:tcPr>
            <w:tcW w:w="1115" w:type="dxa"/>
            <w:vAlign w:val="center"/>
          </w:tcPr>
          <w:p>
            <w:pPr>
              <w:pStyle w:val="13"/>
              <w:tabs>
                <w:tab w:val="left" w:pos="7740"/>
              </w:tabs>
              <w:snapToGrid w:val="0"/>
              <w:ind w:firstLine="0" w:firstLineChars="0"/>
              <w:rPr>
                <w:rFonts w:ascii="仿宋" w:hAnsi="仿宋" w:eastAsia="仿宋" w:cs="仿宋"/>
                <w:color w:val="auto"/>
                <w:sz w:val="21"/>
                <w:szCs w:val="21"/>
                <w:highlight w:val="none"/>
              </w:rPr>
            </w:pPr>
          </w:p>
        </w:tc>
        <w:tc>
          <w:tcPr>
            <w:tcW w:w="1115"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p>
        </w:tc>
        <w:tc>
          <w:tcPr>
            <w:tcW w:w="1115"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p>
        </w:tc>
        <w:tc>
          <w:tcPr>
            <w:tcW w:w="465"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89" w:type="dxa"/>
            <w:gridSpan w:val="7"/>
          </w:tcPr>
          <w:p>
            <w:pPr>
              <w:pStyle w:val="13"/>
              <w:tabs>
                <w:tab w:val="left" w:pos="7740"/>
              </w:tabs>
              <w:snapToGrid w:val="0"/>
              <w:ind w:firstLine="140" w:firstLineChars="67"/>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注：符合要求的打“√”，不符合要求的打“×”</w:t>
            </w:r>
          </w:p>
        </w:tc>
      </w:tr>
    </w:tbl>
    <w:p>
      <w:pPr>
        <w:rPr>
          <w:rFonts w:ascii="仿宋" w:hAnsi="仿宋" w:eastAsia="仿宋" w:cs="仿宋"/>
          <w:color w:val="auto"/>
          <w:szCs w:val="21"/>
          <w:highlight w:val="none"/>
        </w:rPr>
      </w:pPr>
    </w:p>
    <w:p>
      <w:pPr>
        <w:rPr>
          <w:rFonts w:ascii="仿宋" w:hAnsi="仿宋" w:eastAsia="仿宋" w:cs="仿宋"/>
          <w:color w:val="auto"/>
          <w:szCs w:val="21"/>
          <w:highlight w:val="none"/>
        </w:rPr>
      </w:pPr>
      <w:r>
        <w:rPr>
          <w:rFonts w:hint="eastAsia" w:ascii="仿宋" w:hAnsi="仿宋" w:eastAsia="仿宋" w:cs="仿宋"/>
          <w:color w:val="auto"/>
          <w:szCs w:val="21"/>
          <w:highlight w:val="none"/>
        </w:rPr>
        <w:t>采购代理机构工作人员签名：</w:t>
      </w:r>
    </w:p>
    <w:p>
      <w:pPr>
        <w:rPr>
          <w:rFonts w:ascii="仿宋" w:hAnsi="仿宋" w:eastAsia="仿宋" w:cs="仿宋"/>
          <w:color w:val="auto"/>
          <w:szCs w:val="21"/>
          <w:highlight w:val="none"/>
        </w:rPr>
      </w:pPr>
      <w:r>
        <w:rPr>
          <w:rFonts w:hint="eastAsia" w:ascii="仿宋" w:hAnsi="仿宋" w:eastAsia="仿宋" w:cs="仿宋"/>
          <w:color w:val="auto"/>
          <w:szCs w:val="21"/>
          <w:highlight w:val="none"/>
        </w:rPr>
        <w:t>采购代理机构监督员签名：</w:t>
      </w:r>
    </w:p>
    <w:p>
      <w:pPr>
        <w:rPr>
          <w:rFonts w:ascii="仿宋" w:hAnsi="仿宋" w:eastAsia="仿宋" w:cs="仿宋"/>
          <w:color w:val="auto"/>
          <w:sz w:val="28"/>
          <w:szCs w:val="28"/>
          <w:highlight w:val="none"/>
        </w:rPr>
      </w:pPr>
      <w:r>
        <w:rPr>
          <w:rFonts w:hint="eastAsia" w:ascii="仿宋" w:hAnsi="仿宋" w:eastAsia="仿宋" w:cs="仿宋"/>
          <w:color w:val="auto"/>
          <w:highlight w:val="none"/>
        </w:rPr>
        <w:t>日期：</w:t>
      </w:r>
    </w:p>
    <w:p>
      <w:pPr>
        <w:pStyle w:val="13"/>
        <w:tabs>
          <w:tab w:val="left" w:pos="7740"/>
        </w:tabs>
        <w:spacing w:line="300" w:lineRule="auto"/>
        <w:ind w:firstLine="0" w:firstLineChars="0"/>
        <w:rPr>
          <w:rFonts w:ascii="宋体" w:hAnsi="宋体" w:cs="宋体"/>
          <w:color w:val="auto"/>
          <w:sz w:val="28"/>
          <w:szCs w:val="28"/>
          <w:highlight w:val="none"/>
        </w:rPr>
      </w:pPr>
    </w:p>
    <w:p>
      <w:pPr>
        <w:pStyle w:val="3"/>
        <w:spacing w:after="120" w:line="480" w:lineRule="exact"/>
        <w:rPr>
          <w:rFonts w:hAnsi="宋体" w:cs="宋体"/>
          <w:b/>
          <w:color w:val="auto"/>
          <w:sz w:val="28"/>
          <w:szCs w:val="28"/>
          <w:highlight w:val="none"/>
        </w:rPr>
      </w:pPr>
      <w:r>
        <w:rPr>
          <w:rFonts w:hint="eastAsia" w:hAnsi="宋体" w:cs="宋体"/>
          <w:b/>
          <w:color w:val="auto"/>
          <w:sz w:val="28"/>
          <w:szCs w:val="28"/>
          <w:highlight w:val="none"/>
        </w:rPr>
        <w:t>符合性检查表：</w:t>
      </w:r>
    </w:p>
    <w:p>
      <w:pPr>
        <w:rPr>
          <w:rFonts w:hAnsi="宋体" w:cs="宋体"/>
          <w:color w:val="auto"/>
          <w:szCs w:val="21"/>
          <w:highlight w:val="none"/>
        </w:rPr>
      </w:pP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采购编号：GDYD230090                            </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项目名称：南海海洋预警信息发布和沿海恶劣天气防灾叫应系统(二期)</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3936"/>
        <w:gridCol w:w="1114"/>
        <w:gridCol w:w="1114"/>
        <w:gridCol w:w="1114"/>
        <w:gridCol w:w="1114"/>
        <w:gridCol w:w="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427" w:type="dxa"/>
            <w:vAlign w:val="center"/>
          </w:tcPr>
          <w:p>
            <w:pPr>
              <w:pStyle w:val="13"/>
              <w:tabs>
                <w:tab w:val="left" w:pos="7740"/>
              </w:tabs>
              <w:snapToGrid w:val="0"/>
              <w:ind w:firstLine="0" w:firstLineChars="0"/>
              <w:rPr>
                <w:rFonts w:ascii="仿宋" w:hAnsi="仿宋" w:eastAsia="仿宋" w:cs="仿宋"/>
                <w:color w:val="auto"/>
                <w:sz w:val="21"/>
                <w:szCs w:val="21"/>
                <w:highlight w:val="none"/>
              </w:rPr>
            </w:pPr>
          </w:p>
        </w:tc>
        <w:tc>
          <w:tcPr>
            <w:tcW w:w="3936" w:type="dxa"/>
            <w:tcBorders>
              <w:tl2br w:val="single" w:color="auto" w:sz="4" w:space="0"/>
            </w:tcBorders>
            <w:vAlign w:val="center"/>
          </w:tcPr>
          <w:p>
            <w:pPr>
              <w:pStyle w:val="13"/>
              <w:tabs>
                <w:tab w:val="left" w:pos="7740"/>
              </w:tabs>
              <w:snapToGrid w:val="0"/>
              <w:ind w:firstLine="0" w:firstLineChars="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审查内容                                    投标人名称</w:t>
            </w:r>
          </w:p>
        </w:tc>
        <w:tc>
          <w:tcPr>
            <w:tcW w:w="1114" w:type="dxa"/>
            <w:vAlign w:val="center"/>
          </w:tcPr>
          <w:p>
            <w:pPr>
              <w:pStyle w:val="13"/>
              <w:tabs>
                <w:tab w:val="left" w:pos="7740"/>
              </w:tabs>
              <w:snapToGrid w:val="0"/>
              <w:ind w:firstLine="0" w:firstLineChars="0"/>
              <w:jc w:val="center"/>
              <w:rPr>
                <w:rFonts w:ascii="仿宋" w:hAnsi="仿宋" w:eastAsia="仿宋" w:cs="仿宋"/>
                <w:color w:val="auto"/>
                <w:sz w:val="21"/>
                <w:szCs w:val="21"/>
                <w:highlight w:val="none"/>
                <w:lang w:val="hr-HR"/>
              </w:rPr>
            </w:pPr>
            <w:r>
              <w:rPr>
                <w:rFonts w:hint="eastAsia" w:ascii="仿宋" w:hAnsi="仿宋" w:eastAsia="仿宋" w:cs="仿宋"/>
                <w:color w:val="auto"/>
                <w:sz w:val="21"/>
                <w:szCs w:val="21"/>
                <w:highlight w:val="none"/>
              </w:rPr>
              <w:t>投标人1</w:t>
            </w:r>
          </w:p>
        </w:tc>
        <w:tc>
          <w:tcPr>
            <w:tcW w:w="1114" w:type="dxa"/>
            <w:vAlign w:val="center"/>
          </w:tcPr>
          <w:p>
            <w:pPr>
              <w:snapToGrid w:val="0"/>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投标人2</w:t>
            </w:r>
          </w:p>
        </w:tc>
        <w:tc>
          <w:tcPr>
            <w:tcW w:w="1114" w:type="dxa"/>
            <w:vAlign w:val="center"/>
          </w:tcPr>
          <w:p>
            <w:pPr>
              <w:snapToGrid w:val="0"/>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投标人3</w:t>
            </w:r>
          </w:p>
        </w:tc>
        <w:tc>
          <w:tcPr>
            <w:tcW w:w="1114" w:type="dxa"/>
            <w:vAlign w:val="center"/>
          </w:tcPr>
          <w:p>
            <w:pPr>
              <w:snapToGrid w:val="0"/>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投标人4</w:t>
            </w:r>
          </w:p>
        </w:tc>
        <w:tc>
          <w:tcPr>
            <w:tcW w:w="468" w:type="dxa"/>
            <w:vAlign w:val="center"/>
          </w:tcPr>
          <w:p>
            <w:pPr>
              <w:pStyle w:val="13"/>
              <w:tabs>
                <w:tab w:val="left" w:pos="7740"/>
              </w:tabs>
              <w:snapToGrid w:val="0"/>
              <w:ind w:firstLine="0" w:firstLineChars="0"/>
              <w:jc w:val="center"/>
              <w:rPr>
                <w:rFonts w:ascii="仿宋" w:hAnsi="仿宋" w:eastAsia="仿宋" w:cs="仿宋"/>
                <w:color w:val="auto"/>
                <w:sz w:val="21"/>
                <w:szCs w:val="21"/>
                <w:highlight w:val="none"/>
                <w:lang w:val="hr-HR"/>
              </w:rPr>
            </w:pPr>
            <w:r>
              <w:rPr>
                <w:rFonts w:hint="eastAsia" w:ascii="仿宋" w:hAnsi="仿宋" w:eastAsia="仿宋" w:cs="仿宋"/>
                <w:color w:val="auto"/>
                <w:sz w:val="21"/>
                <w:szCs w:val="21"/>
                <w:highlight w:val="none"/>
                <w:lang w:val="hr-H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restart"/>
            <w:vAlign w:val="center"/>
          </w:tcPr>
          <w:p>
            <w:pPr>
              <w:pStyle w:val="142"/>
              <w:tabs>
                <w:tab w:val="left" w:pos="7740"/>
              </w:tabs>
              <w:snapToGrid w:val="0"/>
              <w:spacing w:before="0" w:beforeAutospacing="0" w:after="0" w:afterAutospacing="0"/>
              <w:rPr>
                <w:rFonts w:hint="default" w:ascii="仿宋" w:hAnsi="仿宋" w:eastAsia="仿宋" w:cs="仿宋"/>
                <w:b/>
                <w:color w:val="auto"/>
                <w:szCs w:val="21"/>
                <w:highlight w:val="none"/>
              </w:rPr>
            </w:pPr>
            <w:r>
              <w:rPr>
                <w:rFonts w:ascii="仿宋" w:hAnsi="仿宋" w:eastAsia="仿宋" w:cs="仿宋"/>
                <w:b/>
                <w:color w:val="auto"/>
                <w:szCs w:val="21"/>
                <w:highlight w:val="none"/>
              </w:rPr>
              <w:t>符</w:t>
            </w:r>
          </w:p>
          <w:p>
            <w:pPr>
              <w:pStyle w:val="142"/>
              <w:tabs>
                <w:tab w:val="left" w:pos="7740"/>
              </w:tabs>
              <w:snapToGrid w:val="0"/>
              <w:spacing w:before="0" w:beforeAutospacing="0" w:after="0" w:afterAutospacing="0"/>
              <w:rPr>
                <w:rFonts w:hint="default" w:ascii="仿宋" w:hAnsi="仿宋" w:eastAsia="仿宋" w:cs="仿宋"/>
                <w:b/>
                <w:color w:val="auto"/>
                <w:szCs w:val="21"/>
                <w:highlight w:val="none"/>
              </w:rPr>
            </w:pPr>
            <w:r>
              <w:rPr>
                <w:rFonts w:ascii="仿宋" w:hAnsi="仿宋" w:eastAsia="仿宋" w:cs="仿宋"/>
                <w:b/>
                <w:color w:val="auto"/>
                <w:szCs w:val="21"/>
                <w:highlight w:val="none"/>
              </w:rPr>
              <w:t>合</w:t>
            </w:r>
          </w:p>
          <w:p>
            <w:pPr>
              <w:pStyle w:val="142"/>
              <w:tabs>
                <w:tab w:val="left" w:pos="7740"/>
              </w:tabs>
              <w:snapToGrid w:val="0"/>
              <w:spacing w:before="0" w:beforeAutospacing="0" w:after="0" w:afterAutospacing="0"/>
              <w:rPr>
                <w:rFonts w:hint="default" w:ascii="仿宋" w:hAnsi="仿宋" w:eastAsia="仿宋" w:cs="仿宋"/>
                <w:b/>
                <w:color w:val="auto"/>
                <w:szCs w:val="21"/>
                <w:highlight w:val="none"/>
              </w:rPr>
            </w:pPr>
            <w:r>
              <w:rPr>
                <w:rFonts w:ascii="仿宋" w:hAnsi="仿宋" w:eastAsia="仿宋" w:cs="仿宋"/>
                <w:b/>
                <w:color w:val="auto"/>
                <w:szCs w:val="21"/>
                <w:highlight w:val="none"/>
              </w:rPr>
              <w:t>性</w:t>
            </w:r>
          </w:p>
          <w:p>
            <w:pPr>
              <w:pStyle w:val="142"/>
              <w:tabs>
                <w:tab w:val="left" w:pos="7740"/>
              </w:tabs>
              <w:snapToGrid w:val="0"/>
              <w:spacing w:before="0" w:beforeAutospacing="0" w:after="0" w:afterAutospacing="0"/>
              <w:rPr>
                <w:rFonts w:hint="default" w:ascii="仿宋" w:hAnsi="仿宋" w:eastAsia="仿宋" w:cs="仿宋"/>
                <w:b/>
                <w:color w:val="auto"/>
                <w:szCs w:val="21"/>
                <w:highlight w:val="none"/>
              </w:rPr>
            </w:pPr>
            <w:r>
              <w:rPr>
                <w:rFonts w:ascii="仿宋" w:hAnsi="仿宋" w:eastAsia="仿宋" w:cs="仿宋"/>
                <w:b/>
                <w:color w:val="auto"/>
                <w:szCs w:val="21"/>
                <w:highlight w:val="none"/>
              </w:rPr>
              <w:t>检</w:t>
            </w:r>
          </w:p>
          <w:p>
            <w:pPr>
              <w:pStyle w:val="142"/>
              <w:tabs>
                <w:tab w:val="left" w:pos="7740"/>
              </w:tabs>
              <w:snapToGrid w:val="0"/>
              <w:spacing w:before="0" w:beforeAutospacing="0" w:after="0" w:afterAutospacing="0"/>
              <w:rPr>
                <w:rFonts w:hint="default" w:ascii="仿宋" w:hAnsi="仿宋" w:eastAsia="仿宋" w:cs="仿宋"/>
                <w:color w:val="auto"/>
                <w:szCs w:val="21"/>
                <w:highlight w:val="none"/>
              </w:rPr>
            </w:pPr>
            <w:r>
              <w:rPr>
                <w:rFonts w:ascii="仿宋" w:hAnsi="仿宋" w:eastAsia="仿宋" w:cs="仿宋"/>
                <w:b/>
                <w:color w:val="auto"/>
                <w:szCs w:val="21"/>
                <w:highlight w:val="none"/>
              </w:rPr>
              <w:t>查</w:t>
            </w:r>
          </w:p>
        </w:tc>
        <w:tc>
          <w:tcPr>
            <w:tcW w:w="3936"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r>
              <w:rPr>
                <w:rFonts w:ascii="仿宋" w:hAnsi="仿宋" w:eastAsia="仿宋" w:cs="仿宋"/>
                <w:bCs/>
                <w:color w:val="auto"/>
                <w:szCs w:val="21"/>
                <w:highlight w:val="none"/>
              </w:rPr>
              <w:t>投标报价不超过最高限价</w:t>
            </w:r>
          </w:p>
        </w:tc>
        <w:tc>
          <w:tcPr>
            <w:tcW w:w="1114" w:type="dxa"/>
            <w:vAlign w:val="center"/>
          </w:tcPr>
          <w:p>
            <w:pPr>
              <w:rPr>
                <w:rFonts w:ascii="仿宋" w:hAnsi="仿宋" w:eastAsia="仿宋" w:cs="仿宋"/>
                <w:color w:val="auto"/>
                <w:szCs w:val="21"/>
                <w:highlight w:val="none"/>
              </w:rPr>
            </w:pPr>
          </w:p>
        </w:tc>
        <w:tc>
          <w:tcPr>
            <w:tcW w:w="1114" w:type="dxa"/>
            <w:vAlign w:val="center"/>
          </w:tcPr>
          <w:p>
            <w:pPr>
              <w:tabs>
                <w:tab w:val="left" w:pos="0"/>
              </w:tabs>
              <w:rPr>
                <w:rFonts w:ascii="仿宋" w:hAnsi="仿宋" w:eastAsia="仿宋" w:cs="仿宋"/>
                <w:b/>
                <w:bCs/>
                <w:color w:val="auto"/>
                <w:szCs w:val="21"/>
                <w:highlight w:val="none"/>
              </w:rPr>
            </w:pPr>
          </w:p>
        </w:tc>
        <w:tc>
          <w:tcPr>
            <w:tcW w:w="1114" w:type="dxa"/>
            <w:vAlign w:val="center"/>
          </w:tcPr>
          <w:p>
            <w:pPr>
              <w:pStyle w:val="109"/>
              <w:tabs>
                <w:tab w:val="left" w:pos="7740"/>
              </w:tabs>
              <w:snapToGrid w:val="0"/>
              <w:spacing w:before="0" w:beforeAutospacing="0" w:after="0" w:afterAutospacing="0"/>
              <w:jc w:val="both"/>
              <w:rPr>
                <w:rFonts w:ascii="仿宋" w:hAnsi="仿宋" w:eastAsia="仿宋" w:cs="仿宋"/>
                <w:color w:val="auto"/>
                <w:sz w:val="21"/>
                <w:szCs w:val="21"/>
                <w:highlight w:val="none"/>
              </w:rPr>
            </w:pPr>
          </w:p>
        </w:tc>
        <w:tc>
          <w:tcPr>
            <w:tcW w:w="1114" w:type="dxa"/>
            <w:vAlign w:val="center"/>
          </w:tcPr>
          <w:p>
            <w:pPr>
              <w:pStyle w:val="109"/>
              <w:tabs>
                <w:tab w:val="left" w:pos="7740"/>
              </w:tabs>
              <w:snapToGrid w:val="0"/>
              <w:spacing w:before="0" w:beforeAutospacing="0" w:after="0" w:afterAutospacing="0"/>
              <w:jc w:val="both"/>
              <w:rPr>
                <w:rFonts w:ascii="仿宋" w:hAnsi="仿宋" w:eastAsia="仿宋" w:cs="仿宋"/>
                <w:color w:val="auto"/>
                <w:sz w:val="21"/>
                <w:szCs w:val="21"/>
                <w:highlight w:val="none"/>
              </w:rPr>
            </w:pPr>
          </w:p>
        </w:tc>
        <w:tc>
          <w:tcPr>
            <w:tcW w:w="468" w:type="dxa"/>
            <w:vAlign w:val="center"/>
          </w:tcPr>
          <w:p>
            <w:pPr>
              <w:pStyle w:val="109"/>
              <w:tabs>
                <w:tab w:val="left" w:pos="7740"/>
              </w:tabs>
              <w:snapToGrid w:val="0"/>
              <w:spacing w:before="0" w:beforeAutospacing="0" w:after="0" w:afterAutospacing="0"/>
              <w:jc w:val="both"/>
              <w:rPr>
                <w:rFonts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42"/>
              <w:tabs>
                <w:tab w:val="left" w:pos="7740"/>
              </w:tabs>
              <w:snapToGrid w:val="0"/>
              <w:spacing w:before="0" w:beforeAutospacing="0" w:after="0" w:afterAutospacing="0"/>
              <w:rPr>
                <w:rFonts w:hint="default" w:ascii="仿宋" w:hAnsi="仿宋" w:eastAsia="仿宋" w:cs="仿宋"/>
                <w:color w:val="auto"/>
                <w:szCs w:val="21"/>
                <w:highlight w:val="none"/>
              </w:rPr>
            </w:pPr>
          </w:p>
        </w:tc>
        <w:tc>
          <w:tcPr>
            <w:tcW w:w="3936" w:type="dxa"/>
            <w:vAlign w:val="center"/>
          </w:tcPr>
          <w:p>
            <w:pPr>
              <w:pStyle w:val="142"/>
              <w:tabs>
                <w:tab w:val="left" w:pos="7740"/>
              </w:tabs>
              <w:snapToGrid w:val="0"/>
              <w:spacing w:before="0" w:beforeAutospacing="0" w:after="0" w:afterAutospacing="0"/>
              <w:jc w:val="both"/>
              <w:rPr>
                <w:rFonts w:hint="default" w:ascii="仿宋" w:hAnsi="仿宋" w:eastAsia="仿宋" w:cs="仿宋"/>
                <w:bCs/>
                <w:color w:val="auto"/>
                <w:szCs w:val="21"/>
                <w:highlight w:val="none"/>
              </w:rPr>
            </w:pPr>
            <w:r>
              <w:rPr>
                <w:rFonts w:ascii="仿宋" w:hAnsi="仿宋" w:eastAsia="仿宋" w:cs="仿宋"/>
                <w:color w:val="auto"/>
                <w:szCs w:val="21"/>
                <w:highlight w:val="none"/>
              </w:rPr>
              <w:t>报价方案是唯一确定</w:t>
            </w:r>
          </w:p>
        </w:tc>
        <w:tc>
          <w:tcPr>
            <w:tcW w:w="1114" w:type="dxa"/>
            <w:vAlign w:val="center"/>
          </w:tcPr>
          <w:p>
            <w:pPr>
              <w:tabs>
                <w:tab w:val="left" w:pos="146"/>
              </w:tabs>
              <w:ind w:left="146" w:hanging="180"/>
              <w:rPr>
                <w:rFonts w:ascii="仿宋" w:hAnsi="仿宋" w:eastAsia="仿宋" w:cs="仿宋"/>
                <w:b/>
                <w:bCs/>
                <w:color w:val="auto"/>
                <w:szCs w:val="21"/>
                <w:highlight w:val="none"/>
              </w:rPr>
            </w:pPr>
          </w:p>
        </w:tc>
        <w:tc>
          <w:tcPr>
            <w:tcW w:w="1114" w:type="dxa"/>
            <w:vAlign w:val="center"/>
          </w:tcPr>
          <w:p>
            <w:pPr>
              <w:tabs>
                <w:tab w:val="left" w:pos="0"/>
              </w:tabs>
              <w:rPr>
                <w:rFonts w:ascii="仿宋" w:hAnsi="仿宋" w:eastAsia="仿宋" w:cs="仿宋"/>
                <w:b/>
                <w:bCs/>
                <w:color w:val="auto"/>
                <w:szCs w:val="21"/>
                <w:highlight w:val="none"/>
              </w:rPr>
            </w:pPr>
          </w:p>
        </w:tc>
        <w:tc>
          <w:tcPr>
            <w:tcW w:w="1114"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1114"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468"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42"/>
              <w:tabs>
                <w:tab w:val="left" w:pos="7740"/>
              </w:tabs>
              <w:snapToGrid w:val="0"/>
              <w:spacing w:before="0" w:beforeAutospacing="0" w:after="0" w:afterAutospacing="0"/>
              <w:rPr>
                <w:rFonts w:hint="default" w:ascii="仿宋" w:hAnsi="仿宋" w:eastAsia="仿宋" w:cs="仿宋"/>
                <w:color w:val="auto"/>
                <w:szCs w:val="21"/>
                <w:highlight w:val="none"/>
              </w:rPr>
            </w:pPr>
          </w:p>
        </w:tc>
        <w:tc>
          <w:tcPr>
            <w:tcW w:w="3936" w:type="dxa"/>
            <w:vAlign w:val="center"/>
          </w:tcPr>
          <w:p>
            <w:pPr>
              <w:pStyle w:val="142"/>
              <w:tabs>
                <w:tab w:val="left" w:pos="7740"/>
              </w:tabs>
              <w:snapToGrid w:val="0"/>
              <w:spacing w:before="0" w:beforeAutospacing="0" w:after="0" w:afterAutospacing="0"/>
              <w:jc w:val="both"/>
              <w:rPr>
                <w:rFonts w:hint="default" w:ascii="仿宋" w:hAnsi="仿宋" w:eastAsia="仿宋" w:cs="仿宋"/>
                <w:bCs/>
                <w:color w:val="auto"/>
                <w:szCs w:val="21"/>
                <w:highlight w:val="none"/>
              </w:rPr>
            </w:pPr>
            <w:r>
              <w:rPr>
                <w:rFonts w:ascii="仿宋" w:hAnsi="仿宋" w:eastAsia="仿宋" w:cs="仿宋"/>
                <w:color w:val="auto"/>
                <w:szCs w:val="21"/>
                <w:highlight w:val="none"/>
              </w:rPr>
              <w:t>实质性响应招标文件中“★”号参数的商务要求</w:t>
            </w:r>
          </w:p>
        </w:tc>
        <w:tc>
          <w:tcPr>
            <w:tcW w:w="1114" w:type="dxa"/>
            <w:vAlign w:val="center"/>
          </w:tcPr>
          <w:p>
            <w:pPr>
              <w:tabs>
                <w:tab w:val="left" w:pos="146"/>
              </w:tabs>
              <w:ind w:left="146" w:hanging="180"/>
              <w:rPr>
                <w:rFonts w:ascii="仿宋" w:hAnsi="仿宋" w:eastAsia="仿宋" w:cs="仿宋"/>
                <w:b/>
                <w:bCs/>
                <w:color w:val="auto"/>
                <w:szCs w:val="21"/>
                <w:highlight w:val="none"/>
              </w:rPr>
            </w:pPr>
          </w:p>
        </w:tc>
        <w:tc>
          <w:tcPr>
            <w:tcW w:w="1114" w:type="dxa"/>
            <w:vAlign w:val="center"/>
          </w:tcPr>
          <w:p>
            <w:pPr>
              <w:tabs>
                <w:tab w:val="left" w:pos="0"/>
              </w:tabs>
              <w:rPr>
                <w:rFonts w:ascii="仿宋" w:hAnsi="仿宋" w:eastAsia="仿宋" w:cs="仿宋"/>
                <w:b/>
                <w:bCs/>
                <w:color w:val="auto"/>
                <w:szCs w:val="21"/>
                <w:highlight w:val="none"/>
              </w:rPr>
            </w:pPr>
          </w:p>
        </w:tc>
        <w:tc>
          <w:tcPr>
            <w:tcW w:w="1114"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1114"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468"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42"/>
              <w:tabs>
                <w:tab w:val="left" w:pos="7740"/>
              </w:tabs>
              <w:snapToGrid w:val="0"/>
              <w:spacing w:before="0" w:beforeAutospacing="0" w:after="0" w:afterAutospacing="0"/>
              <w:rPr>
                <w:rFonts w:hint="default" w:ascii="仿宋" w:hAnsi="仿宋" w:eastAsia="仿宋" w:cs="仿宋"/>
                <w:color w:val="auto"/>
                <w:szCs w:val="21"/>
                <w:highlight w:val="none"/>
              </w:rPr>
            </w:pPr>
          </w:p>
        </w:tc>
        <w:tc>
          <w:tcPr>
            <w:tcW w:w="3936"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r>
              <w:rPr>
                <w:rFonts w:ascii="仿宋" w:hAnsi="仿宋" w:eastAsia="仿宋" w:cs="仿宋"/>
                <w:color w:val="auto"/>
                <w:szCs w:val="21"/>
                <w:highlight w:val="none"/>
              </w:rPr>
              <w:t>实质性响应招标文件中“★”号参数的技术要求</w:t>
            </w:r>
          </w:p>
        </w:tc>
        <w:tc>
          <w:tcPr>
            <w:tcW w:w="1114" w:type="dxa"/>
            <w:vAlign w:val="center"/>
          </w:tcPr>
          <w:p>
            <w:pPr>
              <w:tabs>
                <w:tab w:val="left" w:pos="146"/>
              </w:tabs>
              <w:ind w:left="146" w:hanging="180"/>
              <w:rPr>
                <w:rFonts w:ascii="仿宋" w:hAnsi="仿宋" w:eastAsia="仿宋" w:cs="仿宋"/>
                <w:b/>
                <w:bCs/>
                <w:color w:val="auto"/>
                <w:szCs w:val="21"/>
                <w:highlight w:val="none"/>
              </w:rPr>
            </w:pPr>
          </w:p>
        </w:tc>
        <w:tc>
          <w:tcPr>
            <w:tcW w:w="1114" w:type="dxa"/>
            <w:vAlign w:val="center"/>
          </w:tcPr>
          <w:p>
            <w:pPr>
              <w:tabs>
                <w:tab w:val="left" w:pos="0"/>
              </w:tabs>
              <w:rPr>
                <w:rFonts w:ascii="仿宋" w:hAnsi="仿宋" w:eastAsia="仿宋" w:cs="仿宋"/>
                <w:b/>
                <w:bCs/>
                <w:color w:val="auto"/>
                <w:szCs w:val="21"/>
                <w:highlight w:val="none"/>
              </w:rPr>
            </w:pPr>
          </w:p>
        </w:tc>
        <w:tc>
          <w:tcPr>
            <w:tcW w:w="1114"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1114"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468"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42"/>
              <w:tabs>
                <w:tab w:val="left" w:pos="7740"/>
              </w:tabs>
              <w:snapToGrid w:val="0"/>
              <w:spacing w:before="0" w:beforeAutospacing="0" w:after="0" w:afterAutospacing="0"/>
              <w:rPr>
                <w:rFonts w:hint="default" w:ascii="仿宋" w:hAnsi="仿宋" w:eastAsia="仿宋" w:cs="仿宋"/>
                <w:color w:val="auto"/>
                <w:szCs w:val="21"/>
                <w:highlight w:val="none"/>
              </w:rPr>
            </w:pPr>
          </w:p>
        </w:tc>
        <w:tc>
          <w:tcPr>
            <w:tcW w:w="3936"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r>
              <w:rPr>
                <w:rFonts w:ascii="仿宋" w:hAnsi="仿宋" w:eastAsia="仿宋" w:cs="仿宋"/>
                <w:color w:val="auto"/>
                <w:szCs w:val="21"/>
                <w:highlight w:val="none"/>
              </w:rPr>
              <w:t>服务期</w:t>
            </w:r>
          </w:p>
        </w:tc>
        <w:tc>
          <w:tcPr>
            <w:tcW w:w="1114" w:type="dxa"/>
            <w:vAlign w:val="center"/>
          </w:tcPr>
          <w:p>
            <w:pPr>
              <w:tabs>
                <w:tab w:val="left" w:pos="146"/>
              </w:tabs>
              <w:ind w:left="146" w:hanging="180"/>
              <w:rPr>
                <w:rFonts w:ascii="仿宋" w:hAnsi="仿宋" w:eastAsia="仿宋" w:cs="仿宋"/>
                <w:color w:val="auto"/>
                <w:szCs w:val="21"/>
                <w:highlight w:val="none"/>
              </w:rPr>
            </w:pPr>
          </w:p>
        </w:tc>
        <w:tc>
          <w:tcPr>
            <w:tcW w:w="1114" w:type="dxa"/>
            <w:vAlign w:val="center"/>
          </w:tcPr>
          <w:p>
            <w:pPr>
              <w:tabs>
                <w:tab w:val="left" w:pos="0"/>
              </w:tabs>
              <w:rPr>
                <w:rFonts w:ascii="仿宋" w:hAnsi="仿宋" w:eastAsia="仿宋" w:cs="仿宋"/>
                <w:color w:val="auto"/>
                <w:szCs w:val="21"/>
                <w:highlight w:val="none"/>
              </w:rPr>
            </w:pPr>
          </w:p>
        </w:tc>
        <w:tc>
          <w:tcPr>
            <w:tcW w:w="1114"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1114"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c>
          <w:tcPr>
            <w:tcW w:w="468" w:type="dxa"/>
            <w:vAlign w:val="center"/>
          </w:tcPr>
          <w:p>
            <w:pPr>
              <w:pStyle w:val="142"/>
              <w:tabs>
                <w:tab w:val="left" w:pos="7740"/>
              </w:tabs>
              <w:snapToGrid w:val="0"/>
              <w:spacing w:before="0" w:beforeAutospacing="0" w:after="0" w:afterAutospacing="0"/>
              <w:jc w:val="both"/>
              <w:rPr>
                <w:rFonts w:hint="default"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3"/>
              <w:tabs>
                <w:tab w:val="left" w:pos="7740"/>
              </w:tabs>
              <w:snapToGrid w:val="0"/>
              <w:ind w:firstLine="0" w:firstLineChars="0"/>
              <w:rPr>
                <w:rFonts w:ascii="仿宋" w:hAnsi="仿宋" w:eastAsia="仿宋" w:cs="仿宋"/>
                <w:color w:val="auto"/>
                <w:sz w:val="21"/>
                <w:szCs w:val="21"/>
                <w:highlight w:val="none"/>
              </w:rPr>
            </w:pPr>
          </w:p>
        </w:tc>
        <w:tc>
          <w:tcPr>
            <w:tcW w:w="3936"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r>
              <w:rPr>
                <w:rFonts w:hint="eastAsia" w:ascii="仿宋" w:hAnsi="仿宋" w:eastAsia="仿宋" w:cs="仿宋"/>
                <w:bCs/>
                <w:color w:val="auto"/>
                <w:sz w:val="21"/>
                <w:szCs w:val="21"/>
                <w:highlight w:val="none"/>
              </w:rPr>
              <w:t>无招标文件规定的投标无效情况</w:t>
            </w:r>
          </w:p>
        </w:tc>
        <w:tc>
          <w:tcPr>
            <w:tcW w:w="1114" w:type="dxa"/>
            <w:vAlign w:val="center"/>
          </w:tcPr>
          <w:p>
            <w:pPr>
              <w:pStyle w:val="13"/>
              <w:tabs>
                <w:tab w:val="left" w:pos="7740"/>
              </w:tabs>
              <w:snapToGrid w:val="0"/>
              <w:ind w:firstLine="0" w:firstLineChars="0"/>
              <w:rPr>
                <w:rFonts w:ascii="仿宋" w:hAnsi="仿宋" w:eastAsia="仿宋" w:cs="仿宋"/>
                <w:color w:val="auto"/>
                <w:sz w:val="21"/>
                <w:szCs w:val="21"/>
                <w:highlight w:val="none"/>
              </w:rPr>
            </w:pPr>
          </w:p>
        </w:tc>
        <w:tc>
          <w:tcPr>
            <w:tcW w:w="1114" w:type="dxa"/>
            <w:vAlign w:val="center"/>
          </w:tcPr>
          <w:p>
            <w:pPr>
              <w:pStyle w:val="13"/>
              <w:tabs>
                <w:tab w:val="left" w:pos="7740"/>
              </w:tabs>
              <w:snapToGrid w:val="0"/>
              <w:ind w:firstLine="0" w:firstLineChars="0"/>
              <w:rPr>
                <w:rFonts w:ascii="仿宋" w:hAnsi="仿宋" w:eastAsia="仿宋" w:cs="仿宋"/>
                <w:color w:val="auto"/>
                <w:sz w:val="21"/>
                <w:szCs w:val="21"/>
                <w:highlight w:val="none"/>
              </w:rPr>
            </w:pPr>
          </w:p>
        </w:tc>
        <w:tc>
          <w:tcPr>
            <w:tcW w:w="1114"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p>
        </w:tc>
        <w:tc>
          <w:tcPr>
            <w:tcW w:w="1114"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p>
        </w:tc>
        <w:tc>
          <w:tcPr>
            <w:tcW w:w="468" w:type="dxa"/>
            <w:vAlign w:val="center"/>
          </w:tcPr>
          <w:p>
            <w:pPr>
              <w:pStyle w:val="13"/>
              <w:tabs>
                <w:tab w:val="left" w:pos="7740"/>
              </w:tabs>
              <w:snapToGrid w:val="0"/>
              <w:ind w:firstLine="0" w:firstLineChars="0"/>
              <w:jc w:val="both"/>
              <w:rPr>
                <w:rFonts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87" w:type="dxa"/>
            <w:gridSpan w:val="7"/>
          </w:tcPr>
          <w:p>
            <w:pPr>
              <w:pStyle w:val="13"/>
              <w:tabs>
                <w:tab w:val="left" w:pos="7740"/>
              </w:tabs>
              <w:snapToGrid w:val="0"/>
              <w:ind w:firstLine="140" w:firstLineChars="67"/>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注：符合要求的打“√”，不符合要求的打“×”</w:t>
            </w:r>
          </w:p>
        </w:tc>
      </w:tr>
    </w:tbl>
    <w:p>
      <w:pPr>
        <w:rPr>
          <w:rFonts w:ascii="仿宋" w:hAnsi="仿宋" w:eastAsia="仿宋" w:cs="仿宋"/>
          <w:color w:val="auto"/>
          <w:szCs w:val="21"/>
          <w:highlight w:val="none"/>
        </w:rPr>
      </w:pPr>
    </w:p>
    <w:p>
      <w:pPr>
        <w:rPr>
          <w:rFonts w:ascii="仿宋" w:hAnsi="仿宋" w:eastAsia="仿宋" w:cs="仿宋"/>
          <w:color w:val="auto"/>
          <w:szCs w:val="21"/>
          <w:highlight w:val="none"/>
        </w:rPr>
      </w:pPr>
      <w:r>
        <w:rPr>
          <w:rFonts w:hint="eastAsia" w:ascii="仿宋" w:hAnsi="仿宋" w:eastAsia="仿宋" w:cs="仿宋"/>
          <w:color w:val="auto"/>
          <w:szCs w:val="21"/>
          <w:highlight w:val="none"/>
        </w:rPr>
        <w:t>评委签名：</w:t>
      </w:r>
    </w:p>
    <w:p>
      <w:pPr>
        <w:rPr>
          <w:rFonts w:ascii="仿宋" w:hAnsi="仿宋" w:eastAsia="仿宋" w:cs="仿宋"/>
          <w:color w:val="auto"/>
          <w:sz w:val="28"/>
          <w:szCs w:val="28"/>
          <w:highlight w:val="none"/>
        </w:rPr>
        <w:sectPr>
          <w:headerReference r:id="rId8" w:type="default"/>
          <w:type w:val="nextColumn"/>
          <w:pgSz w:w="11906" w:h="16838"/>
          <w:pgMar w:top="1440" w:right="1418" w:bottom="1440" w:left="1411" w:header="851" w:footer="868" w:gutter="0"/>
          <w:cols w:space="720" w:num="1"/>
          <w:docGrid w:type="linesAndChars" w:linePitch="312" w:charSpace="0"/>
        </w:sectPr>
      </w:pPr>
      <w:r>
        <w:rPr>
          <w:rFonts w:hint="eastAsia" w:ascii="仿宋" w:hAnsi="仿宋" w:eastAsia="仿宋" w:cs="仿宋"/>
          <w:color w:val="auto"/>
          <w:highlight w:val="none"/>
        </w:rPr>
        <w:t>日期：</w:t>
      </w:r>
    </w:p>
    <w:p>
      <w:pPr>
        <w:autoSpaceDE/>
        <w:autoSpaceDN/>
        <w:adjustRightInd/>
        <w:spacing w:line="400" w:lineRule="atLeast"/>
        <w:jc w:val="both"/>
        <w:outlineLvl w:val="1"/>
        <w:rPr>
          <w:rFonts w:hAnsi="宋体" w:cs="宋体"/>
          <w:b/>
          <w:bCs/>
          <w:color w:val="auto"/>
          <w:szCs w:val="21"/>
          <w:highlight w:val="none"/>
        </w:rPr>
      </w:pPr>
      <w:r>
        <w:rPr>
          <w:rFonts w:hint="eastAsia" w:hAnsi="宋体" w:cs="宋体"/>
          <w:b/>
          <w:bCs/>
          <w:color w:val="auto"/>
          <w:szCs w:val="21"/>
          <w:highlight w:val="none"/>
        </w:rPr>
        <w:t>附件1.1 《评分标准和细则》</w:t>
      </w:r>
    </w:p>
    <w:p>
      <w:pPr>
        <w:pStyle w:val="28"/>
        <w:rPr>
          <w:rFonts w:hAnsi="宋体" w:cs="宋体"/>
          <w:b/>
          <w:bCs/>
          <w:color w:val="auto"/>
          <w:szCs w:val="21"/>
          <w:highlight w:val="none"/>
        </w:rPr>
      </w:pPr>
    </w:p>
    <w:p>
      <w:pPr>
        <w:tabs>
          <w:tab w:val="left" w:pos="480"/>
          <w:tab w:val="left" w:pos="720"/>
        </w:tabs>
        <w:autoSpaceDE/>
        <w:autoSpaceDN/>
        <w:adjustRightInd/>
        <w:spacing w:line="360" w:lineRule="auto"/>
        <w:jc w:val="both"/>
        <w:rPr>
          <w:rFonts w:hAnsi="宋体" w:cs="宋体"/>
          <w:b/>
          <w:bCs/>
          <w:color w:val="auto"/>
          <w:szCs w:val="21"/>
          <w:highlight w:val="none"/>
        </w:rPr>
      </w:pPr>
      <w:r>
        <w:rPr>
          <w:rFonts w:hint="eastAsia" w:hAnsi="宋体" w:cs="宋体"/>
          <w:b/>
          <w:bCs/>
          <w:color w:val="auto"/>
          <w:szCs w:val="21"/>
          <w:highlight w:val="none"/>
        </w:rPr>
        <w:t>一、分因素及分值</w:t>
      </w:r>
    </w:p>
    <w:p>
      <w:pPr>
        <w:numPr>
          <w:ilvl w:val="0"/>
          <w:numId w:val="24"/>
        </w:numPr>
        <w:tabs>
          <w:tab w:val="left" w:pos="660"/>
        </w:tabs>
        <w:autoSpaceDE/>
        <w:autoSpaceDN/>
        <w:adjustRightInd/>
        <w:spacing w:line="360" w:lineRule="auto"/>
        <w:ind w:left="480" w:hanging="480"/>
        <w:jc w:val="both"/>
        <w:rPr>
          <w:rFonts w:ascii="仿宋" w:hAnsi="仿宋" w:eastAsia="仿宋" w:cs="仿宋"/>
          <w:color w:val="auto"/>
          <w:szCs w:val="21"/>
          <w:highlight w:val="none"/>
        </w:rPr>
      </w:pPr>
      <w:r>
        <w:rPr>
          <w:rFonts w:hint="eastAsia" w:ascii="仿宋" w:hAnsi="仿宋" w:eastAsia="仿宋" w:cs="仿宋"/>
          <w:color w:val="auto"/>
          <w:szCs w:val="21"/>
          <w:highlight w:val="none"/>
        </w:rPr>
        <w:t>评委考核打分的评分因素及分值:总分100分</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4"/>
        <w:gridCol w:w="3848"/>
        <w:gridCol w:w="2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314" w:type="dxa"/>
            <w:tcBorders>
              <w:right w:val="single" w:color="auto" w:sz="6" w:space="0"/>
            </w:tcBorders>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3848" w:type="dxa"/>
            <w:tcBorders>
              <w:left w:val="single" w:color="auto" w:sz="6" w:space="0"/>
            </w:tcBorders>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评分因素</w:t>
            </w:r>
          </w:p>
        </w:tc>
        <w:tc>
          <w:tcPr>
            <w:tcW w:w="2698" w:type="dxa"/>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314" w:type="dxa"/>
            <w:tcBorders>
              <w:right w:val="single" w:color="auto" w:sz="6" w:space="0"/>
            </w:tcBorders>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1</w:t>
            </w:r>
          </w:p>
        </w:tc>
        <w:tc>
          <w:tcPr>
            <w:tcW w:w="3848" w:type="dxa"/>
            <w:tcBorders>
              <w:left w:val="single" w:color="auto" w:sz="6" w:space="0"/>
            </w:tcBorders>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商务</w:t>
            </w:r>
          </w:p>
        </w:tc>
        <w:tc>
          <w:tcPr>
            <w:tcW w:w="2698" w:type="dxa"/>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35分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314" w:type="dxa"/>
            <w:tcBorders>
              <w:right w:val="single" w:color="auto" w:sz="6" w:space="0"/>
            </w:tcBorders>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2</w:t>
            </w:r>
          </w:p>
        </w:tc>
        <w:tc>
          <w:tcPr>
            <w:tcW w:w="3848" w:type="dxa"/>
            <w:tcBorders>
              <w:left w:val="single" w:color="auto" w:sz="6" w:space="0"/>
            </w:tcBorders>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技术</w:t>
            </w:r>
          </w:p>
        </w:tc>
        <w:tc>
          <w:tcPr>
            <w:tcW w:w="2698" w:type="dxa"/>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314" w:type="dxa"/>
            <w:tcBorders>
              <w:right w:val="single" w:color="auto" w:sz="6" w:space="0"/>
            </w:tcBorders>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3</w:t>
            </w:r>
          </w:p>
        </w:tc>
        <w:tc>
          <w:tcPr>
            <w:tcW w:w="3848" w:type="dxa"/>
            <w:tcBorders>
              <w:left w:val="single" w:color="auto" w:sz="6" w:space="0"/>
            </w:tcBorders>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价格</w:t>
            </w:r>
          </w:p>
        </w:tc>
        <w:tc>
          <w:tcPr>
            <w:tcW w:w="2698" w:type="dxa"/>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162" w:type="dxa"/>
            <w:gridSpan w:val="2"/>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总  分</w:t>
            </w:r>
          </w:p>
        </w:tc>
        <w:tc>
          <w:tcPr>
            <w:tcW w:w="2698" w:type="dxa"/>
            <w:vAlign w:val="center"/>
          </w:tcPr>
          <w:p>
            <w:pPr>
              <w:jc w:val="center"/>
              <w:rPr>
                <w:rFonts w:ascii="仿宋" w:hAnsi="仿宋" w:eastAsia="仿宋" w:cs="仿宋"/>
                <w:color w:val="auto"/>
                <w:highlight w:val="none"/>
              </w:rPr>
            </w:pPr>
            <w:r>
              <w:rPr>
                <w:rFonts w:hint="eastAsia" w:ascii="仿宋" w:hAnsi="仿宋" w:eastAsia="仿宋" w:cs="仿宋"/>
                <w:color w:val="auto"/>
                <w:highlight w:val="none"/>
              </w:rPr>
              <w:t>100分</w:t>
            </w:r>
          </w:p>
        </w:tc>
      </w:tr>
    </w:tbl>
    <w:p>
      <w:pPr>
        <w:autoSpaceDE/>
        <w:autoSpaceDN/>
        <w:adjustRightInd/>
        <w:spacing w:line="360" w:lineRule="auto"/>
        <w:jc w:val="both"/>
        <w:rPr>
          <w:rFonts w:hAnsi="宋体" w:cs="宋体"/>
          <w:b/>
          <w:bCs/>
          <w:color w:val="auto"/>
          <w:szCs w:val="21"/>
          <w:highlight w:val="none"/>
        </w:rPr>
      </w:pPr>
    </w:p>
    <w:p>
      <w:pPr>
        <w:tabs>
          <w:tab w:val="left" w:pos="480"/>
          <w:tab w:val="left" w:pos="720"/>
        </w:tabs>
        <w:autoSpaceDE/>
        <w:autoSpaceDN/>
        <w:adjustRightInd/>
        <w:spacing w:line="360" w:lineRule="auto"/>
        <w:jc w:val="both"/>
        <w:rPr>
          <w:rFonts w:hAnsi="宋体" w:cs="宋体"/>
          <w:b/>
          <w:bCs/>
          <w:color w:val="auto"/>
          <w:szCs w:val="21"/>
          <w:highlight w:val="none"/>
        </w:rPr>
      </w:pPr>
      <w:r>
        <w:rPr>
          <w:rFonts w:hint="eastAsia" w:hAnsi="宋体" w:cs="宋体"/>
          <w:b/>
          <w:bCs/>
          <w:color w:val="auto"/>
          <w:szCs w:val="21"/>
          <w:highlight w:val="none"/>
        </w:rPr>
        <w:t>二、评分因素分值的具体分配：</w:t>
      </w:r>
    </w:p>
    <w:p>
      <w:pPr>
        <w:pStyle w:val="99"/>
        <w:keepNext w:val="0"/>
        <w:tabs>
          <w:tab w:val="left" w:pos="0"/>
        </w:tabs>
        <w:spacing w:after="0" w:line="360" w:lineRule="auto"/>
        <w:outlineLvl w:val="2"/>
        <w:rPr>
          <w:rFonts w:ascii="宋体" w:hAnsi="宋体" w:cs="宋体"/>
          <w:b/>
          <w:color w:val="auto"/>
          <w:szCs w:val="21"/>
          <w:highlight w:val="none"/>
        </w:rPr>
      </w:pPr>
      <w:r>
        <w:rPr>
          <w:rFonts w:hint="eastAsia" w:ascii="宋体" w:hAnsi="宋体" w:cs="宋体"/>
          <w:b/>
          <w:color w:val="auto"/>
          <w:szCs w:val="21"/>
          <w:highlight w:val="none"/>
        </w:rPr>
        <w:t>1.商务评分标准：（总分：35分）</w:t>
      </w:r>
    </w:p>
    <w:tbl>
      <w:tblPr>
        <w:tblStyle w:val="49"/>
        <w:tblW w:w="900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05"/>
        <w:gridCol w:w="1080"/>
        <w:gridCol w:w="705"/>
        <w:gridCol w:w="651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82" w:hRule="atLeast"/>
          <w:jc w:val="center"/>
        </w:trPr>
        <w:tc>
          <w:tcPr>
            <w:tcW w:w="705" w:type="dxa"/>
            <w:shd w:val="clear" w:color="auto" w:fill="FFFFFF"/>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1080" w:type="dxa"/>
            <w:shd w:val="clear" w:color="auto" w:fill="FFFFFF"/>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评分因素</w:t>
            </w:r>
          </w:p>
        </w:tc>
        <w:tc>
          <w:tcPr>
            <w:tcW w:w="705" w:type="dxa"/>
            <w:shd w:val="clear" w:color="auto" w:fill="FFFFFF"/>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分值</w:t>
            </w:r>
          </w:p>
        </w:tc>
        <w:tc>
          <w:tcPr>
            <w:tcW w:w="6513" w:type="dxa"/>
            <w:shd w:val="clear" w:color="auto" w:fill="FFFFFF"/>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评分准则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474" w:hRule="atLeast"/>
          <w:jc w:val="center"/>
        </w:trPr>
        <w:tc>
          <w:tcPr>
            <w:tcW w:w="705" w:type="dxa"/>
            <w:shd w:val="clear" w:color="auto" w:fill="FFFFFF"/>
            <w:vAlign w:val="center"/>
          </w:tcPr>
          <w:p>
            <w:pPr>
              <w:snapToGrid w:val="0"/>
              <w:spacing w:line="400" w:lineRule="exact"/>
              <w:jc w:val="center"/>
              <w:rPr>
                <w:rFonts w:ascii="仿宋" w:hAnsi="仿宋" w:eastAsia="仿宋" w:cs="仿宋"/>
                <w:bCs/>
                <w:color w:val="auto"/>
                <w:szCs w:val="21"/>
                <w:highlight w:val="none"/>
              </w:rPr>
            </w:pPr>
            <w:r>
              <w:rPr>
                <w:rFonts w:hint="eastAsia" w:ascii="仿宋" w:hAnsi="仿宋" w:eastAsia="仿宋" w:cs="仿宋"/>
                <w:color w:val="auto"/>
                <w:szCs w:val="21"/>
                <w:highlight w:val="none"/>
              </w:rPr>
              <w:t>1</w:t>
            </w:r>
          </w:p>
        </w:tc>
        <w:tc>
          <w:tcPr>
            <w:tcW w:w="1080" w:type="dxa"/>
            <w:shd w:val="clear" w:color="auto" w:fill="FFFFFF"/>
            <w:vAlign w:val="center"/>
          </w:tcPr>
          <w:p>
            <w:pPr>
              <w:snapToGrid w:val="0"/>
              <w:spacing w:line="400" w:lineRule="exact"/>
              <w:jc w:val="center"/>
              <w:rPr>
                <w:rFonts w:ascii="仿宋" w:hAnsi="仿宋" w:eastAsia="仿宋" w:cs="仿宋"/>
                <w:b/>
                <w:color w:val="auto"/>
                <w:szCs w:val="21"/>
                <w:highlight w:val="none"/>
              </w:rPr>
            </w:pPr>
            <w:r>
              <w:rPr>
                <w:rFonts w:hint="eastAsia" w:ascii="仿宋" w:hAnsi="仿宋" w:eastAsia="仿宋" w:cs="仿宋"/>
                <w:color w:val="auto"/>
                <w:szCs w:val="21"/>
                <w:highlight w:val="none"/>
              </w:rPr>
              <w:t>商务响应程度</w:t>
            </w:r>
          </w:p>
        </w:tc>
        <w:tc>
          <w:tcPr>
            <w:tcW w:w="705"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ascii="仿宋" w:hAnsi="仿宋" w:eastAsia="仿宋" w:cs="仿宋"/>
                <w:color w:val="auto"/>
                <w:szCs w:val="21"/>
                <w:highlight w:val="none"/>
              </w:rPr>
              <w:t>4</w:t>
            </w:r>
          </w:p>
        </w:tc>
        <w:tc>
          <w:tcPr>
            <w:tcW w:w="6513" w:type="dxa"/>
            <w:shd w:val="clear" w:color="auto" w:fill="FFFFFF"/>
            <w:vAlign w:val="center"/>
          </w:tcPr>
          <w:p>
            <w:pPr>
              <w:snapToGrid w:val="0"/>
              <w:spacing w:line="260" w:lineRule="exact"/>
              <w:rPr>
                <w:rFonts w:ascii="仿宋" w:hAnsi="仿宋" w:eastAsia="仿宋" w:cs="仿宋"/>
                <w:color w:val="auto"/>
                <w:szCs w:val="21"/>
                <w:highlight w:val="none"/>
              </w:rPr>
            </w:pPr>
            <w:r>
              <w:rPr>
                <w:rFonts w:hint="eastAsia" w:ascii="仿宋" w:hAnsi="仿宋" w:eastAsia="仿宋" w:cs="仿宋"/>
                <w:color w:val="auto"/>
                <w:szCs w:val="21"/>
                <w:highlight w:val="none"/>
              </w:rPr>
              <w:t>优于招标文件要求（</w:t>
            </w:r>
            <w:r>
              <w:rPr>
                <w:rFonts w:ascii="仿宋" w:hAnsi="仿宋" w:eastAsia="仿宋" w:cs="仿宋"/>
                <w:color w:val="auto"/>
                <w:szCs w:val="21"/>
                <w:highlight w:val="none"/>
              </w:rPr>
              <w:t>4</w:t>
            </w:r>
            <w:r>
              <w:rPr>
                <w:rFonts w:hint="eastAsia" w:ascii="仿宋" w:hAnsi="仿宋" w:eastAsia="仿宋" w:cs="仿宋"/>
                <w:color w:val="auto"/>
                <w:szCs w:val="21"/>
                <w:highlight w:val="none"/>
              </w:rPr>
              <w:t>分）</w:t>
            </w:r>
          </w:p>
          <w:p>
            <w:pPr>
              <w:snapToGrid w:val="0"/>
              <w:spacing w:line="260" w:lineRule="exact"/>
              <w:rPr>
                <w:rFonts w:ascii="仿宋" w:hAnsi="仿宋" w:eastAsia="仿宋" w:cs="仿宋"/>
                <w:color w:val="auto"/>
                <w:szCs w:val="21"/>
                <w:highlight w:val="none"/>
              </w:rPr>
            </w:pPr>
            <w:r>
              <w:rPr>
                <w:rFonts w:hint="eastAsia" w:ascii="仿宋" w:hAnsi="仿宋" w:eastAsia="仿宋" w:cs="仿宋"/>
                <w:color w:val="auto"/>
                <w:szCs w:val="21"/>
                <w:highlight w:val="none"/>
              </w:rPr>
              <w:t>满足招标文件要求（3分）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未能满足招标文件要求（0分）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20" w:hRule="atLeast"/>
          <w:jc w:val="center"/>
        </w:trPr>
        <w:tc>
          <w:tcPr>
            <w:tcW w:w="705" w:type="dxa"/>
            <w:shd w:val="clear" w:color="auto" w:fill="FFFFFF"/>
            <w:vAlign w:val="center"/>
          </w:tcPr>
          <w:p>
            <w:pPr>
              <w:snapToGrid w:val="0"/>
              <w:spacing w:line="400" w:lineRule="exact"/>
              <w:jc w:val="center"/>
              <w:rPr>
                <w:rFonts w:ascii="仿宋" w:hAnsi="仿宋" w:eastAsia="仿宋" w:cs="仿宋"/>
                <w:bCs/>
                <w:color w:val="auto"/>
                <w:szCs w:val="21"/>
                <w:highlight w:val="none"/>
              </w:rPr>
            </w:pPr>
            <w:r>
              <w:rPr>
                <w:rFonts w:hint="eastAsia" w:ascii="仿宋" w:hAnsi="仿宋" w:eastAsia="仿宋" w:cs="仿宋"/>
                <w:color w:val="auto"/>
                <w:szCs w:val="21"/>
                <w:highlight w:val="none"/>
              </w:rPr>
              <w:t>2</w:t>
            </w:r>
          </w:p>
        </w:tc>
        <w:tc>
          <w:tcPr>
            <w:tcW w:w="1080" w:type="dxa"/>
            <w:shd w:val="clear" w:color="auto" w:fill="FFFFFF"/>
            <w:vAlign w:val="center"/>
          </w:tcPr>
          <w:p>
            <w:pPr>
              <w:snapToGrid w:val="0"/>
              <w:spacing w:line="400" w:lineRule="exact"/>
              <w:jc w:val="center"/>
              <w:rPr>
                <w:rFonts w:ascii="仿宋" w:hAnsi="仿宋" w:eastAsia="仿宋" w:cs="仿宋"/>
                <w:bCs/>
                <w:color w:val="auto"/>
                <w:szCs w:val="21"/>
                <w:highlight w:val="none"/>
              </w:rPr>
            </w:pPr>
            <w:r>
              <w:rPr>
                <w:rFonts w:hint="eastAsia" w:ascii="仿宋" w:hAnsi="仿宋" w:eastAsia="仿宋" w:cs="仿宋"/>
                <w:color w:val="auto"/>
                <w:szCs w:val="21"/>
                <w:highlight w:val="none"/>
              </w:rPr>
              <w:t>行业经验</w:t>
            </w:r>
          </w:p>
        </w:tc>
        <w:tc>
          <w:tcPr>
            <w:tcW w:w="705"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ascii="仿宋" w:hAnsi="仿宋" w:eastAsia="仿宋" w:cs="仿宋"/>
                <w:color w:val="auto"/>
                <w:szCs w:val="21"/>
                <w:highlight w:val="none"/>
              </w:rPr>
              <w:t>10</w:t>
            </w:r>
          </w:p>
        </w:tc>
        <w:tc>
          <w:tcPr>
            <w:tcW w:w="6513" w:type="dxa"/>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2018年1月1日以来承担的预警信息发布相关的运营或者建设项目情况。每个项目得1分，最高不超过</w:t>
            </w:r>
            <w:r>
              <w:rPr>
                <w:rFonts w:ascii="仿宋" w:hAnsi="仿宋" w:eastAsia="仿宋" w:cs="仿宋"/>
                <w:color w:val="auto"/>
                <w:szCs w:val="21"/>
                <w:highlight w:val="none"/>
              </w:rPr>
              <w:t>10</w:t>
            </w:r>
            <w:r>
              <w:rPr>
                <w:rFonts w:hint="eastAsia" w:ascii="仿宋" w:hAnsi="仿宋" w:eastAsia="仿宋" w:cs="仿宋"/>
                <w:color w:val="auto"/>
                <w:szCs w:val="21"/>
                <w:highlight w:val="none"/>
              </w:rPr>
              <w:t>分(提供合同或委托协议关键页复印件和验收报告关键页复印件)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7" w:hRule="atLeast"/>
          <w:jc w:val="center"/>
        </w:trPr>
        <w:tc>
          <w:tcPr>
            <w:tcW w:w="705"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080"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科学技术推广能力</w:t>
            </w:r>
          </w:p>
        </w:tc>
        <w:tc>
          <w:tcPr>
            <w:tcW w:w="705"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7</w:t>
            </w:r>
          </w:p>
        </w:tc>
        <w:tc>
          <w:tcPr>
            <w:tcW w:w="6513" w:type="dxa"/>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获省级或厅局级以上管理部门授予的科学技术推广应用奖励情况（提供奖励证书复印件），每份3.5分，最高得7分。没有有效证明材料或有效证明材料不足的不得分。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379" w:hRule="atLeast"/>
          <w:jc w:val="center"/>
        </w:trPr>
        <w:tc>
          <w:tcPr>
            <w:tcW w:w="705"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1080"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科研能力</w:t>
            </w:r>
          </w:p>
        </w:tc>
        <w:tc>
          <w:tcPr>
            <w:tcW w:w="705"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ascii="仿宋" w:hAnsi="仿宋" w:eastAsia="仿宋" w:cs="仿宋"/>
                <w:color w:val="auto"/>
                <w:szCs w:val="21"/>
                <w:highlight w:val="none"/>
              </w:rPr>
              <w:t>10</w:t>
            </w:r>
          </w:p>
        </w:tc>
        <w:tc>
          <w:tcPr>
            <w:tcW w:w="6513" w:type="dxa"/>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承接厅局级以上气象行业科研项目完成情况（提供科研项目任务书关键页和结题验收证明材料复印件），每个项目提供任务书和验收证明得2分。仅有任务书无验收证明得1分，最高不超过</w:t>
            </w:r>
            <w:r>
              <w:rPr>
                <w:rFonts w:ascii="仿宋" w:hAnsi="仿宋" w:eastAsia="仿宋" w:cs="仿宋"/>
                <w:color w:val="auto"/>
                <w:szCs w:val="21"/>
                <w:highlight w:val="none"/>
              </w:rPr>
              <w:t>10</w:t>
            </w:r>
            <w:r>
              <w:rPr>
                <w:rFonts w:hint="eastAsia" w:ascii="仿宋" w:hAnsi="仿宋" w:eastAsia="仿宋" w:cs="仿宋"/>
                <w:color w:val="auto"/>
                <w:szCs w:val="21"/>
                <w:highlight w:val="none"/>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60" w:hRule="atLeast"/>
          <w:jc w:val="center"/>
        </w:trPr>
        <w:tc>
          <w:tcPr>
            <w:tcW w:w="705"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5</w:t>
            </w:r>
          </w:p>
        </w:tc>
        <w:tc>
          <w:tcPr>
            <w:tcW w:w="1080"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服务便利性情况</w:t>
            </w:r>
          </w:p>
        </w:tc>
        <w:tc>
          <w:tcPr>
            <w:tcW w:w="705" w:type="dxa"/>
            <w:shd w:val="clear" w:color="auto" w:fill="FFFFFF"/>
            <w:vAlign w:val="center"/>
          </w:tcPr>
          <w:p>
            <w:pPr>
              <w:snapToGrid w:val="0"/>
              <w:spacing w:line="400" w:lineRule="exact"/>
              <w:jc w:val="center"/>
              <w:rPr>
                <w:rFonts w:ascii="仿宋" w:hAnsi="仿宋" w:eastAsia="仿宋" w:cs="仿宋"/>
                <w:color w:val="auto"/>
                <w:szCs w:val="21"/>
                <w:highlight w:val="none"/>
              </w:rPr>
            </w:pPr>
            <w:r>
              <w:rPr>
                <w:rFonts w:ascii="仿宋" w:hAnsi="仿宋" w:eastAsia="仿宋" w:cs="仿宋"/>
                <w:color w:val="auto"/>
                <w:szCs w:val="21"/>
                <w:highlight w:val="none"/>
              </w:rPr>
              <w:t>4</w:t>
            </w:r>
          </w:p>
        </w:tc>
        <w:tc>
          <w:tcPr>
            <w:tcW w:w="6513" w:type="dxa"/>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投标人服务便利性情况方案进行评审：</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1.投标人提供服务便利性方案最科学、响应最迅速，得</w:t>
            </w:r>
            <w:r>
              <w:rPr>
                <w:rFonts w:ascii="仿宋" w:hAnsi="仿宋" w:eastAsia="仿宋" w:cs="仿宋"/>
                <w:color w:val="auto"/>
                <w:szCs w:val="21"/>
                <w:highlight w:val="none"/>
              </w:rPr>
              <w:t>4</w:t>
            </w:r>
            <w:r>
              <w:rPr>
                <w:rFonts w:hint="eastAsia" w:ascii="仿宋" w:hAnsi="仿宋" w:eastAsia="仿宋" w:cs="仿宋"/>
                <w:color w:val="auto"/>
                <w:szCs w:val="21"/>
                <w:highlight w:val="none"/>
              </w:rPr>
              <w:t>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2.投标人提供服务便利性方案较科学、相应较迅速，得</w:t>
            </w:r>
            <w:r>
              <w:rPr>
                <w:rFonts w:ascii="仿宋" w:hAnsi="仿宋" w:eastAsia="仿宋" w:cs="仿宋"/>
                <w:color w:val="auto"/>
                <w:szCs w:val="21"/>
                <w:highlight w:val="none"/>
              </w:rPr>
              <w:t>2</w:t>
            </w:r>
            <w:r>
              <w:rPr>
                <w:rFonts w:hint="eastAsia" w:ascii="仿宋" w:hAnsi="仿宋" w:eastAsia="仿宋" w:cs="仿宋"/>
                <w:color w:val="auto"/>
                <w:szCs w:val="21"/>
                <w:highlight w:val="none"/>
              </w:rPr>
              <w:t>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3.投标人提供服务便利性方案不科学、相应慢，得1分；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4.不提供相应方案不得分。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003" w:type="dxa"/>
            <w:gridSpan w:val="4"/>
            <w:shd w:val="clear" w:color="auto" w:fill="FFFFFF"/>
            <w:vAlign w:val="center"/>
          </w:tcPr>
          <w:p>
            <w:pPr>
              <w:jc w:val="center"/>
              <w:rPr>
                <w:rFonts w:ascii="仿宋" w:hAnsi="仿宋" w:eastAsia="仿宋" w:cs="仿宋"/>
                <w:color w:val="auto"/>
                <w:szCs w:val="21"/>
                <w:highlight w:val="none"/>
              </w:rPr>
            </w:pPr>
            <w:r>
              <w:rPr>
                <w:rFonts w:hint="eastAsia" w:ascii="仿宋" w:hAnsi="仿宋" w:eastAsia="仿宋" w:cs="仿宋"/>
                <w:b/>
                <w:bCs/>
                <w:color w:val="auto"/>
                <w:szCs w:val="21"/>
                <w:highlight w:val="none"/>
              </w:rPr>
              <w:t>商务评分合计 35分</w:t>
            </w:r>
          </w:p>
        </w:tc>
      </w:tr>
    </w:tbl>
    <w:p>
      <w:pPr>
        <w:pStyle w:val="2"/>
        <w:jc w:val="left"/>
        <w:rPr>
          <w:color w:val="auto"/>
          <w:highlight w:val="none"/>
        </w:rPr>
      </w:pP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备注：仅对资格性和符合性审查合格的投标文件进行评分；评分小数点保留至0.01。</w:t>
      </w:r>
    </w:p>
    <w:p>
      <w:pPr>
        <w:pStyle w:val="2"/>
        <w:jc w:val="both"/>
        <w:rPr>
          <w:color w:val="auto"/>
          <w:highlight w:val="none"/>
        </w:rPr>
      </w:pPr>
    </w:p>
    <w:p>
      <w:pPr>
        <w:pStyle w:val="99"/>
        <w:keepNext w:val="0"/>
        <w:tabs>
          <w:tab w:val="left" w:pos="0"/>
        </w:tabs>
        <w:spacing w:after="0" w:line="360" w:lineRule="auto"/>
        <w:outlineLvl w:val="2"/>
        <w:rPr>
          <w:rFonts w:ascii="宋体" w:hAnsi="宋体" w:cs="宋体"/>
          <w:b/>
          <w:color w:val="auto"/>
          <w:szCs w:val="21"/>
          <w:highlight w:val="none"/>
        </w:rPr>
      </w:pPr>
      <w:r>
        <w:rPr>
          <w:rFonts w:hint="eastAsia" w:ascii="宋体" w:hAnsi="宋体" w:cs="宋体"/>
          <w:b/>
          <w:color w:val="auto"/>
          <w:szCs w:val="21"/>
          <w:highlight w:val="none"/>
        </w:rPr>
        <w:t>2.技术评分标准：（总分：45分）</w:t>
      </w:r>
    </w:p>
    <w:tbl>
      <w:tblPr>
        <w:tblStyle w:val="49"/>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634"/>
        <w:gridCol w:w="1049"/>
        <w:gridCol w:w="638"/>
        <w:gridCol w:w="65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82" w:hRule="atLeast"/>
          <w:jc w:val="center"/>
        </w:trPr>
        <w:tc>
          <w:tcPr>
            <w:tcW w:w="358" w:type="pct"/>
            <w:shd w:val="clear" w:color="auto" w:fill="FFFFFF"/>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592" w:type="pct"/>
            <w:shd w:val="clear" w:color="auto" w:fill="FFFFFF"/>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评分因素</w:t>
            </w:r>
          </w:p>
        </w:tc>
        <w:tc>
          <w:tcPr>
            <w:tcW w:w="360" w:type="pct"/>
            <w:shd w:val="clear" w:color="auto" w:fill="FFFFFF"/>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分值</w:t>
            </w:r>
          </w:p>
        </w:tc>
        <w:tc>
          <w:tcPr>
            <w:tcW w:w="3689" w:type="pct"/>
            <w:shd w:val="clear" w:color="auto" w:fill="FFFFFF"/>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评分准则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1" w:hRule="atLeast"/>
          <w:jc w:val="center"/>
        </w:trPr>
        <w:tc>
          <w:tcPr>
            <w:tcW w:w="358" w:type="pct"/>
            <w:shd w:val="clear" w:color="auto" w:fill="FFFFFF"/>
            <w:vAlign w:val="center"/>
          </w:tcPr>
          <w:p>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1</w:t>
            </w:r>
          </w:p>
        </w:tc>
        <w:tc>
          <w:tcPr>
            <w:tcW w:w="592" w:type="pct"/>
            <w:shd w:val="clear" w:color="auto" w:fill="FFFFFF"/>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需求分析及运营服务原则和思路</w:t>
            </w:r>
          </w:p>
        </w:tc>
        <w:tc>
          <w:tcPr>
            <w:tcW w:w="360" w:type="pct"/>
            <w:shd w:val="clear" w:color="auto" w:fill="FFFFFF"/>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3689" w:type="pct"/>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考察投标人对项目需求的理解，以及采用符合运营和业务发展趋势的服务思路：</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（1）所提供的方案全面、合理、可行性好，为优，得4分；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（2）所提供的方案较全面、合理、可行性较好，为良，得2分；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（3）所提供的方案不全面、合理性差、可行性一般，为一般，得</w:t>
            </w:r>
            <w:r>
              <w:rPr>
                <w:rFonts w:ascii="仿宋" w:hAnsi="仿宋" w:eastAsia="仿宋" w:cs="仿宋"/>
                <w:color w:val="auto"/>
                <w:szCs w:val="21"/>
                <w:highlight w:val="none"/>
              </w:rPr>
              <w:t>1</w:t>
            </w:r>
            <w:r>
              <w:rPr>
                <w:rFonts w:hint="eastAsia" w:ascii="仿宋" w:hAnsi="仿宋" w:eastAsia="仿宋" w:cs="仿宋"/>
                <w:color w:val="auto"/>
                <w:szCs w:val="21"/>
                <w:highlight w:val="none"/>
              </w:rPr>
              <w:t>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（4）无法提供方案，得0分。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631" w:hRule="atLeast"/>
          <w:jc w:val="center"/>
        </w:trPr>
        <w:tc>
          <w:tcPr>
            <w:tcW w:w="358" w:type="pct"/>
            <w:shd w:val="clear" w:color="auto" w:fill="FFFFFF"/>
            <w:vAlign w:val="center"/>
          </w:tcPr>
          <w:p>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2</w:t>
            </w:r>
          </w:p>
        </w:tc>
        <w:tc>
          <w:tcPr>
            <w:tcW w:w="592" w:type="pct"/>
            <w:shd w:val="clear" w:color="auto" w:fill="FFFFFF"/>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预警信息采集、发布与质控</w:t>
            </w:r>
          </w:p>
        </w:tc>
        <w:tc>
          <w:tcPr>
            <w:tcW w:w="360" w:type="pct"/>
            <w:shd w:val="clear" w:color="auto" w:fill="FFFFFF"/>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8</w:t>
            </w:r>
          </w:p>
        </w:tc>
        <w:tc>
          <w:tcPr>
            <w:tcW w:w="3689" w:type="pct"/>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根据投标人所提供的对预警信息采集、发布与质控需求，特别是对信息员责任人信息报送接口和联动部门对接服务方面的响应情况评审：</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（1）所提供的响应情况全面、合理、可行性好，为优，得8分；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（2）所提供的响应情况较全面、合理、可行性较好，为良，得4分；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（3）所提供的响应情况不全面、合理性差、可行性一般，为一般，得</w:t>
            </w:r>
            <w:r>
              <w:rPr>
                <w:rFonts w:ascii="仿宋" w:hAnsi="仿宋" w:eastAsia="仿宋" w:cs="仿宋"/>
                <w:color w:val="auto"/>
                <w:szCs w:val="21"/>
                <w:highlight w:val="none"/>
              </w:rPr>
              <w:t>1</w:t>
            </w:r>
            <w:r>
              <w:rPr>
                <w:rFonts w:hint="eastAsia" w:ascii="仿宋" w:hAnsi="仿宋" w:eastAsia="仿宋" w:cs="仿宋"/>
                <w:color w:val="auto"/>
                <w:szCs w:val="21"/>
                <w:highlight w:val="none"/>
              </w:rPr>
              <w:t>分；</w:t>
            </w:r>
          </w:p>
          <w:p>
            <w:pPr>
              <w:pStyle w:val="2"/>
              <w:jc w:val="both"/>
              <w:rPr>
                <w:rFonts w:ascii="仿宋" w:hAnsi="仿宋" w:eastAsia="仿宋" w:cs="仿宋"/>
                <w:color w:val="auto"/>
                <w:szCs w:val="21"/>
                <w:highlight w:val="none"/>
              </w:rPr>
            </w:pPr>
            <w:r>
              <w:rPr>
                <w:rFonts w:hint="eastAsia" w:ascii="仿宋" w:hAnsi="仿宋" w:eastAsia="仿宋" w:cs="仿宋"/>
                <w:color w:val="auto"/>
                <w:szCs w:val="21"/>
                <w:highlight w:val="none"/>
              </w:rPr>
              <w:t>（4）无法提供响应情况，得0分。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1" w:hRule="atLeast"/>
          <w:jc w:val="center"/>
        </w:trPr>
        <w:tc>
          <w:tcPr>
            <w:tcW w:w="358" w:type="pct"/>
            <w:shd w:val="clear" w:color="auto" w:fill="FFFFFF"/>
            <w:vAlign w:val="center"/>
          </w:tcPr>
          <w:p>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3</w:t>
            </w:r>
          </w:p>
        </w:tc>
        <w:tc>
          <w:tcPr>
            <w:tcW w:w="592" w:type="pct"/>
            <w:shd w:val="clear" w:color="auto" w:fill="FFFFFF"/>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报灾模块运营服务</w:t>
            </w:r>
          </w:p>
        </w:tc>
        <w:tc>
          <w:tcPr>
            <w:tcW w:w="360" w:type="pct"/>
            <w:shd w:val="clear" w:color="auto" w:fill="FFFFFF"/>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8</w:t>
            </w:r>
          </w:p>
        </w:tc>
        <w:tc>
          <w:tcPr>
            <w:tcW w:w="3689" w:type="pct"/>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根据投标人所提供的对报灾模块运营服务需求的响应情况评审：</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（1）所提供的响应情况全面、合理、可行性好，为优，得8分；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（2）所提供的响应情况较全面、合理、可行性较好，为良，得4分；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（3）所提供的响应情况不全面、合理性差、可行性一般，为一般，得</w:t>
            </w:r>
            <w:r>
              <w:rPr>
                <w:rFonts w:ascii="仿宋" w:hAnsi="仿宋" w:eastAsia="仿宋" w:cs="仿宋"/>
                <w:color w:val="auto"/>
                <w:szCs w:val="21"/>
                <w:highlight w:val="none"/>
              </w:rPr>
              <w:t>1</w:t>
            </w:r>
            <w:r>
              <w:rPr>
                <w:rFonts w:hint="eastAsia" w:ascii="仿宋" w:hAnsi="仿宋" w:eastAsia="仿宋" w:cs="仿宋"/>
                <w:color w:val="auto"/>
                <w:szCs w:val="21"/>
                <w:highlight w:val="none"/>
              </w:rPr>
              <w:t>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（4）无法提供响应情况，得0分。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1" w:hRule="atLeast"/>
          <w:jc w:val="center"/>
        </w:trPr>
        <w:tc>
          <w:tcPr>
            <w:tcW w:w="358" w:type="pct"/>
            <w:shd w:val="clear" w:color="auto" w:fill="FFFFFF"/>
            <w:vAlign w:val="center"/>
          </w:tcPr>
          <w:p>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4</w:t>
            </w:r>
          </w:p>
        </w:tc>
        <w:tc>
          <w:tcPr>
            <w:tcW w:w="592" w:type="pct"/>
            <w:shd w:val="clear" w:color="auto" w:fill="FFFFFF"/>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预警信息发布系统运营服务</w:t>
            </w:r>
          </w:p>
        </w:tc>
        <w:tc>
          <w:tcPr>
            <w:tcW w:w="360" w:type="pct"/>
            <w:shd w:val="clear" w:color="auto" w:fill="FFFFFF"/>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8</w:t>
            </w:r>
          </w:p>
        </w:tc>
        <w:tc>
          <w:tcPr>
            <w:tcW w:w="3689" w:type="pct"/>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根据投标人所提供的预警信息发布系统运营服务需求，特别是对系统外部接口监控和全网短信发布支撑方面的响应情况评审：</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（1）所提供的响应情况全面、合理、可行性好，为优，得8分；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（2）所提供的响应情况较全面、合理、可行性较好，为良，得4分；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（3）所提供的响应情况不全面、合理性差、可行性一般，为一般，得</w:t>
            </w:r>
            <w:r>
              <w:rPr>
                <w:rFonts w:ascii="仿宋" w:hAnsi="仿宋" w:eastAsia="仿宋" w:cs="仿宋"/>
                <w:color w:val="auto"/>
                <w:szCs w:val="21"/>
                <w:highlight w:val="none"/>
              </w:rPr>
              <w:t>1</w:t>
            </w:r>
            <w:r>
              <w:rPr>
                <w:rFonts w:hint="eastAsia" w:ascii="仿宋" w:hAnsi="仿宋" w:eastAsia="仿宋" w:cs="仿宋"/>
                <w:color w:val="auto"/>
                <w:szCs w:val="21"/>
                <w:highlight w:val="none"/>
              </w:rPr>
              <w:t>分；</w:t>
            </w:r>
          </w:p>
          <w:p>
            <w:pPr>
              <w:pStyle w:val="2"/>
              <w:jc w:val="both"/>
              <w:rPr>
                <w:rFonts w:ascii="仿宋" w:hAnsi="仿宋" w:eastAsia="仿宋" w:cs="仿宋"/>
                <w:color w:val="auto"/>
                <w:szCs w:val="21"/>
                <w:highlight w:val="none"/>
              </w:rPr>
            </w:pPr>
            <w:r>
              <w:rPr>
                <w:rFonts w:hint="eastAsia" w:ascii="仿宋" w:hAnsi="仿宋" w:eastAsia="仿宋" w:cs="仿宋"/>
                <w:color w:val="auto"/>
                <w:szCs w:val="21"/>
                <w:highlight w:val="none"/>
              </w:rPr>
              <w:t>（4）无法提供响应情况，得0分。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1" w:hRule="atLeast"/>
          <w:jc w:val="center"/>
        </w:trPr>
        <w:tc>
          <w:tcPr>
            <w:tcW w:w="358" w:type="pct"/>
            <w:shd w:val="clear" w:color="auto" w:fill="FFFFFF"/>
            <w:vAlign w:val="center"/>
          </w:tcPr>
          <w:p>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5</w:t>
            </w:r>
          </w:p>
        </w:tc>
        <w:tc>
          <w:tcPr>
            <w:tcW w:w="592" w:type="pct"/>
            <w:shd w:val="clear" w:color="auto" w:fill="FFFFFF"/>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数据接口运营与分析</w:t>
            </w:r>
          </w:p>
        </w:tc>
        <w:tc>
          <w:tcPr>
            <w:tcW w:w="360" w:type="pct"/>
            <w:shd w:val="clear" w:color="auto" w:fill="FFFFFF"/>
            <w:vAlign w:val="center"/>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8</w:t>
            </w:r>
          </w:p>
        </w:tc>
        <w:tc>
          <w:tcPr>
            <w:tcW w:w="3689" w:type="pct"/>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根据投标人所提供的对数据接口运营与分析需求的响应情况,特别是对信息员报送接口和国突接口检测优化方面的评审：</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（1）所提供的响应情况全面、合理、可行性好，为优，得8分；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（2）所提供的响应情况较全面、合理、可行性较好，为良，得4分；</w:t>
            </w: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（3）所提供的响应情况不全面、合理性差、可行性一般，为一般，得</w:t>
            </w:r>
            <w:r>
              <w:rPr>
                <w:rFonts w:ascii="仿宋" w:hAnsi="仿宋" w:eastAsia="仿宋" w:cs="仿宋"/>
                <w:color w:val="auto"/>
                <w:szCs w:val="21"/>
                <w:highlight w:val="none"/>
              </w:rPr>
              <w:t>1</w:t>
            </w:r>
            <w:r>
              <w:rPr>
                <w:rFonts w:hint="eastAsia" w:ascii="仿宋" w:hAnsi="仿宋" w:eastAsia="仿宋" w:cs="仿宋"/>
                <w:color w:val="auto"/>
                <w:szCs w:val="21"/>
                <w:highlight w:val="none"/>
              </w:rPr>
              <w:t>分；</w:t>
            </w:r>
          </w:p>
          <w:p>
            <w:pPr>
              <w:pStyle w:val="2"/>
              <w:jc w:val="left"/>
              <w:rPr>
                <w:color w:val="auto"/>
                <w:highlight w:val="none"/>
              </w:rPr>
            </w:pPr>
            <w:r>
              <w:rPr>
                <w:rFonts w:hint="eastAsia" w:ascii="仿宋" w:hAnsi="仿宋" w:eastAsia="仿宋" w:cs="仿宋"/>
                <w:color w:val="auto"/>
                <w:szCs w:val="21"/>
                <w:highlight w:val="none"/>
              </w:rPr>
              <w:t>（4）无法提供响应情况，得0分。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358" w:type="pct"/>
            <w:shd w:val="clear" w:color="auto" w:fill="FFFFFF"/>
            <w:vAlign w:val="center"/>
          </w:tcPr>
          <w:p>
            <w:pPr>
              <w:jc w:val="center"/>
              <w:rPr>
                <w:rFonts w:ascii="仿宋" w:hAnsi="仿宋" w:eastAsia="仿宋" w:cs="仿宋"/>
                <w:bCs/>
                <w:color w:val="auto"/>
                <w:szCs w:val="21"/>
                <w:highlight w:val="none"/>
              </w:rPr>
            </w:pPr>
            <w:r>
              <w:rPr>
                <w:rFonts w:hint="eastAsia" w:ascii="仿宋" w:hAnsi="仿宋" w:eastAsia="仿宋" w:cs="仿宋"/>
                <w:bCs/>
                <w:color w:val="auto"/>
                <w:szCs w:val="21"/>
                <w:highlight w:val="none"/>
              </w:rPr>
              <w:t>6</w:t>
            </w:r>
          </w:p>
        </w:tc>
        <w:tc>
          <w:tcPr>
            <w:tcW w:w="592" w:type="pct"/>
            <w:shd w:val="clear" w:color="auto" w:fill="FFFFFF"/>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人员安排</w:t>
            </w:r>
          </w:p>
        </w:tc>
        <w:tc>
          <w:tcPr>
            <w:tcW w:w="360" w:type="pct"/>
            <w:shd w:val="clear" w:color="auto" w:fill="FFFFFF"/>
            <w:vAlign w:val="center"/>
          </w:tcPr>
          <w:p>
            <w:pPr>
              <w:jc w:val="center"/>
              <w:rPr>
                <w:rFonts w:ascii="仿宋" w:hAnsi="仿宋" w:eastAsia="仿宋" w:cs="仿宋"/>
                <w:color w:val="auto"/>
                <w:szCs w:val="21"/>
                <w:highlight w:val="none"/>
              </w:rPr>
            </w:pPr>
            <w:r>
              <w:rPr>
                <w:rFonts w:ascii="仿宋" w:hAnsi="仿宋" w:eastAsia="仿宋" w:cs="仿宋"/>
                <w:color w:val="auto"/>
                <w:szCs w:val="21"/>
                <w:highlight w:val="none"/>
              </w:rPr>
              <w:t>9</w:t>
            </w:r>
          </w:p>
        </w:tc>
        <w:tc>
          <w:tcPr>
            <w:tcW w:w="3689" w:type="pct"/>
            <w:shd w:val="clear" w:color="auto" w:fill="FFFFFF"/>
            <w:vAlign w:val="center"/>
          </w:tcPr>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投标人为本项目拟派的技术团队中，每具备一个气象类高级工程师职称或以上的得1分，气象类中级工程师职称的得0</w:t>
            </w:r>
            <w:r>
              <w:rPr>
                <w:rFonts w:ascii="仿宋" w:hAnsi="仿宋" w:eastAsia="仿宋" w:cs="仿宋"/>
                <w:color w:val="auto"/>
                <w:szCs w:val="21"/>
                <w:highlight w:val="none"/>
              </w:rPr>
              <w:t>.</w:t>
            </w:r>
            <w:r>
              <w:rPr>
                <w:rFonts w:hint="eastAsia" w:ascii="仿宋" w:hAnsi="仿宋" w:eastAsia="仿宋" w:cs="仿宋"/>
                <w:color w:val="auto"/>
                <w:szCs w:val="21"/>
                <w:highlight w:val="none"/>
              </w:rPr>
              <w:t>3分,其他的得0.1分（提供厅局级或以上专业技术职务评审委员会颁发的《专业技术资格证书》和社保部门出具的社保参保证明。本项最高</w:t>
            </w:r>
            <w:r>
              <w:rPr>
                <w:rFonts w:ascii="仿宋" w:hAnsi="仿宋" w:eastAsia="仿宋" w:cs="仿宋"/>
                <w:color w:val="auto"/>
                <w:szCs w:val="21"/>
                <w:highlight w:val="none"/>
              </w:rPr>
              <w:t>9</w:t>
            </w:r>
            <w:r>
              <w:rPr>
                <w:rFonts w:hint="eastAsia" w:ascii="仿宋" w:hAnsi="仿宋" w:eastAsia="仿宋" w:cs="仿宋"/>
                <w:color w:val="auto"/>
                <w:szCs w:val="21"/>
                <w:highlight w:val="none"/>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5000" w:type="pct"/>
            <w:gridSpan w:val="4"/>
            <w:shd w:val="clear" w:color="auto" w:fill="FFFFFF"/>
            <w:vAlign w:val="center"/>
          </w:tcPr>
          <w:p>
            <w:pPr>
              <w:spacing w:line="360" w:lineRule="auto"/>
              <w:jc w:val="center"/>
              <w:rPr>
                <w:rFonts w:ascii="仿宋" w:hAnsi="仿宋" w:eastAsia="仿宋" w:cs="仿宋"/>
                <w:color w:val="auto"/>
                <w:szCs w:val="21"/>
                <w:highlight w:val="none"/>
              </w:rPr>
            </w:pPr>
            <w:r>
              <w:rPr>
                <w:rFonts w:hint="eastAsia" w:ascii="仿宋" w:hAnsi="仿宋" w:eastAsia="仿宋" w:cs="仿宋"/>
                <w:b/>
                <w:bCs/>
                <w:color w:val="auto"/>
                <w:szCs w:val="21"/>
                <w:highlight w:val="none"/>
              </w:rPr>
              <w:t>技术评分合计 45分</w:t>
            </w:r>
          </w:p>
        </w:tc>
      </w:tr>
    </w:tbl>
    <w:p>
      <w:pPr>
        <w:pStyle w:val="164"/>
        <w:ind w:firstLine="0" w:firstLineChars="0"/>
        <w:rPr>
          <w:color w:val="auto"/>
          <w:highlight w:val="none"/>
        </w:rPr>
      </w:pPr>
    </w:p>
    <w:p>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备注：仅对资格性和符合性审查合格的投标文件进行评分；评分小数点保留至0.01。</w:t>
      </w:r>
    </w:p>
    <w:p>
      <w:pPr>
        <w:spacing w:line="360" w:lineRule="auto"/>
        <w:rPr>
          <w:rFonts w:hAnsi="宋体" w:cs="宋体"/>
          <w:color w:val="auto"/>
          <w:szCs w:val="21"/>
          <w:highlight w:val="none"/>
        </w:rPr>
      </w:pPr>
    </w:p>
    <w:p>
      <w:pPr>
        <w:spacing w:line="360" w:lineRule="auto"/>
        <w:rPr>
          <w:rFonts w:hAnsi="宋体" w:cs="宋体"/>
          <w:b/>
          <w:color w:val="auto"/>
          <w:szCs w:val="21"/>
          <w:highlight w:val="none"/>
        </w:rPr>
      </w:pPr>
      <w:r>
        <w:rPr>
          <w:rFonts w:hint="eastAsia" w:hAnsi="宋体" w:cs="宋体"/>
          <w:b/>
          <w:color w:val="auto"/>
          <w:szCs w:val="21"/>
          <w:highlight w:val="none"/>
        </w:rPr>
        <w:t>2.价格分值：20分</w:t>
      </w:r>
    </w:p>
    <w:p>
      <w:pPr>
        <w:pStyle w:val="45"/>
        <w:widowControl w:val="0"/>
        <w:spacing w:before="0" w:beforeAutospacing="0" w:after="0" w:afterAutospacing="0" w:line="360" w:lineRule="auto"/>
        <w:ind w:firstLine="420" w:firstLineChars="200"/>
        <w:rPr>
          <w:rFonts w:ascii="仿宋" w:hAnsi="仿宋" w:eastAsia="仿宋" w:cs="仿宋"/>
          <w:b/>
          <w:color w:val="auto"/>
          <w:sz w:val="21"/>
          <w:szCs w:val="21"/>
          <w:highlight w:val="none"/>
        </w:rPr>
      </w:pPr>
      <w:r>
        <w:rPr>
          <w:rFonts w:hint="eastAsia" w:ascii="仿宋" w:hAnsi="仿宋" w:eastAsia="仿宋" w:cs="仿宋"/>
          <w:color w:val="auto"/>
          <w:sz w:val="21"/>
          <w:szCs w:val="21"/>
          <w:highlight w:val="none"/>
        </w:rPr>
        <w:t>本项目的价格分采用低价优先法计算，即通过本项目资格性检查与符合性检查且投标价格最低的投标报价为评标基准价，其价格分为满分,即20分。其他投标人的价格分统一按照下列公式计算：</w:t>
      </w:r>
      <w:r>
        <w:rPr>
          <w:rFonts w:hint="eastAsia" w:ascii="仿宋" w:hAnsi="仿宋" w:eastAsia="仿宋" w:cs="仿宋"/>
          <w:b/>
          <w:color w:val="auto"/>
          <w:sz w:val="21"/>
          <w:szCs w:val="21"/>
          <w:highlight w:val="none"/>
        </w:rPr>
        <w:t>投标报价得分=(评标基准价／投标报价)×20。</w:t>
      </w:r>
    </w:p>
    <w:p>
      <w:pPr>
        <w:pStyle w:val="45"/>
        <w:widowControl w:val="0"/>
        <w:spacing w:before="0" w:beforeAutospacing="0" w:after="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备注：</w:t>
      </w:r>
    </w:p>
    <w:p>
      <w:pPr>
        <w:pStyle w:val="45"/>
        <w:widowControl w:val="0"/>
        <w:spacing w:before="0" w:beforeAutospacing="0" w:after="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1）价格修正：投标人的投标报价中经评标委员会确定为供货范围（包括货物、工程和服务）缺漏项，而进行调整的，调整价为该项目在其他有效投标中的最高报价。</w:t>
      </w:r>
    </w:p>
    <w:p>
      <w:pPr>
        <w:pStyle w:val="45"/>
        <w:widowControl w:val="0"/>
        <w:spacing w:before="0" w:beforeAutospacing="0" w:after="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2）评标委员会将按照上述修正错误的方法调整该投标人的投标文件中的投标报价，调整后的价格对投标人具有约束力。如果投标人不接受修正后的投标价格，则其投标将被拒绝。</w:t>
      </w:r>
    </w:p>
    <w:p>
      <w:pPr>
        <w:pStyle w:val="45"/>
        <w:widowControl w:val="0"/>
        <w:spacing w:before="0" w:beforeAutospacing="0" w:after="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3）落实的政府采购政策</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3.1）根据《政府采购促进中小企业发展管理办法》(财库(2020)46号)的规定，对小型和微型企业产品的价格给予10%的扣除，用扣除后的价格参与评审；投标产品中仅有部分小型和微型企业产品的，则不得享受价格的扣除。</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3.2）《政府采购促进中小企业发展管理办法》(财库(2020)46号)所称中小企业（含中型、小型、微型企业，下同）是指在中华人民共和国境内依法设立，依据国务院批准的中小企业划分标准确定的中型企业、小型企业和微型企业，但与大企业的负责人为同一人，或者与大企业存在直接控股、管理关系的除外。</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3.3）参加政府采购活动的中小微企业或提供中小微企业生产的产品应当提供《中小企业声明函》。</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3.4）监狱企业产品价格扣除</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3.4.1）监狱企业视同小型、微型企业，按上述3.1）、3.2）条款享受评审中价格扣除。</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3.4.2）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3.4.3）监狱企业参加政府采购活动时，应当提供由省级以上监狱管理局、戒毒管理局（含新疆生产建设兵团）出具的属于监狱企业的证明文件，否则不予认可。</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3.5）残疾人福利性单位产品价格扣除</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3.5.1）残疾人福利性单位视同小型、微型企业，按上述3.1）、3.2）条款享受评审中价格扣除。</w:t>
      </w:r>
    </w:p>
    <w:p>
      <w:pPr>
        <w:pStyle w:val="45"/>
        <w:spacing w:beforeAutospacing="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3.5.2）根据财政部、民政部、中国残疾人联合会印发的《关于促进残疾人就业政府采购政策的通知》（财库〔2017〕141号）的规定，符合条件的残疾人福利性单位在参加政府采购活动时，应当提供该通知规定的《残疾人福利性单位声明函》，并对声明的真实性负责。一旦中标将在中标公告中公告其声明函，接受社会监督。投标人提供的《残疾人福利性单位声明函》与事实不符的，依照《政府采购法》第七十七条第一款的规定追究法律责任。</w:t>
      </w:r>
    </w:p>
    <w:p>
      <w:pPr>
        <w:pStyle w:val="45"/>
        <w:widowControl w:val="0"/>
        <w:spacing w:before="0" w:beforeAutospacing="0" w:after="0" w:afterAutospacing="0" w:line="360" w:lineRule="auto"/>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4）投标人同时为小型、微型企业、监狱企业、残疾人福利性单位任两种或以上情况的，评审中只享受一次价格扣除，不重复进行价格扣除。</w:t>
      </w:r>
    </w:p>
    <w:p>
      <w:pPr>
        <w:pStyle w:val="45"/>
        <w:widowControl w:val="0"/>
        <w:spacing w:before="0" w:beforeAutospacing="0" w:after="0" w:afterAutospacing="0" w:line="360" w:lineRule="auto"/>
        <w:ind w:firstLine="420" w:firstLineChars="200"/>
        <w:rPr>
          <w:rFonts w:ascii="仿宋" w:hAnsi="仿宋" w:eastAsia="仿宋" w:cs="仿宋"/>
          <w:color w:val="auto"/>
          <w:sz w:val="21"/>
          <w:szCs w:val="21"/>
          <w:highlight w:val="none"/>
        </w:rPr>
      </w:pPr>
    </w:p>
    <w:p>
      <w:pPr>
        <w:spacing w:line="360" w:lineRule="auto"/>
        <w:ind w:right="-29" w:rightChars="-14"/>
        <w:jc w:val="both"/>
        <w:rPr>
          <w:rFonts w:hAnsi="宋体" w:cs="宋体"/>
          <w:b/>
          <w:bCs/>
          <w:color w:val="auto"/>
          <w:kern w:val="2"/>
          <w:sz w:val="28"/>
          <w:szCs w:val="28"/>
          <w:highlight w:val="none"/>
          <w:lang w:val="zh-CN"/>
        </w:rPr>
      </w:pPr>
      <w:r>
        <w:rPr>
          <w:rFonts w:hint="eastAsia" w:hAnsi="宋体" w:cs="宋体"/>
          <w:b/>
          <w:bCs/>
          <w:color w:val="auto"/>
          <w:kern w:val="2"/>
          <w:sz w:val="28"/>
          <w:szCs w:val="28"/>
          <w:highlight w:val="none"/>
          <w:lang w:val="zh-CN"/>
        </w:rPr>
        <w:t>附件二：  中标服务费收费标准</w:t>
      </w:r>
    </w:p>
    <w:p>
      <w:pPr>
        <w:pStyle w:val="120"/>
        <w:rPr>
          <w:rFonts w:hAnsi="宋体" w:cs="宋体"/>
          <w:b/>
          <w:bCs/>
          <w:color w:val="auto"/>
          <w:sz w:val="28"/>
          <w:szCs w:val="28"/>
          <w:highlight w:val="none"/>
          <w:lang w:val="zh-CN"/>
        </w:rPr>
      </w:pPr>
    </w:p>
    <w:p>
      <w:pPr>
        <w:jc w:val="center"/>
        <w:rPr>
          <w:rFonts w:ascii="仿宋" w:hAnsi="仿宋" w:eastAsia="仿宋" w:cs="仿宋"/>
          <w:b/>
          <w:bCs/>
          <w:color w:val="auto"/>
          <w:kern w:val="2"/>
          <w:szCs w:val="21"/>
          <w:highlight w:val="none"/>
          <w:lang w:val="zh-CN"/>
        </w:rPr>
      </w:pPr>
      <w:r>
        <w:rPr>
          <w:rFonts w:hint="eastAsia" w:ascii="仿宋" w:hAnsi="仿宋" w:eastAsia="仿宋" w:cs="仿宋"/>
          <w:b/>
          <w:bCs/>
          <w:color w:val="auto"/>
          <w:kern w:val="2"/>
          <w:szCs w:val="21"/>
          <w:highlight w:val="none"/>
          <w:lang w:val="zh-CN"/>
        </w:rPr>
        <w:t>中标服务费收费标准</w:t>
      </w:r>
    </w:p>
    <w:p>
      <w:pPr>
        <w:jc w:val="center"/>
        <w:rPr>
          <w:rFonts w:ascii="仿宋" w:hAnsi="仿宋" w:eastAsia="仿宋" w:cs="仿宋"/>
          <w:b/>
          <w:bCs/>
          <w:color w:val="auto"/>
          <w:kern w:val="2"/>
          <w:szCs w:val="21"/>
          <w:highlight w:val="none"/>
          <w:lang w:val="zh-CN"/>
        </w:rPr>
      </w:pPr>
      <w:r>
        <w:rPr>
          <w:rFonts w:hint="eastAsia" w:ascii="仿宋" w:hAnsi="仿宋" w:eastAsia="仿宋" w:cs="仿宋"/>
          <w:b/>
          <w:color w:val="auto"/>
          <w:szCs w:val="21"/>
          <w:highlight w:val="none"/>
        </w:rPr>
        <w:t>（国家计委文件“计价格[2002]1980号文”附件）</w:t>
      </w:r>
    </w:p>
    <w:p>
      <w:pPr>
        <w:spacing w:line="360" w:lineRule="auto"/>
        <w:jc w:val="both"/>
        <w:rPr>
          <w:rFonts w:ascii="仿宋" w:hAnsi="仿宋" w:eastAsia="仿宋" w:cs="仿宋"/>
          <w:color w:val="auto"/>
          <w:kern w:val="2"/>
          <w:szCs w:val="21"/>
          <w:highlight w:val="none"/>
          <w:lang w:val="zh-CN"/>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5"/>
        <w:gridCol w:w="2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315" w:type="dxa"/>
          </w:tcPr>
          <w:p>
            <w:pPr>
              <w:ind w:left="210" w:leftChars="100" w:right="-94" w:rightChars="-45" w:firstLine="3525" w:firstLineChars="1672"/>
              <w:rPr>
                <w:rFonts w:ascii="仿宋" w:hAnsi="仿宋" w:eastAsia="仿宋" w:cs="仿宋"/>
                <w:color w:val="auto"/>
                <w:szCs w:val="21"/>
                <w:highlight w:val="none"/>
              </w:rPr>
            </w:pPr>
            <w:r>
              <w:rPr>
                <w:rFonts w:hint="eastAsia" w:ascii="仿宋" w:hAnsi="仿宋" w:eastAsia="仿宋" w:cs="仿宋"/>
                <w:b/>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-64770</wp:posOffset>
                      </wp:positionH>
                      <wp:positionV relativeFrom="paragraph">
                        <wp:posOffset>50165</wp:posOffset>
                      </wp:positionV>
                      <wp:extent cx="4019550" cy="491490"/>
                      <wp:effectExtent l="7620" t="12065" r="11430" b="10795"/>
                      <wp:wrapNone/>
                      <wp:docPr id="5" name="直线 6"/>
                      <wp:cNvGraphicFramePr/>
                      <a:graphic xmlns:a="http://schemas.openxmlformats.org/drawingml/2006/main">
                        <a:graphicData uri="http://schemas.microsoft.com/office/word/2010/wordprocessingShape">
                          <wps:wsp>
                            <wps:cNvCnPr>
                              <a:cxnSpLocks noChangeShapeType="1"/>
                            </wps:cNvCnPr>
                            <wps:spPr bwMode="auto">
                              <a:xfrm flipH="1" flipV="1">
                                <a:off x="0" y="0"/>
                                <a:ext cx="4019550" cy="491490"/>
                              </a:xfrm>
                              <a:prstGeom prst="line">
                                <a:avLst/>
                              </a:prstGeom>
                              <a:noFill/>
                              <a:ln w="9525">
                                <a:solidFill>
                                  <a:srgbClr val="000000"/>
                                </a:solidFill>
                                <a:round/>
                              </a:ln>
                              <a:effectLst/>
                            </wps:spPr>
                            <wps:bodyPr/>
                          </wps:wsp>
                        </a:graphicData>
                      </a:graphic>
                    </wp:anchor>
                  </w:drawing>
                </mc:Choice>
                <mc:Fallback>
                  <w:pict>
                    <v:line id="直线 6" o:spid="_x0000_s1026" o:spt="20" style="position:absolute;left:0pt;flip:x y;margin-left:-5.1pt;margin-top:3.95pt;height:38.7pt;width:316.5pt;z-index:251664384;mso-width-relative:page;mso-height-relative:page;" filled="f" stroked="t" coordsize="21600,21600" o:gfxdata="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ZpU&#10;LNQAAAAIAQAADwAAAAAAAAABACAAAAAiAAAAZHJzL2Rvd25yZXYueG1sUEsBAhQAFAAAAAgAh07i&#10;QI2fWpTtAQAAyAMAAA4AAAAAAAAAAQAgAAAAIwEAAGRycy9lMm9Eb2MueG1sUEsFBgAAAAAGAAYA&#10;WQEAAIIFAAAAAA==&#10;">
                      <v:fill on="f" focussize="0,0"/>
                      <v:stroke color="#000000" joinstyle="round"/>
                      <v:imagedata o:title=""/>
                      <o:lock v:ext="edit" aspectratio="f"/>
                    </v:line>
                  </w:pict>
                </mc:Fallback>
              </mc:AlternateContent>
            </w:r>
            <w:r>
              <w:rPr>
                <w:rFonts w:hint="eastAsia" w:ascii="仿宋" w:hAnsi="仿宋" w:eastAsia="仿宋" w:cs="仿宋"/>
                <w:b/>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-45085</wp:posOffset>
                      </wp:positionH>
                      <wp:positionV relativeFrom="paragraph">
                        <wp:posOffset>38735</wp:posOffset>
                      </wp:positionV>
                      <wp:extent cx="2743835" cy="657860"/>
                      <wp:effectExtent l="8255" t="10160" r="10160" b="8255"/>
                      <wp:wrapNone/>
                      <wp:docPr id="4" name="直线 5"/>
                      <wp:cNvGraphicFramePr/>
                      <a:graphic xmlns:a="http://schemas.openxmlformats.org/drawingml/2006/main">
                        <a:graphicData uri="http://schemas.microsoft.com/office/word/2010/wordprocessingShape">
                          <wps:wsp>
                            <wps:cNvCnPr>
                              <a:cxnSpLocks noChangeShapeType="1"/>
                            </wps:cNvCnPr>
                            <wps:spPr bwMode="auto">
                              <a:xfrm flipH="1" flipV="1">
                                <a:off x="0" y="0"/>
                                <a:ext cx="2743835" cy="657860"/>
                              </a:xfrm>
                              <a:prstGeom prst="line">
                                <a:avLst/>
                              </a:prstGeom>
                              <a:noFill/>
                              <a:ln w="9525">
                                <a:solidFill>
                                  <a:srgbClr val="000000"/>
                                </a:solidFill>
                                <a:round/>
                              </a:ln>
                              <a:effectLst/>
                            </wps:spPr>
                            <wps:bodyPr/>
                          </wps:wsp>
                        </a:graphicData>
                      </a:graphic>
                    </wp:anchor>
                  </w:drawing>
                </mc:Choice>
                <mc:Fallback>
                  <w:pict>
                    <v:line id="直线 5" o:spid="_x0000_s1026" o:spt="20" style="position:absolute;left:0pt;flip:x y;margin-left:-3.55pt;margin-top:3.05pt;height:51.8pt;width:216.05pt;z-index:251663360;mso-width-relative:page;mso-height-relative:page;" filled="f" stroked="t" coordsize="21600,21600" o:gfxdata="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JD&#10;l4HUAAAACAEAAA8AAAAAAAAAAQAgAAAAIgAAAGRycy9kb3ducmV2LnhtbFBLAQIUABQAAAAIAIdO&#10;4kDKLkMB7gEAAMgDAAAOAAAAAAAAAAEAIAAAACMBAABkcnMvZTJvRG9jLnhtbFBLBQYAAAAABgAG&#10;AFkBAACDBQAAAAA=&#10;">
                      <v:fill on="f" focussize="0,0"/>
                      <v:stroke color="#000000" joinstyle="round"/>
                      <v:imagedata o:title=""/>
                      <o:lock v:ext="edit" aspectratio="f"/>
                    </v:line>
                  </w:pict>
                </mc:Fallback>
              </mc:AlternateContent>
            </w:r>
            <w:r>
              <w:rPr>
                <w:rFonts w:hint="eastAsia" w:ascii="仿宋" w:hAnsi="仿宋" w:eastAsia="仿宋" w:cs="仿宋"/>
                <w:b/>
                <w:color w:val="auto"/>
                <w:szCs w:val="21"/>
                <w:highlight w:val="none"/>
              </w:rPr>
              <mc:AlternateContent>
                <mc:Choice Requires="wps">
                  <w:drawing>
                    <wp:anchor distT="0" distB="0" distL="114300" distR="114300" simplePos="0" relativeHeight="251662336" behindDoc="0" locked="0" layoutInCell="0" allowOverlap="1">
                      <wp:simplePos x="0" y="0"/>
                      <wp:positionH relativeFrom="column">
                        <wp:posOffset>-114300</wp:posOffset>
                      </wp:positionH>
                      <wp:positionV relativeFrom="paragraph">
                        <wp:posOffset>-6350</wp:posOffset>
                      </wp:positionV>
                      <wp:extent cx="635" cy="0"/>
                      <wp:effectExtent l="5080" t="6350" r="13335" b="12700"/>
                      <wp:wrapNone/>
                      <wp:docPr id="3" name="直线 4"/>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直线 4" o:spid="_x0000_s1026" o:spt="20" style="position:absolute;left:0pt;margin-left:-9pt;margin-top:-0.5pt;height:0pt;width:0.05pt;z-index:251662336;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rkdN+1QAAAAkBAAAPAAAAAAAAAAEAIAAAACIA&#10;AABkcnMvZG93bnJldi54bWxQSwECFAAUAAAACACHTuJAsG06AdMBAACdAwAADgAAAAAAAAABACAA&#10;AAAkAQAAZHJzL2Uyb0RvYy54bWxQSwUGAAAAAAYABgBZAQAAaQUAAAAA&#10;">
                      <v:fill on="f" focussize="0,0"/>
                      <v:stroke color="#000000" joinstyle="round"/>
                      <v:imagedata o:title=""/>
                      <o:lock v:ext="edit" aspectratio="f"/>
                    </v:line>
                  </w:pict>
                </mc:Fallback>
              </mc:AlternateContent>
            </w:r>
            <w:r>
              <w:rPr>
                <w:rFonts w:hint="eastAsia" w:ascii="仿宋" w:hAnsi="仿宋" w:eastAsia="仿宋" w:cs="仿宋"/>
                <w:b/>
                <w:color w:val="auto"/>
                <w:szCs w:val="21"/>
                <w:highlight w:val="none"/>
              </w:rPr>
              <w:t>招标类型</w:t>
            </w:r>
            <w:r>
              <w:rPr>
                <w:rFonts w:hint="eastAsia" w:ascii="仿宋" w:hAnsi="仿宋" w:eastAsia="仿宋" w:cs="仿宋"/>
                <w:color w:val="auto"/>
                <w:szCs w:val="21"/>
                <w:highlight w:val="none"/>
              </w:rPr>
              <w:t>　　　</w:t>
            </w:r>
          </w:p>
          <w:p>
            <w:pPr>
              <w:ind w:left="210" w:leftChars="100" w:right="-94" w:rightChars="-45" w:firstLine="2463" w:firstLineChars="1173"/>
              <w:rPr>
                <w:rFonts w:ascii="仿宋" w:hAnsi="仿宋" w:eastAsia="仿宋" w:cs="仿宋"/>
                <w:color w:val="auto"/>
                <w:szCs w:val="21"/>
                <w:highlight w:val="none"/>
              </w:rPr>
            </w:pPr>
          </w:p>
          <w:p>
            <w:pPr>
              <w:ind w:left="210" w:leftChars="100" w:right="-94" w:rightChars="-45" w:firstLine="2892" w:firstLineChars="1372"/>
              <w:rPr>
                <w:rFonts w:ascii="仿宋" w:hAnsi="仿宋" w:eastAsia="仿宋" w:cs="仿宋"/>
                <w:b/>
                <w:color w:val="auto"/>
                <w:szCs w:val="21"/>
                <w:highlight w:val="none"/>
              </w:rPr>
            </w:pPr>
            <w:r>
              <w:rPr>
                <w:rFonts w:hint="eastAsia" w:ascii="仿宋" w:hAnsi="仿宋" w:eastAsia="仿宋" w:cs="仿宋"/>
                <w:b/>
                <w:bCs/>
                <w:color w:val="auto"/>
                <w:szCs w:val="21"/>
                <w:highlight w:val="none"/>
              </w:rPr>
              <w:t>中标费率</w:t>
            </w:r>
          </w:p>
          <w:p>
            <w:pPr>
              <w:rPr>
                <w:rFonts w:ascii="仿宋" w:hAnsi="仿宋" w:eastAsia="仿宋" w:cs="仿宋"/>
                <w:b/>
                <w:color w:val="auto"/>
                <w:szCs w:val="21"/>
                <w:highlight w:val="none"/>
              </w:rPr>
            </w:pPr>
            <w:r>
              <w:rPr>
                <w:rFonts w:hint="eastAsia" w:ascii="仿宋" w:hAnsi="仿宋" w:eastAsia="仿宋" w:cs="仿宋"/>
                <w:b/>
                <w:color w:val="auto"/>
                <w:szCs w:val="21"/>
                <w:highlight w:val="none"/>
              </w:rPr>
              <w:t xml:space="preserve">金额（万元） </w:t>
            </w:r>
          </w:p>
        </w:tc>
        <w:tc>
          <w:tcPr>
            <w:tcW w:w="2545" w:type="dxa"/>
            <w:vAlign w:val="center"/>
          </w:tcPr>
          <w:p>
            <w:pPr>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服务采购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15"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100以下</w:t>
            </w:r>
          </w:p>
        </w:tc>
        <w:tc>
          <w:tcPr>
            <w:tcW w:w="2545" w:type="dxa"/>
          </w:tcPr>
          <w:p>
            <w:pPr>
              <w:jc w:val="center"/>
              <w:rPr>
                <w:rFonts w:ascii="仿宋" w:hAnsi="仿宋" w:eastAsia="仿宋" w:cs="仿宋"/>
                <w:color w:val="auto"/>
                <w:szCs w:val="21"/>
                <w:highlight w:val="none"/>
              </w:rPr>
            </w:pPr>
            <w:r>
              <w:rPr>
                <w:rFonts w:hint="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315"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100-500</w:t>
            </w:r>
          </w:p>
        </w:tc>
        <w:tc>
          <w:tcPr>
            <w:tcW w:w="2545" w:type="dxa"/>
          </w:tcPr>
          <w:p>
            <w:pPr>
              <w:jc w:val="center"/>
              <w:rPr>
                <w:rFonts w:ascii="仿宋" w:hAnsi="仿宋" w:eastAsia="仿宋" w:cs="仿宋"/>
                <w:color w:val="auto"/>
                <w:szCs w:val="21"/>
                <w:highlight w:val="none"/>
              </w:rPr>
            </w:pPr>
            <w:r>
              <w:rPr>
                <w:rFonts w:hint="eastAsia"/>
                <w:color w:val="auto"/>
                <w:szCs w:val="21"/>
                <w:highlight w:val="none"/>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15"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500-1000</w:t>
            </w:r>
          </w:p>
        </w:tc>
        <w:tc>
          <w:tcPr>
            <w:tcW w:w="2545" w:type="dxa"/>
          </w:tcPr>
          <w:p>
            <w:pPr>
              <w:jc w:val="center"/>
              <w:rPr>
                <w:rFonts w:ascii="仿宋" w:hAnsi="仿宋" w:eastAsia="仿宋" w:cs="仿宋"/>
                <w:color w:val="auto"/>
                <w:szCs w:val="21"/>
                <w:highlight w:val="none"/>
              </w:rPr>
            </w:pPr>
            <w:r>
              <w:rPr>
                <w:rFonts w:hint="eastAsia"/>
                <w:color w:val="auto"/>
                <w:szCs w:val="21"/>
                <w:highlight w:val="none"/>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15"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1000-5000</w:t>
            </w:r>
          </w:p>
        </w:tc>
        <w:tc>
          <w:tcPr>
            <w:tcW w:w="2545" w:type="dxa"/>
          </w:tcPr>
          <w:p>
            <w:pPr>
              <w:jc w:val="center"/>
              <w:rPr>
                <w:rFonts w:ascii="仿宋" w:hAnsi="仿宋" w:eastAsia="仿宋" w:cs="仿宋"/>
                <w:color w:val="auto"/>
                <w:szCs w:val="21"/>
                <w:highlight w:val="none"/>
              </w:rPr>
            </w:pPr>
            <w:r>
              <w:rPr>
                <w:rFonts w:hint="eastAsia"/>
                <w:color w:val="auto"/>
                <w:szCs w:val="21"/>
                <w:highlight w:val="none"/>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315"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5000-10000</w:t>
            </w:r>
          </w:p>
        </w:tc>
        <w:tc>
          <w:tcPr>
            <w:tcW w:w="2545" w:type="dxa"/>
          </w:tcPr>
          <w:p>
            <w:pPr>
              <w:jc w:val="center"/>
              <w:rPr>
                <w:rFonts w:ascii="仿宋" w:hAnsi="仿宋" w:eastAsia="仿宋" w:cs="仿宋"/>
                <w:color w:val="auto"/>
                <w:szCs w:val="21"/>
                <w:highlight w:val="none"/>
              </w:rPr>
            </w:pPr>
            <w:r>
              <w:rPr>
                <w:rFonts w:hint="eastAsia"/>
                <w:color w:val="auto"/>
                <w:szCs w:val="21"/>
                <w:highlight w:val="none"/>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15"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10000-100000</w:t>
            </w:r>
          </w:p>
        </w:tc>
        <w:tc>
          <w:tcPr>
            <w:tcW w:w="2545" w:type="dxa"/>
          </w:tcPr>
          <w:p>
            <w:pPr>
              <w:jc w:val="center"/>
              <w:rPr>
                <w:rFonts w:ascii="仿宋" w:hAnsi="仿宋" w:eastAsia="仿宋" w:cs="仿宋"/>
                <w:color w:val="auto"/>
                <w:szCs w:val="21"/>
                <w:highlight w:val="none"/>
              </w:rPr>
            </w:pPr>
            <w:r>
              <w:rPr>
                <w:rFonts w:hint="eastAsia"/>
                <w:color w:val="auto"/>
                <w:szCs w:val="21"/>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315" w:type="dxa"/>
          </w:tcPr>
          <w:p>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1000000以上</w:t>
            </w:r>
          </w:p>
        </w:tc>
        <w:tc>
          <w:tcPr>
            <w:tcW w:w="2545" w:type="dxa"/>
          </w:tcPr>
          <w:p>
            <w:pPr>
              <w:jc w:val="center"/>
              <w:rPr>
                <w:rFonts w:ascii="仿宋" w:hAnsi="仿宋" w:eastAsia="仿宋" w:cs="仿宋"/>
                <w:color w:val="auto"/>
                <w:szCs w:val="21"/>
                <w:highlight w:val="none"/>
              </w:rPr>
            </w:pPr>
            <w:r>
              <w:rPr>
                <w:rFonts w:hint="eastAsia"/>
                <w:color w:val="auto"/>
                <w:szCs w:val="21"/>
                <w:highlight w:val="none"/>
              </w:rPr>
              <w:t>0.01%</w:t>
            </w:r>
          </w:p>
        </w:tc>
      </w:tr>
    </w:tbl>
    <w:p>
      <w:pPr>
        <w:spacing w:line="360" w:lineRule="auto"/>
        <w:ind w:firstLine="630" w:firstLineChars="300"/>
        <w:jc w:val="both"/>
        <w:rPr>
          <w:rFonts w:hAnsi="宋体" w:cs="宋体"/>
          <w:b/>
          <w:bCs/>
          <w:color w:val="auto"/>
          <w:sz w:val="28"/>
          <w:szCs w:val="28"/>
          <w:highlight w:val="none"/>
          <w:lang w:val="zh-CN"/>
        </w:rPr>
      </w:pPr>
      <w:r>
        <w:rPr>
          <w:rFonts w:hint="eastAsia" w:ascii="仿宋" w:hAnsi="仿宋" w:eastAsia="仿宋" w:cs="仿宋"/>
          <w:color w:val="auto"/>
          <w:kern w:val="2"/>
          <w:szCs w:val="21"/>
          <w:highlight w:val="none"/>
          <w:lang w:val="zh-CN"/>
        </w:rPr>
        <w:t>注：1.采购代理机构服务收费按差额定率累进法计算；</w:t>
      </w:r>
    </w:p>
    <w:p>
      <w:pPr>
        <w:pStyle w:val="120"/>
        <w:rPr>
          <w:rFonts w:hAnsi="宋体" w:cs="宋体"/>
          <w:color w:val="auto"/>
          <w:highlight w:val="none"/>
          <w:lang w:val="zh-CN"/>
        </w:rPr>
      </w:pPr>
    </w:p>
    <w:sectPr>
      <w:headerReference r:id="rId9" w:type="default"/>
      <w:pgSz w:w="11907" w:h="16840"/>
      <w:pgMar w:top="1247" w:right="1843" w:bottom="1247"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time of new roman">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453" w:h="237" w:hRule="exact" w:wrap="around" w:vAnchor="text" w:hAnchor="margin" w:xAlign="center" w:y="3"/>
      <w:rPr>
        <w:rStyle w:val="54"/>
      </w:rPr>
    </w:pPr>
    <w:r>
      <w:fldChar w:fldCharType="begin"/>
    </w:r>
    <w:r>
      <w:rPr>
        <w:rStyle w:val="54"/>
      </w:rPr>
      <w:instrText xml:space="preserve">PAGE  </w:instrText>
    </w:r>
    <w:r>
      <w:fldChar w:fldCharType="separate"/>
    </w:r>
    <w:r>
      <w:rPr>
        <w:rStyle w:val="54"/>
      </w:rPr>
      <w:t>38</w:t>
    </w:r>
    <w:r>
      <w:fldChar w:fldCharType="end"/>
    </w:r>
  </w:p>
  <w:p>
    <w:pPr>
      <w:pStyle w:val="34"/>
      <w:pBdr>
        <w:top w:val="single" w:color="auto" w:sz="6" w:space="1"/>
      </w:pBdr>
      <w:ind w:right="720"/>
      <w:jc w:val="right"/>
    </w:pPr>
    <w:r>
      <w:drawing>
        <wp:anchor distT="0" distB="0" distL="114300" distR="114300" simplePos="0" relativeHeight="251665408" behindDoc="0" locked="0" layoutInCell="1" allowOverlap="1">
          <wp:simplePos x="0" y="0"/>
          <wp:positionH relativeFrom="column">
            <wp:posOffset>109855</wp:posOffset>
          </wp:positionH>
          <wp:positionV relativeFrom="paragraph">
            <wp:posOffset>19685</wp:posOffset>
          </wp:positionV>
          <wp:extent cx="428625" cy="4000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28625" cy="400050"/>
                  </a:xfrm>
                  <a:prstGeom prst="rect">
                    <a:avLst/>
                  </a:prstGeom>
                  <a:noFill/>
                  <a:ln>
                    <a:noFill/>
                  </a:ln>
                </pic:spPr>
              </pic:pic>
            </a:graphicData>
          </a:graphic>
        </wp:anchor>
      </w:drawing>
    </w:r>
    <w:r>
      <w:t xml:space="preserve">                                                     </w:t>
    </w:r>
    <w:r>
      <w:rPr>
        <w:rFonts w:hint="eastAsia"/>
      </w:rPr>
      <w:t xml:space="preserve">  广东远东招标代理有限公司 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4"/>
      </w:rPr>
    </w:pPr>
    <w:r>
      <w:fldChar w:fldCharType="begin"/>
    </w:r>
    <w:r>
      <w:rPr>
        <w:rStyle w:val="54"/>
      </w:rPr>
      <w:instrText xml:space="preserve">PAGE  </w:instrText>
    </w:r>
    <w:r>
      <w:fldChar w:fldCharType="end"/>
    </w:r>
  </w:p>
  <w:p>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right" w:y="1"/>
      <w:rPr>
        <w:rStyle w:val="54"/>
      </w:rPr>
    </w:pPr>
    <w:r>
      <w:fldChar w:fldCharType="begin"/>
    </w:r>
    <w:r>
      <w:rPr>
        <w:rStyle w:val="54"/>
      </w:rPr>
      <w:instrText xml:space="preserve">PAGE  </w:instrText>
    </w:r>
    <w:r>
      <w:fldChar w:fldCharType="separate"/>
    </w:r>
    <w:r>
      <w:rPr>
        <w:rStyle w:val="54"/>
      </w:rPr>
      <w:t>0</w:t>
    </w:r>
    <w:r>
      <w:fldChar w:fldCharType="end"/>
    </w:r>
  </w:p>
  <w:p>
    <w:pPr>
      <w:pStyle w:val="3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single" w:color="auto" w:sz="6" w:space="6"/>
      </w:pBdr>
      <w:tabs>
        <w:tab w:val="left" w:pos="0"/>
      </w:tabs>
      <w:rPr>
        <w:sz w:val="15"/>
        <w:szCs w:val="15"/>
      </w:rPr>
    </w:pPr>
    <w:r>
      <w:rPr>
        <w:rFonts w:hint="eastAsia"/>
        <w:sz w:val="15"/>
        <w:szCs w:val="15"/>
      </w:rPr>
      <w:t>采购编号：GDYD230090                     项目名称：南海海洋预警信息发布和沿海恶劣天气防灾叫应系统(二期)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left"/>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single" w:color="auto" w:sz="6" w:space="6"/>
      </w:pBdr>
      <w:tabs>
        <w:tab w:val="left" w:pos="0"/>
      </w:tabs>
      <w:jc w:val="left"/>
      <w:rPr>
        <w:sz w:val="15"/>
        <w:szCs w:val="15"/>
      </w:rPr>
    </w:pPr>
    <w:r>
      <w:rPr>
        <w:rFonts w:hint="eastAsia"/>
        <w:sz w:val="15"/>
        <w:szCs w:val="15"/>
      </w:rPr>
      <w:t>采购编号：GDYD230090                             项目名称：南海海洋预警信息发布和沿海恶劣天气防灾叫应系统(二期)</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rPr>
        <w:szCs w:val="15"/>
      </w:rPr>
    </w:pPr>
    <w:r>
      <w:rPr>
        <w:rFonts w:hint="eastAsia"/>
        <w:sz w:val="15"/>
        <w:szCs w:val="15"/>
      </w:rPr>
      <w:t>采购编号：GDYD230090                  项目名称：南海海洋预警信息发布和沿海恶劣天气防灾叫应系统(二期)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2F199"/>
    <w:multiLevelType w:val="singleLevel"/>
    <w:tmpl w:val="8D12F199"/>
    <w:lvl w:ilvl="0" w:tentative="0">
      <w:start w:val="2"/>
      <w:numFmt w:val="decimal"/>
      <w:lvlText w:val="%1."/>
      <w:lvlJc w:val="left"/>
      <w:pPr>
        <w:tabs>
          <w:tab w:val="left" w:pos="312"/>
        </w:tabs>
      </w:pPr>
    </w:lvl>
  </w:abstractNum>
  <w:abstractNum w:abstractNumId="1">
    <w:nsid w:val="991C0138"/>
    <w:multiLevelType w:val="singleLevel"/>
    <w:tmpl w:val="991C0138"/>
    <w:lvl w:ilvl="0" w:tentative="0">
      <w:start w:val="5"/>
      <w:numFmt w:val="chineseCounting"/>
      <w:suff w:val="nothing"/>
      <w:lvlText w:val="%1、"/>
      <w:lvlJc w:val="left"/>
      <w:rPr>
        <w:rFonts w:hint="eastAsia"/>
      </w:rPr>
    </w:lvl>
  </w:abstractNum>
  <w:abstractNum w:abstractNumId="2">
    <w:nsid w:val="9DEF51F7"/>
    <w:multiLevelType w:val="singleLevel"/>
    <w:tmpl w:val="9DEF51F7"/>
    <w:lvl w:ilvl="0" w:tentative="0">
      <w:start w:val="9"/>
      <w:numFmt w:val="chineseCounting"/>
      <w:suff w:val="nothing"/>
      <w:lvlText w:val="%1、"/>
      <w:lvlJc w:val="left"/>
      <w:rPr>
        <w:rFonts w:hint="eastAsia"/>
      </w:rPr>
    </w:lvl>
  </w:abstractNum>
  <w:abstractNum w:abstractNumId="3">
    <w:nsid w:val="00000010"/>
    <w:multiLevelType w:val="multilevel"/>
    <w:tmpl w:val="00000010"/>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abstractNum w:abstractNumId="4">
    <w:nsid w:val="00000012"/>
    <w:multiLevelType w:val="multilevel"/>
    <w:tmpl w:val="00000012"/>
    <w:lvl w:ilvl="0" w:tentative="0">
      <w:start w:val="1"/>
      <w:numFmt w:val="decimal"/>
      <w:pStyle w:val="15"/>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1"/>
      <w:lvlJc w:val="left"/>
      <w:pPr>
        <w:tabs>
          <w:tab w:val="left" w:pos="425"/>
        </w:tabs>
        <w:ind w:left="425" w:hanging="425"/>
      </w:pPr>
    </w:lvl>
    <w:lvl w:ilvl="1" w:tentative="0">
      <w:start w:val="1"/>
      <w:numFmt w:val="decimal"/>
      <w:pStyle w:val="100"/>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00000015"/>
    <w:multiLevelType w:val="multilevel"/>
    <w:tmpl w:val="00000015"/>
    <w:lvl w:ilvl="0" w:tentative="0">
      <w:start w:val="1"/>
      <w:numFmt w:val="chineseCountingThousand"/>
      <w:lvlText w:val="%1、"/>
      <w:lvlJc w:val="left"/>
      <w:pPr>
        <w:tabs>
          <w:tab w:val="left" w:pos="1146"/>
        </w:tabs>
        <w:ind w:left="1146" w:hanging="720"/>
      </w:pPr>
      <w:rPr>
        <w:rFonts w:hint="eastAsia" w:ascii="仿宋" w:hAnsi="仿宋" w:eastAsia="仿宋" w:cs="仿宋"/>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D"/>
    <w:multiLevelType w:val="multilevel"/>
    <w:tmpl w:val="0000001D"/>
    <w:lvl w:ilvl="0" w:tentative="0">
      <w:start w:val="1"/>
      <w:numFmt w:val="decimal"/>
      <w:lvlText w:val="%1"/>
      <w:lvlJc w:val="left"/>
      <w:pPr>
        <w:tabs>
          <w:tab w:val="left" w:pos="615"/>
        </w:tabs>
        <w:ind w:left="615" w:hanging="615"/>
      </w:pPr>
      <w:rPr>
        <w:rFonts w:hint="default"/>
      </w:rPr>
    </w:lvl>
    <w:lvl w:ilvl="1" w:tentative="0">
      <w:start w:val="1"/>
      <w:numFmt w:val="decimal"/>
      <w:lvlText w:val="%1.%2"/>
      <w:lvlJc w:val="left"/>
      <w:pPr>
        <w:tabs>
          <w:tab w:val="left" w:pos="567"/>
        </w:tabs>
        <w:ind w:left="567" w:hanging="567"/>
      </w:pPr>
      <w:rPr>
        <w:rFonts w:hint="default" w:ascii="仿宋" w:hAnsi="仿宋" w:eastAsia="仿宋" w:cs="仿宋"/>
        <w:b w:val="0"/>
        <w:i w:val="0"/>
      </w:rPr>
    </w:lvl>
    <w:lvl w:ilvl="2" w:tentative="0">
      <w:start w:val="1"/>
      <w:numFmt w:val="decimal"/>
      <w:lvlText w:val="%1.%2.%3"/>
      <w:lvlJc w:val="left"/>
      <w:pPr>
        <w:tabs>
          <w:tab w:val="left" w:pos="615"/>
        </w:tabs>
        <w:ind w:left="615" w:hanging="615"/>
      </w:pPr>
      <w:rPr>
        <w:rFonts w:hint="default"/>
      </w:rPr>
    </w:lvl>
    <w:lvl w:ilvl="3" w:tentative="0">
      <w:start w:val="1"/>
      <w:numFmt w:val="decimal"/>
      <w:lvlText w:val="%1.%2.%3.%4"/>
      <w:lvlJc w:val="left"/>
      <w:pPr>
        <w:tabs>
          <w:tab w:val="left" w:pos="615"/>
        </w:tabs>
        <w:ind w:left="615" w:hanging="615"/>
      </w:pPr>
      <w:rPr>
        <w:rFonts w:hint="default"/>
      </w:rPr>
    </w:lvl>
    <w:lvl w:ilvl="4" w:tentative="0">
      <w:start w:val="1"/>
      <w:numFmt w:val="decimal"/>
      <w:lvlText w:val="%1.%2.%3.%4.%5"/>
      <w:lvlJc w:val="left"/>
      <w:pPr>
        <w:tabs>
          <w:tab w:val="left" w:pos="615"/>
        </w:tabs>
        <w:ind w:left="615" w:hanging="615"/>
      </w:pPr>
      <w:rPr>
        <w:rFonts w:hint="default"/>
      </w:rPr>
    </w:lvl>
    <w:lvl w:ilvl="5" w:tentative="0">
      <w:start w:val="1"/>
      <w:numFmt w:val="decimal"/>
      <w:lvlText w:val="%1.%2.%3.%4.%5.%6"/>
      <w:lvlJc w:val="left"/>
      <w:pPr>
        <w:tabs>
          <w:tab w:val="left" w:pos="615"/>
        </w:tabs>
        <w:ind w:left="615" w:hanging="615"/>
      </w:pPr>
      <w:rPr>
        <w:rFonts w:hint="default"/>
      </w:rPr>
    </w:lvl>
    <w:lvl w:ilvl="6" w:tentative="0">
      <w:start w:val="1"/>
      <w:numFmt w:val="decimal"/>
      <w:lvlText w:val="%1.%2.%3.%4.%5.%6.%7"/>
      <w:lvlJc w:val="left"/>
      <w:pPr>
        <w:tabs>
          <w:tab w:val="left" w:pos="615"/>
        </w:tabs>
        <w:ind w:left="615" w:hanging="615"/>
      </w:pPr>
      <w:rPr>
        <w:rFonts w:hint="default"/>
      </w:rPr>
    </w:lvl>
    <w:lvl w:ilvl="7" w:tentative="0">
      <w:start w:val="1"/>
      <w:numFmt w:val="decimal"/>
      <w:lvlText w:val="%1.%2.%3.%4.%5.%6.%7.%8"/>
      <w:lvlJc w:val="left"/>
      <w:pPr>
        <w:tabs>
          <w:tab w:val="left" w:pos="615"/>
        </w:tabs>
        <w:ind w:left="615" w:hanging="615"/>
      </w:pPr>
      <w:rPr>
        <w:rFonts w:hint="default"/>
      </w:rPr>
    </w:lvl>
    <w:lvl w:ilvl="8" w:tentative="0">
      <w:start w:val="1"/>
      <w:numFmt w:val="decimal"/>
      <w:lvlText w:val="%1.%2.%3.%4.%5.%6.%7.%8.%9"/>
      <w:lvlJc w:val="left"/>
      <w:pPr>
        <w:tabs>
          <w:tab w:val="left" w:pos="615"/>
        </w:tabs>
        <w:ind w:left="615" w:hanging="615"/>
      </w:pPr>
      <w:rPr>
        <w:rFonts w:hint="default"/>
      </w:rPr>
    </w:lvl>
  </w:abstractNum>
  <w:abstractNum w:abstractNumId="8">
    <w:nsid w:val="00000021"/>
    <w:multiLevelType w:val="multilevel"/>
    <w:tmpl w:val="00000021"/>
    <w:lvl w:ilvl="0" w:tentative="0">
      <w:start w:val="1"/>
      <w:numFmt w:val="bullet"/>
      <w:pStyle w:val="14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26"/>
    <w:multiLevelType w:val="multilevel"/>
    <w:tmpl w:val="00000026"/>
    <w:lvl w:ilvl="0" w:tentative="0">
      <w:start w:val="1"/>
      <w:numFmt w:val="decimal"/>
      <w:lvlText w:val="%1."/>
      <w:lvlJc w:val="left"/>
      <w:pPr>
        <w:tabs>
          <w:tab w:val="left" w:pos="435"/>
        </w:tabs>
        <w:ind w:left="435" w:hanging="435"/>
      </w:pPr>
      <w:rPr>
        <w:rFonts w:hint="default" w:ascii="Times New Roman" w:hAnsi="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2C"/>
    <w:multiLevelType w:val="multilevel"/>
    <w:tmpl w:val="0000002C"/>
    <w:lvl w:ilvl="0" w:tentative="0">
      <w:start w:val="1"/>
      <w:numFmt w:val="decimal"/>
      <w:pStyle w:val="16"/>
      <w:lvlText w:val="%1、"/>
      <w:lvlJc w:val="left"/>
      <w:pPr>
        <w:tabs>
          <w:tab w:val="left" w:pos="420"/>
        </w:tabs>
        <w:ind w:left="840" w:hanging="420"/>
      </w:pPr>
      <w:rPr>
        <w:rFonts w:ascii="Times New Roman" w:hAnsi="Times New Roman" w:eastAsia="Times New Roman" w:cs="Times New Roman"/>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decimal"/>
      <w:lvlText w:val="%3."/>
      <w:lvlJc w:val="left"/>
      <w:pPr>
        <w:tabs>
          <w:tab w:val="left" w:pos="1745"/>
        </w:tabs>
        <w:ind w:left="1745" w:hanging="705"/>
      </w:pPr>
      <w:rPr>
        <w:rFonts w:hint="default"/>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1">
    <w:nsid w:val="00000030"/>
    <w:multiLevelType w:val="multilevel"/>
    <w:tmpl w:val="00000030"/>
    <w:lvl w:ilvl="0" w:tentative="0">
      <w:start w:val="1"/>
      <w:numFmt w:val="bullet"/>
      <w:pStyle w:val="12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0000031"/>
    <w:multiLevelType w:val="multilevel"/>
    <w:tmpl w:val="0000003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33"/>
    <w:multiLevelType w:val="multilevel"/>
    <w:tmpl w:val="00000033"/>
    <w:lvl w:ilvl="0" w:tentative="0">
      <w:start w:val="1"/>
      <w:numFmt w:val="decimal"/>
      <w:lvlText w:val="%1"/>
      <w:lvlJc w:val="left"/>
      <w:pPr>
        <w:tabs>
          <w:tab w:val="left" w:pos="527"/>
        </w:tabs>
        <w:ind w:left="567" w:hanging="454"/>
      </w:pPr>
      <w:rPr>
        <w:rFonts w:hint="eastAsia"/>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34"/>
    <w:multiLevelType w:val="multilevel"/>
    <w:tmpl w:val="00000034"/>
    <w:lvl w:ilvl="0" w:tentative="0">
      <w:start w:val="1"/>
      <w:numFmt w:val="decimal"/>
      <w:lvlText w:val="%1."/>
      <w:lvlJc w:val="left"/>
      <w:pPr>
        <w:tabs>
          <w:tab w:val="left" w:pos="435"/>
        </w:tabs>
        <w:ind w:left="435" w:hanging="435"/>
      </w:pPr>
      <w:rPr>
        <w:rFonts w:hint="default" w:ascii="Times New Roman" w:hAnsi="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36"/>
    <w:multiLevelType w:val="multilevel"/>
    <w:tmpl w:val="00000036"/>
    <w:lvl w:ilvl="0" w:tentative="0">
      <w:start w:val="1"/>
      <w:numFmt w:val="bullet"/>
      <w:pStyle w:val="46"/>
      <w:lvlText w:val=""/>
      <w:lvlJc w:val="left"/>
      <w:pPr>
        <w:tabs>
          <w:tab w:val="left" w:pos="2121"/>
        </w:tabs>
        <w:ind w:left="2121" w:hanging="420"/>
      </w:pPr>
      <w:rPr>
        <w:rFonts w:hint="default" w:ascii="Wingdings" w:hAnsi="Wingdings"/>
      </w:rPr>
    </w:lvl>
    <w:lvl w:ilvl="1" w:tentative="0">
      <w:start w:val="1"/>
      <w:numFmt w:val="bullet"/>
      <w:lvlText w:val=""/>
      <w:lvlJc w:val="left"/>
      <w:pPr>
        <w:tabs>
          <w:tab w:val="left" w:pos="2541"/>
        </w:tabs>
        <w:ind w:left="2541" w:hanging="420"/>
      </w:pPr>
      <w:rPr>
        <w:rFonts w:hint="default" w:ascii="Wingdings" w:hAnsi="Wingdings"/>
      </w:rPr>
    </w:lvl>
    <w:lvl w:ilvl="2" w:tentative="0">
      <w:start w:val="1"/>
      <w:numFmt w:val="bullet"/>
      <w:lvlText w:val=""/>
      <w:lvlJc w:val="left"/>
      <w:pPr>
        <w:tabs>
          <w:tab w:val="left" w:pos="2961"/>
        </w:tabs>
        <w:ind w:left="2961" w:hanging="420"/>
      </w:pPr>
      <w:rPr>
        <w:rFonts w:hint="default" w:ascii="Wingdings" w:hAnsi="Wingdings"/>
      </w:rPr>
    </w:lvl>
    <w:lvl w:ilvl="3" w:tentative="0">
      <w:start w:val="1"/>
      <w:numFmt w:val="bullet"/>
      <w:lvlText w:val=""/>
      <w:lvlJc w:val="left"/>
      <w:pPr>
        <w:tabs>
          <w:tab w:val="left" w:pos="3381"/>
        </w:tabs>
        <w:ind w:left="3381" w:hanging="420"/>
      </w:pPr>
      <w:rPr>
        <w:rFonts w:hint="default" w:ascii="Wingdings" w:hAnsi="Wingdings"/>
      </w:rPr>
    </w:lvl>
    <w:lvl w:ilvl="4" w:tentative="0">
      <w:start w:val="1"/>
      <w:numFmt w:val="bullet"/>
      <w:lvlText w:val=""/>
      <w:lvlJc w:val="left"/>
      <w:pPr>
        <w:tabs>
          <w:tab w:val="left" w:pos="3801"/>
        </w:tabs>
        <w:ind w:left="3801" w:hanging="420"/>
      </w:pPr>
      <w:rPr>
        <w:rFonts w:hint="default" w:ascii="Wingdings" w:hAnsi="Wingdings"/>
      </w:rPr>
    </w:lvl>
    <w:lvl w:ilvl="5" w:tentative="0">
      <w:start w:val="1"/>
      <w:numFmt w:val="bullet"/>
      <w:lvlText w:val=""/>
      <w:lvlJc w:val="left"/>
      <w:pPr>
        <w:tabs>
          <w:tab w:val="left" w:pos="4221"/>
        </w:tabs>
        <w:ind w:left="4221" w:hanging="420"/>
      </w:pPr>
      <w:rPr>
        <w:rFonts w:hint="default" w:ascii="Wingdings" w:hAnsi="Wingdings"/>
      </w:rPr>
    </w:lvl>
    <w:lvl w:ilvl="6" w:tentative="0">
      <w:start w:val="1"/>
      <w:numFmt w:val="bullet"/>
      <w:lvlText w:val=""/>
      <w:lvlJc w:val="left"/>
      <w:pPr>
        <w:tabs>
          <w:tab w:val="left" w:pos="4641"/>
        </w:tabs>
        <w:ind w:left="4641" w:hanging="420"/>
      </w:pPr>
      <w:rPr>
        <w:rFonts w:hint="default" w:ascii="Wingdings" w:hAnsi="Wingdings"/>
      </w:rPr>
    </w:lvl>
    <w:lvl w:ilvl="7" w:tentative="0">
      <w:start w:val="1"/>
      <w:numFmt w:val="bullet"/>
      <w:lvlText w:val=""/>
      <w:lvlJc w:val="left"/>
      <w:pPr>
        <w:tabs>
          <w:tab w:val="left" w:pos="5061"/>
        </w:tabs>
        <w:ind w:left="5061" w:hanging="420"/>
      </w:pPr>
      <w:rPr>
        <w:rFonts w:hint="default" w:ascii="Wingdings" w:hAnsi="Wingdings"/>
      </w:rPr>
    </w:lvl>
    <w:lvl w:ilvl="8" w:tentative="0">
      <w:start w:val="1"/>
      <w:numFmt w:val="bullet"/>
      <w:lvlText w:val=""/>
      <w:lvlJc w:val="left"/>
      <w:pPr>
        <w:tabs>
          <w:tab w:val="left" w:pos="5481"/>
        </w:tabs>
        <w:ind w:left="5481" w:hanging="420"/>
      </w:pPr>
      <w:rPr>
        <w:rFonts w:hint="default" w:ascii="Wingdings" w:hAnsi="Wingdings"/>
      </w:rPr>
    </w:lvl>
  </w:abstractNum>
  <w:abstractNum w:abstractNumId="16">
    <w:nsid w:val="153F4863"/>
    <w:multiLevelType w:val="multilevel"/>
    <w:tmpl w:val="153F486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1560CC83"/>
    <w:multiLevelType w:val="singleLevel"/>
    <w:tmpl w:val="1560CC83"/>
    <w:lvl w:ilvl="0" w:tentative="0">
      <w:start w:val="5"/>
      <w:numFmt w:val="decimal"/>
      <w:suff w:val="nothing"/>
      <w:lvlText w:val="（%1）"/>
      <w:lvlJc w:val="left"/>
    </w:lvl>
  </w:abstractNum>
  <w:abstractNum w:abstractNumId="18">
    <w:nsid w:val="21FC77E1"/>
    <w:multiLevelType w:val="multilevel"/>
    <w:tmpl w:val="21FC77E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2AC8EDB2"/>
    <w:multiLevelType w:val="singleLevel"/>
    <w:tmpl w:val="2AC8EDB2"/>
    <w:lvl w:ilvl="0" w:tentative="0">
      <w:start w:val="5"/>
      <w:numFmt w:val="chineseCounting"/>
      <w:suff w:val="nothing"/>
      <w:lvlText w:val="%1、"/>
      <w:lvlJc w:val="left"/>
      <w:rPr>
        <w:rFonts w:hint="eastAsia"/>
      </w:rPr>
    </w:lvl>
  </w:abstractNum>
  <w:abstractNum w:abstractNumId="20">
    <w:nsid w:val="3D66454D"/>
    <w:multiLevelType w:val="multilevel"/>
    <w:tmpl w:val="3D66454D"/>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6B55E5B"/>
    <w:multiLevelType w:val="multilevel"/>
    <w:tmpl w:val="46B55E5B"/>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2">
    <w:nsid w:val="6615066E"/>
    <w:multiLevelType w:val="multilevel"/>
    <w:tmpl w:val="6615066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DDB9169"/>
    <w:multiLevelType w:val="singleLevel"/>
    <w:tmpl w:val="7DDB9169"/>
    <w:lvl w:ilvl="0" w:tentative="0">
      <w:start w:val="2"/>
      <w:numFmt w:val="chineseCounting"/>
      <w:suff w:val="nothing"/>
      <w:lvlText w:val="%1、"/>
      <w:lvlJc w:val="left"/>
      <w:rPr>
        <w:rFonts w:hint="eastAsia"/>
      </w:rPr>
    </w:lvl>
  </w:abstractNum>
  <w:num w:numId="1">
    <w:abstractNumId w:val="4"/>
  </w:num>
  <w:num w:numId="2">
    <w:abstractNumId w:val="10"/>
  </w:num>
  <w:num w:numId="3">
    <w:abstractNumId w:val="15"/>
  </w:num>
  <w:num w:numId="4">
    <w:abstractNumId w:val="5"/>
  </w:num>
  <w:num w:numId="5">
    <w:abstractNumId w:val="11"/>
  </w:num>
  <w:num w:numId="6">
    <w:abstractNumId w:val="8"/>
  </w:num>
  <w:num w:numId="7">
    <w:abstractNumId w:val="6"/>
  </w:num>
  <w:num w:numId="8">
    <w:abstractNumId w:val="3"/>
  </w:num>
  <w:num w:numId="9">
    <w:abstractNumId w:val="21"/>
  </w:num>
  <w:num w:numId="10">
    <w:abstractNumId w:val="1"/>
  </w:num>
  <w:num w:numId="11">
    <w:abstractNumId w:val="2"/>
  </w:num>
  <w:num w:numId="12">
    <w:abstractNumId w:val="20"/>
  </w:num>
  <w:num w:numId="13">
    <w:abstractNumId w:val="22"/>
  </w:num>
  <w:num w:numId="14">
    <w:abstractNumId w:val="18"/>
  </w:num>
  <w:num w:numId="15">
    <w:abstractNumId w:val="16"/>
  </w:num>
  <w:num w:numId="16">
    <w:abstractNumId w:val="23"/>
  </w:num>
  <w:num w:numId="17">
    <w:abstractNumId w:val="17"/>
  </w:num>
  <w:num w:numId="18">
    <w:abstractNumId w:val="19"/>
  </w:num>
  <w:num w:numId="19">
    <w:abstractNumId w:val="13"/>
  </w:num>
  <w:num w:numId="20">
    <w:abstractNumId w:val="0"/>
  </w:num>
  <w:num w:numId="21">
    <w:abstractNumId w:val="7"/>
  </w:num>
  <w:num w:numId="22">
    <w:abstractNumId w:val="9"/>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2MWY2NWM0YTQzYTA4ZmU1OWFlYzM0NWViM2JkZGUifQ=="/>
  </w:docVars>
  <w:rsids>
    <w:rsidRoot w:val="00172A27"/>
    <w:rsid w:val="000008D0"/>
    <w:rsid w:val="00000A20"/>
    <w:rsid w:val="0000153B"/>
    <w:rsid w:val="00001D62"/>
    <w:rsid w:val="00002458"/>
    <w:rsid w:val="00002474"/>
    <w:rsid w:val="00004151"/>
    <w:rsid w:val="000059CE"/>
    <w:rsid w:val="00005FAB"/>
    <w:rsid w:val="0000669F"/>
    <w:rsid w:val="00006860"/>
    <w:rsid w:val="0000765C"/>
    <w:rsid w:val="00007AE1"/>
    <w:rsid w:val="000112EE"/>
    <w:rsid w:val="0001396D"/>
    <w:rsid w:val="00013EA6"/>
    <w:rsid w:val="0001464E"/>
    <w:rsid w:val="000149CD"/>
    <w:rsid w:val="00015414"/>
    <w:rsid w:val="00016B55"/>
    <w:rsid w:val="00016C19"/>
    <w:rsid w:val="00016F27"/>
    <w:rsid w:val="00017E81"/>
    <w:rsid w:val="000212F8"/>
    <w:rsid w:val="000214FB"/>
    <w:rsid w:val="00022AF1"/>
    <w:rsid w:val="00023B7A"/>
    <w:rsid w:val="00026295"/>
    <w:rsid w:val="00026714"/>
    <w:rsid w:val="000311E5"/>
    <w:rsid w:val="00032D69"/>
    <w:rsid w:val="000332A9"/>
    <w:rsid w:val="00034293"/>
    <w:rsid w:val="00034390"/>
    <w:rsid w:val="00034876"/>
    <w:rsid w:val="00034B6E"/>
    <w:rsid w:val="00036220"/>
    <w:rsid w:val="00037C24"/>
    <w:rsid w:val="0004125E"/>
    <w:rsid w:val="00042226"/>
    <w:rsid w:val="00042559"/>
    <w:rsid w:val="00042F74"/>
    <w:rsid w:val="00043F0D"/>
    <w:rsid w:val="00044E1D"/>
    <w:rsid w:val="00044F65"/>
    <w:rsid w:val="00045330"/>
    <w:rsid w:val="00045612"/>
    <w:rsid w:val="00045E56"/>
    <w:rsid w:val="00045FDB"/>
    <w:rsid w:val="00046A08"/>
    <w:rsid w:val="000474C2"/>
    <w:rsid w:val="000500D8"/>
    <w:rsid w:val="00051096"/>
    <w:rsid w:val="0005214D"/>
    <w:rsid w:val="0005341A"/>
    <w:rsid w:val="00054D17"/>
    <w:rsid w:val="00055444"/>
    <w:rsid w:val="0005553C"/>
    <w:rsid w:val="0005591D"/>
    <w:rsid w:val="00060995"/>
    <w:rsid w:val="00060AD7"/>
    <w:rsid w:val="0006153D"/>
    <w:rsid w:val="00062181"/>
    <w:rsid w:val="000627C2"/>
    <w:rsid w:val="00062AE8"/>
    <w:rsid w:val="000630F5"/>
    <w:rsid w:val="0006360A"/>
    <w:rsid w:val="00064850"/>
    <w:rsid w:val="0006497D"/>
    <w:rsid w:val="0006501B"/>
    <w:rsid w:val="00065074"/>
    <w:rsid w:val="0006662F"/>
    <w:rsid w:val="000666F0"/>
    <w:rsid w:val="00066C71"/>
    <w:rsid w:val="000670F4"/>
    <w:rsid w:val="00067B15"/>
    <w:rsid w:val="00073215"/>
    <w:rsid w:val="00074348"/>
    <w:rsid w:val="00074385"/>
    <w:rsid w:val="00074CAB"/>
    <w:rsid w:val="00074E48"/>
    <w:rsid w:val="00075EB0"/>
    <w:rsid w:val="00076231"/>
    <w:rsid w:val="000762E6"/>
    <w:rsid w:val="0007787D"/>
    <w:rsid w:val="000802FF"/>
    <w:rsid w:val="0008160A"/>
    <w:rsid w:val="00083081"/>
    <w:rsid w:val="000837DF"/>
    <w:rsid w:val="00083AFB"/>
    <w:rsid w:val="00084843"/>
    <w:rsid w:val="00084865"/>
    <w:rsid w:val="00085176"/>
    <w:rsid w:val="0008579B"/>
    <w:rsid w:val="00085F5F"/>
    <w:rsid w:val="00086319"/>
    <w:rsid w:val="00086444"/>
    <w:rsid w:val="000869C4"/>
    <w:rsid w:val="00087862"/>
    <w:rsid w:val="000900E3"/>
    <w:rsid w:val="000911EF"/>
    <w:rsid w:val="00091335"/>
    <w:rsid w:val="00091C22"/>
    <w:rsid w:val="000920D9"/>
    <w:rsid w:val="0009309C"/>
    <w:rsid w:val="00093978"/>
    <w:rsid w:val="000947A0"/>
    <w:rsid w:val="00094C69"/>
    <w:rsid w:val="00094E35"/>
    <w:rsid w:val="00095488"/>
    <w:rsid w:val="00095C9C"/>
    <w:rsid w:val="00096575"/>
    <w:rsid w:val="00096AA4"/>
    <w:rsid w:val="00096F82"/>
    <w:rsid w:val="0009734E"/>
    <w:rsid w:val="0009752A"/>
    <w:rsid w:val="00097B65"/>
    <w:rsid w:val="00097FDD"/>
    <w:rsid w:val="000A0B49"/>
    <w:rsid w:val="000A1423"/>
    <w:rsid w:val="000A1522"/>
    <w:rsid w:val="000A2536"/>
    <w:rsid w:val="000A26FA"/>
    <w:rsid w:val="000A29CD"/>
    <w:rsid w:val="000A2B12"/>
    <w:rsid w:val="000A31A0"/>
    <w:rsid w:val="000A361E"/>
    <w:rsid w:val="000A4C38"/>
    <w:rsid w:val="000A5568"/>
    <w:rsid w:val="000A6AFD"/>
    <w:rsid w:val="000A758D"/>
    <w:rsid w:val="000B2E56"/>
    <w:rsid w:val="000B2F59"/>
    <w:rsid w:val="000B33CA"/>
    <w:rsid w:val="000B53AD"/>
    <w:rsid w:val="000B58F4"/>
    <w:rsid w:val="000B6F84"/>
    <w:rsid w:val="000B75BF"/>
    <w:rsid w:val="000C2954"/>
    <w:rsid w:val="000C3D7F"/>
    <w:rsid w:val="000C4070"/>
    <w:rsid w:val="000C4B84"/>
    <w:rsid w:val="000C69E9"/>
    <w:rsid w:val="000C6D01"/>
    <w:rsid w:val="000C7B52"/>
    <w:rsid w:val="000C7FB8"/>
    <w:rsid w:val="000D18A7"/>
    <w:rsid w:val="000D26EC"/>
    <w:rsid w:val="000D2A7B"/>
    <w:rsid w:val="000D3646"/>
    <w:rsid w:val="000D4E32"/>
    <w:rsid w:val="000D5106"/>
    <w:rsid w:val="000D66B0"/>
    <w:rsid w:val="000D6E8F"/>
    <w:rsid w:val="000D6F10"/>
    <w:rsid w:val="000D7A81"/>
    <w:rsid w:val="000E04C8"/>
    <w:rsid w:val="000E05B9"/>
    <w:rsid w:val="000E14B1"/>
    <w:rsid w:val="000E1CD7"/>
    <w:rsid w:val="000E20B1"/>
    <w:rsid w:val="000E2947"/>
    <w:rsid w:val="000E3887"/>
    <w:rsid w:val="000E4223"/>
    <w:rsid w:val="000E4E6A"/>
    <w:rsid w:val="000E5DDE"/>
    <w:rsid w:val="000E7C9F"/>
    <w:rsid w:val="000F01E3"/>
    <w:rsid w:val="000F1142"/>
    <w:rsid w:val="000F2B74"/>
    <w:rsid w:val="000F30B8"/>
    <w:rsid w:val="000F329C"/>
    <w:rsid w:val="000F3310"/>
    <w:rsid w:val="000F39F3"/>
    <w:rsid w:val="000F5C94"/>
    <w:rsid w:val="000F7667"/>
    <w:rsid w:val="00100318"/>
    <w:rsid w:val="00101D1E"/>
    <w:rsid w:val="00102287"/>
    <w:rsid w:val="00103E68"/>
    <w:rsid w:val="00103FAF"/>
    <w:rsid w:val="001046DA"/>
    <w:rsid w:val="001046E6"/>
    <w:rsid w:val="001052C0"/>
    <w:rsid w:val="0010598D"/>
    <w:rsid w:val="00106F00"/>
    <w:rsid w:val="00106F54"/>
    <w:rsid w:val="001130D2"/>
    <w:rsid w:val="00113A43"/>
    <w:rsid w:val="001142E1"/>
    <w:rsid w:val="00114DAD"/>
    <w:rsid w:val="001158B2"/>
    <w:rsid w:val="001202EF"/>
    <w:rsid w:val="001204A9"/>
    <w:rsid w:val="00121166"/>
    <w:rsid w:val="00121883"/>
    <w:rsid w:val="00122A46"/>
    <w:rsid w:val="00122FF8"/>
    <w:rsid w:val="00124B1D"/>
    <w:rsid w:val="00125687"/>
    <w:rsid w:val="0013186B"/>
    <w:rsid w:val="00131D89"/>
    <w:rsid w:val="00132B6B"/>
    <w:rsid w:val="001330C8"/>
    <w:rsid w:val="00133B6C"/>
    <w:rsid w:val="00134D38"/>
    <w:rsid w:val="001352BB"/>
    <w:rsid w:val="00136724"/>
    <w:rsid w:val="00136A51"/>
    <w:rsid w:val="00136F1F"/>
    <w:rsid w:val="00140206"/>
    <w:rsid w:val="00140663"/>
    <w:rsid w:val="00141555"/>
    <w:rsid w:val="00141573"/>
    <w:rsid w:val="0014160C"/>
    <w:rsid w:val="0014172A"/>
    <w:rsid w:val="001427DC"/>
    <w:rsid w:val="0014314E"/>
    <w:rsid w:val="00144962"/>
    <w:rsid w:val="00144B55"/>
    <w:rsid w:val="0014502D"/>
    <w:rsid w:val="001463E9"/>
    <w:rsid w:val="001479BE"/>
    <w:rsid w:val="00147B99"/>
    <w:rsid w:val="001510A0"/>
    <w:rsid w:val="001510E0"/>
    <w:rsid w:val="0015217D"/>
    <w:rsid w:val="00154A36"/>
    <w:rsid w:val="00154CB2"/>
    <w:rsid w:val="00155106"/>
    <w:rsid w:val="00155AD9"/>
    <w:rsid w:val="00156DE8"/>
    <w:rsid w:val="00157785"/>
    <w:rsid w:val="00160FDB"/>
    <w:rsid w:val="0016108C"/>
    <w:rsid w:val="00161B43"/>
    <w:rsid w:val="00162B64"/>
    <w:rsid w:val="00163515"/>
    <w:rsid w:val="001638A2"/>
    <w:rsid w:val="00163B95"/>
    <w:rsid w:val="001653E9"/>
    <w:rsid w:val="00165A24"/>
    <w:rsid w:val="00166ECA"/>
    <w:rsid w:val="001715A8"/>
    <w:rsid w:val="00171C36"/>
    <w:rsid w:val="00172398"/>
    <w:rsid w:val="00172A27"/>
    <w:rsid w:val="00173F51"/>
    <w:rsid w:val="001745F0"/>
    <w:rsid w:val="00174C59"/>
    <w:rsid w:val="001759DB"/>
    <w:rsid w:val="0017680C"/>
    <w:rsid w:val="00177A18"/>
    <w:rsid w:val="00180FA2"/>
    <w:rsid w:val="0018249C"/>
    <w:rsid w:val="00182592"/>
    <w:rsid w:val="00182871"/>
    <w:rsid w:val="00183CF6"/>
    <w:rsid w:val="0018574B"/>
    <w:rsid w:val="00185DDD"/>
    <w:rsid w:val="00186314"/>
    <w:rsid w:val="00186920"/>
    <w:rsid w:val="0018764F"/>
    <w:rsid w:val="00190A19"/>
    <w:rsid w:val="00190BFF"/>
    <w:rsid w:val="00190E1A"/>
    <w:rsid w:val="00191133"/>
    <w:rsid w:val="0019475D"/>
    <w:rsid w:val="00194A73"/>
    <w:rsid w:val="00196878"/>
    <w:rsid w:val="00196F5B"/>
    <w:rsid w:val="001A0BBB"/>
    <w:rsid w:val="001A21E2"/>
    <w:rsid w:val="001A2BA5"/>
    <w:rsid w:val="001A33FC"/>
    <w:rsid w:val="001A347A"/>
    <w:rsid w:val="001A3B3E"/>
    <w:rsid w:val="001A51C3"/>
    <w:rsid w:val="001A7B2A"/>
    <w:rsid w:val="001B017F"/>
    <w:rsid w:val="001B11C6"/>
    <w:rsid w:val="001B157D"/>
    <w:rsid w:val="001B1F48"/>
    <w:rsid w:val="001B251F"/>
    <w:rsid w:val="001B290B"/>
    <w:rsid w:val="001B354A"/>
    <w:rsid w:val="001B46D4"/>
    <w:rsid w:val="001B487B"/>
    <w:rsid w:val="001C0237"/>
    <w:rsid w:val="001C027E"/>
    <w:rsid w:val="001C02F1"/>
    <w:rsid w:val="001C168C"/>
    <w:rsid w:val="001C24F8"/>
    <w:rsid w:val="001C3B88"/>
    <w:rsid w:val="001C3C35"/>
    <w:rsid w:val="001C54DB"/>
    <w:rsid w:val="001C633F"/>
    <w:rsid w:val="001C7DEB"/>
    <w:rsid w:val="001D056B"/>
    <w:rsid w:val="001D0D9C"/>
    <w:rsid w:val="001D1985"/>
    <w:rsid w:val="001D214E"/>
    <w:rsid w:val="001D30DF"/>
    <w:rsid w:val="001D4AB3"/>
    <w:rsid w:val="001D4FE8"/>
    <w:rsid w:val="001D519F"/>
    <w:rsid w:val="001D57FF"/>
    <w:rsid w:val="001D5AF2"/>
    <w:rsid w:val="001D61BF"/>
    <w:rsid w:val="001D6399"/>
    <w:rsid w:val="001D6FB1"/>
    <w:rsid w:val="001D709A"/>
    <w:rsid w:val="001E04E8"/>
    <w:rsid w:val="001E058C"/>
    <w:rsid w:val="001E105F"/>
    <w:rsid w:val="001E13F3"/>
    <w:rsid w:val="001E14AA"/>
    <w:rsid w:val="001E2717"/>
    <w:rsid w:val="001E2BC0"/>
    <w:rsid w:val="001E33DB"/>
    <w:rsid w:val="001E385F"/>
    <w:rsid w:val="001E3D83"/>
    <w:rsid w:val="001E51C8"/>
    <w:rsid w:val="001E608B"/>
    <w:rsid w:val="001E65B3"/>
    <w:rsid w:val="001E6BE4"/>
    <w:rsid w:val="001F02BF"/>
    <w:rsid w:val="001F0F20"/>
    <w:rsid w:val="001F0F4E"/>
    <w:rsid w:val="001F3368"/>
    <w:rsid w:val="001F33EB"/>
    <w:rsid w:val="001F381F"/>
    <w:rsid w:val="001F53AC"/>
    <w:rsid w:val="001F6D38"/>
    <w:rsid w:val="001F6E44"/>
    <w:rsid w:val="002009DA"/>
    <w:rsid w:val="00204E0B"/>
    <w:rsid w:val="0020691E"/>
    <w:rsid w:val="002108B6"/>
    <w:rsid w:val="002118F2"/>
    <w:rsid w:val="00211D6C"/>
    <w:rsid w:val="00212139"/>
    <w:rsid w:val="00212335"/>
    <w:rsid w:val="0021298C"/>
    <w:rsid w:val="00212C67"/>
    <w:rsid w:val="00212FED"/>
    <w:rsid w:val="0021313A"/>
    <w:rsid w:val="00213B69"/>
    <w:rsid w:val="00214548"/>
    <w:rsid w:val="00214CB3"/>
    <w:rsid w:val="00215F3A"/>
    <w:rsid w:val="00216EF9"/>
    <w:rsid w:val="00217CCE"/>
    <w:rsid w:val="00223ED2"/>
    <w:rsid w:val="00224A64"/>
    <w:rsid w:val="00224B71"/>
    <w:rsid w:val="002251E7"/>
    <w:rsid w:val="00225634"/>
    <w:rsid w:val="00225A8C"/>
    <w:rsid w:val="00226631"/>
    <w:rsid w:val="00226BF5"/>
    <w:rsid w:val="00226D8E"/>
    <w:rsid w:val="00227514"/>
    <w:rsid w:val="002279D2"/>
    <w:rsid w:val="00227AEE"/>
    <w:rsid w:val="00227B1E"/>
    <w:rsid w:val="0023053F"/>
    <w:rsid w:val="00230547"/>
    <w:rsid w:val="002305C9"/>
    <w:rsid w:val="0023234F"/>
    <w:rsid w:val="002333BF"/>
    <w:rsid w:val="00233CE9"/>
    <w:rsid w:val="00234740"/>
    <w:rsid w:val="00235442"/>
    <w:rsid w:val="00235641"/>
    <w:rsid w:val="0023660C"/>
    <w:rsid w:val="0023687D"/>
    <w:rsid w:val="00237E5B"/>
    <w:rsid w:val="002401FD"/>
    <w:rsid w:val="00240911"/>
    <w:rsid w:val="00240C6F"/>
    <w:rsid w:val="0024150F"/>
    <w:rsid w:val="002427B2"/>
    <w:rsid w:val="00242AFB"/>
    <w:rsid w:val="002438AC"/>
    <w:rsid w:val="002446AF"/>
    <w:rsid w:val="00244E7A"/>
    <w:rsid w:val="00245A18"/>
    <w:rsid w:val="00246069"/>
    <w:rsid w:val="002466CC"/>
    <w:rsid w:val="0024672A"/>
    <w:rsid w:val="00246DB5"/>
    <w:rsid w:val="002474A5"/>
    <w:rsid w:val="00251641"/>
    <w:rsid w:val="00251C80"/>
    <w:rsid w:val="002534F3"/>
    <w:rsid w:val="00253527"/>
    <w:rsid w:val="0025361A"/>
    <w:rsid w:val="002539CA"/>
    <w:rsid w:val="0025621F"/>
    <w:rsid w:val="00256C99"/>
    <w:rsid w:val="002577C1"/>
    <w:rsid w:val="00260F7F"/>
    <w:rsid w:val="00261627"/>
    <w:rsid w:val="0026173B"/>
    <w:rsid w:val="002629D8"/>
    <w:rsid w:val="00262B61"/>
    <w:rsid w:val="00262F1E"/>
    <w:rsid w:val="00263A27"/>
    <w:rsid w:val="002658AB"/>
    <w:rsid w:val="00266A86"/>
    <w:rsid w:val="00267066"/>
    <w:rsid w:val="0027029C"/>
    <w:rsid w:val="00270D9E"/>
    <w:rsid w:val="00271043"/>
    <w:rsid w:val="0027166D"/>
    <w:rsid w:val="00271862"/>
    <w:rsid w:val="00271EF9"/>
    <w:rsid w:val="0027234A"/>
    <w:rsid w:val="00272D8C"/>
    <w:rsid w:val="002734BD"/>
    <w:rsid w:val="00273C6B"/>
    <w:rsid w:val="00274406"/>
    <w:rsid w:val="0027490E"/>
    <w:rsid w:val="002765DD"/>
    <w:rsid w:val="002777D1"/>
    <w:rsid w:val="0028173D"/>
    <w:rsid w:val="00282425"/>
    <w:rsid w:val="0028279E"/>
    <w:rsid w:val="002837C5"/>
    <w:rsid w:val="002839D2"/>
    <w:rsid w:val="0028428A"/>
    <w:rsid w:val="00284473"/>
    <w:rsid w:val="002856A6"/>
    <w:rsid w:val="0028651A"/>
    <w:rsid w:val="00287140"/>
    <w:rsid w:val="0028757E"/>
    <w:rsid w:val="00290148"/>
    <w:rsid w:val="00290207"/>
    <w:rsid w:val="0029043E"/>
    <w:rsid w:val="00291C50"/>
    <w:rsid w:val="00292B08"/>
    <w:rsid w:val="002931A6"/>
    <w:rsid w:val="00293A40"/>
    <w:rsid w:val="00294255"/>
    <w:rsid w:val="002950DE"/>
    <w:rsid w:val="002969ED"/>
    <w:rsid w:val="0029744B"/>
    <w:rsid w:val="002A05E0"/>
    <w:rsid w:val="002A2C8B"/>
    <w:rsid w:val="002A3848"/>
    <w:rsid w:val="002A5514"/>
    <w:rsid w:val="002A5DA2"/>
    <w:rsid w:val="002A7EBD"/>
    <w:rsid w:val="002B051B"/>
    <w:rsid w:val="002B19BA"/>
    <w:rsid w:val="002B28EF"/>
    <w:rsid w:val="002B2E1A"/>
    <w:rsid w:val="002B35D7"/>
    <w:rsid w:val="002B45FD"/>
    <w:rsid w:val="002B48B1"/>
    <w:rsid w:val="002B70E7"/>
    <w:rsid w:val="002C0CD4"/>
    <w:rsid w:val="002C0D8B"/>
    <w:rsid w:val="002C11B6"/>
    <w:rsid w:val="002C284F"/>
    <w:rsid w:val="002C2BA1"/>
    <w:rsid w:val="002C334D"/>
    <w:rsid w:val="002C3506"/>
    <w:rsid w:val="002C426C"/>
    <w:rsid w:val="002C465C"/>
    <w:rsid w:val="002C5A8F"/>
    <w:rsid w:val="002C6A08"/>
    <w:rsid w:val="002D03DA"/>
    <w:rsid w:val="002D3117"/>
    <w:rsid w:val="002D387D"/>
    <w:rsid w:val="002D39B7"/>
    <w:rsid w:val="002D3D89"/>
    <w:rsid w:val="002D4ABA"/>
    <w:rsid w:val="002D4EF6"/>
    <w:rsid w:val="002D4F00"/>
    <w:rsid w:val="002D5308"/>
    <w:rsid w:val="002D674A"/>
    <w:rsid w:val="002D6E5C"/>
    <w:rsid w:val="002E0C2F"/>
    <w:rsid w:val="002E202D"/>
    <w:rsid w:val="002E234D"/>
    <w:rsid w:val="002E2FB5"/>
    <w:rsid w:val="002E504E"/>
    <w:rsid w:val="002F0646"/>
    <w:rsid w:val="002F087B"/>
    <w:rsid w:val="002F132E"/>
    <w:rsid w:val="002F160F"/>
    <w:rsid w:val="002F1CE7"/>
    <w:rsid w:val="002F313B"/>
    <w:rsid w:val="002F3A69"/>
    <w:rsid w:val="002F40FD"/>
    <w:rsid w:val="002F5851"/>
    <w:rsid w:val="002F5E07"/>
    <w:rsid w:val="002F6AD7"/>
    <w:rsid w:val="002F74D1"/>
    <w:rsid w:val="002F7D0F"/>
    <w:rsid w:val="00300BFA"/>
    <w:rsid w:val="00301AE8"/>
    <w:rsid w:val="003026E7"/>
    <w:rsid w:val="00302F95"/>
    <w:rsid w:val="00304885"/>
    <w:rsid w:val="00304BBB"/>
    <w:rsid w:val="00305072"/>
    <w:rsid w:val="00305C83"/>
    <w:rsid w:val="00306A39"/>
    <w:rsid w:val="00307CB1"/>
    <w:rsid w:val="00310588"/>
    <w:rsid w:val="00311054"/>
    <w:rsid w:val="003113C6"/>
    <w:rsid w:val="00312A5F"/>
    <w:rsid w:val="00314D70"/>
    <w:rsid w:val="00315C5B"/>
    <w:rsid w:val="00316079"/>
    <w:rsid w:val="003169BB"/>
    <w:rsid w:val="00317012"/>
    <w:rsid w:val="003173AC"/>
    <w:rsid w:val="0032238F"/>
    <w:rsid w:val="0032298B"/>
    <w:rsid w:val="00322D03"/>
    <w:rsid w:val="00322DD9"/>
    <w:rsid w:val="0032351B"/>
    <w:rsid w:val="0032707B"/>
    <w:rsid w:val="00327626"/>
    <w:rsid w:val="00327823"/>
    <w:rsid w:val="00327B50"/>
    <w:rsid w:val="00332298"/>
    <w:rsid w:val="003325FE"/>
    <w:rsid w:val="00333D94"/>
    <w:rsid w:val="00334190"/>
    <w:rsid w:val="0033613B"/>
    <w:rsid w:val="003369C7"/>
    <w:rsid w:val="00337E16"/>
    <w:rsid w:val="003400CF"/>
    <w:rsid w:val="003429B2"/>
    <w:rsid w:val="00342A43"/>
    <w:rsid w:val="00342A4C"/>
    <w:rsid w:val="003432BC"/>
    <w:rsid w:val="00344456"/>
    <w:rsid w:val="003468BD"/>
    <w:rsid w:val="00347030"/>
    <w:rsid w:val="00347782"/>
    <w:rsid w:val="00347ACD"/>
    <w:rsid w:val="00347B08"/>
    <w:rsid w:val="00350E21"/>
    <w:rsid w:val="00352888"/>
    <w:rsid w:val="00352BF2"/>
    <w:rsid w:val="003534A0"/>
    <w:rsid w:val="00353571"/>
    <w:rsid w:val="00353A1A"/>
    <w:rsid w:val="00353BF9"/>
    <w:rsid w:val="00354F35"/>
    <w:rsid w:val="003564AB"/>
    <w:rsid w:val="003579BD"/>
    <w:rsid w:val="00360B2C"/>
    <w:rsid w:val="00362867"/>
    <w:rsid w:val="00362D39"/>
    <w:rsid w:val="003640B4"/>
    <w:rsid w:val="0036499A"/>
    <w:rsid w:val="00366347"/>
    <w:rsid w:val="00366C8B"/>
    <w:rsid w:val="00367743"/>
    <w:rsid w:val="00367C3A"/>
    <w:rsid w:val="00367EB7"/>
    <w:rsid w:val="0037270C"/>
    <w:rsid w:val="00373E38"/>
    <w:rsid w:val="00374A20"/>
    <w:rsid w:val="00375484"/>
    <w:rsid w:val="0037553D"/>
    <w:rsid w:val="00375889"/>
    <w:rsid w:val="00376125"/>
    <w:rsid w:val="003762AD"/>
    <w:rsid w:val="00376BFF"/>
    <w:rsid w:val="00377520"/>
    <w:rsid w:val="00380FD6"/>
    <w:rsid w:val="00381392"/>
    <w:rsid w:val="00381426"/>
    <w:rsid w:val="0038207E"/>
    <w:rsid w:val="00384D3A"/>
    <w:rsid w:val="00385031"/>
    <w:rsid w:val="00386B47"/>
    <w:rsid w:val="003914A6"/>
    <w:rsid w:val="003925BD"/>
    <w:rsid w:val="00396555"/>
    <w:rsid w:val="0039660F"/>
    <w:rsid w:val="00396AA8"/>
    <w:rsid w:val="003A06AA"/>
    <w:rsid w:val="003A10D2"/>
    <w:rsid w:val="003A1C85"/>
    <w:rsid w:val="003A1E07"/>
    <w:rsid w:val="003A2464"/>
    <w:rsid w:val="003A517A"/>
    <w:rsid w:val="003A669B"/>
    <w:rsid w:val="003A7D9A"/>
    <w:rsid w:val="003A7F5B"/>
    <w:rsid w:val="003B226F"/>
    <w:rsid w:val="003B2767"/>
    <w:rsid w:val="003B31A4"/>
    <w:rsid w:val="003B5912"/>
    <w:rsid w:val="003B5AC0"/>
    <w:rsid w:val="003B63B0"/>
    <w:rsid w:val="003B71EA"/>
    <w:rsid w:val="003C0751"/>
    <w:rsid w:val="003C0CAD"/>
    <w:rsid w:val="003C3319"/>
    <w:rsid w:val="003C4D44"/>
    <w:rsid w:val="003C7A3C"/>
    <w:rsid w:val="003C7B50"/>
    <w:rsid w:val="003D0115"/>
    <w:rsid w:val="003D0419"/>
    <w:rsid w:val="003D053F"/>
    <w:rsid w:val="003D0644"/>
    <w:rsid w:val="003D2B13"/>
    <w:rsid w:val="003D473D"/>
    <w:rsid w:val="003D4B77"/>
    <w:rsid w:val="003D4F69"/>
    <w:rsid w:val="003D5B27"/>
    <w:rsid w:val="003D6140"/>
    <w:rsid w:val="003D630E"/>
    <w:rsid w:val="003D6BD5"/>
    <w:rsid w:val="003D6D97"/>
    <w:rsid w:val="003D7B2E"/>
    <w:rsid w:val="003E0133"/>
    <w:rsid w:val="003E1B8F"/>
    <w:rsid w:val="003E2480"/>
    <w:rsid w:val="003E372D"/>
    <w:rsid w:val="003E4108"/>
    <w:rsid w:val="003E4139"/>
    <w:rsid w:val="003E4493"/>
    <w:rsid w:val="003E51FB"/>
    <w:rsid w:val="003E57DB"/>
    <w:rsid w:val="003E5FF6"/>
    <w:rsid w:val="003E6192"/>
    <w:rsid w:val="003E75E8"/>
    <w:rsid w:val="003F011B"/>
    <w:rsid w:val="003F01EE"/>
    <w:rsid w:val="003F057E"/>
    <w:rsid w:val="003F1CE6"/>
    <w:rsid w:val="003F1D56"/>
    <w:rsid w:val="003F3649"/>
    <w:rsid w:val="003F398C"/>
    <w:rsid w:val="003F41F4"/>
    <w:rsid w:val="003F4CA6"/>
    <w:rsid w:val="003F5232"/>
    <w:rsid w:val="003F68C6"/>
    <w:rsid w:val="00400417"/>
    <w:rsid w:val="00400BE6"/>
    <w:rsid w:val="00402454"/>
    <w:rsid w:val="00402E81"/>
    <w:rsid w:val="0040346F"/>
    <w:rsid w:val="0040535D"/>
    <w:rsid w:val="00406601"/>
    <w:rsid w:val="004075DD"/>
    <w:rsid w:val="00407B89"/>
    <w:rsid w:val="00410BB6"/>
    <w:rsid w:val="004116E5"/>
    <w:rsid w:val="00411F39"/>
    <w:rsid w:val="004123A0"/>
    <w:rsid w:val="004131C5"/>
    <w:rsid w:val="004139F5"/>
    <w:rsid w:val="0041428D"/>
    <w:rsid w:val="00414859"/>
    <w:rsid w:val="004148F6"/>
    <w:rsid w:val="0041501D"/>
    <w:rsid w:val="0041536A"/>
    <w:rsid w:val="00415548"/>
    <w:rsid w:val="00415E51"/>
    <w:rsid w:val="00417CB7"/>
    <w:rsid w:val="00417EC3"/>
    <w:rsid w:val="0042040E"/>
    <w:rsid w:val="00420EDE"/>
    <w:rsid w:val="00420F03"/>
    <w:rsid w:val="00421E5C"/>
    <w:rsid w:val="0042259C"/>
    <w:rsid w:val="00422744"/>
    <w:rsid w:val="00423E03"/>
    <w:rsid w:val="00424292"/>
    <w:rsid w:val="00424449"/>
    <w:rsid w:val="0042513E"/>
    <w:rsid w:val="00426421"/>
    <w:rsid w:val="00426EDC"/>
    <w:rsid w:val="00430B57"/>
    <w:rsid w:val="00431840"/>
    <w:rsid w:val="004320EB"/>
    <w:rsid w:val="00432339"/>
    <w:rsid w:val="00432829"/>
    <w:rsid w:val="00432FB4"/>
    <w:rsid w:val="00433994"/>
    <w:rsid w:val="00433EB7"/>
    <w:rsid w:val="004341C5"/>
    <w:rsid w:val="004357C2"/>
    <w:rsid w:val="00435C41"/>
    <w:rsid w:val="004378A2"/>
    <w:rsid w:val="004378B5"/>
    <w:rsid w:val="004401BD"/>
    <w:rsid w:val="00440F88"/>
    <w:rsid w:val="00441977"/>
    <w:rsid w:val="00442BEC"/>
    <w:rsid w:val="00442E93"/>
    <w:rsid w:val="00443285"/>
    <w:rsid w:val="00443F81"/>
    <w:rsid w:val="00444BAC"/>
    <w:rsid w:val="00447CA6"/>
    <w:rsid w:val="00451033"/>
    <w:rsid w:val="004515EF"/>
    <w:rsid w:val="00451712"/>
    <w:rsid w:val="00451C2C"/>
    <w:rsid w:val="00452B23"/>
    <w:rsid w:val="004530BC"/>
    <w:rsid w:val="00453631"/>
    <w:rsid w:val="00454438"/>
    <w:rsid w:val="00454AB4"/>
    <w:rsid w:val="00454FBF"/>
    <w:rsid w:val="0045590B"/>
    <w:rsid w:val="00455942"/>
    <w:rsid w:val="00455B78"/>
    <w:rsid w:val="004564E8"/>
    <w:rsid w:val="004573BA"/>
    <w:rsid w:val="0046051F"/>
    <w:rsid w:val="00460866"/>
    <w:rsid w:val="00460AE7"/>
    <w:rsid w:val="00460FA0"/>
    <w:rsid w:val="00461C2D"/>
    <w:rsid w:val="00461FED"/>
    <w:rsid w:val="0046208E"/>
    <w:rsid w:val="0046291D"/>
    <w:rsid w:val="004633B5"/>
    <w:rsid w:val="0046428F"/>
    <w:rsid w:val="004652EF"/>
    <w:rsid w:val="0046586B"/>
    <w:rsid w:val="0046647C"/>
    <w:rsid w:val="00470885"/>
    <w:rsid w:val="00470DC6"/>
    <w:rsid w:val="004727FD"/>
    <w:rsid w:val="00472EFB"/>
    <w:rsid w:val="00472F45"/>
    <w:rsid w:val="00473D76"/>
    <w:rsid w:val="00474029"/>
    <w:rsid w:val="00474F4B"/>
    <w:rsid w:val="00475252"/>
    <w:rsid w:val="004763DF"/>
    <w:rsid w:val="0047740A"/>
    <w:rsid w:val="004779F3"/>
    <w:rsid w:val="00477A37"/>
    <w:rsid w:val="00480B6F"/>
    <w:rsid w:val="00481D4A"/>
    <w:rsid w:val="00483EBD"/>
    <w:rsid w:val="004844F9"/>
    <w:rsid w:val="00486F82"/>
    <w:rsid w:val="004872B1"/>
    <w:rsid w:val="004906A7"/>
    <w:rsid w:val="004924FB"/>
    <w:rsid w:val="00492BE8"/>
    <w:rsid w:val="00494E2B"/>
    <w:rsid w:val="00495431"/>
    <w:rsid w:val="00495720"/>
    <w:rsid w:val="004964C8"/>
    <w:rsid w:val="00497033"/>
    <w:rsid w:val="004971EE"/>
    <w:rsid w:val="004A038C"/>
    <w:rsid w:val="004A197C"/>
    <w:rsid w:val="004A2414"/>
    <w:rsid w:val="004A2E4E"/>
    <w:rsid w:val="004A42CC"/>
    <w:rsid w:val="004A4592"/>
    <w:rsid w:val="004A4F0F"/>
    <w:rsid w:val="004A5D6F"/>
    <w:rsid w:val="004A757B"/>
    <w:rsid w:val="004B0067"/>
    <w:rsid w:val="004B053F"/>
    <w:rsid w:val="004B0C11"/>
    <w:rsid w:val="004B11CB"/>
    <w:rsid w:val="004B5403"/>
    <w:rsid w:val="004B5813"/>
    <w:rsid w:val="004B6312"/>
    <w:rsid w:val="004B724A"/>
    <w:rsid w:val="004B7380"/>
    <w:rsid w:val="004B7FE8"/>
    <w:rsid w:val="004C0592"/>
    <w:rsid w:val="004C08AD"/>
    <w:rsid w:val="004C1CB4"/>
    <w:rsid w:val="004C3989"/>
    <w:rsid w:val="004C3ABB"/>
    <w:rsid w:val="004C4D0E"/>
    <w:rsid w:val="004C5A75"/>
    <w:rsid w:val="004C6286"/>
    <w:rsid w:val="004C6B66"/>
    <w:rsid w:val="004D0E69"/>
    <w:rsid w:val="004D2C1F"/>
    <w:rsid w:val="004D2D89"/>
    <w:rsid w:val="004D3510"/>
    <w:rsid w:val="004D3590"/>
    <w:rsid w:val="004D46AE"/>
    <w:rsid w:val="004D4736"/>
    <w:rsid w:val="004D5122"/>
    <w:rsid w:val="004D5321"/>
    <w:rsid w:val="004D5337"/>
    <w:rsid w:val="004E0A53"/>
    <w:rsid w:val="004E0E0E"/>
    <w:rsid w:val="004E103C"/>
    <w:rsid w:val="004E2215"/>
    <w:rsid w:val="004E265A"/>
    <w:rsid w:val="004E2F4B"/>
    <w:rsid w:val="004E3B4D"/>
    <w:rsid w:val="004E4FFB"/>
    <w:rsid w:val="004E707B"/>
    <w:rsid w:val="004E7350"/>
    <w:rsid w:val="004E746D"/>
    <w:rsid w:val="004E74F3"/>
    <w:rsid w:val="004E7E4D"/>
    <w:rsid w:val="004F15B6"/>
    <w:rsid w:val="004F2EC7"/>
    <w:rsid w:val="004F2FDB"/>
    <w:rsid w:val="004F38EA"/>
    <w:rsid w:val="004F42D1"/>
    <w:rsid w:val="004F598B"/>
    <w:rsid w:val="004F6102"/>
    <w:rsid w:val="004F6B61"/>
    <w:rsid w:val="0050054F"/>
    <w:rsid w:val="005006BC"/>
    <w:rsid w:val="0050395D"/>
    <w:rsid w:val="0050486C"/>
    <w:rsid w:val="00506548"/>
    <w:rsid w:val="005072F8"/>
    <w:rsid w:val="00510870"/>
    <w:rsid w:val="00511EB1"/>
    <w:rsid w:val="005120C7"/>
    <w:rsid w:val="005127CA"/>
    <w:rsid w:val="0051392C"/>
    <w:rsid w:val="005143CA"/>
    <w:rsid w:val="00516AE3"/>
    <w:rsid w:val="00517019"/>
    <w:rsid w:val="00521389"/>
    <w:rsid w:val="00521EB4"/>
    <w:rsid w:val="005229C9"/>
    <w:rsid w:val="00525454"/>
    <w:rsid w:val="0052545C"/>
    <w:rsid w:val="00525A4E"/>
    <w:rsid w:val="0052707C"/>
    <w:rsid w:val="00527B45"/>
    <w:rsid w:val="00530C26"/>
    <w:rsid w:val="00531075"/>
    <w:rsid w:val="0053171C"/>
    <w:rsid w:val="00531E39"/>
    <w:rsid w:val="00533E70"/>
    <w:rsid w:val="00535627"/>
    <w:rsid w:val="00535943"/>
    <w:rsid w:val="0053671A"/>
    <w:rsid w:val="0053779B"/>
    <w:rsid w:val="005378A4"/>
    <w:rsid w:val="005412CF"/>
    <w:rsid w:val="005412E3"/>
    <w:rsid w:val="005417B1"/>
    <w:rsid w:val="005449C4"/>
    <w:rsid w:val="00545617"/>
    <w:rsid w:val="0054658C"/>
    <w:rsid w:val="00546656"/>
    <w:rsid w:val="00546CBC"/>
    <w:rsid w:val="0054703F"/>
    <w:rsid w:val="00547511"/>
    <w:rsid w:val="00551869"/>
    <w:rsid w:val="0055282E"/>
    <w:rsid w:val="00553822"/>
    <w:rsid w:val="005557DF"/>
    <w:rsid w:val="0055601C"/>
    <w:rsid w:val="005612EF"/>
    <w:rsid w:val="00562D71"/>
    <w:rsid w:val="005633DB"/>
    <w:rsid w:val="005636B7"/>
    <w:rsid w:val="00563F34"/>
    <w:rsid w:val="00564BEE"/>
    <w:rsid w:val="005656AC"/>
    <w:rsid w:val="00565703"/>
    <w:rsid w:val="00565A87"/>
    <w:rsid w:val="00567336"/>
    <w:rsid w:val="00567785"/>
    <w:rsid w:val="00567E5E"/>
    <w:rsid w:val="00572D32"/>
    <w:rsid w:val="00577390"/>
    <w:rsid w:val="00577CF3"/>
    <w:rsid w:val="00577F20"/>
    <w:rsid w:val="0058052A"/>
    <w:rsid w:val="00580589"/>
    <w:rsid w:val="00580DDC"/>
    <w:rsid w:val="0058178D"/>
    <w:rsid w:val="00582BA0"/>
    <w:rsid w:val="00584ECF"/>
    <w:rsid w:val="00586834"/>
    <w:rsid w:val="005918E0"/>
    <w:rsid w:val="00592962"/>
    <w:rsid w:val="00593B1A"/>
    <w:rsid w:val="005944F0"/>
    <w:rsid w:val="00595DC2"/>
    <w:rsid w:val="00596C58"/>
    <w:rsid w:val="005A058B"/>
    <w:rsid w:val="005A0628"/>
    <w:rsid w:val="005A3581"/>
    <w:rsid w:val="005A361F"/>
    <w:rsid w:val="005A3854"/>
    <w:rsid w:val="005A4C22"/>
    <w:rsid w:val="005A5D99"/>
    <w:rsid w:val="005A796E"/>
    <w:rsid w:val="005A7D4A"/>
    <w:rsid w:val="005A7DA2"/>
    <w:rsid w:val="005A7DC5"/>
    <w:rsid w:val="005A7F23"/>
    <w:rsid w:val="005B02F4"/>
    <w:rsid w:val="005B0912"/>
    <w:rsid w:val="005B1938"/>
    <w:rsid w:val="005B22F2"/>
    <w:rsid w:val="005B2469"/>
    <w:rsid w:val="005B2D15"/>
    <w:rsid w:val="005B2E04"/>
    <w:rsid w:val="005B33FA"/>
    <w:rsid w:val="005B37C6"/>
    <w:rsid w:val="005B45CF"/>
    <w:rsid w:val="005B5214"/>
    <w:rsid w:val="005B6012"/>
    <w:rsid w:val="005B7341"/>
    <w:rsid w:val="005B7A6F"/>
    <w:rsid w:val="005C26EF"/>
    <w:rsid w:val="005C2FD2"/>
    <w:rsid w:val="005C4408"/>
    <w:rsid w:val="005C4CEA"/>
    <w:rsid w:val="005C53E3"/>
    <w:rsid w:val="005C57E2"/>
    <w:rsid w:val="005C5C5C"/>
    <w:rsid w:val="005C7233"/>
    <w:rsid w:val="005C736D"/>
    <w:rsid w:val="005C7FA2"/>
    <w:rsid w:val="005D018B"/>
    <w:rsid w:val="005D1606"/>
    <w:rsid w:val="005D19BA"/>
    <w:rsid w:val="005D1EA0"/>
    <w:rsid w:val="005D1FB1"/>
    <w:rsid w:val="005D2062"/>
    <w:rsid w:val="005D2896"/>
    <w:rsid w:val="005D2BA1"/>
    <w:rsid w:val="005D2C3F"/>
    <w:rsid w:val="005D3730"/>
    <w:rsid w:val="005D37A7"/>
    <w:rsid w:val="005D55FD"/>
    <w:rsid w:val="005D5EF2"/>
    <w:rsid w:val="005D7714"/>
    <w:rsid w:val="005E06C5"/>
    <w:rsid w:val="005E10EF"/>
    <w:rsid w:val="005E1A52"/>
    <w:rsid w:val="005E200D"/>
    <w:rsid w:val="005E23BD"/>
    <w:rsid w:val="005E25AA"/>
    <w:rsid w:val="005E37E0"/>
    <w:rsid w:val="005E3B0B"/>
    <w:rsid w:val="005E6260"/>
    <w:rsid w:val="005E69BD"/>
    <w:rsid w:val="005E743C"/>
    <w:rsid w:val="005E77DF"/>
    <w:rsid w:val="005E7ABA"/>
    <w:rsid w:val="005F0BC8"/>
    <w:rsid w:val="005F1C98"/>
    <w:rsid w:val="005F209E"/>
    <w:rsid w:val="005F2E9D"/>
    <w:rsid w:val="005F3918"/>
    <w:rsid w:val="005F403A"/>
    <w:rsid w:val="005F4212"/>
    <w:rsid w:val="005F44CF"/>
    <w:rsid w:val="005F4E39"/>
    <w:rsid w:val="005F5219"/>
    <w:rsid w:val="005F5A93"/>
    <w:rsid w:val="005F5E91"/>
    <w:rsid w:val="005F6C1F"/>
    <w:rsid w:val="006004F6"/>
    <w:rsid w:val="00600C27"/>
    <w:rsid w:val="006010D9"/>
    <w:rsid w:val="00601721"/>
    <w:rsid w:val="00601788"/>
    <w:rsid w:val="0060178C"/>
    <w:rsid w:val="00601B17"/>
    <w:rsid w:val="00601C34"/>
    <w:rsid w:val="00602944"/>
    <w:rsid w:val="00604453"/>
    <w:rsid w:val="00604935"/>
    <w:rsid w:val="006053FD"/>
    <w:rsid w:val="00605833"/>
    <w:rsid w:val="00606A41"/>
    <w:rsid w:val="00611F98"/>
    <w:rsid w:val="006141BB"/>
    <w:rsid w:val="006159A9"/>
    <w:rsid w:val="00615D50"/>
    <w:rsid w:val="00616035"/>
    <w:rsid w:val="00617594"/>
    <w:rsid w:val="00621A59"/>
    <w:rsid w:val="00621D15"/>
    <w:rsid w:val="00621E63"/>
    <w:rsid w:val="0062233B"/>
    <w:rsid w:val="006241BE"/>
    <w:rsid w:val="00624D32"/>
    <w:rsid w:val="00624FCB"/>
    <w:rsid w:val="006256A2"/>
    <w:rsid w:val="00627767"/>
    <w:rsid w:val="00630399"/>
    <w:rsid w:val="006304CA"/>
    <w:rsid w:val="006315D8"/>
    <w:rsid w:val="00631AAA"/>
    <w:rsid w:val="0063244B"/>
    <w:rsid w:val="00632C21"/>
    <w:rsid w:val="00633BDF"/>
    <w:rsid w:val="006344E4"/>
    <w:rsid w:val="006348E7"/>
    <w:rsid w:val="00635682"/>
    <w:rsid w:val="00635A15"/>
    <w:rsid w:val="006368C7"/>
    <w:rsid w:val="00636C7F"/>
    <w:rsid w:val="00640BDE"/>
    <w:rsid w:val="00640DDB"/>
    <w:rsid w:val="00641111"/>
    <w:rsid w:val="0064144F"/>
    <w:rsid w:val="00641633"/>
    <w:rsid w:val="00641FAF"/>
    <w:rsid w:val="0064282A"/>
    <w:rsid w:val="006434DE"/>
    <w:rsid w:val="0064464C"/>
    <w:rsid w:val="00644CD2"/>
    <w:rsid w:val="00645B6D"/>
    <w:rsid w:val="00646B1A"/>
    <w:rsid w:val="00647705"/>
    <w:rsid w:val="00650985"/>
    <w:rsid w:val="006519D6"/>
    <w:rsid w:val="00652620"/>
    <w:rsid w:val="0065286D"/>
    <w:rsid w:val="00652B98"/>
    <w:rsid w:val="00653BCD"/>
    <w:rsid w:val="00654324"/>
    <w:rsid w:val="0065434B"/>
    <w:rsid w:val="006548A9"/>
    <w:rsid w:val="00655A40"/>
    <w:rsid w:val="00660313"/>
    <w:rsid w:val="006604AD"/>
    <w:rsid w:val="00661196"/>
    <w:rsid w:val="0066149F"/>
    <w:rsid w:val="006617C3"/>
    <w:rsid w:val="00661B7C"/>
    <w:rsid w:val="00661CB6"/>
    <w:rsid w:val="0066284D"/>
    <w:rsid w:val="00662C25"/>
    <w:rsid w:val="006635AE"/>
    <w:rsid w:val="0066698E"/>
    <w:rsid w:val="006672BF"/>
    <w:rsid w:val="00671586"/>
    <w:rsid w:val="00671E4E"/>
    <w:rsid w:val="00671FEB"/>
    <w:rsid w:val="0067244C"/>
    <w:rsid w:val="00672F00"/>
    <w:rsid w:val="00673B11"/>
    <w:rsid w:val="00673B9E"/>
    <w:rsid w:val="00674584"/>
    <w:rsid w:val="00674B9E"/>
    <w:rsid w:val="00675311"/>
    <w:rsid w:val="006756AA"/>
    <w:rsid w:val="00675722"/>
    <w:rsid w:val="00675E19"/>
    <w:rsid w:val="006761BE"/>
    <w:rsid w:val="00677611"/>
    <w:rsid w:val="00677CB7"/>
    <w:rsid w:val="0068019F"/>
    <w:rsid w:val="006804CE"/>
    <w:rsid w:val="00680A0C"/>
    <w:rsid w:val="00681104"/>
    <w:rsid w:val="0068142B"/>
    <w:rsid w:val="00682CB0"/>
    <w:rsid w:val="006838CC"/>
    <w:rsid w:val="00685888"/>
    <w:rsid w:val="006858B2"/>
    <w:rsid w:val="0069077F"/>
    <w:rsid w:val="006917A5"/>
    <w:rsid w:val="00691E7D"/>
    <w:rsid w:val="006920E5"/>
    <w:rsid w:val="00692549"/>
    <w:rsid w:val="006939B5"/>
    <w:rsid w:val="006944D7"/>
    <w:rsid w:val="00694BFB"/>
    <w:rsid w:val="00696129"/>
    <w:rsid w:val="006961C0"/>
    <w:rsid w:val="00696C2C"/>
    <w:rsid w:val="00696E6D"/>
    <w:rsid w:val="006972F7"/>
    <w:rsid w:val="0069783A"/>
    <w:rsid w:val="006A0742"/>
    <w:rsid w:val="006A1A2E"/>
    <w:rsid w:val="006A2198"/>
    <w:rsid w:val="006A2F50"/>
    <w:rsid w:val="006A3EEF"/>
    <w:rsid w:val="006A4F7B"/>
    <w:rsid w:val="006A4FC3"/>
    <w:rsid w:val="006A650E"/>
    <w:rsid w:val="006A68FC"/>
    <w:rsid w:val="006A6EC6"/>
    <w:rsid w:val="006B0DEE"/>
    <w:rsid w:val="006B0E5E"/>
    <w:rsid w:val="006B170D"/>
    <w:rsid w:val="006B1C6C"/>
    <w:rsid w:val="006B1F68"/>
    <w:rsid w:val="006B3A8B"/>
    <w:rsid w:val="006B43A5"/>
    <w:rsid w:val="006B5C40"/>
    <w:rsid w:val="006B6380"/>
    <w:rsid w:val="006B6BB4"/>
    <w:rsid w:val="006B70A9"/>
    <w:rsid w:val="006B7E67"/>
    <w:rsid w:val="006C0E34"/>
    <w:rsid w:val="006C20D1"/>
    <w:rsid w:val="006C2206"/>
    <w:rsid w:val="006C2438"/>
    <w:rsid w:val="006C248D"/>
    <w:rsid w:val="006C31BD"/>
    <w:rsid w:val="006C4C8E"/>
    <w:rsid w:val="006C72BC"/>
    <w:rsid w:val="006C72EB"/>
    <w:rsid w:val="006D0041"/>
    <w:rsid w:val="006D0663"/>
    <w:rsid w:val="006D13C6"/>
    <w:rsid w:val="006D13EE"/>
    <w:rsid w:val="006D2BD0"/>
    <w:rsid w:val="006D32DE"/>
    <w:rsid w:val="006D390E"/>
    <w:rsid w:val="006D4A23"/>
    <w:rsid w:val="006D4FAB"/>
    <w:rsid w:val="006D5A9E"/>
    <w:rsid w:val="006E07F4"/>
    <w:rsid w:val="006E0B90"/>
    <w:rsid w:val="006E19B3"/>
    <w:rsid w:val="006E239D"/>
    <w:rsid w:val="006E2593"/>
    <w:rsid w:val="006E3067"/>
    <w:rsid w:val="006E3175"/>
    <w:rsid w:val="006E32D1"/>
    <w:rsid w:val="006E588F"/>
    <w:rsid w:val="006E5E0E"/>
    <w:rsid w:val="006E6F59"/>
    <w:rsid w:val="006E7708"/>
    <w:rsid w:val="006F1CC4"/>
    <w:rsid w:val="006F28FB"/>
    <w:rsid w:val="006F2A0D"/>
    <w:rsid w:val="006F3170"/>
    <w:rsid w:val="006F3C74"/>
    <w:rsid w:val="006F504E"/>
    <w:rsid w:val="006F58B4"/>
    <w:rsid w:val="006F5BCF"/>
    <w:rsid w:val="006F7282"/>
    <w:rsid w:val="006F797D"/>
    <w:rsid w:val="007006E1"/>
    <w:rsid w:val="007009C4"/>
    <w:rsid w:val="00700F9A"/>
    <w:rsid w:val="00701083"/>
    <w:rsid w:val="00701438"/>
    <w:rsid w:val="00702588"/>
    <w:rsid w:val="007033DE"/>
    <w:rsid w:val="007039D1"/>
    <w:rsid w:val="0070450C"/>
    <w:rsid w:val="00704C38"/>
    <w:rsid w:val="00704D70"/>
    <w:rsid w:val="007054AA"/>
    <w:rsid w:val="007061A5"/>
    <w:rsid w:val="007076DB"/>
    <w:rsid w:val="00707A59"/>
    <w:rsid w:val="0071028C"/>
    <w:rsid w:val="00710B02"/>
    <w:rsid w:val="00710D9D"/>
    <w:rsid w:val="00712269"/>
    <w:rsid w:val="007122E5"/>
    <w:rsid w:val="0071517C"/>
    <w:rsid w:val="00716C7D"/>
    <w:rsid w:val="00721318"/>
    <w:rsid w:val="007216AC"/>
    <w:rsid w:val="00721ACA"/>
    <w:rsid w:val="00722119"/>
    <w:rsid w:val="00722D36"/>
    <w:rsid w:val="00723D3A"/>
    <w:rsid w:val="00724B7B"/>
    <w:rsid w:val="00726054"/>
    <w:rsid w:val="0072668A"/>
    <w:rsid w:val="007273EC"/>
    <w:rsid w:val="00732565"/>
    <w:rsid w:val="007329EF"/>
    <w:rsid w:val="007337FA"/>
    <w:rsid w:val="0073586E"/>
    <w:rsid w:val="0073588E"/>
    <w:rsid w:val="00735FA3"/>
    <w:rsid w:val="007373FF"/>
    <w:rsid w:val="007374DC"/>
    <w:rsid w:val="00737E25"/>
    <w:rsid w:val="00742617"/>
    <w:rsid w:val="00743F38"/>
    <w:rsid w:val="00744796"/>
    <w:rsid w:val="007455E0"/>
    <w:rsid w:val="00745778"/>
    <w:rsid w:val="0074699F"/>
    <w:rsid w:val="007500E9"/>
    <w:rsid w:val="00750100"/>
    <w:rsid w:val="0075199F"/>
    <w:rsid w:val="00751C56"/>
    <w:rsid w:val="00752596"/>
    <w:rsid w:val="00753F05"/>
    <w:rsid w:val="0075436F"/>
    <w:rsid w:val="007548B8"/>
    <w:rsid w:val="00757238"/>
    <w:rsid w:val="007577BA"/>
    <w:rsid w:val="0076004D"/>
    <w:rsid w:val="007616F7"/>
    <w:rsid w:val="007629C8"/>
    <w:rsid w:val="00764F47"/>
    <w:rsid w:val="00764FB5"/>
    <w:rsid w:val="007655A5"/>
    <w:rsid w:val="00765C83"/>
    <w:rsid w:val="00766812"/>
    <w:rsid w:val="00767840"/>
    <w:rsid w:val="00767B81"/>
    <w:rsid w:val="00767DD7"/>
    <w:rsid w:val="0077109C"/>
    <w:rsid w:val="00771E8A"/>
    <w:rsid w:val="007727C9"/>
    <w:rsid w:val="00775437"/>
    <w:rsid w:val="00775828"/>
    <w:rsid w:val="00780230"/>
    <w:rsid w:val="00780833"/>
    <w:rsid w:val="007833F0"/>
    <w:rsid w:val="00783797"/>
    <w:rsid w:val="007839CC"/>
    <w:rsid w:val="00784707"/>
    <w:rsid w:val="00784824"/>
    <w:rsid w:val="007857AF"/>
    <w:rsid w:val="00785F35"/>
    <w:rsid w:val="00790D83"/>
    <w:rsid w:val="00791A39"/>
    <w:rsid w:val="00792CE2"/>
    <w:rsid w:val="007937D4"/>
    <w:rsid w:val="00795031"/>
    <w:rsid w:val="00795A1A"/>
    <w:rsid w:val="00795EC9"/>
    <w:rsid w:val="00796C3B"/>
    <w:rsid w:val="00797C22"/>
    <w:rsid w:val="007A3580"/>
    <w:rsid w:val="007B0386"/>
    <w:rsid w:val="007B071E"/>
    <w:rsid w:val="007B0F4F"/>
    <w:rsid w:val="007B42DD"/>
    <w:rsid w:val="007B4B05"/>
    <w:rsid w:val="007B4B1C"/>
    <w:rsid w:val="007B5AE6"/>
    <w:rsid w:val="007B5C2D"/>
    <w:rsid w:val="007B6383"/>
    <w:rsid w:val="007B6D4C"/>
    <w:rsid w:val="007C0798"/>
    <w:rsid w:val="007C0865"/>
    <w:rsid w:val="007C24C2"/>
    <w:rsid w:val="007C28D0"/>
    <w:rsid w:val="007C2990"/>
    <w:rsid w:val="007C372F"/>
    <w:rsid w:val="007C48F3"/>
    <w:rsid w:val="007C4BF8"/>
    <w:rsid w:val="007C515E"/>
    <w:rsid w:val="007C51F2"/>
    <w:rsid w:val="007C615A"/>
    <w:rsid w:val="007C6332"/>
    <w:rsid w:val="007C69DA"/>
    <w:rsid w:val="007C79DA"/>
    <w:rsid w:val="007C7A66"/>
    <w:rsid w:val="007C7A8A"/>
    <w:rsid w:val="007D2697"/>
    <w:rsid w:val="007D3809"/>
    <w:rsid w:val="007D4946"/>
    <w:rsid w:val="007D5AB7"/>
    <w:rsid w:val="007D6828"/>
    <w:rsid w:val="007D7081"/>
    <w:rsid w:val="007E1A00"/>
    <w:rsid w:val="007E2092"/>
    <w:rsid w:val="007E24EC"/>
    <w:rsid w:val="007E39F6"/>
    <w:rsid w:val="007E702D"/>
    <w:rsid w:val="007E7E4E"/>
    <w:rsid w:val="007F01BC"/>
    <w:rsid w:val="007F1912"/>
    <w:rsid w:val="007F230E"/>
    <w:rsid w:val="007F40CA"/>
    <w:rsid w:val="007F4106"/>
    <w:rsid w:val="007F4476"/>
    <w:rsid w:val="007F5186"/>
    <w:rsid w:val="007F64C0"/>
    <w:rsid w:val="007F6E91"/>
    <w:rsid w:val="007F724B"/>
    <w:rsid w:val="007F7266"/>
    <w:rsid w:val="0080337D"/>
    <w:rsid w:val="00804B40"/>
    <w:rsid w:val="008054F0"/>
    <w:rsid w:val="00806BAF"/>
    <w:rsid w:val="00807D97"/>
    <w:rsid w:val="00807DF3"/>
    <w:rsid w:val="008101EF"/>
    <w:rsid w:val="00811D6E"/>
    <w:rsid w:val="00811ED5"/>
    <w:rsid w:val="00811FEB"/>
    <w:rsid w:val="00812233"/>
    <w:rsid w:val="00812BEB"/>
    <w:rsid w:val="00812F5C"/>
    <w:rsid w:val="00813E39"/>
    <w:rsid w:val="00815767"/>
    <w:rsid w:val="0081665F"/>
    <w:rsid w:val="00816797"/>
    <w:rsid w:val="0082064A"/>
    <w:rsid w:val="00821FF8"/>
    <w:rsid w:val="00822C1A"/>
    <w:rsid w:val="00822FFC"/>
    <w:rsid w:val="00823179"/>
    <w:rsid w:val="008232D0"/>
    <w:rsid w:val="0082363F"/>
    <w:rsid w:val="00824199"/>
    <w:rsid w:val="0082447E"/>
    <w:rsid w:val="00824B74"/>
    <w:rsid w:val="0082533D"/>
    <w:rsid w:val="008262B9"/>
    <w:rsid w:val="008263A2"/>
    <w:rsid w:val="00826DDB"/>
    <w:rsid w:val="00826DFA"/>
    <w:rsid w:val="00826E58"/>
    <w:rsid w:val="008275AA"/>
    <w:rsid w:val="0083072B"/>
    <w:rsid w:val="00830987"/>
    <w:rsid w:val="00831CCE"/>
    <w:rsid w:val="00832CE9"/>
    <w:rsid w:val="00833013"/>
    <w:rsid w:val="008344F1"/>
    <w:rsid w:val="00834ED7"/>
    <w:rsid w:val="008355A9"/>
    <w:rsid w:val="008361E1"/>
    <w:rsid w:val="00836D37"/>
    <w:rsid w:val="0084011A"/>
    <w:rsid w:val="00840305"/>
    <w:rsid w:val="008410CA"/>
    <w:rsid w:val="00841918"/>
    <w:rsid w:val="00842206"/>
    <w:rsid w:val="00842341"/>
    <w:rsid w:val="00842FDC"/>
    <w:rsid w:val="008434A4"/>
    <w:rsid w:val="00845DCA"/>
    <w:rsid w:val="00845ECF"/>
    <w:rsid w:val="0084606C"/>
    <w:rsid w:val="00846492"/>
    <w:rsid w:val="008469B8"/>
    <w:rsid w:val="00850BA6"/>
    <w:rsid w:val="008522CC"/>
    <w:rsid w:val="008539DA"/>
    <w:rsid w:val="008548D8"/>
    <w:rsid w:val="00856D36"/>
    <w:rsid w:val="008603C6"/>
    <w:rsid w:val="00861DD4"/>
    <w:rsid w:val="00862A44"/>
    <w:rsid w:val="00863DBA"/>
    <w:rsid w:val="008656D0"/>
    <w:rsid w:val="00865C2E"/>
    <w:rsid w:val="00866D8D"/>
    <w:rsid w:val="008673A1"/>
    <w:rsid w:val="00867598"/>
    <w:rsid w:val="0086764D"/>
    <w:rsid w:val="00867F88"/>
    <w:rsid w:val="00870730"/>
    <w:rsid w:val="0087398E"/>
    <w:rsid w:val="00874281"/>
    <w:rsid w:val="00874B96"/>
    <w:rsid w:val="00874EE2"/>
    <w:rsid w:val="00875163"/>
    <w:rsid w:val="00875C8C"/>
    <w:rsid w:val="00875F93"/>
    <w:rsid w:val="00876287"/>
    <w:rsid w:val="0087645B"/>
    <w:rsid w:val="0087655C"/>
    <w:rsid w:val="008778F8"/>
    <w:rsid w:val="00877BED"/>
    <w:rsid w:val="00881913"/>
    <w:rsid w:val="00882243"/>
    <w:rsid w:val="00883595"/>
    <w:rsid w:val="00885975"/>
    <w:rsid w:val="00887365"/>
    <w:rsid w:val="00891363"/>
    <w:rsid w:val="00892936"/>
    <w:rsid w:val="00893B38"/>
    <w:rsid w:val="0089451B"/>
    <w:rsid w:val="00895D17"/>
    <w:rsid w:val="008960FE"/>
    <w:rsid w:val="00897D81"/>
    <w:rsid w:val="008A0B85"/>
    <w:rsid w:val="008A1676"/>
    <w:rsid w:val="008A1B59"/>
    <w:rsid w:val="008A378E"/>
    <w:rsid w:val="008A3DFE"/>
    <w:rsid w:val="008A504E"/>
    <w:rsid w:val="008A578F"/>
    <w:rsid w:val="008A622D"/>
    <w:rsid w:val="008A6C6C"/>
    <w:rsid w:val="008B053E"/>
    <w:rsid w:val="008B0CE1"/>
    <w:rsid w:val="008B1B5F"/>
    <w:rsid w:val="008B27E5"/>
    <w:rsid w:val="008B287A"/>
    <w:rsid w:val="008B2B15"/>
    <w:rsid w:val="008B375F"/>
    <w:rsid w:val="008B4115"/>
    <w:rsid w:val="008B60BC"/>
    <w:rsid w:val="008B66B9"/>
    <w:rsid w:val="008B692E"/>
    <w:rsid w:val="008B7506"/>
    <w:rsid w:val="008B7945"/>
    <w:rsid w:val="008C086D"/>
    <w:rsid w:val="008C1372"/>
    <w:rsid w:val="008C155D"/>
    <w:rsid w:val="008C2232"/>
    <w:rsid w:val="008C2ABD"/>
    <w:rsid w:val="008C3545"/>
    <w:rsid w:val="008C3569"/>
    <w:rsid w:val="008C39B7"/>
    <w:rsid w:val="008C3D5C"/>
    <w:rsid w:val="008C46E0"/>
    <w:rsid w:val="008C4A63"/>
    <w:rsid w:val="008C5A2D"/>
    <w:rsid w:val="008C5DA9"/>
    <w:rsid w:val="008C5FC0"/>
    <w:rsid w:val="008C6B6D"/>
    <w:rsid w:val="008D037C"/>
    <w:rsid w:val="008D09AD"/>
    <w:rsid w:val="008D0D4D"/>
    <w:rsid w:val="008D0E8C"/>
    <w:rsid w:val="008D11F1"/>
    <w:rsid w:val="008D2DBB"/>
    <w:rsid w:val="008D3171"/>
    <w:rsid w:val="008D5AC1"/>
    <w:rsid w:val="008D65A5"/>
    <w:rsid w:val="008D6C5C"/>
    <w:rsid w:val="008D6CB0"/>
    <w:rsid w:val="008D72C0"/>
    <w:rsid w:val="008D76B5"/>
    <w:rsid w:val="008E0576"/>
    <w:rsid w:val="008E1150"/>
    <w:rsid w:val="008E1158"/>
    <w:rsid w:val="008E11A8"/>
    <w:rsid w:val="008E2654"/>
    <w:rsid w:val="008E3EF0"/>
    <w:rsid w:val="008E4053"/>
    <w:rsid w:val="008E411D"/>
    <w:rsid w:val="008E41A1"/>
    <w:rsid w:val="008E5815"/>
    <w:rsid w:val="008E608A"/>
    <w:rsid w:val="008E6633"/>
    <w:rsid w:val="008F0465"/>
    <w:rsid w:val="008F09A0"/>
    <w:rsid w:val="008F0A0A"/>
    <w:rsid w:val="008F1548"/>
    <w:rsid w:val="008F193B"/>
    <w:rsid w:val="008F1C18"/>
    <w:rsid w:val="008F1D11"/>
    <w:rsid w:val="008F289F"/>
    <w:rsid w:val="008F333E"/>
    <w:rsid w:val="008F4369"/>
    <w:rsid w:val="008F5A62"/>
    <w:rsid w:val="008F633F"/>
    <w:rsid w:val="00900045"/>
    <w:rsid w:val="0090256F"/>
    <w:rsid w:val="00903266"/>
    <w:rsid w:val="009034BB"/>
    <w:rsid w:val="0090507F"/>
    <w:rsid w:val="00905A5E"/>
    <w:rsid w:val="009076B1"/>
    <w:rsid w:val="00907A3E"/>
    <w:rsid w:val="00907C57"/>
    <w:rsid w:val="00907CFE"/>
    <w:rsid w:val="0091093E"/>
    <w:rsid w:val="00910E40"/>
    <w:rsid w:val="0091153B"/>
    <w:rsid w:val="00912760"/>
    <w:rsid w:val="00914C0A"/>
    <w:rsid w:val="00917269"/>
    <w:rsid w:val="00917A48"/>
    <w:rsid w:val="00917F17"/>
    <w:rsid w:val="0092014F"/>
    <w:rsid w:val="00920D90"/>
    <w:rsid w:val="00921567"/>
    <w:rsid w:val="00922B88"/>
    <w:rsid w:val="00923C30"/>
    <w:rsid w:val="00923CC2"/>
    <w:rsid w:val="009242F0"/>
    <w:rsid w:val="00924C7A"/>
    <w:rsid w:val="00924C8C"/>
    <w:rsid w:val="00924F14"/>
    <w:rsid w:val="00925AF1"/>
    <w:rsid w:val="0092692A"/>
    <w:rsid w:val="00927546"/>
    <w:rsid w:val="00927560"/>
    <w:rsid w:val="009275C1"/>
    <w:rsid w:val="00927CE3"/>
    <w:rsid w:val="009310AA"/>
    <w:rsid w:val="00931FA3"/>
    <w:rsid w:val="009328B3"/>
    <w:rsid w:val="009348E8"/>
    <w:rsid w:val="00934E8F"/>
    <w:rsid w:val="0093625B"/>
    <w:rsid w:val="00937001"/>
    <w:rsid w:val="00937468"/>
    <w:rsid w:val="00937488"/>
    <w:rsid w:val="009374D0"/>
    <w:rsid w:val="00937798"/>
    <w:rsid w:val="009401C5"/>
    <w:rsid w:val="0094060B"/>
    <w:rsid w:val="00941647"/>
    <w:rsid w:val="0094364A"/>
    <w:rsid w:val="009437C5"/>
    <w:rsid w:val="0094457A"/>
    <w:rsid w:val="00945CE6"/>
    <w:rsid w:val="00945E87"/>
    <w:rsid w:val="009463EE"/>
    <w:rsid w:val="00947F3E"/>
    <w:rsid w:val="0095073A"/>
    <w:rsid w:val="00951872"/>
    <w:rsid w:val="0095192D"/>
    <w:rsid w:val="00952C58"/>
    <w:rsid w:val="00952CF7"/>
    <w:rsid w:val="00952D30"/>
    <w:rsid w:val="009551AB"/>
    <w:rsid w:val="00955499"/>
    <w:rsid w:val="009554E1"/>
    <w:rsid w:val="00960CED"/>
    <w:rsid w:val="00960F81"/>
    <w:rsid w:val="009619AB"/>
    <w:rsid w:val="00961E6E"/>
    <w:rsid w:val="00962528"/>
    <w:rsid w:val="00962E81"/>
    <w:rsid w:val="00963886"/>
    <w:rsid w:val="00963B6B"/>
    <w:rsid w:val="00964AA8"/>
    <w:rsid w:val="00965095"/>
    <w:rsid w:val="009653D4"/>
    <w:rsid w:val="00965F4E"/>
    <w:rsid w:val="00966028"/>
    <w:rsid w:val="0096682A"/>
    <w:rsid w:val="009669C8"/>
    <w:rsid w:val="0096734F"/>
    <w:rsid w:val="00967908"/>
    <w:rsid w:val="00970730"/>
    <w:rsid w:val="009709F4"/>
    <w:rsid w:val="00970A63"/>
    <w:rsid w:val="00970F2A"/>
    <w:rsid w:val="00971390"/>
    <w:rsid w:val="009714C8"/>
    <w:rsid w:val="009717E6"/>
    <w:rsid w:val="009719AB"/>
    <w:rsid w:val="0097244B"/>
    <w:rsid w:val="0097367F"/>
    <w:rsid w:val="00974802"/>
    <w:rsid w:val="0097508A"/>
    <w:rsid w:val="009750C7"/>
    <w:rsid w:val="00975534"/>
    <w:rsid w:val="00975963"/>
    <w:rsid w:val="00977F50"/>
    <w:rsid w:val="0098017D"/>
    <w:rsid w:val="00980961"/>
    <w:rsid w:val="00980B27"/>
    <w:rsid w:val="00981D78"/>
    <w:rsid w:val="00981E1F"/>
    <w:rsid w:val="00984085"/>
    <w:rsid w:val="00984376"/>
    <w:rsid w:val="00984406"/>
    <w:rsid w:val="00984AE6"/>
    <w:rsid w:val="009859A6"/>
    <w:rsid w:val="0098667B"/>
    <w:rsid w:val="00986795"/>
    <w:rsid w:val="00986C86"/>
    <w:rsid w:val="00990C41"/>
    <w:rsid w:val="00990DA0"/>
    <w:rsid w:val="00991FAE"/>
    <w:rsid w:val="009927E1"/>
    <w:rsid w:val="00993974"/>
    <w:rsid w:val="0099400A"/>
    <w:rsid w:val="0099670D"/>
    <w:rsid w:val="00996772"/>
    <w:rsid w:val="0099730D"/>
    <w:rsid w:val="00997812"/>
    <w:rsid w:val="009A1A4B"/>
    <w:rsid w:val="009A1DD1"/>
    <w:rsid w:val="009A3DEB"/>
    <w:rsid w:val="009A4345"/>
    <w:rsid w:val="009A434C"/>
    <w:rsid w:val="009A4FEB"/>
    <w:rsid w:val="009A609D"/>
    <w:rsid w:val="009B0700"/>
    <w:rsid w:val="009B0AF6"/>
    <w:rsid w:val="009B0DCB"/>
    <w:rsid w:val="009B0E59"/>
    <w:rsid w:val="009B1522"/>
    <w:rsid w:val="009B3E5F"/>
    <w:rsid w:val="009B4734"/>
    <w:rsid w:val="009B499C"/>
    <w:rsid w:val="009B570F"/>
    <w:rsid w:val="009B621A"/>
    <w:rsid w:val="009B7CD2"/>
    <w:rsid w:val="009B7D70"/>
    <w:rsid w:val="009C0DCD"/>
    <w:rsid w:val="009C121B"/>
    <w:rsid w:val="009C278E"/>
    <w:rsid w:val="009C2AAF"/>
    <w:rsid w:val="009C2F8E"/>
    <w:rsid w:val="009C33F5"/>
    <w:rsid w:val="009C4B49"/>
    <w:rsid w:val="009C5185"/>
    <w:rsid w:val="009C622E"/>
    <w:rsid w:val="009C6BC5"/>
    <w:rsid w:val="009C74FC"/>
    <w:rsid w:val="009C7BA4"/>
    <w:rsid w:val="009C7D90"/>
    <w:rsid w:val="009D038F"/>
    <w:rsid w:val="009D0E67"/>
    <w:rsid w:val="009D2152"/>
    <w:rsid w:val="009D27CC"/>
    <w:rsid w:val="009D467C"/>
    <w:rsid w:val="009D626B"/>
    <w:rsid w:val="009D6867"/>
    <w:rsid w:val="009D6FB4"/>
    <w:rsid w:val="009D7992"/>
    <w:rsid w:val="009E0D70"/>
    <w:rsid w:val="009E0DD5"/>
    <w:rsid w:val="009E1854"/>
    <w:rsid w:val="009E20B8"/>
    <w:rsid w:val="009E2303"/>
    <w:rsid w:val="009E303D"/>
    <w:rsid w:val="009E341D"/>
    <w:rsid w:val="009E43F0"/>
    <w:rsid w:val="009E4531"/>
    <w:rsid w:val="009E4C0A"/>
    <w:rsid w:val="009E535B"/>
    <w:rsid w:val="009E5988"/>
    <w:rsid w:val="009E5CDC"/>
    <w:rsid w:val="009E620D"/>
    <w:rsid w:val="009E6613"/>
    <w:rsid w:val="009F14BF"/>
    <w:rsid w:val="009F1A9B"/>
    <w:rsid w:val="009F2E6A"/>
    <w:rsid w:val="009F2E8E"/>
    <w:rsid w:val="009F34BC"/>
    <w:rsid w:val="009F52F4"/>
    <w:rsid w:val="009F56C8"/>
    <w:rsid w:val="009F5E5B"/>
    <w:rsid w:val="009F6BD9"/>
    <w:rsid w:val="009F771C"/>
    <w:rsid w:val="009F7A22"/>
    <w:rsid w:val="00A010C4"/>
    <w:rsid w:val="00A044A2"/>
    <w:rsid w:val="00A04561"/>
    <w:rsid w:val="00A053BB"/>
    <w:rsid w:val="00A06D9C"/>
    <w:rsid w:val="00A0733B"/>
    <w:rsid w:val="00A07D4A"/>
    <w:rsid w:val="00A10E41"/>
    <w:rsid w:val="00A116AF"/>
    <w:rsid w:val="00A12858"/>
    <w:rsid w:val="00A129A0"/>
    <w:rsid w:val="00A12A0E"/>
    <w:rsid w:val="00A13614"/>
    <w:rsid w:val="00A13746"/>
    <w:rsid w:val="00A15C8F"/>
    <w:rsid w:val="00A164DD"/>
    <w:rsid w:val="00A16E7F"/>
    <w:rsid w:val="00A171E2"/>
    <w:rsid w:val="00A20482"/>
    <w:rsid w:val="00A206A0"/>
    <w:rsid w:val="00A22D7F"/>
    <w:rsid w:val="00A24927"/>
    <w:rsid w:val="00A24D8D"/>
    <w:rsid w:val="00A2517E"/>
    <w:rsid w:val="00A252DF"/>
    <w:rsid w:val="00A25E8B"/>
    <w:rsid w:val="00A2730F"/>
    <w:rsid w:val="00A27468"/>
    <w:rsid w:val="00A27799"/>
    <w:rsid w:val="00A277CC"/>
    <w:rsid w:val="00A3213B"/>
    <w:rsid w:val="00A334C9"/>
    <w:rsid w:val="00A33515"/>
    <w:rsid w:val="00A33AA1"/>
    <w:rsid w:val="00A34E7C"/>
    <w:rsid w:val="00A34FB1"/>
    <w:rsid w:val="00A35C6F"/>
    <w:rsid w:val="00A36F5E"/>
    <w:rsid w:val="00A37658"/>
    <w:rsid w:val="00A37B1C"/>
    <w:rsid w:val="00A403ED"/>
    <w:rsid w:val="00A40AEB"/>
    <w:rsid w:val="00A410B5"/>
    <w:rsid w:val="00A42B8C"/>
    <w:rsid w:val="00A42E38"/>
    <w:rsid w:val="00A43CCB"/>
    <w:rsid w:val="00A442A1"/>
    <w:rsid w:val="00A451CC"/>
    <w:rsid w:val="00A45752"/>
    <w:rsid w:val="00A47406"/>
    <w:rsid w:val="00A47CEF"/>
    <w:rsid w:val="00A5045D"/>
    <w:rsid w:val="00A5076D"/>
    <w:rsid w:val="00A51B97"/>
    <w:rsid w:val="00A51E60"/>
    <w:rsid w:val="00A52884"/>
    <w:rsid w:val="00A53551"/>
    <w:rsid w:val="00A53588"/>
    <w:rsid w:val="00A54448"/>
    <w:rsid w:val="00A54555"/>
    <w:rsid w:val="00A54B57"/>
    <w:rsid w:val="00A57471"/>
    <w:rsid w:val="00A61BDD"/>
    <w:rsid w:val="00A62342"/>
    <w:rsid w:val="00A631EA"/>
    <w:rsid w:val="00A64380"/>
    <w:rsid w:val="00A644AB"/>
    <w:rsid w:val="00A645FA"/>
    <w:rsid w:val="00A659A6"/>
    <w:rsid w:val="00A65FB3"/>
    <w:rsid w:val="00A673C2"/>
    <w:rsid w:val="00A71D70"/>
    <w:rsid w:val="00A71D9D"/>
    <w:rsid w:val="00A7308C"/>
    <w:rsid w:val="00A73261"/>
    <w:rsid w:val="00A7457E"/>
    <w:rsid w:val="00A747A2"/>
    <w:rsid w:val="00A74BCF"/>
    <w:rsid w:val="00A75A5E"/>
    <w:rsid w:val="00A75AD3"/>
    <w:rsid w:val="00A75EF5"/>
    <w:rsid w:val="00A76364"/>
    <w:rsid w:val="00A7693D"/>
    <w:rsid w:val="00A76AE3"/>
    <w:rsid w:val="00A76E42"/>
    <w:rsid w:val="00A7780B"/>
    <w:rsid w:val="00A800F7"/>
    <w:rsid w:val="00A82104"/>
    <w:rsid w:val="00A84A6E"/>
    <w:rsid w:val="00A866BF"/>
    <w:rsid w:val="00A86EE4"/>
    <w:rsid w:val="00A87BFB"/>
    <w:rsid w:val="00A87D92"/>
    <w:rsid w:val="00A936EC"/>
    <w:rsid w:val="00A937CE"/>
    <w:rsid w:val="00A93EB6"/>
    <w:rsid w:val="00A93FA8"/>
    <w:rsid w:val="00A94A21"/>
    <w:rsid w:val="00A94CD9"/>
    <w:rsid w:val="00A953BA"/>
    <w:rsid w:val="00A967F2"/>
    <w:rsid w:val="00AA06E7"/>
    <w:rsid w:val="00AA1715"/>
    <w:rsid w:val="00AA2988"/>
    <w:rsid w:val="00AA366D"/>
    <w:rsid w:val="00AA3DFD"/>
    <w:rsid w:val="00AA46E0"/>
    <w:rsid w:val="00AA4C24"/>
    <w:rsid w:val="00AA506A"/>
    <w:rsid w:val="00AA5A74"/>
    <w:rsid w:val="00AA5B51"/>
    <w:rsid w:val="00AA6604"/>
    <w:rsid w:val="00AA6BA8"/>
    <w:rsid w:val="00AB1123"/>
    <w:rsid w:val="00AB1B77"/>
    <w:rsid w:val="00AB1D22"/>
    <w:rsid w:val="00AB1DE6"/>
    <w:rsid w:val="00AB23B9"/>
    <w:rsid w:val="00AB24C1"/>
    <w:rsid w:val="00AB2AEA"/>
    <w:rsid w:val="00AB3196"/>
    <w:rsid w:val="00AB328D"/>
    <w:rsid w:val="00AB3AB8"/>
    <w:rsid w:val="00AB3D91"/>
    <w:rsid w:val="00AB4CE4"/>
    <w:rsid w:val="00AB594B"/>
    <w:rsid w:val="00AB59AF"/>
    <w:rsid w:val="00AB63E1"/>
    <w:rsid w:val="00AB798D"/>
    <w:rsid w:val="00AC0B6D"/>
    <w:rsid w:val="00AC11EA"/>
    <w:rsid w:val="00AC14D3"/>
    <w:rsid w:val="00AC2008"/>
    <w:rsid w:val="00AC28BD"/>
    <w:rsid w:val="00AC3A48"/>
    <w:rsid w:val="00AC3E1F"/>
    <w:rsid w:val="00AC4C9B"/>
    <w:rsid w:val="00AC4E72"/>
    <w:rsid w:val="00AC5293"/>
    <w:rsid w:val="00AC558F"/>
    <w:rsid w:val="00AC5753"/>
    <w:rsid w:val="00AC5FFF"/>
    <w:rsid w:val="00AD0043"/>
    <w:rsid w:val="00AD05A7"/>
    <w:rsid w:val="00AD31D7"/>
    <w:rsid w:val="00AD34DE"/>
    <w:rsid w:val="00AD35E0"/>
    <w:rsid w:val="00AD3846"/>
    <w:rsid w:val="00AD3BD5"/>
    <w:rsid w:val="00AD46B2"/>
    <w:rsid w:val="00AD4738"/>
    <w:rsid w:val="00AD5546"/>
    <w:rsid w:val="00AD5A30"/>
    <w:rsid w:val="00AD5B3D"/>
    <w:rsid w:val="00AD7CF2"/>
    <w:rsid w:val="00AD7FE5"/>
    <w:rsid w:val="00AE10EC"/>
    <w:rsid w:val="00AE1D29"/>
    <w:rsid w:val="00AE2E18"/>
    <w:rsid w:val="00AE30F8"/>
    <w:rsid w:val="00AE3B31"/>
    <w:rsid w:val="00AE4780"/>
    <w:rsid w:val="00AE4F31"/>
    <w:rsid w:val="00AE50C1"/>
    <w:rsid w:val="00AE5F25"/>
    <w:rsid w:val="00AE5F78"/>
    <w:rsid w:val="00AE799A"/>
    <w:rsid w:val="00AE7E58"/>
    <w:rsid w:val="00AF0001"/>
    <w:rsid w:val="00AF0032"/>
    <w:rsid w:val="00AF042F"/>
    <w:rsid w:val="00AF0FC6"/>
    <w:rsid w:val="00AF1133"/>
    <w:rsid w:val="00AF1147"/>
    <w:rsid w:val="00AF14C3"/>
    <w:rsid w:val="00AF1F34"/>
    <w:rsid w:val="00AF3BF8"/>
    <w:rsid w:val="00AF67F4"/>
    <w:rsid w:val="00AF6A30"/>
    <w:rsid w:val="00AF6CEE"/>
    <w:rsid w:val="00AF74C4"/>
    <w:rsid w:val="00B01997"/>
    <w:rsid w:val="00B02478"/>
    <w:rsid w:val="00B03052"/>
    <w:rsid w:val="00B03312"/>
    <w:rsid w:val="00B0350A"/>
    <w:rsid w:val="00B0364B"/>
    <w:rsid w:val="00B03997"/>
    <w:rsid w:val="00B03BE7"/>
    <w:rsid w:val="00B0476B"/>
    <w:rsid w:val="00B0491B"/>
    <w:rsid w:val="00B04CE3"/>
    <w:rsid w:val="00B06C09"/>
    <w:rsid w:val="00B072F7"/>
    <w:rsid w:val="00B07AD3"/>
    <w:rsid w:val="00B07C0C"/>
    <w:rsid w:val="00B07E3C"/>
    <w:rsid w:val="00B10D04"/>
    <w:rsid w:val="00B156C5"/>
    <w:rsid w:val="00B15C3A"/>
    <w:rsid w:val="00B15C69"/>
    <w:rsid w:val="00B20AE6"/>
    <w:rsid w:val="00B21E79"/>
    <w:rsid w:val="00B22BFC"/>
    <w:rsid w:val="00B23091"/>
    <w:rsid w:val="00B233C3"/>
    <w:rsid w:val="00B24E69"/>
    <w:rsid w:val="00B2522F"/>
    <w:rsid w:val="00B25B7B"/>
    <w:rsid w:val="00B25C7A"/>
    <w:rsid w:val="00B26CB4"/>
    <w:rsid w:val="00B26FDA"/>
    <w:rsid w:val="00B302AA"/>
    <w:rsid w:val="00B3087F"/>
    <w:rsid w:val="00B32127"/>
    <w:rsid w:val="00B322E3"/>
    <w:rsid w:val="00B32533"/>
    <w:rsid w:val="00B3253F"/>
    <w:rsid w:val="00B32887"/>
    <w:rsid w:val="00B34F5D"/>
    <w:rsid w:val="00B36E6C"/>
    <w:rsid w:val="00B36F44"/>
    <w:rsid w:val="00B371E4"/>
    <w:rsid w:val="00B4209C"/>
    <w:rsid w:val="00B44AE3"/>
    <w:rsid w:val="00B45071"/>
    <w:rsid w:val="00B45439"/>
    <w:rsid w:val="00B46BB0"/>
    <w:rsid w:val="00B502DF"/>
    <w:rsid w:val="00B50365"/>
    <w:rsid w:val="00B5090E"/>
    <w:rsid w:val="00B50910"/>
    <w:rsid w:val="00B512EF"/>
    <w:rsid w:val="00B51D86"/>
    <w:rsid w:val="00B520F1"/>
    <w:rsid w:val="00B529A3"/>
    <w:rsid w:val="00B52D35"/>
    <w:rsid w:val="00B5317B"/>
    <w:rsid w:val="00B532A6"/>
    <w:rsid w:val="00B535EE"/>
    <w:rsid w:val="00B53AED"/>
    <w:rsid w:val="00B54657"/>
    <w:rsid w:val="00B555BD"/>
    <w:rsid w:val="00B57955"/>
    <w:rsid w:val="00B602FA"/>
    <w:rsid w:val="00B61082"/>
    <w:rsid w:val="00B619AB"/>
    <w:rsid w:val="00B62878"/>
    <w:rsid w:val="00B63A8B"/>
    <w:rsid w:val="00B63E1A"/>
    <w:rsid w:val="00B64143"/>
    <w:rsid w:val="00B64511"/>
    <w:rsid w:val="00B65A84"/>
    <w:rsid w:val="00B66373"/>
    <w:rsid w:val="00B7062A"/>
    <w:rsid w:val="00B70750"/>
    <w:rsid w:val="00B71446"/>
    <w:rsid w:val="00B71478"/>
    <w:rsid w:val="00B734CF"/>
    <w:rsid w:val="00B73892"/>
    <w:rsid w:val="00B739E8"/>
    <w:rsid w:val="00B73CBC"/>
    <w:rsid w:val="00B753C6"/>
    <w:rsid w:val="00B7566B"/>
    <w:rsid w:val="00B76F9E"/>
    <w:rsid w:val="00B81B08"/>
    <w:rsid w:val="00B8466B"/>
    <w:rsid w:val="00B85724"/>
    <w:rsid w:val="00B86846"/>
    <w:rsid w:val="00B86B1F"/>
    <w:rsid w:val="00B86F79"/>
    <w:rsid w:val="00B87A04"/>
    <w:rsid w:val="00B9057B"/>
    <w:rsid w:val="00B90AA6"/>
    <w:rsid w:val="00B91C82"/>
    <w:rsid w:val="00B91E50"/>
    <w:rsid w:val="00B925B6"/>
    <w:rsid w:val="00B92A45"/>
    <w:rsid w:val="00B92A7F"/>
    <w:rsid w:val="00B934BE"/>
    <w:rsid w:val="00B93C90"/>
    <w:rsid w:val="00B93FDA"/>
    <w:rsid w:val="00B94729"/>
    <w:rsid w:val="00B94883"/>
    <w:rsid w:val="00B94ECC"/>
    <w:rsid w:val="00B962E0"/>
    <w:rsid w:val="00B971C6"/>
    <w:rsid w:val="00B9724F"/>
    <w:rsid w:val="00BA0C98"/>
    <w:rsid w:val="00BA0FA1"/>
    <w:rsid w:val="00BA1E3D"/>
    <w:rsid w:val="00BA2785"/>
    <w:rsid w:val="00BA293F"/>
    <w:rsid w:val="00BA2A1D"/>
    <w:rsid w:val="00BA32C2"/>
    <w:rsid w:val="00BA3F55"/>
    <w:rsid w:val="00BA4E1C"/>
    <w:rsid w:val="00BA6665"/>
    <w:rsid w:val="00BA6B0B"/>
    <w:rsid w:val="00BA7F85"/>
    <w:rsid w:val="00BB0462"/>
    <w:rsid w:val="00BB1389"/>
    <w:rsid w:val="00BB1B2E"/>
    <w:rsid w:val="00BB1F65"/>
    <w:rsid w:val="00BB3020"/>
    <w:rsid w:val="00BB4F58"/>
    <w:rsid w:val="00BB5E5A"/>
    <w:rsid w:val="00BB69A7"/>
    <w:rsid w:val="00BB71E3"/>
    <w:rsid w:val="00BB799C"/>
    <w:rsid w:val="00BC0845"/>
    <w:rsid w:val="00BC1928"/>
    <w:rsid w:val="00BC23A4"/>
    <w:rsid w:val="00BC37D6"/>
    <w:rsid w:val="00BC3EC7"/>
    <w:rsid w:val="00BC4359"/>
    <w:rsid w:val="00BC55E3"/>
    <w:rsid w:val="00BC7337"/>
    <w:rsid w:val="00BC74E1"/>
    <w:rsid w:val="00BC76F1"/>
    <w:rsid w:val="00BD1BAD"/>
    <w:rsid w:val="00BD1BFA"/>
    <w:rsid w:val="00BD1E18"/>
    <w:rsid w:val="00BD1E80"/>
    <w:rsid w:val="00BD2755"/>
    <w:rsid w:val="00BD30B4"/>
    <w:rsid w:val="00BD4132"/>
    <w:rsid w:val="00BD5326"/>
    <w:rsid w:val="00BD571F"/>
    <w:rsid w:val="00BD6344"/>
    <w:rsid w:val="00BD711F"/>
    <w:rsid w:val="00BD7D99"/>
    <w:rsid w:val="00BE0839"/>
    <w:rsid w:val="00BE0922"/>
    <w:rsid w:val="00BE231E"/>
    <w:rsid w:val="00BE2D4F"/>
    <w:rsid w:val="00BE3FC6"/>
    <w:rsid w:val="00BE4254"/>
    <w:rsid w:val="00BE48B1"/>
    <w:rsid w:val="00BE5B1A"/>
    <w:rsid w:val="00BE6AF0"/>
    <w:rsid w:val="00BE6D74"/>
    <w:rsid w:val="00BE70A1"/>
    <w:rsid w:val="00BE764F"/>
    <w:rsid w:val="00BF02C7"/>
    <w:rsid w:val="00BF1CEA"/>
    <w:rsid w:val="00BF1FAB"/>
    <w:rsid w:val="00BF2998"/>
    <w:rsid w:val="00BF329A"/>
    <w:rsid w:val="00BF3E69"/>
    <w:rsid w:val="00BF4053"/>
    <w:rsid w:val="00BF47CA"/>
    <w:rsid w:val="00BF562A"/>
    <w:rsid w:val="00BF684D"/>
    <w:rsid w:val="00BF7343"/>
    <w:rsid w:val="00BF7667"/>
    <w:rsid w:val="00C00E6F"/>
    <w:rsid w:val="00C012F0"/>
    <w:rsid w:val="00C0133E"/>
    <w:rsid w:val="00C013F6"/>
    <w:rsid w:val="00C01D18"/>
    <w:rsid w:val="00C020F5"/>
    <w:rsid w:val="00C03CDA"/>
    <w:rsid w:val="00C05D6D"/>
    <w:rsid w:val="00C06A60"/>
    <w:rsid w:val="00C073E4"/>
    <w:rsid w:val="00C074BB"/>
    <w:rsid w:val="00C104C4"/>
    <w:rsid w:val="00C105AB"/>
    <w:rsid w:val="00C10897"/>
    <w:rsid w:val="00C1091F"/>
    <w:rsid w:val="00C1253D"/>
    <w:rsid w:val="00C135D4"/>
    <w:rsid w:val="00C13943"/>
    <w:rsid w:val="00C13C02"/>
    <w:rsid w:val="00C13D68"/>
    <w:rsid w:val="00C14250"/>
    <w:rsid w:val="00C147C9"/>
    <w:rsid w:val="00C14CA6"/>
    <w:rsid w:val="00C14CBC"/>
    <w:rsid w:val="00C163BD"/>
    <w:rsid w:val="00C17A47"/>
    <w:rsid w:val="00C20C40"/>
    <w:rsid w:val="00C21626"/>
    <w:rsid w:val="00C217FC"/>
    <w:rsid w:val="00C21818"/>
    <w:rsid w:val="00C221D5"/>
    <w:rsid w:val="00C23748"/>
    <w:rsid w:val="00C23CC9"/>
    <w:rsid w:val="00C240B3"/>
    <w:rsid w:val="00C24A08"/>
    <w:rsid w:val="00C252D8"/>
    <w:rsid w:val="00C25E64"/>
    <w:rsid w:val="00C272C7"/>
    <w:rsid w:val="00C3041C"/>
    <w:rsid w:val="00C308B5"/>
    <w:rsid w:val="00C30C14"/>
    <w:rsid w:val="00C31024"/>
    <w:rsid w:val="00C33F62"/>
    <w:rsid w:val="00C3427A"/>
    <w:rsid w:val="00C34447"/>
    <w:rsid w:val="00C34ADB"/>
    <w:rsid w:val="00C37737"/>
    <w:rsid w:val="00C40140"/>
    <w:rsid w:val="00C4079A"/>
    <w:rsid w:val="00C41765"/>
    <w:rsid w:val="00C4253A"/>
    <w:rsid w:val="00C42EB5"/>
    <w:rsid w:val="00C4403B"/>
    <w:rsid w:val="00C44F0E"/>
    <w:rsid w:val="00C45C45"/>
    <w:rsid w:val="00C463B3"/>
    <w:rsid w:val="00C517E1"/>
    <w:rsid w:val="00C51B00"/>
    <w:rsid w:val="00C52504"/>
    <w:rsid w:val="00C52622"/>
    <w:rsid w:val="00C534D9"/>
    <w:rsid w:val="00C535F8"/>
    <w:rsid w:val="00C538D5"/>
    <w:rsid w:val="00C539D6"/>
    <w:rsid w:val="00C55E32"/>
    <w:rsid w:val="00C60975"/>
    <w:rsid w:val="00C612D7"/>
    <w:rsid w:val="00C612E6"/>
    <w:rsid w:val="00C617D2"/>
    <w:rsid w:val="00C61B6E"/>
    <w:rsid w:val="00C61F08"/>
    <w:rsid w:val="00C629E8"/>
    <w:rsid w:val="00C63104"/>
    <w:rsid w:val="00C636D6"/>
    <w:rsid w:val="00C6505F"/>
    <w:rsid w:val="00C65E70"/>
    <w:rsid w:val="00C67477"/>
    <w:rsid w:val="00C67C26"/>
    <w:rsid w:val="00C71210"/>
    <w:rsid w:val="00C720A8"/>
    <w:rsid w:val="00C72547"/>
    <w:rsid w:val="00C736E7"/>
    <w:rsid w:val="00C73A1B"/>
    <w:rsid w:val="00C75766"/>
    <w:rsid w:val="00C75EA1"/>
    <w:rsid w:val="00C76301"/>
    <w:rsid w:val="00C763BE"/>
    <w:rsid w:val="00C81EC4"/>
    <w:rsid w:val="00C82E1F"/>
    <w:rsid w:val="00C82FA3"/>
    <w:rsid w:val="00C83466"/>
    <w:rsid w:val="00C83644"/>
    <w:rsid w:val="00C837E9"/>
    <w:rsid w:val="00C83DEF"/>
    <w:rsid w:val="00C84BAF"/>
    <w:rsid w:val="00C84F4E"/>
    <w:rsid w:val="00C855A8"/>
    <w:rsid w:val="00C85BFC"/>
    <w:rsid w:val="00C8618A"/>
    <w:rsid w:val="00C86772"/>
    <w:rsid w:val="00C87414"/>
    <w:rsid w:val="00C87E40"/>
    <w:rsid w:val="00C922C9"/>
    <w:rsid w:val="00C9362D"/>
    <w:rsid w:val="00C93952"/>
    <w:rsid w:val="00C94F49"/>
    <w:rsid w:val="00C954BC"/>
    <w:rsid w:val="00C95798"/>
    <w:rsid w:val="00C95D49"/>
    <w:rsid w:val="00C96041"/>
    <w:rsid w:val="00C9640F"/>
    <w:rsid w:val="00C9667A"/>
    <w:rsid w:val="00C96B61"/>
    <w:rsid w:val="00CA0944"/>
    <w:rsid w:val="00CA0BF7"/>
    <w:rsid w:val="00CA1456"/>
    <w:rsid w:val="00CA1CD8"/>
    <w:rsid w:val="00CA319C"/>
    <w:rsid w:val="00CA3580"/>
    <w:rsid w:val="00CA5500"/>
    <w:rsid w:val="00CA5ACF"/>
    <w:rsid w:val="00CA602E"/>
    <w:rsid w:val="00CA7419"/>
    <w:rsid w:val="00CB02A7"/>
    <w:rsid w:val="00CB05B3"/>
    <w:rsid w:val="00CB0633"/>
    <w:rsid w:val="00CB1590"/>
    <w:rsid w:val="00CB1E61"/>
    <w:rsid w:val="00CB284D"/>
    <w:rsid w:val="00CB5AAE"/>
    <w:rsid w:val="00CB6D74"/>
    <w:rsid w:val="00CB713D"/>
    <w:rsid w:val="00CC004A"/>
    <w:rsid w:val="00CC20F1"/>
    <w:rsid w:val="00CC4164"/>
    <w:rsid w:val="00CC4C9F"/>
    <w:rsid w:val="00CC5207"/>
    <w:rsid w:val="00CC70E6"/>
    <w:rsid w:val="00CC71CA"/>
    <w:rsid w:val="00CD02DC"/>
    <w:rsid w:val="00CD0918"/>
    <w:rsid w:val="00CD1063"/>
    <w:rsid w:val="00CD1FC2"/>
    <w:rsid w:val="00CD2490"/>
    <w:rsid w:val="00CD39DB"/>
    <w:rsid w:val="00CD410E"/>
    <w:rsid w:val="00CD5680"/>
    <w:rsid w:val="00CD5EB8"/>
    <w:rsid w:val="00CD72DA"/>
    <w:rsid w:val="00CE0824"/>
    <w:rsid w:val="00CE6F21"/>
    <w:rsid w:val="00CE740C"/>
    <w:rsid w:val="00CE754A"/>
    <w:rsid w:val="00CE7942"/>
    <w:rsid w:val="00CE7C95"/>
    <w:rsid w:val="00CE7E34"/>
    <w:rsid w:val="00CF0D6F"/>
    <w:rsid w:val="00CF0E0F"/>
    <w:rsid w:val="00CF283A"/>
    <w:rsid w:val="00CF2B80"/>
    <w:rsid w:val="00CF41B4"/>
    <w:rsid w:val="00CF48E7"/>
    <w:rsid w:val="00CF5B6E"/>
    <w:rsid w:val="00CF6F23"/>
    <w:rsid w:val="00CF723D"/>
    <w:rsid w:val="00CF76B5"/>
    <w:rsid w:val="00D01831"/>
    <w:rsid w:val="00D04CF3"/>
    <w:rsid w:val="00D04D3F"/>
    <w:rsid w:val="00D05CF0"/>
    <w:rsid w:val="00D05FAD"/>
    <w:rsid w:val="00D07195"/>
    <w:rsid w:val="00D10092"/>
    <w:rsid w:val="00D1080C"/>
    <w:rsid w:val="00D1163A"/>
    <w:rsid w:val="00D11DDD"/>
    <w:rsid w:val="00D15300"/>
    <w:rsid w:val="00D16E6E"/>
    <w:rsid w:val="00D170B1"/>
    <w:rsid w:val="00D17496"/>
    <w:rsid w:val="00D1753C"/>
    <w:rsid w:val="00D17DEB"/>
    <w:rsid w:val="00D20D79"/>
    <w:rsid w:val="00D225F4"/>
    <w:rsid w:val="00D22B97"/>
    <w:rsid w:val="00D23176"/>
    <w:rsid w:val="00D25117"/>
    <w:rsid w:val="00D261EC"/>
    <w:rsid w:val="00D26D21"/>
    <w:rsid w:val="00D30156"/>
    <w:rsid w:val="00D3039E"/>
    <w:rsid w:val="00D3063C"/>
    <w:rsid w:val="00D32CC7"/>
    <w:rsid w:val="00D32EF5"/>
    <w:rsid w:val="00D346B8"/>
    <w:rsid w:val="00D34D43"/>
    <w:rsid w:val="00D409E0"/>
    <w:rsid w:val="00D40A85"/>
    <w:rsid w:val="00D41F2E"/>
    <w:rsid w:val="00D456C2"/>
    <w:rsid w:val="00D46335"/>
    <w:rsid w:val="00D46BE0"/>
    <w:rsid w:val="00D47A96"/>
    <w:rsid w:val="00D47E51"/>
    <w:rsid w:val="00D50438"/>
    <w:rsid w:val="00D51BEF"/>
    <w:rsid w:val="00D51E26"/>
    <w:rsid w:val="00D51F89"/>
    <w:rsid w:val="00D52C0E"/>
    <w:rsid w:val="00D54303"/>
    <w:rsid w:val="00D5464B"/>
    <w:rsid w:val="00D56966"/>
    <w:rsid w:val="00D60215"/>
    <w:rsid w:val="00D60C8E"/>
    <w:rsid w:val="00D60CF9"/>
    <w:rsid w:val="00D619B2"/>
    <w:rsid w:val="00D61A0B"/>
    <w:rsid w:val="00D62AFF"/>
    <w:rsid w:val="00D63AB5"/>
    <w:rsid w:val="00D63D24"/>
    <w:rsid w:val="00D64552"/>
    <w:rsid w:val="00D653C3"/>
    <w:rsid w:val="00D656AA"/>
    <w:rsid w:val="00D66956"/>
    <w:rsid w:val="00D71429"/>
    <w:rsid w:val="00D7240F"/>
    <w:rsid w:val="00D7278F"/>
    <w:rsid w:val="00D72CE6"/>
    <w:rsid w:val="00D7350C"/>
    <w:rsid w:val="00D73A02"/>
    <w:rsid w:val="00D74A8E"/>
    <w:rsid w:val="00D74C7C"/>
    <w:rsid w:val="00D75750"/>
    <w:rsid w:val="00D75A61"/>
    <w:rsid w:val="00D7617A"/>
    <w:rsid w:val="00D769A9"/>
    <w:rsid w:val="00D76C31"/>
    <w:rsid w:val="00D80107"/>
    <w:rsid w:val="00D80861"/>
    <w:rsid w:val="00D80D5D"/>
    <w:rsid w:val="00D81EDF"/>
    <w:rsid w:val="00D8353F"/>
    <w:rsid w:val="00D8533E"/>
    <w:rsid w:val="00D857FD"/>
    <w:rsid w:val="00D8735D"/>
    <w:rsid w:val="00D90ECC"/>
    <w:rsid w:val="00D9115D"/>
    <w:rsid w:val="00D91AF7"/>
    <w:rsid w:val="00D91CC9"/>
    <w:rsid w:val="00D935A5"/>
    <w:rsid w:val="00D937D2"/>
    <w:rsid w:val="00D93B2F"/>
    <w:rsid w:val="00D96CB1"/>
    <w:rsid w:val="00D97DEA"/>
    <w:rsid w:val="00DA2AF7"/>
    <w:rsid w:val="00DA3F8F"/>
    <w:rsid w:val="00DA4BA2"/>
    <w:rsid w:val="00DA531A"/>
    <w:rsid w:val="00DA7F45"/>
    <w:rsid w:val="00DB01DB"/>
    <w:rsid w:val="00DB062E"/>
    <w:rsid w:val="00DB1385"/>
    <w:rsid w:val="00DB206C"/>
    <w:rsid w:val="00DB2C28"/>
    <w:rsid w:val="00DB2DD3"/>
    <w:rsid w:val="00DB2FC3"/>
    <w:rsid w:val="00DB3590"/>
    <w:rsid w:val="00DB46BB"/>
    <w:rsid w:val="00DB4F44"/>
    <w:rsid w:val="00DB5150"/>
    <w:rsid w:val="00DB610E"/>
    <w:rsid w:val="00DC3654"/>
    <w:rsid w:val="00DC501B"/>
    <w:rsid w:val="00DC5E7D"/>
    <w:rsid w:val="00DC6064"/>
    <w:rsid w:val="00DC6AC6"/>
    <w:rsid w:val="00DC7276"/>
    <w:rsid w:val="00DC758F"/>
    <w:rsid w:val="00DC7DF1"/>
    <w:rsid w:val="00DD02D9"/>
    <w:rsid w:val="00DD0553"/>
    <w:rsid w:val="00DD0C7B"/>
    <w:rsid w:val="00DD249E"/>
    <w:rsid w:val="00DD2719"/>
    <w:rsid w:val="00DD46E9"/>
    <w:rsid w:val="00DD51CF"/>
    <w:rsid w:val="00DD5546"/>
    <w:rsid w:val="00DD606B"/>
    <w:rsid w:val="00DD71ED"/>
    <w:rsid w:val="00DE2321"/>
    <w:rsid w:val="00DE333A"/>
    <w:rsid w:val="00DE33C5"/>
    <w:rsid w:val="00DE35B0"/>
    <w:rsid w:val="00DE3FAA"/>
    <w:rsid w:val="00DE4AC6"/>
    <w:rsid w:val="00DE59C5"/>
    <w:rsid w:val="00DE7354"/>
    <w:rsid w:val="00DF07FA"/>
    <w:rsid w:val="00DF173E"/>
    <w:rsid w:val="00DF180F"/>
    <w:rsid w:val="00DF21EA"/>
    <w:rsid w:val="00DF22EB"/>
    <w:rsid w:val="00DF311B"/>
    <w:rsid w:val="00DF3153"/>
    <w:rsid w:val="00DF3827"/>
    <w:rsid w:val="00DF4969"/>
    <w:rsid w:val="00DF50F7"/>
    <w:rsid w:val="00DF6118"/>
    <w:rsid w:val="00DF6DDB"/>
    <w:rsid w:val="00DF74C6"/>
    <w:rsid w:val="00E007CE"/>
    <w:rsid w:val="00E00DDE"/>
    <w:rsid w:val="00E00F6B"/>
    <w:rsid w:val="00E01553"/>
    <w:rsid w:val="00E031E1"/>
    <w:rsid w:val="00E031FD"/>
    <w:rsid w:val="00E0364E"/>
    <w:rsid w:val="00E03B42"/>
    <w:rsid w:val="00E051D0"/>
    <w:rsid w:val="00E056C5"/>
    <w:rsid w:val="00E0669C"/>
    <w:rsid w:val="00E0783E"/>
    <w:rsid w:val="00E10D2C"/>
    <w:rsid w:val="00E1126E"/>
    <w:rsid w:val="00E11B86"/>
    <w:rsid w:val="00E11D12"/>
    <w:rsid w:val="00E11F1F"/>
    <w:rsid w:val="00E12115"/>
    <w:rsid w:val="00E1229D"/>
    <w:rsid w:val="00E13419"/>
    <w:rsid w:val="00E13432"/>
    <w:rsid w:val="00E13762"/>
    <w:rsid w:val="00E145FA"/>
    <w:rsid w:val="00E159C6"/>
    <w:rsid w:val="00E15A7B"/>
    <w:rsid w:val="00E16331"/>
    <w:rsid w:val="00E1656E"/>
    <w:rsid w:val="00E168CC"/>
    <w:rsid w:val="00E173D3"/>
    <w:rsid w:val="00E2053C"/>
    <w:rsid w:val="00E2097F"/>
    <w:rsid w:val="00E21D42"/>
    <w:rsid w:val="00E223B3"/>
    <w:rsid w:val="00E22D07"/>
    <w:rsid w:val="00E23215"/>
    <w:rsid w:val="00E24221"/>
    <w:rsid w:val="00E24B1F"/>
    <w:rsid w:val="00E2549E"/>
    <w:rsid w:val="00E25B1C"/>
    <w:rsid w:val="00E27BDE"/>
    <w:rsid w:val="00E27EF8"/>
    <w:rsid w:val="00E306A3"/>
    <w:rsid w:val="00E33309"/>
    <w:rsid w:val="00E334B7"/>
    <w:rsid w:val="00E334E5"/>
    <w:rsid w:val="00E3617C"/>
    <w:rsid w:val="00E36556"/>
    <w:rsid w:val="00E3687A"/>
    <w:rsid w:val="00E36A40"/>
    <w:rsid w:val="00E37853"/>
    <w:rsid w:val="00E414E1"/>
    <w:rsid w:val="00E415BB"/>
    <w:rsid w:val="00E42BEC"/>
    <w:rsid w:val="00E42BF5"/>
    <w:rsid w:val="00E42F5D"/>
    <w:rsid w:val="00E437BB"/>
    <w:rsid w:val="00E446FF"/>
    <w:rsid w:val="00E44DEE"/>
    <w:rsid w:val="00E4593E"/>
    <w:rsid w:val="00E46E0D"/>
    <w:rsid w:val="00E47746"/>
    <w:rsid w:val="00E51E35"/>
    <w:rsid w:val="00E52B3C"/>
    <w:rsid w:val="00E56C33"/>
    <w:rsid w:val="00E56E43"/>
    <w:rsid w:val="00E6091E"/>
    <w:rsid w:val="00E617D1"/>
    <w:rsid w:val="00E619B6"/>
    <w:rsid w:val="00E63E35"/>
    <w:rsid w:val="00E64BDA"/>
    <w:rsid w:val="00E65DD4"/>
    <w:rsid w:val="00E670DD"/>
    <w:rsid w:val="00E671B2"/>
    <w:rsid w:val="00E7178F"/>
    <w:rsid w:val="00E7232C"/>
    <w:rsid w:val="00E72A32"/>
    <w:rsid w:val="00E72D9A"/>
    <w:rsid w:val="00E7352C"/>
    <w:rsid w:val="00E73650"/>
    <w:rsid w:val="00E739E0"/>
    <w:rsid w:val="00E745A3"/>
    <w:rsid w:val="00E746E8"/>
    <w:rsid w:val="00E74E3D"/>
    <w:rsid w:val="00E77B8E"/>
    <w:rsid w:val="00E77D42"/>
    <w:rsid w:val="00E804E0"/>
    <w:rsid w:val="00E80C44"/>
    <w:rsid w:val="00E81486"/>
    <w:rsid w:val="00E825D9"/>
    <w:rsid w:val="00E835FE"/>
    <w:rsid w:val="00E84451"/>
    <w:rsid w:val="00E846AA"/>
    <w:rsid w:val="00E856C8"/>
    <w:rsid w:val="00E87063"/>
    <w:rsid w:val="00E87200"/>
    <w:rsid w:val="00E87440"/>
    <w:rsid w:val="00E87665"/>
    <w:rsid w:val="00E90205"/>
    <w:rsid w:val="00E90B11"/>
    <w:rsid w:val="00E92459"/>
    <w:rsid w:val="00E92B00"/>
    <w:rsid w:val="00E94A2A"/>
    <w:rsid w:val="00E94DF0"/>
    <w:rsid w:val="00E95AC5"/>
    <w:rsid w:val="00E95C37"/>
    <w:rsid w:val="00E95FC6"/>
    <w:rsid w:val="00E96BDE"/>
    <w:rsid w:val="00E97C86"/>
    <w:rsid w:val="00EA17AA"/>
    <w:rsid w:val="00EA1A9B"/>
    <w:rsid w:val="00EA1B64"/>
    <w:rsid w:val="00EA1B6C"/>
    <w:rsid w:val="00EA1C4B"/>
    <w:rsid w:val="00EA3B2F"/>
    <w:rsid w:val="00EA424D"/>
    <w:rsid w:val="00EA4881"/>
    <w:rsid w:val="00EA7FB9"/>
    <w:rsid w:val="00EB0217"/>
    <w:rsid w:val="00EB1416"/>
    <w:rsid w:val="00EB1F7C"/>
    <w:rsid w:val="00EB2334"/>
    <w:rsid w:val="00EB325C"/>
    <w:rsid w:val="00EB3554"/>
    <w:rsid w:val="00EB3E25"/>
    <w:rsid w:val="00EB42CB"/>
    <w:rsid w:val="00EB54CC"/>
    <w:rsid w:val="00EB60AA"/>
    <w:rsid w:val="00EC00B7"/>
    <w:rsid w:val="00EC0F23"/>
    <w:rsid w:val="00EC1271"/>
    <w:rsid w:val="00EC13B7"/>
    <w:rsid w:val="00EC466E"/>
    <w:rsid w:val="00EC5643"/>
    <w:rsid w:val="00EC5705"/>
    <w:rsid w:val="00EC5F5C"/>
    <w:rsid w:val="00EC6D8B"/>
    <w:rsid w:val="00EC7132"/>
    <w:rsid w:val="00EC7AA5"/>
    <w:rsid w:val="00EC7DE6"/>
    <w:rsid w:val="00ED0A40"/>
    <w:rsid w:val="00ED19AC"/>
    <w:rsid w:val="00ED2338"/>
    <w:rsid w:val="00ED2D89"/>
    <w:rsid w:val="00ED3124"/>
    <w:rsid w:val="00ED336D"/>
    <w:rsid w:val="00ED3D04"/>
    <w:rsid w:val="00ED414B"/>
    <w:rsid w:val="00ED5D96"/>
    <w:rsid w:val="00ED5F09"/>
    <w:rsid w:val="00ED7CD8"/>
    <w:rsid w:val="00EE1217"/>
    <w:rsid w:val="00EE1AD3"/>
    <w:rsid w:val="00EE1B30"/>
    <w:rsid w:val="00EE1F08"/>
    <w:rsid w:val="00EE2629"/>
    <w:rsid w:val="00EE265D"/>
    <w:rsid w:val="00EE3F22"/>
    <w:rsid w:val="00EE4577"/>
    <w:rsid w:val="00EE4912"/>
    <w:rsid w:val="00EE4C75"/>
    <w:rsid w:val="00EE4DE5"/>
    <w:rsid w:val="00EE6582"/>
    <w:rsid w:val="00EE663B"/>
    <w:rsid w:val="00EE6BBF"/>
    <w:rsid w:val="00EE7176"/>
    <w:rsid w:val="00EF13CC"/>
    <w:rsid w:val="00EF1BBE"/>
    <w:rsid w:val="00EF2074"/>
    <w:rsid w:val="00EF2D82"/>
    <w:rsid w:val="00EF4AF4"/>
    <w:rsid w:val="00EF50E8"/>
    <w:rsid w:val="00EF5B2D"/>
    <w:rsid w:val="00EF79A9"/>
    <w:rsid w:val="00EF7B21"/>
    <w:rsid w:val="00F01E0F"/>
    <w:rsid w:val="00F02ED5"/>
    <w:rsid w:val="00F03076"/>
    <w:rsid w:val="00F0344B"/>
    <w:rsid w:val="00F05B39"/>
    <w:rsid w:val="00F065AC"/>
    <w:rsid w:val="00F0752D"/>
    <w:rsid w:val="00F1080E"/>
    <w:rsid w:val="00F10EBE"/>
    <w:rsid w:val="00F1126F"/>
    <w:rsid w:val="00F1262A"/>
    <w:rsid w:val="00F12AB4"/>
    <w:rsid w:val="00F1401C"/>
    <w:rsid w:val="00F14042"/>
    <w:rsid w:val="00F14D36"/>
    <w:rsid w:val="00F15445"/>
    <w:rsid w:val="00F15B3E"/>
    <w:rsid w:val="00F15BB2"/>
    <w:rsid w:val="00F1730B"/>
    <w:rsid w:val="00F2044F"/>
    <w:rsid w:val="00F2052F"/>
    <w:rsid w:val="00F20AA4"/>
    <w:rsid w:val="00F21052"/>
    <w:rsid w:val="00F220EA"/>
    <w:rsid w:val="00F22B3A"/>
    <w:rsid w:val="00F22DFB"/>
    <w:rsid w:val="00F22E41"/>
    <w:rsid w:val="00F23503"/>
    <w:rsid w:val="00F239DA"/>
    <w:rsid w:val="00F25F62"/>
    <w:rsid w:val="00F2774E"/>
    <w:rsid w:val="00F27CC7"/>
    <w:rsid w:val="00F321EC"/>
    <w:rsid w:val="00F32429"/>
    <w:rsid w:val="00F33259"/>
    <w:rsid w:val="00F33B13"/>
    <w:rsid w:val="00F3436F"/>
    <w:rsid w:val="00F350F0"/>
    <w:rsid w:val="00F356AE"/>
    <w:rsid w:val="00F36C85"/>
    <w:rsid w:val="00F36FA8"/>
    <w:rsid w:val="00F372EC"/>
    <w:rsid w:val="00F37570"/>
    <w:rsid w:val="00F37BF5"/>
    <w:rsid w:val="00F40490"/>
    <w:rsid w:val="00F404FE"/>
    <w:rsid w:val="00F40BFF"/>
    <w:rsid w:val="00F4423B"/>
    <w:rsid w:val="00F450C2"/>
    <w:rsid w:val="00F4638A"/>
    <w:rsid w:val="00F46530"/>
    <w:rsid w:val="00F501DF"/>
    <w:rsid w:val="00F50223"/>
    <w:rsid w:val="00F5071B"/>
    <w:rsid w:val="00F50FE6"/>
    <w:rsid w:val="00F516C2"/>
    <w:rsid w:val="00F51F47"/>
    <w:rsid w:val="00F5279C"/>
    <w:rsid w:val="00F52B4F"/>
    <w:rsid w:val="00F601BA"/>
    <w:rsid w:val="00F62464"/>
    <w:rsid w:val="00F631DB"/>
    <w:rsid w:val="00F65C36"/>
    <w:rsid w:val="00F661FC"/>
    <w:rsid w:val="00F664A0"/>
    <w:rsid w:val="00F6654B"/>
    <w:rsid w:val="00F66E9F"/>
    <w:rsid w:val="00F67892"/>
    <w:rsid w:val="00F7019F"/>
    <w:rsid w:val="00F7104E"/>
    <w:rsid w:val="00F713D9"/>
    <w:rsid w:val="00F74271"/>
    <w:rsid w:val="00F74A57"/>
    <w:rsid w:val="00F7542D"/>
    <w:rsid w:val="00F755B6"/>
    <w:rsid w:val="00F75AE7"/>
    <w:rsid w:val="00F75C55"/>
    <w:rsid w:val="00F768DF"/>
    <w:rsid w:val="00F77994"/>
    <w:rsid w:val="00F8023E"/>
    <w:rsid w:val="00F81230"/>
    <w:rsid w:val="00F81902"/>
    <w:rsid w:val="00F822E5"/>
    <w:rsid w:val="00F8288D"/>
    <w:rsid w:val="00F831AC"/>
    <w:rsid w:val="00F842D7"/>
    <w:rsid w:val="00F86344"/>
    <w:rsid w:val="00F87132"/>
    <w:rsid w:val="00F87439"/>
    <w:rsid w:val="00F87C00"/>
    <w:rsid w:val="00F90BDA"/>
    <w:rsid w:val="00F91328"/>
    <w:rsid w:val="00F91F31"/>
    <w:rsid w:val="00F92E20"/>
    <w:rsid w:val="00F944A2"/>
    <w:rsid w:val="00F956F9"/>
    <w:rsid w:val="00F96501"/>
    <w:rsid w:val="00F971C1"/>
    <w:rsid w:val="00F976FB"/>
    <w:rsid w:val="00F97AC6"/>
    <w:rsid w:val="00FA0A31"/>
    <w:rsid w:val="00FA0ECB"/>
    <w:rsid w:val="00FA1131"/>
    <w:rsid w:val="00FA1B6A"/>
    <w:rsid w:val="00FA52DF"/>
    <w:rsid w:val="00FA58D3"/>
    <w:rsid w:val="00FA5912"/>
    <w:rsid w:val="00FA5F08"/>
    <w:rsid w:val="00FB0C15"/>
    <w:rsid w:val="00FB1B0B"/>
    <w:rsid w:val="00FB201E"/>
    <w:rsid w:val="00FB2ABC"/>
    <w:rsid w:val="00FB2E18"/>
    <w:rsid w:val="00FB30EF"/>
    <w:rsid w:val="00FB47C5"/>
    <w:rsid w:val="00FB4812"/>
    <w:rsid w:val="00FB5760"/>
    <w:rsid w:val="00FB649B"/>
    <w:rsid w:val="00FB76FA"/>
    <w:rsid w:val="00FC052A"/>
    <w:rsid w:val="00FC0711"/>
    <w:rsid w:val="00FC09BE"/>
    <w:rsid w:val="00FC0B6A"/>
    <w:rsid w:val="00FC1801"/>
    <w:rsid w:val="00FC2636"/>
    <w:rsid w:val="00FC29CD"/>
    <w:rsid w:val="00FC4F88"/>
    <w:rsid w:val="00FC552F"/>
    <w:rsid w:val="00FC661C"/>
    <w:rsid w:val="00FC6D5A"/>
    <w:rsid w:val="00FC72A8"/>
    <w:rsid w:val="00FD0249"/>
    <w:rsid w:val="00FD07D6"/>
    <w:rsid w:val="00FD0E37"/>
    <w:rsid w:val="00FD2946"/>
    <w:rsid w:val="00FD32AF"/>
    <w:rsid w:val="00FD4D9A"/>
    <w:rsid w:val="00FD4EE7"/>
    <w:rsid w:val="00FD6EE7"/>
    <w:rsid w:val="00FD6FF8"/>
    <w:rsid w:val="00FE07D4"/>
    <w:rsid w:val="00FE0B4D"/>
    <w:rsid w:val="00FE0FE6"/>
    <w:rsid w:val="00FE22BA"/>
    <w:rsid w:val="00FE27CC"/>
    <w:rsid w:val="00FE37AB"/>
    <w:rsid w:val="00FE471D"/>
    <w:rsid w:val="00FE5724"/>
    <w:rsid w:val="00FE704F"/>
    <w:rsid w:val="00FE7909"/>
    <w:rsid w:val="00FE7FB9"/>
    <w:rsid w:val="00FF0100"/>
    <w:rsid w:val="00FF2D50"/>
    <w:rsid w:val="00FF30C8"/>
    <w:rsid w:val="00FF32D8"/>
    <w:rsid w:val="00FF3B32"/>
    <w:rsid w:val="00FF3C7B"/>
    <w:rsid w:val="00FF4B3F"/>
    <w:rsid w:val="00FF566C"/>
    <w:rsid w:val="00FF596A"/>
    <w:rsid w:val="00FF6408"/>
    <w:rsid w:val="01581DFB"/>
    <w:rsid w:val="017C1AA6"/>
    <w:rsid w:val="01D111DF"/>
    <w:rsid w:val="01F40F97"/>
    <w:rsid w:val="02981CCA"/>
    <w:rsid w:val="0308661F"/>
    <w:rsid w:val="030A261B"/>
    <w:rsid w:val="03852DB2"/>
    <w:rsid w:val="0391667F"/>
    <w:rsid w:val="052E657E"/>
    <w:rsid w:val="059750E7"/>
    <w:rsid w:val="05A42E5C"/>
    <w:rsid w:val="05B67F9C"/>
    <w:rsid w:val="05FA0BF5"/>
    <w:rsid w:val="06A87545"/>
    <w:rsid w:val="06B45DF1"/>
    <w:rsid w:val="06BE0E86"/>
    <w:rsid w:val="06CA1EAE"/>
    <w:rsid w:val="06E26799"/>
    <w:rsid w:val="074E754B"/>
    <w:rsid w:val="07C86D61"/>
    <w:rsid w:val="08224BCA"/>
    <w:rsid w:val="0A487803"/>
    <w:rsid w:val="0A757A90"/>
    <w:rsid w:val="0A887E0C"/>
    <w:rsid w:val="0B051C39"/>
    <w:rsid w:val="0B6F7FC9"/>
    <w:rsid w:val="0B7E2661"/>
    <w:rsid w:val="0BF36CA1"/>
    <w:rsid w:val="0C394516"/>
    <w:rsid w:val="0D7642B9"/>
    <w:rsid w:val="0D991492"/>
    <w:rsid w:val="0DE64670"/>
    <w:rsid w:val="0F436C64"/>
    <w:rsid w:val="107214E6"/>
    <w:rsid w:val="109476ED"/>
    <w:rsid w:val="111303BA"/>
    <w:rsid w:val="118948E8"/>
    <w:rsid w:val="11A01774"/>
    <w:rsid w:val="11C335D8"/>
    <w:rsid w:val="11DD372D"/>
    <w:rsid w:val="11E4597A"/>
    <w:rsid w:val="11E9173B"/>
    <w:rsid w:val="12E93791"/>
    <w:rsid w:val="142939BC"/>
    <w:rsid w:val="14E37D9A"/>
    <w:rsid w:val="158E6C37"/>
    <w:rsid w:val="15A01254"/>
    <w:rsid w:val="15C6232D"/>
    <w:rsid w:val="16184DC0"/>
    <w:rsid w:val="1677430E"/>
    <w:rsid w:val="1700247E"/>
    <w:rsid w:val="171A438C"/>
    <w:rsid w:val="17740CFE"/>
    <w:rsid w:val="177D2A53"/>
    <w:rsid w:val="17A23F2E"/>
    <w:rsid w:val="180651FD"/>
    <w:rsid w:val="19CC21DC"/>
    <w:rsid w:val="1A0C74F0"/>
    <w:rsid w:val="1C974EFB"/>
    <w:rsid w:val="1D00778A"/>
    <w:rsid w:val="1D1B11DA"/>
    <w:rsid w:val="20E16516"/>
    <w:rsid w:val="23457340"/>
    <w:rsid w:val="24A76A05"/>
    <w:rsid w:val="24AC59FC"/>
    <w:rsid w:val="25A018D5"/>
    <w:rsid w:val="25E75DBC"/>
    <w:rsid w:val="265A1CC8"/>
    <w:rsid w:val="26717F1C"/>
    <w:rsid w:val="29121AA7"/>
    <w:rsid w:val="2A182BB1"/>
    <w:rsid w:val="2A9326AA"/>
    <w:rsid w:val="2AB50568"/>
    <w:rsid w:val="2ABD6554"/>
    <w:rsid w:val="2B1B3087"/>
    <w:rsid w:val="2BF610BB"/>
    <w:rsid w:val="2C7434DF"/>
    <w:rsid w:val="2CAF643C"/>
    <w:rsid w:val="2E1B49C8"/>
    <w:rsid w:val="2E5518E2"/>
    <w:rsid w:val="30033712"/>
    <w:rsid w:val="31201937"/>
    <w:rsid w:val="31780C2A"/>
    <w:rsid w:val="31CE40C8"/>
    <w:rsid w:val="32BF00B1"/>
    <w:rsid w:val="3328261E"/>
    <w:rsid w:val="340A56EE"/>
    <w:rsid w:val="34531C7E"/>
    <w:rsid w:val="34BC02C5"/>
    <w:rsid w:val="35B17D16"/>
    <w:rsid w:val="36220611"/>
    <w:rsid w:val="36711294"/>
    <w:rsid w:val="36B76B62"/>
    <w:rsid w:val="37412070"/>
    <w:rsid w:val="37B502A5"/>
    <w:rsid w:val="37D52BA4"/>
    <w:rsid w:val="38190EC1"/>
    <w:rsid w:val="38806043"/>
    <w:rsid w:val="389A0D5F"/>
    <w:rsid w:val="39B16960"/>
    <w:rsid w:val="3CB44AE8"/>
    <w:rsid w:val="3DEA4DAE"/>
    <w:rsid w:val="3E2B6AC8"/>
    <w:rsid w:val="3EB92D24"/>
    <w:rsid w:val="3F495EE1"/>
    <w:rsid w:val="3FA96EBA"/>
    <w:rsid w:val="40C83ED6"/>
    <w:rsid w:val="41361118"/>
    <w:rsid w:val="41A47258"/>
    <w:rsid w:val="41B105AF"/>
    <w:rsid w:val="429A0352"/>
    <w:rsid w:val="43A8759A"/>
    <w:rsid w:val="43F82645"/>
    <w:rsid w:val="44BE7D91"/>
    <w:rsid w:val="46E84FEA"/>
    <w:rsid w:val="472C309D"/>
    <w:rsid w:val="472F5622"/>
    <w:rsid w:val="47875C6D"/>
    <w:rsid w:val="47BF6083"/>
    <w:rsid w:val="49323BBF"/>
    <w:rsid w:val="4A14583B"/>
    <w:rsid w:val="4A2052C8"/>
    <w:rsid w:val="4A4864BA"/>
    <w:rsid w:val="4A714BFD"/>
    <w:rsid w:val="4BE771D0"/>
    <w:rsid w:val="4CEA6D9D"/>
    <w:rsid w:val="4E2D12D1"/>
    <w:rsid w:val="4EEA79CF"/>
    <w:rsid w:val="52E61455"/>
    <w:rsid w:val="53E3401D"/>
    <w:rsid w:val="556957DC"/>
    <w:rsid w:val="58FD106E"/>
    <w:rsid w:val="59AF04E8"/>
    <w:rsid w:val="59E85E60"/>
    <w:rsid w:val="59F8451E"/>
    <w:rsid w:val="5A740CC3"/>
    <w:rsid w:val="5B006678"/>
    <w:rsid w:val="5B2C02E4"/>
    <w:rsid w:val="5B8A3673"/>
    <w:rsid w:val="5D8E0CC0"/>
    <w:rsid w:val="5EC948E9"/>
    <w:rsid w:val="5F17379A"/>
    <w:rsid w:val="5F230BC9"/>
    <w:rsid w:val="5F500C76"/>
    <w:rsid w:val="5F6513BF"/>
    <w:rsid w:val="61A31E59"/>
    <w:rsid w:val="61D8330C"/>
    <w:rsid w:val="62005C0F"/>
    <w:rsid w:val="624D6689"/>
    <w:rsid w:val="62684636"/>
    <w:rsid w:val="62E51784"/>
    <w:rsid w:val="644E706A"/>
    <w:rsid w:val="651B52F3"/>
    <w:rsid w:val="67514366"/>
    <w:rsid w:val="6A49024C"/>
    <w:rsid w:val="6AC0501E"/>
    <w:rsid w:val="6C695D99"/>
    <w:rsid w:val="6D307C81"/>
    <w:rsid w:val="6EB468B0"/>
    <w:rsid w:val="6EEA15E3"/>
    <w:rsid w:val="6F9E7CEB"/>
    <w:rsid w:val="70346B35"/>
    <w:rsid w:val="70E77D2C"/>
    <w:rsid w:val="713E0164"/>
    <w:rsid w:val="71B72B61"/>
    <w:rsid w:val="72867503"/>
    <w:rsid w:val="72C150B9"/>
    <w:rsid w:val="76500237"/>
    <w:rsid w:val="77086F75"/>
    <w:rsid w:val="7791148D"/>
    <w:rsid w:val="78360EBD"/>
    <w:rsid w:val="797D3B33"/>
    <w:rsid w:val="7A5B048D"/>
    <w:rsid w:val="7B6C0E3E"/>
    <w:rsid w:val="7CB71996"/>
    <w:rsid w:val="7DF0087B"/>
    <w:rsid w:val="7EBC0435"/>
    <w:rsid w:val="7F0359F2"/>
    <w:rsid w:val="7F540030"/>
    <w:rsid w:val="7F663B1F"/>
    <w:rsid w:val="7F9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宋体" w:hAnsi="Times New Roman" w:eastAsia="宋体" w:cs="Times New Roman"/>
      <w:sz w:val="21"/>
      <w:szCs w:val="24"/>
      <w:lang w:val="en-US" w:eastAsia="zh-CN" w:bidi="ar-SA"/>
    </w:rPr>
  </w:style>
  <w:style w:type="paragraph" w:styleId="3">
    <w:name w:val="heading 1"/>
    <w:basedOn w:val="1"/>
    <w:next w:val="1"/>
    <w:link w:val="59"/>
    <w:qFormat/>
    <w:uiPriority w:val="0"/>
    <w:pPr>
      <w:outlineLvl w:val="0"/>
    </w:pPr>
    <w:rPr>
      <w:sz w:val="24"/>
    </w:rPr>
  </w:style>
  <w:style w:type="paragraph" w:styleId="4">
    <w:name w:val="heading 2"/>
    <w:basedOn w:val="1"/>
    <w:next w:val="1"/>
    <w:qFormat/>
    <w:uiPriority w:val="0"/>
    <w:pPr>
      <w:outlineLvl w:val="1"/>
    </w:pPr>
  </w:style>
  <w:style w:type="paragraph" w:styleId="5">
    <w:name w:val="heading 3"/>
    <w:basedOn w:val="1"/>
    <w:next w:val="1"/>
    <w:link w:val="60"/>
    <w:qFormat/>
    <w:uiPriority w:val="0"/>
    <w:pPr>
      <w:spacing w:line="480" w:lineRule="auto"/>
      <w:outlineLvl w:val="2"/>
    </w:pPr>
    <w:rPr>
      <w:b/>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widowControl/>
      <w:tabs>
        <w:tab w:val="left" w:pos="1008"/>
      </w:tabs>
      <w:autoSpaceDE/>
      <w:autoSpaceDN/>
      <w:adjustRightInd/>
      <w:spacing w:before="280" w:after="290" w:line="376" w:lineRule="auto"/>
      <w:ind w:left="1008" w:hanging="1008"/>
      <w:outlineLvl w:val="4"/>
    </w:pPr>
    <w:rPr>
      <w:rFonts w:ascii="Times New Roman"/>
      <w:b/>
      <w:bCs/>
      <w:sz w:val="28"/>
      <w:szCs w:val="28"/>
    </w:rPr>
  </w:style>
  <w:style w:type="paragraph" w:styleId="8">
    <w:name w:val="heading 6"/>
    <w:basedOn w:val="1"/>
    <w:next w:val="1"/>
    <w:qFormat/>
    <w:uiPriority w:val="0"/>
    <w:pPr>
      <w:keepNext/>
      <w:keepLines/>
      <w:widowControl/>
      <w:tabs>
        <w:tab w:val="left" w:pos="1152"/>
      </w:tabs>
      <w:autoSpaceDE/>
      <w:autoSpaceDN/>
      <w:adjustRightInd/>
      <w:spacing w:before="240" w:after="64" w:line="320" w:lineRule="auto"/>
      <w:ind w:left="1152" w:hanging="1152"/>
      <w:outlineLvl w:val="5"/>
    </w:pPr>
    <w:rPr>
      <w:rFonts w:ascii="Arial" w:hAnsi="Arial" w:eastAsia="黑体"/>
      <w:b/>
      <w:bCs/>
    </w:rPr>
  </w:style>
  <w:style w:type="paragraph" w:styleId="9">
    <w:name w:val="heading 7"/>
    <w:basedOn w:val="1"/>
    <w:next w:val="1"/>
    <w:qFormat/>
    <w:uiPriority w:val="0"/>
    <w:pPr>
      <w:keepNext/>
      <w:keepLines/>
      <w:widowControl/>
      <w:tabs>
        <w:tab w:val="left" w:pos="1296"/>
      </w:tabs>
      <w:autoSpaceDE/>
      <w:autoSpaceDN/>
      <w:adjustRightInd/>
      <w:spacing w:before="240" w:after="64" w:line="320" w:lineRule="auto"/>
      <w:ind w:left="1296" w:hanging="1296"/>
      <w:outlineLvl w:val="6"/>
    </w:pPr>
    <w:rPr>
      <w:rFonts w:ascii="Times New Roman"/>
      <w:b/>
      <w:bCs/>
    </w:rPr>
  </w:style>
  <w:style w:type="paragraph" w:styleId="10">
    <w:name w:val="heading 8"/>
    <w:basedOn w:val="1"/>
    <w:next w:val="1"/>
    <w:qFormat/>
    <w:uiPriority w:val="0"/>
    <w:pPr>
      <w:keepNext/>
      <w:keepLines/>
      <w:widowControl/>
      <w:tabs>
        <w:tab w:val="left" w:pos="1440"/>
      </w:tabs>
      <w:autoSpaceDE/>
      <w:autoSpaceDN/>
      <w:adjustRightInd/>
      <w:spacing w:before="240" w:after="64" w:line="320" w:lineRule="auto"/>
      <w:ind w:left="1440" w:hanging="1440"/>
      <w:outlineLvl w:val="7"/>
    </w:pPr>
    <w:rPr>
      <w:rFonts w:ascii="Arial" w:hAnsi="Arial" w:eastAsia="黑体"/>
    </w:rPr>
  </w:style>
  <w:style w:type="paragraph" w:styleId="11">
    <w:name w:val="heading 9"/>
    <w:basedOn w:val="1"/>
    <w:next w:val="1"/>
    <w:qFormat/>
    <w:uiPriority w:val="0"/>
    <w:pPr>
      <w:keepNext/>
      <w:keepLines/>
      <w:widowControl/>
      <w:tabs>
        <w:tab w:val="left" w:pos="1584"/>
      </w:tabs>
      <w:autoSpaceDE/>
      <w:autoSpaceDN/>
      <w:adjustRightInd/>
      <w:spacing w:before="240" w:after="64" w:line="320" w:lineRule="auto"/>
      <w:ind w:left="1584" w:hanging="1584"/>
      <w:outlineLvl w:val="8"/>
    </w:pPr>
    <w:rPr>
      <w:rFonts w:ascii="Arial" w:hAnsi="Arial" w:eastAsia="黑体"/>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tabs>
        <w:tab w:val="right" w:leader="dot" w:pos="9629"/>
      </w:tabs>
      <w:autoSpaceDE/>
      <w:autoSpaceDN/>
      <w:adjustRightInd/>
      <w:spacing w:line="360" w:lineRule="auto"/>
      <w:jc w:val="center"/>
    </w:pPr>
    <w:rPr>
      <w:rFonts w:hAnsi="宋体"/>
      <w:bCs/>
      <w:kern w:val="2"/>
    </w:rPr>
  </w:style>
  <w:style w:type="paragraph" w:styleId="12">
    <w:name w:val="toc 7"/>
    <w:basedOn w:val="1"/>
    <w:next w:val="1"/>
    <w:qFormat/>
    <w:uiPriority w:val="0"/>
    <w:pPr>
      <w:autoSpaceDE/>
      <w:autoSpaceDN/>
      <w:adjustRightInd/>
      <w:ind w:left="2520" w:leftChars="1200"/>
      <w:jc w:val="both"/>
    </w:pPr>
    <w:rPr>
      <w:rFonts w:ascii="Times New Roman"/>
      <w:kern w:val="2"/>
    </w:rPr>
  </w:style>
  <w:style w:type="paragraph" w:styleId="13">
    <w:name w:val="Normal Indent"/>
    <w:basedOn w:val="1"/>
    <w:link w:val="61"/>
    <w:qFormat/>
    <w:uiPriority w:val="0"/>
    <w:pPr>
      <w:widowControl/>
      <w:autoSpaceDE/>
      <w:autoSpaceDN/>
      <w:adjustRightInd/>
      <w:ind w:firstLine="420" w:firstLineChars="200"/>
    </w:pPr>
    <w:rPr>
      <w:rFonts w:ascii="Times New Roman"/>
      <w:sz w:val="20"/>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List Bullet"/>
    <w:basedOn w:val="16"/>
    <w:qFormat/>
    <w:uiPriority w:val="0"/>
    <w:pPr>
      <w:widowControl/>
      <w:numPr>
        <w:ilvl w:val="0"/>
        <w:numId w:val="1"/>
      </w:numPr>
      <w:tabs>
        <w:tab w:val="left" w:pos="420"/>
      </w:tabs>
      <w:adjustRightInd/>
      <w:snapToGrid/>
      <w:ind w:right="720"/>
    </w:pPr>
    <w:rPr>
      <w:rFonts w:ascii="Garamond" w:hAnsi="Garamond"/>
      <w:kern w:val="0"/>
      <w:sz w:val="24"/>
      <w:szCs w:val="20"/>
    </w:rPr>
  </w:style>
  <w:style w:type="paragraph" w:styleId="16">
    <w:name w:val="List"/>
    <w:basedOn w:val="1"/>
    <w:qFormat/>
    <w:uiPriority w:val="0"/>
    <w:pPr>
      <w:numPr>
        <w:ilvl w:val="0"/>
        <w:numId w:val="2"/>
      </w:numPr>
      <w:autoSpaceDE/>
      <w:autoSpaceDN/>
      <w:snapToGrid w:val="0"/>
      <w:spacing w:line="300" w:lineRule="auto"/>
      <w:jc w:val="both"/>
    </w:pPr>
    <w:rPr>
      <w:rFonts w:ascii="Times New Roman"/>
      <w:kern w:val="2"/>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napToGrid w:val="0"/>
      <w:spacing w:before="120" w:line="360" w:lineRule="auto"/>
      <w:jc w:val="both"/>
    </w:pPr>
    <w:rPr>
      <w:rFonts w:ascii="Arial" w:hAnsi="Arial"/>
      <w:snapToGrid w:val="0"/>
      <w:color w:val="000000"/>
      <w:szCs w:val="20"/>
    </w:rPr>
  </w:style>
  <w:style w:type="paragraph" w:styleId="19">
    <w:name w:val="annotation text"/>
    <w:basedOn w:val="1"/>
    <w:link w:val="62"/>
    <w:qFormat/>
    <w:uiPriority w:val="0"/>
    <w:pPr>
      <w:widowControl/>
      <w:autoSpaceDE/>
      <w:autoSpaceDN/>
      <w:adjustRightInd/>
    </w:pPr>
    <w:rPr>
      <w:rFonts w:ascii="Times New Roman"/>
      <w:szCs w:val="20"/>
    </w:rPr>
  </w:style>
  <w:style w:type="paragraph" w:styleId="20">
    <w:name w:val="Body Text 3"/>
    <w:basedOn w:val="1"/>
    <w:qFormat/>
    <w:uiPriority w:val="0"/>
    <w:pPr>
      <w:ind w:right="-26"/>
      <w:jc w:val="center"/>
    </w:pPr>
    <w:rPr>
      <w:b/>
      <w:bCs/>
      <w:color w:val="3366FF"/>
      <w:kern w:val="2"/>
      <w:sz w:val="52"/>
      <w:szCs w:val="52"/>
      <w:lang w:val="zh-CN"/>
    </w:rPr>
  </w:style>
  <w:style w:type="paragraph" w:styleId="21">
    <w:name w:val="Body Text"/>
    <w:basedOn w:val="1"/>
    <w:next w:val="1"/>
    <w:qFormat/>
    <w:uiPriority w:val="0"/>
    <w:pPr>
      <w:ind w:right="-26"/>
      <w:jc w:val="center"/>
    </w:pPr>
    <w:rPr>
      <w:b/>
      <w:bCs/>
      <w:kern w:val="2"/>
      <w:sz w:val="84"/>
      <w:szCs w:val="84"/>
      <w:lang w:val="zh-CN"/>
    </w:rPr>
  </w:style>
  <w:style w:type="paragraph" w:styleId="22">
    <w:name w:val="Body Text Indent"/>
    <w:basedOn w:val="1"/>
    <w:next w:val="23"/>
    <w:link w:val="63"/>
    <w:qFormat/>
    <w:uiPriority w:val="0"/>
    <w:pPr>
      <w:autoSpaceDE/>
      <w:autoSpaceDN/>
      <w:adjustRightInd/>
      <w:ind w:left="567" w:leftChars="270"/>
      <w:jc w:val="both"/>
    </w:pPr>
    <w:rPr>
      <w:rFonts w:ascii="Times New Roman"/>
      <w:kern w:val="2"/>
      <w:szCs w:val="20"/>
    </w:rPr>
  </w:style>
  <w:style w:type="paragraph" w:styleId="23">
    <w:name w:val="Body Text First Indent 2"/>
    <w:basedOn w:val="22"/>
    <w:next w:val="1"/>
    <w:qFormat/>
    <w:uiPriority w:val="0"/>
    <w:pPr>
      <w:overflowPunct w:val="0"/>
      <w:adjustRightInd w:val="0"/>
      <w:spacing w:line="500" w:lineRule="exact"/>
      <w:ind w:firstLine="200" w:firstLineChars="200"/>
      <w:textAlignment w:val="baseline"/>
    </w:pPr>
    <w:rPr>
      <w:rFonts w:eastAsia="仿宋_GB2312"/>
      <w:kern w:val="28"/>
      <w:sz w:val="28"/>
    </w:rPr>
  </w:style>
  <w:style w:type="paragraph" w:styleId="24">
    <w:name w:val="List 2"/>
    <w:basedOn w:val="1"/>
    <w:qFormat/>
    <w:uiPriority w:val="0"/>
    <w:pPr>
      <w:widowControl/>
      <w:autoSpaceDE/>
      <w:autoSpaceDN/>
      <w:adjustRightInd/>
      <w:ind w:left="100" w:leftChars="200" w:hanging="200" w:hangingChars="200"/>
    </w:pPr>
    <w:rPr>
      <w:rFonts w:ascii="Times New Roman"/>
      <w:szCs w:val="20"/>
    </w:rPr>
  </w:style>
  <w:style w:type="paragraph" w:styleId="25">
    <w:name w:val="Block Text"/>
    <w:basedOn w:val="1"/>
    <w:qFormat/>
    <w:uiPriority w:val="0"/>
    <w:pPr>
      <w:spacing w:after="120"/>
      <w:ind w:left="1440" w:leftChars="700" w:right="1440" w:rightChars="700"/>
    </w:pPr>
  </w:style>
  <w:style w:type="paragraph" w:styleId="26">
    <w:name w:val="toc 5"/>
    <w:basedOn w:val="1"/>
    <w:next w:val="1"/>
    <w:qFormat/>
    <w:uiPriority w:val="0"/>
    <w:pPr>
      <w:widowControl/>
      <w:autoSpaceDE/>
      <w:autoSpaceDN/>
      <w:adjustRightInd/>
      <w:ind w:left="1680" w:leftChars="800"/>
    </w:pPr>
    <w:rPr>
      <w:rFonts w:ascii="Times New Roman"/>
      <w:szCs w:val="20"/>
    </w:rPr>
  </w:style>
  <w:style w:type="paragraph" w:styleId="27">
    <w:name w:val="toc 3"/>
    <w:basedOn w:val="1"/>
    <w:next w:val="1"/>
    <w:qFormat/>
    <w:uiPriority w:val="0"/>
    <w:pPr>
      <w:autoSpaceDE/>
      <w:autoSpaceDN/>
      <w:adjustRightInd/>
      <w:ind w:left="840" w:leftChars="400"/>
      <w:jc w:val="both"/>
    </w:pPr>
    <w:rPr>
      <w:rFonts w:ascii="Times New Roman"/>
      <w:kern w:val="2"/>
    </w:rPr>
  </w:style>
  <w:style w:type="paragraph" w:styleId="28">
    <w:name w:val="Plain Text"/>
    <w:basedOn w:val="1"/>
    <w:next w:val="1"/>
    <w:link w:val="64"/>
    <w:qFormat/>
    <w:uiPriority w:val="0"/>
    <w:pPr>
      <w:autoSpaceDE/>
      <w:autoSpaceDN/>
      <w:adjustRightInd/>
      <w:jc w:val="both"/>
    </w:pPr>
    <w:rPr>
      <w:rFonts w:hAnsi="Courier New"/>
      <w:kern w:val="2"/>
      <w:szCs w:val="20"/>
    </w:rPr>
  </w:style>
  <w:style w:type="paragraph" w:styleId="29">
    <w:name w:val="toc 8"/>
    <w:basedOn w:val="1"/>
    <w:next w:val="1"/>
    <w:qFormat/>
    <w:uiPriority w:val="0"/>
    <w:pPr>
      <w:autoSpaceDE/>
      <w:autoSpaceDN/>
      <w:adjustRightInd/>
      <w:ind w:left="2940" w:leftChars="1400"/>
      <w:jc w:val="both"/>
    </w:pPr>
    <w:rPr>
      <w:rFonts w:ascii="Times New Roman"/>
      <w:kern w:val="2"/>
    </w:rPr>
  </w:style>
  <w:style w:type="paragraph" w:styleId="30">
    <w:name w:val="Date"/>
    <w:basedOn w:val="1"/>
    <w:next w:val="1"/>
    <w:qFormat/>
    <w:uiPriority w:val="0"/>
    <w:pPr>
      <w:ind w:left="100" w:leftChars="2500"/>
    </w:pPr>
    <w:rPr>
      <w:b/>
      <w:bCs/>
      <w:kern w:val="2"/>
      <w:szCs w:val="21"/>
      <w:lang w:val="zh-CN"/>
    </w:rPr>
  </w:style>
  <w:style w:type="paragraph" w:styleId="31">
    <w:name w:val="Body Text Indent 2"/>
    <w:basedOn w:val="1"/>
    <w:qFormat/>
    <w:uiPriority w:val="0"/>
    <w:pPr>
      <w:tabs>
        <w:tab w:val="left" w:pos="8640"/>
      </w:tabs>
      <w:autoSpaceDE/>
      <w:autoSpaceDN/>
      <w:adjustRightInd/>
      <w:ind w:left="1260"/>
      <w:jc w:val="both"/>
    </w:pPr>
    <w:rPr>
      <w:kern w:val="2"/>
      <w:szCs w:val="20"/>
    </w:rPr>
  </w:style>
  <w:style w:type="paragraph" w:styleId="32">
    <w:name w:val="endnote text"/>
    <w:basedOn w:val="1"/>
    <w:link w:val="65"/>
    <w:qFormat/>
    <w:uiPriority w:val="0"/>
    <w:pPr>
      <w:snapToGrid w:val="0"/>
    </w:pPr>
    <w:rPr>
      <w:sz w:val="24"/>
    </w:rPr>
  </w:style>
  <w:style w:type="paragraph" w:styleId="33">
    <w:name w:val="Balloon Text"/>
    <w:basedOn w:val="1"/>
    <w:qFormat/>
    <w:uiPriority w:val="0"/>
    <w:pPr>
      <w:autoSpaceDE/>
      <w:autoSpaceDN/>
      <w:adjustRightInd/>
      <w:jc w:val="both"/>
    </w:pPr>
    <w:rPr>
      <w:rFonts w:ascii="Times New Roman"/>
      <w:kern w:val="2"/>
      <w:sz w:val="18"/>
      <w:szCs w:val="18"/>
    </w:rPr>
  </w:style>
  <w:style w:type="paragraph" w:styleId="34">
    <w:name w:val="footer"/>
    <w:basedOn w:val="1"/>
    <w:link w:val="66"/>
    <w:qFormat/>
    <w:uiPriority w:val="99"/>
    <w:pPr>
      <w:tabs>
        <w:tab w:val="center" w:pos="4153"/>
        <w:tab w:val="right" w:pos="8306"/>
      </w:tabs>
      <w:snapToGrid w:val="0"/>
    </w:pPr>
    <w:rPr>
      <w:sz w:val="18"/>
      <w:szCs w:val="18"/>
    </w:rPr>
  </w:style>
  <w:style w:type="paragraph" w:styleId="35">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36">
    <w:name w:val="toc 4"/>
    <w:basedOn w:val="1"/>
    <w:next w:val="1"/>
    <w:qFormat/>
    <w:uiPriority w:val="0"/>
    <w:pPr>
      <w:autoSpaceDE/>
      <w:autoSpaceDN/>
      <w:adjustRightInd/>
      <w:ind w:left="1260" w:leftChars="600"/>
      <w:jc w:val="both"/>
    </w:pPr>
    <w:rPr>
      <w:rFonts w:ascii="Times New Roman"/>
      <w:kern w:val="2"/>
    </w:rPr>
  </w:style>
  <w:style w:type="paragraph" w:styleId="37">
    <w:name w:val="index heading"/>
    <w:basedOn w:val="1"/>
    <w:next w:val="38"/>
    <w:qFormat/>
    <w:uiPriority w:val="0"/>
    <w:pPr>
      <w:autoSpaceDE/>
      <w:autoSpaceDN/>
      <w:adjustRightInd/>
      <w:jc w:val="both"/>
    </w:pPr>
    <w:rPr>
      <w:rFonts w:ascii="Times New Roman"/>
      <w:kern w:val="2"/>
      <w:szCs w:val="20"/>
    </w:rPr>
  </w:style>
  <w:style w:type="paragraph" w:styleId="38">
    <w:name w:val="index 1"/>
    <w:basedOn w:val="1"/>
    <w:next w:val="1"/>
    <w:qFormat/>
    <w:uiPriority w:val="0"/>
    <w:pPr>
      <w:autoSpaceDE/>
      <w:autoSpaceDN/>
      <w:adjustRightInd/>
      <w:ind w:left="540" w:leftChars="257"/>
      <w:jc w:val="both"/>
    </w:pPr>
    <w:rPr>
      <w:rFonts w:ascii="Arial" w:hAnsi="Arial" w:cs="Arial"/>
      <w:kern w:val="2"/>
    </w:rPr>
  </w:style>
  <w:style w:type="paragraph" w:styleId="39">
    <w:name w:val="toc 6"/>
    <w:basedOn w:val="1"/>
    <w:next w:val="1"/>
    <w:qFormat/>
    <w:uiPriority w:val="0"/>
    <w:pPr>
      <w:autoSpaceDE/>
      <w:autoSpaceDN/>
      <w:adjustRightInd/>
      <w:ind w:left="2100" w:leftChars="1000"/>
      <w:jc w:val="both"/>
    </w:pPr>
    <w:rPr>
      <w:rFonts w:ascii="Times New Roman"/>
      <w:kern w:val="2"/>
    </w:rPr>
  </w:style>
  <w:style w:type="paragraph" w:styleId="40">
    <w:name w:val="Body Text Indent 3"/>
    <w:basedOn w:val="1"/>
    <w:qFormat/>
    <w:uiPriority w:val="0"/>
    <w:pPr>
      <w:spacing w:line="360" w:lineRule="auto"/>
      <w:ind w:firstLine="480" w:firstLineChars="200"/>
    </w:pPr>
  </w:style>
  <w:style w:type="paragraph" w:styleId="41">
    <w:name w:val="toc 2"/>
    <w:basedOn w:val="1"/>
    <w:next w:val="1"/>
    <w:qFormat/>
    <w:uiPriority w:val="0"/>
    <w:pPr>
      <w:tabs>
        <w:tab w:val="right" w:leader="dot" w:pos="8835"/>
      </w:tabs>
      <w:autoSpaceDE/>
      <w:autoSpaceDN/>
      <w:adjustRightInd/>
      <w:ind w:left="420" w:leftChars="200"/>
      <w:jc w:val="both"/>
    </w:pPr>
    <w:rPr>
      <w:rFonts w:hAnsi="宋体"/>
      <w:kern w:val="2"/>
    </w:rPr>
  </w:style>
  <w:style w:type="paragraph" w:styleId="42">
    <w:name w:val="toc 9"/>
    <w:basedOn w:val="1"/>
    <w:next w:val="1"/>
    <w:qFormat/>
    <w:uiPriority w:val="0"/>
    <w:pPr>
      <w:autoSpaceDE/>
      <w:autoSpaceDN/>
      <w:adjustRightInd/>
      <w:ind w:left="3360" w:leftChars="1600"/>
      <w:jc w:val="both"/>
    </w:pPr>
    <w:rPr>
      <w:rFonts w:ascii="Times New Roman"/>
      <w:kern w:val="2"/>
    </w:rPr>
  </w:style>
  <w:style w:type="paragraph" w:styleId="43">
    <w:name w:val="Body Text 2"/>
    <w:basedOn w:val="1"/>
    <w:qFormat/>
    <w:uiPriority w:val="0"/>
    <w:pPr>
      <w:tabs>
        <w:tab w:val="left" w:pos="0"/>
      </w:tabs>
      <w:autoSpaceDE/>
      <w:autoSpaceDN/>
      <w:adjustRightInd/>
      <w:spacing w:line="400" w:lineRule="atLeast"/>
      <w:jc w:val="both"/>
    </w:pPr>
    <w:rPr>
      <w:rFonts w:ascii="Arial" w:hAnsi="Arial"/>
      <w:color w:val="000000"/>
      <w:kern w:val="2"/>
    </w:rPr>
  </w:style>
  <w:style w:type="paragraph" w:styleId="4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80" w:lineRule="exact"/>
    </w:pPr>
    <w:rPr>
      <w:rFonts w:ascii="黑体" w:hAnsi="Courier New" w:eastAsia="黑体"/>
      <w:sz w:val="20"/>
      <w:szCs w:val="20"/>
    </w:rPr>
  </w:style>
  <w:style w:type="paragraph" w:styleId="45">
    <w:name w:val="Normal (Web)"/>
    <w:basedOn w:val="1"/>
    <w:qFormat/>
    <w:uiPriority w:val="99"/>
    <w:pPr>
      <w:widowControl/>
      <w:autoSpaceDE/>
      <w:autoSpaceDN/>
      <w:adjustRightInd/>
      <w:spacing w:before="100" w:beforeAutospacing="1" w:after="100" w:afterAutospacing="1"/>
    </w:pPr>
    <w:rPr>
      <w:rFonts w:hAnsi="宋体"/>
      <w:sz w:val="15"/>
      <w:szCs w:val="15"/>
    </w:rPr>
  </w:style>
  <w:style w:type="paragraph" w:styleId="46">
    <w:name w:val="Title"/>
    <w:basedOn w:val="1"/>
    <w:next w:val="1"/>
    <w:qFormat/>
    <w:uiPriority w:val="0"/>
    <w:pPr>
      <w:numPr>
        <w:ilvl w:val="0"/>
        <w:numId w:val="3"/>
      </w:numPr>
      <w:tabs>
        <w:tab w:val="clear" w:pos="2121"/>
      </w:tabs>
      <w:autoSpaceDE/>
      <w:autoSpaceDN/>
      <w:snapToGrid w:val="0"/>
      <w:spacing w:before="156" w:beforeLines="50" w:after="156" w:afterLines="50"/>
      <w:ind w:left="0" w:firstLine="0"/>
      <w:jc w:val="center"/>
      <w:outlineLvl w:val="0"/>
    </w:pPr>
    <w:rPr>
      <w:rFonts w:ascii="Arial" w:hAnsi="Arial" w:cs="Arial"/>
      <w:b/>
      <w:bCs/>
      <w:kern w:val="2"/>
      <w:sz w:val="52"/>
      <w:szCs w:val="32"/>
    </w:rPr>
  </w:style>
  <w:style w:type="paragraph" w:styleId="47">
    <w:name w:val="annotation subject"/>
    <w:basedOn w:val="19"/>
    <w:next w:val="19"/>
    <w:qFormat/>
    <w:uiPriority w:val="0"/>
    <w:rPr>
      <w:b/>
      <w:bCs/>
    </w:rPr>
  </w:style>
  <w:style w:type="paragraph" w:styleId="48">
    <w:name w:val="Body Text First Indent"/>
    <w:basedOn w:val="21"/>
    <w:qFormat/>
    <w:uiPriority w:val="0"/>
    <w:pPr>
      <w:widowControl/>
      <w:autoSpaceDE/>
      <w:autoSpaceDN/>
      <w:adjustRightInd/>
      <w:spacing w:after="120"/>
      <w:ind w:right="0" w:firstLine="420" w:firstLineChars="100"/>
      <w:jc w:val="left"/>
    </w:pPr>
    <w:rPr>
      <w:rFonts w:ascii="Times New Roman"/>
      <w:b w:val="0"/>
      <w:bCs w:val="0"/>
      <w:kern w:val="0"/>
      <w:sz w:val="21"/>
      <w:szCs w:val="20"/>
      <w:lang w:val="en-US"/>
    </w:rPr>
  </w:style>
  <w:style w:type="table" w:styleId="50">
    <w:name w:val="Table Grid"/>
    <w:basedOn w:val="4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22"/>
    <w:rPr>
      <w:b/>
      <w:bCs/>
    </w:rPr>
  </w:style>
  <w:style w:type="character" w:styleId="53">
    <w:name w:val="endnote reference"/>
    <w:qFormat/>
    <w:uiPriority w:val="0"/>
    <w:rPr>
      <w:vertAlign w:val="superscript"/>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Emphasis"/>
    <w:qFormat/>
    <w:uiPriority w:val="0"/>
    <w:rPr>
      <w:i/>
      <w:iCs/>
    </w:rPr>
  </w:style>
  <w:style w:type="character" w:styleId="57">
    <w:name w:val="Hyperlink"/>
    <w:qFormat/>
    <w:uiPriority w:val="0"/>
    <w:rPr>
      <w:color w:val="0000FF"/>
      <w:u w:val="single"/>
    </w:rPr>
  </w:style>
  <w:style w:type="character" w:styleId="58">
    <w:name w:val="annotation reference"/>
    <w:qFormat/>
    <w:uiPriority w:val="0"/>
    <w:rPr>
      <w:sz w:val="21"/>
      <w:szCs w:val="21"/>
    </w:rPr>
  </w:style>
  <w:style w:type="character" w:customStyle="1" w:styleId="59">
    <w:name w:val="标题 1 字符"/>
    <w:link w:val="3"/>
    <w:qFormat/>
    <w:uiPriority w:val="0"/>
    <w:rPr>
      <w:rFonts w:ascii="宋体" w:eastAsia="宋体"/>
      <w:sz w:val="24"/>
      <w:szCs w:val="24"/>
      <w:lang w:val="en-US" w:eastAsia="zh-CN" w:bidi="ar-SA"/>
    </w:rPr>
  </w:style>
  <w:style w:type="character" w:customStyle="1" w:styleId="60">
    <w:name w:val="标题 3 字符"/>
    <w:link w:val="5"/>
    <w:qFormat/>
    <w:uiPriority w:val="0"/>
    <w:rPr>
      <w:rFonts w:ascii="宋体"/>
      <w:b/>
      <w:sz w:val="24"/>
      <w:szCs w:val="24"/>
    </w:rPr>
  </w:style>
  <w:style w:type="character" w:customStyle="1" w:styleId="61">
    <w:name w:val="正文缩进 字符"/>
    <w:link w:val="13"/>
    <w:qFormat/>
    <w:uiPriority w:val="0"/>
    <w:rPr>
      <w:rFonts w:eastAsia="宋体"/>
      <w:lang w:val="en-US" w:eastAsia="zh-CN" w:bidi="ar-SA"/>
    </w:rPr>
  </w:style>
  <w:style w:type="character" w:customStyle="1" w:styleId="62">
    <w:name w:val="批注文字 字符"/>
    <w:link w:val="19"/>
    <w:qFormat/>
    <w:uiPriority w:val="0"/>
    <w:rPr>
      <w:rFonts w:ascii="Times New Roman"/>
      <w:sz w:val="21"/>
    </w:rPr>
  </w:style>
  <w:style w:type="character" w:customStyle="1" w:styleId="63">
    <w:name w:val="正文文本缩进 字符"/>
    <w:link w:val="22"/>
    <w:qFormat/>
    <w:uiPriority w:val="0"/>
    <w:rPr>
      <w:kern w:val="2"/>
      <w:sz w:val="21"/>
    </w:rPr>
  </w:style>
  <w:style w:type="character" w:customStyle="1" w:styleId="64">
    <w:name w:val="纯文本 字符"/>
    <w:link w:val="28"/>
    <w:qFormat/>
    <w:uiPriority w:val="0"/>
    <w:rPr>
      <w:rFonts w:ascii="宋体" w:hAnsi="Courier New" w:eastAsia="宋体"/>
      <w:kern w:val="2"/>
      <w:sz w:val="21"/>
      <w:lang w:val="en-US" w:eastAsia="zh-CN" w:bidi="ar-SA"/>
    </w:rPr>
  </w:style>
  <w:style w:type="character" w:customStyle="1" w:styleId="65">
    <w:name w:val="尾注文本 字符"/>
    <w:link w:val="32"/>
    <w:qFormat/>
    <w:uiPriority w:val="0"/>
    <w:rPr>
      <w:rFonts w:ascii="宋体"/>
      <w:sz w:val="24"/>
      <w:szCs w:val="24"/>
    </w:rPr>
  </w:style>
  <w:style w:type="character" w:customStyle="1" w:styleId="66">
    <w:name w:val="页脚 字符1"/>
    <w:link w:val="34"/>
    <w:qFormat/>
    <w:uiPriority w:val="99"/>
    <w:rPr>
      <w:rFonts w:ascii="宋体"/>
      <w:sz w:val="18"/>
      <w:szCs w:val="18"/>
    </w:rPr>
  </w:style>
  <w:style w:type="character" w:customStyle="1" w:styleId="67">
    <w:name w:val="页眉 字符1"/>
    <w:link w:val="35"/>
    <w:qFormat/>
    <w:uiPriority w:val="99"/>
    <w:rPr>
      <w:rFonts w:ascii="宋体"/>
      <w:sz w:val="18"/>
      <w:szCs w:val="18"/>
    </w:rPr>
  </w:style>
  <w:style w:type="character" w:customStyle="1" w:styleId="68">
    <w:name w:val="页眉 字符"/>
    <w:qFormat/>
    <w:uiPriority w:val="99"/>
    <w:rPr>
      <w:kern w:val="2"/>
      <w:sz w:val="18"/>
      <w:szCs w:val="18"/>
    </w:rPr>
  </w:style>
  <w:style w:type="character" w:customStyle="1" w:styleId="69">
    <w:name w:val="question-title2"/>
    <w:qFormat/>
    <w:uiPriority w:val="0"/>
  </w:style>
  <w:style w:type="character" w:customStyle="1" w:styleId="70">
    <w:name w:val="页脚 字符"/>
    <w:qFormat/>
    <w:uiPriority w:val="99"/>
    <w:rPr>
      <w:kern w:val="2"/>
      <w:sz w:val="18"/>
      <w:szCs w:val="18"/>
    </w:rPr>
  </w:style>
  <w:style w:type="character" w:customStyle="1" w:styleId="71">
    <w:name w:val="p141"/>
    <w:qFormat/>
    <w:uiPriority w:val="0"/>
    <w:rPr>
      <w:sz w:val="21"/>
      <w:szCs w:val="21"/>
    </w:rPr>
  </w:style>
  <w:style w:type="character" w:customStyle="1" w:styleId="72">
    <w:name w:val="正文文本缩进 Char Char"/>
    <w:link w:val="73"/>
    <w:qFormat/>
    <w:uiPriority w:val="0"/>
    <w:rPr>
      <w:rFonts w:eastAsia="宋体"/>
      <w:lang w:bidi="ar-SA"/>
    </w:rPr>
  </w:style>
  <w:style w:type="paragraph" w:customStyle="1" w:styleId="73">
    <w:name w:val="Body Text Indent1"/>
    <w:basedOn w:val="1"/>
    <w:link w:val="72"/>
    <w:qFormat/>
    <w:uiPriority w:val="0"/>
    <w:pPr>
      <w:autoSpaceDE/>
      <w:autoSpaceDN/>
      <w:adjustRightInd/>
      <w:ind w:left="567" w:leftChars="270"/>
      <w:jc w:val="both"/>
    </w:pPr>
    <w:rPr>
      <w:rFonts w:ascii="Times New Roman"/>
      <w:sz w:val="20"/>
      <w:szCs w:val="20"/>
    </w:rPr>
  </w:style>
  <w:style w:type="character" w:customStyle="1" w:styleId="74">
    <w:name w:val="font21"/>
    <w:qFormat/>
    <w:uiPriority w:val="0"/>
    <w:rPr>
      <w:rFonts w:hint="eastAsia" w:ascii="宋体" w:hAnsi="宋体" w:eastAsia="宋体" w:cs="宋体"/>
      <w:color w:val="000000"/>
      <w:sz w:val="20"/>
      <w:szCs w:val="20"/>
      <w:u w:val="none"/>
    </w:rPr>
  </w:style>
  <w:style w:type="character" w:customStyle="1" w:styleId="75">
    <w:name w:val="f141"/>
    <w:qFormat/>
    <w:uiPriority w:val="0"/>
    <w:rPr>
      <w:sz w:val="21"/>
      <w:szCs w:val="21"/>
    </w:rPr>
  </w:style>
  <w:style w:type="character" w:customStyle="1" w:styleId="76">
    <w:name w:val="普通文字 Char Char1"/>
    <w:qFormat/>
    <w:uiPriority w:val="0"/>
    <w:rPr>
      <w:rFonts w:ascii="宋体" w:hAnsi="Courier New" w:eastAsia="宋体"/>
      <w:kern w:val="2"/>
      <w:sz w:val="21"/>
      <w:lang w:val="en-US" w:eastAsia="zh-CN" w:bidi="ar-SA"/>
    </w:rPr>
  </w:style>
  <w:style w:type="character" w:customStyle="1" w:styleId="77">
    <w:name w:val="keyfeatures1"/>
    <w:qFormat/>
    <w:uiPriority w:val="0"/>
    <w:rPr>
      <w:rFonts w:hint="default" w:ascii="Arial" w:hAnsi="Arial" w:cs="Arial"/>
      <w:color w:val="003366"/>
      <w:sz w:val="17"/>
      <w:szCs w:val="17"/>
      <w:u w:val="none"/>
    </w:rPr>
  </w:style>
  <w:style w:type="character" w:customStyle="1" w:styleId="78">
    <w:name w:val="表格文字 Char"/>
    <w:link w:val="79"/>
    <w:qFormat/>
    <w:locked/>
    <w:uiPriority w:val="0"/>
    <w:rPr>
      <w:bCs/>
      <w:spacing w:val="10"/>
      <w:sz w:val="21"/>
    </w:rPr>
  </w:style>
  <w:style w:type="paragraph" w:customStyle="1" w:styleId="79">
    <w:name w:val="表格文字"/>
    <w:basedOn w:val="1"/>
    <w:link w:val="78"/>
    <w:qFormat/>
    <w:uiPriority w:val="0"/>
    <w:pPr>
      <w:autoSpaceDE/>
      <w:autoSpaceDN/>
      <w:adjustRightInd/>
      <w:spacing w:before="25" w:after="25"/>
    </w:pPr>
    <w:rPr>
      <w:rFonts w:ascii="Times New Roman"/>
      <w:bCs/>
      <w:spacing w:val="10"/>
      <w:szCs w:val="20"/>
    </w:rPr>
  </w:style>
  <w:style w:type="character" w:customStyle="1" w:styleId="80">
    <w:name w:val="标题 1 Char1"/>
    <w:qFormat/>
    <w:uiPriority w:val="0"/>
    <w:rPr>
      <w:rFonts w:ascii="宋体" w:eastAsia="宋体"/>
      <w:sz w:val="24"/>
      <w:szCs w:val="24"/>
      <w:lang w:val="en-US" w:eastAsia="zh-CN" w:bidi="ar-SA"/>
    </w:rPr>
  </w:style>
  <w:style w:type="character" w:customStyle="1" w:styleId="81">
    <w:name w:val="style61"/>
    <w:qFormat/>
    <w:uiPriority w:val="0"/>
    <w:rPr>
      <w:b/>
      <w:bCs/>
    </w:rPr>
  </w:style>
  <w:style w:type="character" w:customStyle="1" w:styleId="82">
    <w:name w:val="font31"/>
    <w:qFormat/>
    <w:uiPriority w:val="0"/>
    <w:rPr>
      <w:rFonts w:hint="eastAsia" w:ascii="宋体" w:hAnsi="宋体" w:eastAsia="宋体" w:cs="宋体"/>
      <w:color w:val="000000"/>
      <w:sz w:val="20"/>
      <w:szCs w:val="20"/>
      <w:u w:val="none"/>
    </w:rPr>
  </w:style>
  <w:style w:type="character" w:customStyle="1" w:styleId="83">
    <w:name w:val="未处理的提及1"/>
    <w:unhideWhenUsed/>
    <w:qFormat/>
    <w:uiPriority w:val="99"/>
    <w:rPr>
      <w:color w:val="808080"/>
      <w:shd w:val="clear" w:color="auto" w:fill="E6E6E6"/>
    </w:rPr>
  </w:style>
  <w:style w:type="character" w:customStyle="1" w:styleId="84">
    <w:name w:val="p105"/>
    <w:qFormat/>
    <w:uiPriority w:val="0"/>
  </w:style>
  <w:style w:type="character" w:customStyle="1" w:styleId="85">
    <w:name w:val="标题 1 Char2"/>
    <w:qFormat/>
    <w:uiPriority w:val="0"/>
    <w:rPr>
      <w:rFonts w:ascii="宋体" w:hAnsi="Times New Roman" w:eastAsia="宋体" w:cs="Times New Roman"/>
      <w:kern w:val="0"/>
      <w:sz w:val="24"/>
      <w:szCs w:val="24"/>
    </w:rPr>
  </w:style>
  <w:style w:type="character" w:customStyle="1" w:styleId="86">
    <w:name w:val="ca-4"/>
    <w:qFormat/>
    <w:uiPriority w:val="0"/>
  </w:style>
  <w:style w:type="character" w:customStyle="1" w:styleId="87">
    <w:name w:val="纯文本 Char"/>
    <w:qFormat/>
    <w:uiPriority w:val="0"/>
    <w:rPr>
      <w:rFonts w:ascii="宋体" w:hAnsi="Courier New"/>
      <w:kern w:val="2"/>
      <w:sz w:val="21"/>
    </w:rPr>
  </w:style>
  <w:style w:type="character" w:customStyle="1" w:styleId="88">
    <w:name w:val="15"/>
    <w:qFormat/>
    <w:uiPriority w:val="0"/>
    <w:rPr>
      <w:rFonts w:hint="default" w:ascii="Times New Roman" w:hAnsi="Times New Roman" w:eastAsia="宋体" w:cs="Times New Roman"/>
      <w:kern w:val="2"/>
      <w:sz w:val="24"/>
      <w:szCs w:val="24"/>
    </w:rPr>
  </w:style>
  <w:style w:type="character" w:customStyle="1" w:styleId="89">
    <w:name w:val="正文缩进2格 Char Char"/>
    <w:link w:val="90"/>
    <w:qFormat/>
    <w:uiPriority w:val="0"/>
    <w:rPr>
      <w:rFonts w:ascii="仿宋_GB2312" w:hAnsi="宋体" w:eastAsia="仿宋_GB2312"/>
      <w:kern w:val="2"/>
      <w:sz w:val="31"/>
      <w:szCs w:val="28"/>
      <w:lang w:val="en-US" w:eastAsia="zh-CN" w:bidi="ar-SA"/>
    </w:rPr>
  </w:style>
  <w:style w:type="paragraph" w:customStyle="1" w:styleId="90">
    <w:name w:val="正文缩进2格"/>
    <w:basedOn w:val="1"/>
    <w:link w:val="89"/>
    <w:qFormat/>
    <w:uiPriority w:val="0"/>
    <w:pPr>
      <w:autoSpaceDE/>
      <w:autoSpaceDN/>
      <w:adjustRightInd/>
      <w:spacing w:line="600" w:lineRule="exact"/>
      <w:ind w:firstLine="639" w:firstLineChars="206"/>
      <w:jc w:val="both"/>
    </w:pPr>
    <w:rPr>
      <w:rFonts w:ascii="仿宋_GB2312" w:hAnsi="宋体" w:eastAsia="仿宋_GB2312"/>
      <w:kern w:val="2"/>
      <w:sz w:val="31"/>
      <w:szCs w:val="28"/>
    </w:rPr>
  </w:style>
  <w:style w:type="character" w:customStyle="1" w:styleId="91">
    <w:name w:val="DAS正文 Char Char"/>
    <w:qFormat/>
    <w:uiPriority w:val="0"/>
    <w:rPr>
      <w:rFonts w:ascii="Verdana" w:hAnsi="Verdana" w:eastAsia="宋体"/>
      <w:kern w:val="2"/>
      <w:sz w:val="21"/>
      <w:szCs w:val="21"/>
      <w:lang w:val="en-US" w:eastAsia="zh-CN" w:bidi="ar-SA"/>
    </w:rPr>
  </w:style>
  <w:style w:type="character" w:customStyle="1" w:styleId="92">
    <w:name w:val="font11"/>
    <w:qFormat/>
    <w:uiPriority w:val="0"/>
    <w:rPr>
      <w:rFonts w:hint="eastAsia" w:ascii="宋体" w:hAnsi="宋体" w:eastAsia="宋体" w:cs="宋体"/>
      <w:color w:val="000000"/>
      <w:sz w:val="24"/>
      <w:szCs w:val="24"/>
      <w:u w:val="none"/>
    </w:rPr>
  </w:style>
  <w:style w:type="paragraph" w:customStyle="1" w:styleId="93">
    <w:name w:val="技术响应1"/>
    <w:basedOn w:val="1"/>
    <w:qFormat/>
    <w:uiPriority w:val="0"/>
    <w:pPr>
      <w:widowControl/>
      <w:autoSpaceDE/>
      <w:autoSpaceDN/>
      <w:adjustRightInd/>
      <w:spacing w:line="360" w:lineRule="auto"/>
      <w:ind w:firstLine="588"/>
      <w:jc w:val="center"/>
    </w:pPr>
    <w:rPr>
      <w:b/>
      <w:sz w:val="28"/>
      <w:szCs w:val="20"/>
    </w:rPr>
  </w:style>
  <w:style w:type="paragraph" w:customStyle="1" w:styleId="94">
    <w:name w:val="正文（缩进）"/>
    <w:basedOn w:val="1"/>
    <w:qFormat/>
    <w:uiPriority w:val="0"/>
    <w:pPr>
      <w:autoSpaceDE/>
      <w:autoSpaceDN/>
      <w:adjustRightInd/>
      <w:spacing w:before="156" w:beforeLines="50" w:after="156" w:afterLines="50" w:line="360" w:lineRule="auto"/>
      <w:ind w:firstLine="480" w:firstLineChars="200"/>
      <w:jc w:val="both"/>
    </w:pPr>
    <w:rPr>
      <w:rFonts w:ascii="Times New Roman"/>
      <w:kern w:val="2"/>
    </w:rPr>
  </w:style>
  <w:style w:type="paragraph" w:customStyle="1" w:styleId="95">
    <w:name w:val="进度表"/>
    <w:basedOn w:val="13"/>
    <w:qFormat/>
    <w:uiPriority w:val="0"/>
    <w:pPr>
      <w:widowControl w:val="0"/>
      <w:snapToGrid w:val="0"/>
      <w:spacing w:line="440" w:lineRule="atLeast"/>
      <w:ind w:hanging="130" w:firstLineChars="0"/>
      <w:jc w:val="both"/>
    </w:pPr>
    <w:rPr>
      <w:rFonts w:ascii="宋体"/>
      <w:color w:val="000000"/>
      <w:kern w:val="2"/>
      <w:position w:val="-6"/>
      <w:sz w:val="28"/>
    </w:rPr>
  </w:style>
  <w:style w:type="paragraph" w:customStyle="1" w:styleId="96">
    <w:name w:val="Char Char Char1 Char Char Char Char Char Char Char"/>
    <w:basedOn w:val="1"/>
    <w:qFormat/>
    <w:uiPriority w:val="0"/>
    <w:pPr>
      <w:widowControl/>
      <w:autoSpaceDE/>
      <w:autoSpaceDN/>
      <w:adjustRightInd/>
      <w:spacing w:after="160" w:line="240" w:lineRule="exact"/>
    </w:pPr>
    <w:rPr>
      <w:rFonts w:ascii="Verdana" w:hAnsi="Verdana"/>
      <w:szCs w:val="20"/>
      <w:lang w:eastAsia="en-US"/>
    </w:rPr>
  </w:style>
  <w:style w:type="paragraph" w:customStyle="1" w:styleId="97">
    <w:name w:val="Char1 Char Char Char Char Char Char"/>
    <w:basedOn w:val="1"/>
    <w:qFormat/>
    <w:uiPriority w:val="0"/>
    <w:pPr>
      <w:widowControl/>
      <w:autoSpaceDE/>
      <w:autoSpaceDN/>
      <w:adjustRightInd/>
      <w:spacing w:line="400" w:lineRule="exact"/>
      <w:jc w:val="center"/>
    </w:pPr>
    <w:rPr>
      <w:rFonts w:ascii="Verdana" w:hAnsi="Verdana"/>
      <w:szCs w:val="20"/>
      <w:lang w:eastAsia="en-US"/>
    </w:rPr>
  </w:style>
  <w:style w:type="paragraph" w:customStyle="1" w:styleId="98">
    <w:name w:val="Char Char Char Char Char Char1 Char"/>
    <w:basedOn w:val="1"/>
    <w:qFormat/>
    <w:uiPriority w:val="0"/>
    <w:pPr>
      <w:widowControl/>
      <w:autoSpaceDE/>
      <w:autoSpaceDN/>
      <w:adjustRightInd/>
      <w:spacing w:after="160" w:line="240" w:lineRule="exact"/>
    </w:pPr>
    <w:rPr>
      <w:rFonts w:ascii="Arial" w:hAnsi="Arial" w:eastAsia="楷体_GB2312" w:cs="Verdana"/>
      <w:b/>
      <w:lang w:eastAsia="en-US"/>
    </w:rPr>
  </w:style>
  <w:style w:type="paragraph" w:customStyle="1" w:styleId="99">
    <w:name w:val="保留正文"/>
    <w:basedOn w:val="21"/>
    <w:qFormat/>
    <w:uiPriority w:val="0"/>
    <w:pPr>
      <w:keepNext/>
      <w:autoSpaceDE/>
      <w:autoSpaceDN/>
      <w:adjustRightInd/>
      <w:spacing w:after="160"/>
      <w:ind w:right="0"/>
      <w:jc w:val="both"/>
    </w:pPr>
    <w:rPr>
      <w:rFonts w:ascii="Times New Roman"/>
      <w:b w:val="0"/>
      <w:bCs w:val="0"/>
      <w:sz w:val="21"/>
      <w:szCs w:val="24"/>
      <w:lang w:val="en-US"/>
    </w:rPr>
  </w:style>
  <w:style w:type="paragraph" w:customStyle="1" w:styleId="100">
    <w:name w:val="Char Char Char Char"/>
    <w:basedOn w:val="4"/>
    <w:qFormat/>
    <w:uiPriority w:val="0"/>
    <w:pPr>
      <w:keepNext/>
      <w:keepLines/>
      <w:pageBreakBefore/>
      <w:widowControl/>
      <w:numPr>
        <w:ilvl w:val="1"/>
        <w:numId w:val="4"/>
      </w:numPr>
      <w:autoSpaceDE/>
      <w:autoSpaceDN/>
      <w:adjustRightInd/>
      <w:spacing w:before="180" w:after="160" w:line="240" w:lineRule="exact"/>
    </w:pPr>
    <w:rPr>
      <w:rFonts w:ascii="Verdana" w:hAnsi="Verdana" w:eastAsia="黑体"/>
      <w:bCs/>
      <w:sz w:val="32"/>
      <w:szCs w:val="32"/>
      <w:lang w:eastAsia="en-US"/>
    </w:rPr>
  </w:style>
  <w:style w:type="paragraph" w:customStyle="1" w:styleId="101">
    <w:name w:val="Char Char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02">
    <w:name w:val="3 Char"/>
    <w:basedOn w:val="1"/>
    <w:qFormat/>
    <w:uiPriority w:val="0"/>
    <w:pPr>
      <w:widowControl/>
      <w:autoSpaceDE/>
      <w:autoSpaceDN/>
      <w:adjustRightInd/>
      <w:spacing w:line="400" w:lineRule="exact"/>
      <w:jc w:val="center"/>
    </w:pPr>
    <w:rPr>
      <w:rFonts w:ascii="Verdana" w:hAnsi="Verdana"/>
      <w:szCs w:val="20"/>
      <w:lang w:eastAsia="en-US"/>
    </w:rPr>
  </w:style>
  <w:style w:type="paragraph" w:customStyle="1" w:styleId="103">
    <w:name w:val="Char1 Char Char Char"/>
    <w:basedOn w:val="1"/>
    <w:qFormat/>
    <w:uiPriority w:val="0"/>
    <w:pPr>
      <w:autoSpaceDE/>
      <w:autoSpaceDN/>
      <w:adjustRightInd/>
      <w:jc w:val="both"/>
    </w:pPr>
    <w:rPr>
      <w:rFonts w:ascii="Tahoma" w:hAnsi="Tahoma"/>
      <w:kern w:val="2"/>
      <w:szCs w:val="20"/>
    </w:rPr>
  </w:style>
  <w:style w:type="paragraph" w:customStyle="1" w:styleId="104">
    <w:name w:val="Char Char Char"/>
    <w:basedOn w:val="1"/>
    <w:qFormat/>
    <w:uiPriority w:val="0"/>
    <w:pPr>
      <w:autoSpaceDE/>
      <w:autoSpaceDN/>
      <w:adjustRightInd/>
      <w:jc w:val="both"/>
    </w:pPr>
    <w:rPr>
      <w:rFonts w:ascii="Tahoma" w:hAnsi="Tahoma"/>
      <w:b/>
      <w:sz w:val="28"/>
      <w:szCs w:val="20"/>
    </w:rPr>
  </w:style>
  <w:style w:type="paragraph" w:customStyle="1" w:styleId="105">
    <w:name w:val="Char2"/>
    <w:basedOn w:val="1"/>
    <w:qFormat/>
    <w:uiPriority w:val="0"/>
    <w:pPr>
      <w:widowControl/>
      <w:autoSpaceDE/>
      <w:autoSpaceDN/>
      <w:adjustRightInd/>
      <w:spacing w:after="160" w:line="240" w:lineRule="exact"/>
    </w:pPr>
    <w:rPr>
      <w:rFonts w:ascii="Verdana" w:hAnsi="Verdana" w:eastAsia="仿宋_GB2312"/>
      <w:szCs w:val="20"/>
      <w:lang w:eastAsia="en-US"/>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7">
    <w:name w:val="msolistparagraph"/>
    <w:basedOn w:val="1"/>
    <w:qFormat/>
    <w:uiPriority w:val="0"/>
    <w:pPr>
      <w:ind w:firstLine="420" w:firstLineChars="200"/>
    </w:pPr>
  </w:style>
  <w:style w:type="paragraph" w:customStyle="1" w:styleId="108">
    <w:name w:val="修订1"/>
    <w:semiHidden/>
    <w:qFormat/>
    <w:uiPriority w:val="99"/>
    <w:rPr>
      <w:rFonts w:ascii="宋体" w:hAnsi="Times New Roman" w:eastAsia="宋体" w:cs="Times New Roman"/>
      <w:sz w:val="24"/>
      <w:szCs w:val="24"/>
      <w:lang w:val="en-US" w:eastAsia="zh-CN" w:bidi="ar-SA"/>
    </w:rPr>
  </w:style>
  <w:style w:type="paragraph" w:customStyle="1" w:styleId="109">
    <w:name w:val="font5"/>
    <w:basedOn w:val="1"/>
    <w:qFormat/>
    <w:uiPriority w:val="0"/>
    <w:pPr>
      <w:widowControl/>
      <w:autoSpaceDE/>
      <w:autoSpaceDN/>
      <w:adjustRightInd/>
      <w:spacing w:before="100" w:beforeAutospacing="1" w:after="100" w:afterAutospacing="1"/>
    </w:pPr>
    <w:rPr>
      <w:rFonts w:hAnsi="宋体" w:cs="宋体"/>
      <w:sz w:val="18"/>
      <w:szCs w:val="18"/>
    </w:rPr>
  </w:style>
  <w:style w:type="paragraph" w:styleId="110">
    <w:name w:val="List Paragraph"/>
    <w:basedOn w:val="1"/>
    <w:qFormat/>
    <w:uiPriority w:val="34"/>
    <w:pPr>
      <w:autoSpaceDE/>
      <w:autoSpaceDN/>
      <w:adjustRightInd/>
      <w:ind w:firstLine="420" w:firstLineChars="200"/>
      <w:jc w:val="both"/>
    </w:pPr>
    <w:rPr>
      <w:rFonts w:ascii="Calibri" w:hAnsi="Calibri"/>
      <w:kern w:val="2"/>
      <w:szCs w:val="22"/>
    </w:rPr>
  </w:style>
  <w:style w:type="paragraph" w:customStyle="1" w:styleId="111">
    <w:name w:val="投标文件格式"/>
    <w:basedOn w:val="28"/>
    <w:qFormat/>
    <w:uiPriority w:val="0"/>
    <w:pPr>
      <w:jc w:val="center"/>
    </w:pPr>
    <w:rPr>
      <w:rFonts w:hAnsi="Times New Roman"/>
      <w:b/>
    </w:rPr>
  </w:style>
  <w:style w:type="paragraph" w:customStyle="1" w:styleId="112">
    <w:name w:val="p0"/>
    <w:basedOn w:val="1"/>
    <w:qFormat/>
    <w:uiPriority w:val="0"/>
    <w:pPr>
      <w:widowControl/>
      <w:autoSpaceDE/>
      <w:autoSpaceDN/>
      <w:adjustRightInd/>
      <w:spacing w:line="360" w:lineRule="auto"/>
      <w:ind w:firstLine="425"/>
      <w:jc w:val="both"/>
    </w:pPr>
    <w:rPr>
      <w:rFonts w:hint="eastAsia" w:ascii="Times New Roman"/>
      <w:szCs w:val="21"/>
    </w:rPr>
  </w:style>
  <w:style w:type="paragraph" w:customStyle="1" w:styleId="113">
    <w:name w:val="Standard o abs"/>
    <w:basedOn w:val="1"/>
    <w:qFormat/>
    <w:uiPriority w:val="0"/>
    <w:pPr>
      <w:tabs>
        <w:tab w:val="left" w:pos="2835"/>
        <w:tab w:val="left" w:pos="3119"/>
        <w:tab w:val="left" w:pos="3402"/>
        <w:tab w:val="left" w:pos="3686"/>
        <w:tab w:val="left" w:pos="3969"/>
        <w:tab w:val="left" w:pos="4253"/>
      </w:tabs>
      <w:autoSpaceDE/>
      <w:autoSpaceDN/>
      <w:adjustRightInd/>
      <w:jc w:val="both"/>
    </w:pPr>
    <w:rPr>
      <w:rFonts w:ascii="Times New Roman"/>
      <w:kern w:val="2"/>
    </w:rPr>
  </w:style>
  <w:style w:type="paragraph" w:customStyle="1" w:styleId="114">
    <w:name w:val="Table Paragraph"/>
    <w:basedOn w:val="1"/>
    <w:qFormat/>
    <w:uiPriority w:val="0"/>
    <w:pPr>
      <w:adjustRightInd/>
      <w:ind w:left="107"/>
    </w:pPr>
    <w:rPr>
      <w:rFonts w:hAnsi="宋体" w:cs="宋体"/>
      <w:sz w:val="22"/>
      <w:szCs w:val="22"/>
      <w:lang w:val="zh-CN"/>
    </w:rPr>
  </w:style>
  <w:style w:type="paragraph" w:customStyle="1" w:styleId="115">
    <w:name w:val="Char Char2 Char"/>
    <w:basedOn w:val="1"/>
    <w:qFormat/>
    <w:uiPriority w:val="0"/>
    <w:pPr>
      <w:autoSpaceDE/>
      <w:autoSpaceDN/>
      <w:adjustRightInd/>
      <w:jc w:val="both"/>
    </w:pPr>
    <w:rPr>
      <w:rFonts w:hAnsi="宋体"/>
      <w:b/>
      <w:kern w:val="2"/>
      <w:sz w:val="28"/>
      <w:szCs w:val="28"/>
    </w:rPr>
  </w:style>
  <w:style w:type="paragraph" w:customStyle="1" w:styleId="116">
    <w:name w:val="表头"/>
    <w:basedOn w:val="14"/>
    <w:qFormat/>
    <w:uiPriority w:val="0"/>
    <w:pPr>
      <w:keepNext/>
      <w:keepLines/>
      <w:widowControl/>
      <w:autoSpaceDE/>
      <w:autoSpaceDN/>
      <w:adjustRightInd/>
      <w:spacing w:before="120" w:after="120" w:line="300" w:lineRule="auto"/>
      <w:jc w:val="center"/>
      <w:textAlignment w:val="baseline"/>
    </w:pPr>
    <w:rPr>
      <w:rFonts w:cs="Times New Roman"/>
      <w:sz w:val="21"/>
    </w:rPr>
  </w:style>
  <w:style w:type="paragraph" w:customStyle="1" w:styleId="117">
    <w:name w:val="Char1"/>
    <w:basedOn w:val="17"/>
    <w:qFormat/>
    <w:uiPriority w:val="0"/>
    <w:pPr>
      <w:autoSpaceDE/>
      <w:autoSpaceDN/>
      <w:adjustRightInd/>
      <w:jc w:val="both"/>
    </w:pPr>
    <w:rPr>
      <w:rFonts w:ascii="Tahoma" w:hAnsi="Tahoma"/>
      <w:kern w:val="2"/>
    </w:rPr>
  </w:style>
  <w:style w:type="paragraph" w:customStyle="1" w:styleId="118">
    <w:name w:val="List Paragraph2"/>
    <w:basedOn w:val="1"/>
    <w:qFormat/>
    <w:uiPriority w:val="34"/>
    <w:pPr>
      <w:autoSpaceDE/>
      <w:autoSpaceDN/>
      <w:adjustRightInd/>
      <w:ind w:firstLine="420" w:firstLineChars="200"/>
      <w:jc w:val="both"/>
    </w:pPr>
    <w:rPr>
      <w:rFonts w:ascii="Calibri" w:hAnsi="Calibri"/>
      <w:kern w:val="2"/>
      <w:szCs w:val="22"/>
    </w:rPr>
  </w:style>
  <w:style w:type="paragraph" w:customStyle="1" w:styleId="119">
    <w:name w:val="普通 (Web)"/>
    <w:basedOn w:val="1"/>
    <w:qFormat/>
    <w:uiPriority w:val="0"/>
    <w:pPr>
      <w:widowControl/>
      <w:autoSpaceDE/>
      <w:autoSpaceDN/>
      <w:adjustRightInd/>
      <w:spacing w:before="100" w:beforeAutospacing="1" w:after="100" w:afterAutospacing="1"/>
    </w:pPr>
    <w:rPr>
      <w:rFonts w:hAnsi="宋体"/>
    </w:rPr>
  </w:style>
  <w:style w:type="paragraph" w:customStyle="1" w:styleId="120">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1">
    <w:name w:val="Bullet"/>
    <w:basedOn w:val="1"/>
    <w:qFormat/>
    <w:uiPriority w:val="0"/>
    <w:pPr>
      <w:numPr>
        <w:ilvl w:val="0"/>
        <w:numId w:val="5"/>
      </w:numPr>
      <w:autoSpaceDE/>
      <w:autoSpaceDN/>
      <w:adjustRightInd/>
      <w:spacing w:line="360" w:lineRule="exact"/>
      <w:jc w:val="both"/>
    </w:pPr>
    <w:rPr>
      <w:rFonts w:ascii="Times New Roman"/>
      <w:kern w:val="2"/>
      <w:szCs w:val="20"/>
    </w:rPr>
  </w:style>
  <w:style w:type="paragraph" w:customStyle="1" w:styleId="122">
    <w:name w:val="题注4"/>
    <w:basedOn w:val="1"/>
    <w:next w:val="14"/>
    <w:qFormat/>
    <w:uiPriority w:val="0"/>
    <w:pPr>
      <w:autoSpaceDE/>
      <w:autoSpaceDN/>
      <w:adjustRightInd/>
      <w:ind w:left="-132" w:leftChars="-64" w:right="-105" w:rightChars="-50" w:hanging="2"/>
      <w:jc w:val="center"/>
    </w:pPr>
    <w:rPr>
      <w:rFonts w:ascii="Times New Roman"/>
      <w:b/>
      <w:color w:val="FF0000"/>
      <w:kern w:val="2"/>
      <w:szCs w:val="21"/>
      <w:lang w:val="en-GB"/>
    </w:rPr>
  </w:style>
  <w:style w:type="paragraph" w:customStyle="1" w:styleId="123">
    <w:name w:val="List Paragraph1"/>
    <w:basedOn w:val="1"/>
    <w:qFormat/>
    <w:uiPriority w:val="0"/>
    <w:pPr>
      <w:autoSpaceDE/>
      <w:autoSpaceDN/>
      <w:adjustRightInd/>
      <w:ind w:firstLine="420" w:firstLineChars="200"/>
      <w:jc w:val="both"/>
    </w:pPr>
    <w:rPr>
      <w:rFonts w:ascii="Calibri" w:hAnsi="Calibri"/>
      <w:kern w:val="2"/>
      <w:szCs w:val="22"/>
    </w:rPr>
  </w:style>
  <w:style w:type="paragraph" w:customStyle="1" w:styleId="124">
    <w:name w:val="表正文"/>
    <w:basedOn w:val="1"/>
    <w:next w:val="25"/>
    <w:qFormat/>
    <w:uiPriority w:val="0"/>
    <w:pPr>
      <w:autoSpaceDE/>
      <w:autoSpaceDN/>
      <w:adjustRightInd/>
      <w:spacing w:line="360" w:lineRule="auto"/>
      <w:ind w:left="180" w:leftChars="85" w:right="2" w:hanging="2"/>
      <w:jc w:val="both"/>
    </w:pPr>
    <w:rPr>
      <w:rFonts w:ascii="Arial" w:hAnsi="Arial"/>
      <w:kern w:val="2"/>
      <w:szCs w:val="20"/>
    </w:rPr>
  </w:style>
  <w:style w:type="paragraph" w:customStyle="1" w:styleId="125">
    <w:name w:val="正文缩进4格"/>
    <w:basedOn w:val="90"/>
    <w:qFormat/>
    <w:uiPriority w:val="0"/>
    <w:pPr>
      <w:ind w:left="651" w:leftChars="310" w:firstLine="608" w:firstLineChars="196"/>
    </w:pPr>
    <w:rPr>
      <w:color w:val="000000"/>
    </w:rPr>
  </w:style>
  <w:style w:type="paragraph" w:customStyle="1" w:styleId="126">
    <w:name w:val="标题 3.5"/>
    <w:basedOn w:val="5"/>
    <w:qFormat/>
    <w:uiPriority w:val="0"/>
    <w:pPr>
      <w:autoSpaceDE/>
      <w:autoSpaceDN/>
      <w:adjustRightInd/>
      <w:spacing w:line="600" w:lineRule="exact"/>
      <w:jc w:val="both"/>
      <w:outlineLvl w:val="9"/>
    </w:pPr>
    <w:rPr>
      <w:rFonts w:ascii="Times New Roman" w:eastAsia="仿宋_GB2312"/>
      <w:kern w:val="2"/>
      <w:sz w:val="31"/>
    </w:rPr>
  </w:style>
  <w:style w:type="paragraph" w:customStyle="1" w:styleId="127">
    <w:name w:val="pa-12"/>
    <w:basedOn w:val="1"/>
    <w:qFormat/>
    <w:uiPriority w:val="0"/>
    <w:pPr>
      <w:widowControl/>
      <w:autoSpaceDE/>
      <w:autoSpaceDN/>
      <w:adjustRightInd/>
      <w:spacing w:before="150" w:after="150"/>
    </w:pPr>
    <w:rPr>
      <w:rFonts w:hAnsi="宋体" w:cs="宋体"/>
    </w:rPr>
  </w:style>
  <w:style w:type="paragraph" w:customStyle="1" w:styleId="128">
    <w:name w:val="题注5"/>
    <w:basedOn w:val="1"/>
    <w:next w:val="14"/>
    <w:qFormat/>
    <w:uiPriority w:val="0"/>
    <w:pPr>
      <w:autoSpaceDE/>
      <w:autoSpaceDN/>
      <w:adjustRightInd/>
      <w:jc w:val="center"/>
    </w:pPr>
    <w:rPr>
      <w:rFonts w:ascii="Times New Roman"/>
      <w:b/>
      <w:color w:val="000000"/>
      <w:kern w:val="2"/>
      <w:szCs w:val="21"/>
    </w:rPr>
  </w:style>
  <w:style w:type="paragraph" w:customStyle="1" w:styleId="129">
    <w:name w:val="xl34"/>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jc w:val="center"/>
    </w:pPr>
    <w:rPr>
      <w:rFonts w:hAnsi="宋体"/>
    </w:rPr>
  </w:style>
  <w:style w:type="paragraph" w:customStyle="1" w:styleId="130">
    <w:name w:val="DAS正文"/>
    <w:basedOn w:val="1"/>
    <w:qFormat/>
    <w:uiPriority w:val="0"/>
    <w:pPr>
      <w:autoSpaceDE/>
      <w:autoSpaceDN/>
      <w:adjustRightInd/>
      <w:spacing w:line="360" w:lineRule="exact"/>
      <w:jc w:val="both"/>
    </w:pPr>
    <w:rPr>
      <w:rFonts w:ascii="Verdana" w:hAnsi="Verdana"/>
      <w:kern w:val="2"/>
      <w:szCs w:val="21"/>
    </w:rPr>
  </w:style>
  <w:style w:type="paragraph" w:customStyle="1" w:styleId="131">
    <w:name w:val="Blockquote"/>
    <w:basedOn w:val="1"/>
    <w:qFormat/>
    <w:uiPriority w:val="0"/>
    <w:pPr>
      <w:spacing w:before="100" w:after="100"/>
      <w:ind w:left="360" w:right="360"/>
    </w:pPr>
    <w:rPr>
      <w:sz w:val="24"/>
      <w:szCs w:val="20"/>
    </w:rPr>
  </w:style>
  <w:style w:type="paragraph" w:customStyle="1" w:styleId="132">
    <w:name w:val="Char"/>
    <w:basedOn w:val="1"/>
    <w:qFormat/>
    <w:uiPriority w:val="0"/>
    <w:pPr>
      <w:widowControl/>
      <w:autoSpaceDE/>
      <w:autoSpaceDN/>
      <w:adjustRightInd/>
      <w:spacing w:line="400" w:lineRule="exact"/>
      <w:jc w:val="center"/>
    </w:pPr>
    <w:rPr>
      <w:rFonts w:ascii="Times New Roman"/>
      <w:szCs w:val="20"/>
    </w:rPr>
  </w:style>
  <w:style w:type="paragraph" w:customStyle="1" w:styleId="133">
    <w:name w:val="Char Char Char Char1"/>
    <w:basedOn w:val="1"/>
    <w:qFormat/>
    <w:uiPriority w:val="0"/>
    <w:pPr>
      <w:widowControl/>
      <w:autoSpaceDE/>
      <w:autoSpaceDN/>
      <w:adjustRightInd/>
      <w:spacing w:after="160" w:line="240" w:lineRule="exact"/>
    </w:pPr>
    <w:rPr>
      <w:rFonts w:ascii="Verdana" w:hAnsi="Verdana" w:eastAsia="仿宋_GB2312"/>
      <w:szCs w:val="20"/>
      <w:lang w:eastAsia="en-US"/>
    </w:rPr>
  </w:style>
  <w:style w:type="paragraph" w:customStyle="1" w:styleId="134">
    <w:name w:val="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35">
    <w:name w:val="需求书2"/>
    <w:basedOn w:val="1"/>
    <w:qFormat/>
    <w:uiPriority w:val="0"/>
    <w:pPr>
      <w:autoSpaceDE/>
      <w:autoSpaceDN/>
      <w:adjustRightInd/>
      <w:jc w:val="both"/>
    </w:pPr>
    <w:rPr>
      <w:rFonts w:hAnsi="宋体"/>
      <w:spacing w:val="10"/>
      <w:kern w:val="2"/>
      <w:sz w:val="18"/>
      <w:szCs w:val="20"/>
    </w:rPr>
  </w:style>
  <w:style w:type="paragraph" w:customStyle="1" w:styleId="136">
    <w:name w:val="正文缩进6格"/>
    <w:basedOn w:val="125"/>
    <w:qFormat/>
    <w:uiPriority w:val="0"/>
    <w:pPr>
      <w:ind w:left="1758" w:leftChars="854"/>
    </w:pPr>
  </w:style>
  <w:style w:type="paragraph" w:customStyle="1" w:styleId="137">
    <w:name w:val="目录"/>
    <w:basedOn w:val="1"/>
    <w:qFormat/>
    <w:uiPriority w:val="0"/>
    <w:pPr>
      <w:widowControl/>
      <w:autoSpaceDE/>
      <w:autoSpaceDN/>
      <w:adjustRightInd/>
      <w:spacing w:line="480" w:lineRule="auto"/>
      <w:jc w:val="center"/>
    </w:pPr>
    <w:rPr>
      <w:b/>
      <w:szCs w:val="20"/>
    </w:rPr>
  </w:style>
  <w:style w:type="paragraph" w:styleId="13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列出段落1"/>
    <w:basedOn w:val="1"/>
    <w:qFormat/>
    <w:uiPriority w:val="34"/>
    <w:pPr>
      <w:autoSpaceDE/>
      <w:autoSpaceDN/>
      <w:adjustRightInd/>
      <w:ind w:firstLine="420" w:firstLineChars="200"/>
      <w:jc w:val="both"/>
    </w:pPr>
    <w:rPr>
      <w:rFonts w:ascii="Times New Roman"/>
      <w:kern w:val="2"/>
    </w:rPr>
  </w:style>
  <w:style w:type="paragraph" w:customStyle="1" w:styleId="140">
    <w:name w:val="列表正文"/>
    <w:basedOn w:val="1"/>
    <w:qFormat/>
    <w:uiPriority w:val="0"/>
    <w:pPr>
      <w:autoSpaceDE/>
      <w:autoSpaceDN/>
      <w:snapToGrid w:val="0"/>
      <w:spacing w:line="300" w:lineRule="auto"/>
      <w:ind w:left="200" w:leftChars="200" w:firstLine="200" w:firstLineChars="200"/>
      <w:jc w:val="both"/>
    </w:pPr>
    <w:rPr>
      <w:rFonts w:ascii="Times New Roman"/>
      <w:kern w:val="2"/>
    </w:rPr>
  </w:style>
  <w:style w:type="paragraph" w:customStyle="1" w:styleId="141">
    <w:name w:val="p16"/>
    <w:basedOn w:val="1"/>
    <w:qFormat/>
    <w:uiPriority w:val="0"/>
    <w:pPr>
      <w:widowControl/>
      <w:autoSpaceDE/>
      <w:autoSpaceDN/>
      <w:adjustRightInd/>
      <w:spacing w:before="100" w:beforeAutospacing="1" w:after="100" w:afterAutospacing="1"/>
    </w:pPr>
    <w:rPr>
      <w:rFonts w:hAnsi="宋体" w:cs="宋体"/>
    </w:rPr>
  </w:style>
  <w:style w:type="paragraph" w:customStyle="1" w:styleId="142">
    <w:name w:val="xl26"/>
    <w:basedOn w:val="1"/>
    <w:qFormat/>
    <w:uiPriority w:val="0"/>
    <w:pPr>
      <w:widowControl/>
      <w:autoSpaceDE/>
      <w:autoSpaceDN/>
      <w:adjustRightInd/>
      <w:spacing w:before="100" w:beforeAutospacing="1" w:after="100" w:afterAutospacing="1"/>
      <w:jc w:val="center"/>
    </w:pPr>
    <w:rPr>
      <w:rFonts w:hint="eastAsia" w:ascii="仿宋_GB2312" w:hAnsi="宋体" w:eastAsia="仿宋_GB2312"/>
    </w:rPr>
  </w:style>
  <w:style w:type="paragraph" w:customStyle="1" w:styleId="143">
    <w:name w:val="标题 3.1"/>
    <w:basedOn w:val="5"/>
    <w:qFormat/>
    <w:uiPriority w:val="0"/>
    <w:pPr>
      <w:keepNext/>
      <w:keepLines/>
      <w:tabs>
        <w:tab w:val="left" w:pos="1440"/>
        <w:tab w:val="left" w:pos="1620"/>
      </w:tabs>
      <w:autoSpaceDE/>
      <w:autoSpaceDN/>
      <w:adjustRightInd/>
      <w:spacing w:before="260" w:after="260" w:line="600" w:lineRule="exact"/>
      <w:jc w:val="both"/>
    </w:pPr>
    <w:rPr>
      <w:rFonts w:hAnsi="宋体"/>
      <w:b w:val="0"/>
      <w:bCs/>
      <w:kern w:val="2"/>
      <w:sz w:val="32"/>
      <w:szCs w:val="32"/>
    </w:rPr>
  </w:style>
  <w:style w:type="paragraph" w:customStyle="1" w:styleId="144">
    <w:name w:val="技术响应2"/>
    <w:basedOn w:val="1"/>
    <w:qFormat/>
    <w:uiPriority w:val="0"/>
    <w:pPr>
      <w:numPr>
        <w:ilvl w:val="0"/>
        <w:numId w:val="6"/>
      </w:numPr>
      <w:autoSpaceDE/>
      <w:autoSpaceDN/>
      <w:adjustRightInd/>
      <w:jc w:val="both"/>
    </w:pPr>
    <w:rPr>
      <w:rFonts w:hAnsi="宋体"/>
      <w:b/>
      <w:bCs/>
      <w:kern w:val="2"/>
      <w:szCs w:val="20"/>
    </w:rPr>
  </w:style>
  <w:style w:type="paragraph" w:customStyle="1" w:styleId="145">
    <w:name w:val="表中文字"/>
    <w:basedOn w:val="1"/>
    <w:qFormat/>
    <w:uiPriority w:val="0"/>
    <w:pPr>
      <w:spacing w:line="400" w:lineRule="atLeast"/>
      <w:ind w:left="35" w:leftChars="14" w:hanging="1"/>
      <w:jc w:val="center"/>
      <w:textAlignment w:val="baseline"/>
    </w:pPr>
    <w:rPr>
      <w:rFonts w:ascii="Verdana" w:hAnsi="Verdana"/>
      <w:szCs w:val="28"/>
    </w:rPr>
  </w:style>
  <w:style w:type="paragraph" w:customStyle="1" w:styleId="146">
    <w:name w:val="样式 标题 3Level 3 HeadH3Heading 3 - oldh3sect1.2.3Head33l3..."/>
    <w:basedOn w:val="5"/>
    <w:qFormat/>
    <w:uiPriority w:val="0"/>
    <w:pPr>
      <w:tabs>
        <w:tab w:val="left" w:pos="720"/>
      </w:tabs>
      <w:autoSpaceDE/>
      <w:autoSpaceDN/>
      <w:adjustRightInd/>
      <w:spacing w:line="360" w:lineRule="auto"/>
      <w:ind w:left="720" w:hanging="720"/>
      <w:jc w:val="both"/>
    </w:pPr>
    <w:rPr>
      <w:rFonts w:ascii="Times New Roman" w:cs="宋体"/>
      <w:kern w:val="2"/>
      <w:sz w:val="21"/>
      <w:szCs w:val="20"/>
    </w:rPr>
  </w:style>
  <w:style w:type="paragraph" w:customStyle="1" w:styleId="147">
    <w:name w:val="图"/>
    <w:basedOn w:val="1"/>
    <w:qFormat/>
    <w:uiPriority w:val="0"/>
    <w:pPr>
      <w:keepNext/>
      <w:autoSpaceDE/>
      <w:autoSpaceDN/>
      <w:spacing w:before="60" w:after="60" w:line="300" w:lineRule="auto"/>
      <w:jc w:val="center"/>
      <w:textAlignment w:val="center"/>
    </w:pPr>
    <w:rPr>
      <w:rFonts w:ascii="Times New Roman"/>
      <w:snapToGrid w:val="0"/>
      <w:spacing w:val="20"/>
      <w:szCs w:val="20"/>
    </w:rPr>
  </w:style>
  <w:style w:type="paragraph" w:customStyle="1" w:styleId="148">
    <w:name w:val="正文无缩进"/>
    <w:basedOn w:val="90"/>
    <w:qFormat/>
    <w:uiPriority w:val="0"/>
    <w:pPr>
      <w:ind w:firstLine="0" w:firstLineChars="0"/>
    </w:pPr>
  </w:style>
  <w:style w:type="paragraph" w:customStyle="1" w:styleId="149">
    <w:name w:val="标题4"/>
    <w:basedOn w:val="90"/>
    <w:qFormat/>
    <w:uiPriority w:val="0"/>
    <w:pPr>
      <w:spacing w:line="540" w:lineRule="exact"/>
      <w:ind w:firstLine="0" w:firstLineChars="0"/>
    </w:pPr>
    <w:rPr>
      <w:rFonts w:hAnsi="Times New Roman"/>
      <w:szCs w:val="24"/>
    </w:rPr>
  </w:style>
  <w:style w:type="paragraph" w:customStyle="1" w:styleId="150">
    <w:name w:val="默认段落字体 Para Char"/>
    <w:basedOn w:val="1"/>
    <w:qFormat/>
    <w:uiPriority w:val="0"/>
    <w:pPr>
      <w:autoSpaceDE/>
      <w:autoSpaceDN/>
      <w:spacing w:line="360" w:lineRule="auto"/>
      <w:jc w:val="both"/>
    </w:pPr>
    <w:rPr>
      <w:rFonts w:ascii="Times New Roman"/>
      <w:szCs w:val="20"/>
    </w:rPr>
  </w:style>
  <w:style w:type="paragraph" w:customStyle="1" w:styleId="151">
    <w:name w:val="Char Char Char Char Char Char"/>
    <w:basedOn w:val="1"/>
    <w:qFormat/>
    <w:uiPriority w:val="0"/>
    <w:pPr>
      <w:widowControl/>
      <w:autoSpaceDE/>
      <w:autoSpaceDN/>
      <w:adjustRightInd/>
      <w:spacing w:after="160" w:line="240" w:lineRule="exact"/>
    </w:pPr>
    <w:rPr>
      <w:rFonts w:ascii="Times New Roman"/>
      <w:kern w:val="2"/>
      <w:lang w:eastAsia="en-US"/>
    </w:rPr>
  </w:style>
  <w:style w:type="paragraph" w:customStyle="1" w:styleId="152">
    <w:name w:val="日期右"/>
    <w:basedOn w:val="30"/>
    <w:qFormat/>
    <w:uiPriority w:val="0"/>
    <w:pPr>
      <w:autoSpaceDE/>
      <w:autoSpaceDN/>
      <w:adjustRightInd/>
      <w:spacing w:line="600" w:lineRule="exact"/>
      <w:ind w:left="0" w:leftChars="0"/>
      <w:jc w:val="right"/>
    </w:pPr>
    <w:rPr>
      <w:rFonts w:ascii="Times New Roman" w:eastAsia="仿宋_GB2312"/>
      <w:b w:val="0"/>
      <w:bCs w:val="0"/>
      <w:sz w:val="31"/>
      <w:szCs w:val="24"/>
      <w:lang w:val="en-US"/>
    </w:rPr>
  </w:style>
  <w:style w:type="paragraph" w:customStyle="1" w:styleId="153">
    <w:name w:val="列出段落2"/>
    <w:basedOn w:val="1"/>
    <w:qFormat/>
    <w:uiPriority w:val="0"/>
    <w:pPr>
      <w:ind w:firstLine="420" w:firstLineChars="200"/>
    </w:pPr>
    <w:rPr>
      <w:rFonts w:ascii="Calibri" w:hAnsi="Calibri"/>
      <w:szCs w:val="22"/>
    </w:rPr>
  </w:style>
  <w:style w:type="paragraph" w:customStyle="1" w:styleId="154">
    <w:name w:val="xl25"/>
    <w:basedOn w:val="1"/>
    <w:qFormat/>
    <w:uiPriority w:val="0"/>
    <w:pPr>
      <w:widowControl/>
      <w:pBdr>
        <w:bottom w:val="single" w:color="auto" w:sz="4" w:space="0"/>
        <w:right w:val="single" w:color="auto" w:sz="4" w:space="0"/>
      </w:pBdr>
      <w:autoSpaceDE/>
      <w:autoSpaceDN/>
      <w:adjustRightInd/>
      <w:spacing w:before="100" w:beforeAutospacing="1" w:after="100" w:afterAutospacing="1"/>
      <w:jc w:val="center"/>
    </w:pPr>
    <w:rPr>
      <w:rFonts w:hAnsi="宋体"/>
      <w:szCs w:val="21"/>
    </w:rPr>
  </w:style>
  <w:style w:type="paragraph" w:customStyle="1" w:styleId="155">
    <w:name w:val="中等深浅底纹 1 - 强调文字颜色 11"/>
    <w:qFormat/>
    <w:uiPriority w:val="1"/>
    <w:rPr>
      <w:rFonts w:ascii="Calibri" w:hAnsi="Calibri" w:eastAsia="宋体" w:cs="Times New Roman"/>
      <w:sz w:val="22"/>
      <w:szCs w:val="22"/>
      <w:lang w:val="en-US" w:eastAsia="zh-CN" w:bidi="ar-SA"/>
    </w:rPr>
  </w:style>
  <w:style w:type="paragraph" w:customStyle="1" w:styleId="156">
    <w:name w:val="Char Char1 Char Char Char Char Char Char Char Char Char Char Char Char Char Char"/>
    <w:basedOn w:val="1"/>
    <w:qFormat/>
    <w:uiPriority w:val="0"/>
    <w:pPr>
      <w:widowControl/>
      <w:autoSpaceDE/>
      <w:autoSpaceDN/>
      <w:adjustRightInd/>
      <w:spacing w:after="160" w:line="240" w:lineRule="exact"/>
    </w:pPr>
    <w:rPr>
      <w:rFonts w:ascii="Verdana" w:hAnsi="Verdana"/>
      <w:sz w:val="20"/>
      <w:szCs w:val="20"/>
      <w:lang w:eastAsia="en-US"/>
    </w:rPr>
  </w:style>
  <w:style w:type="paragraph" w:customStyle="1" w:styleId="157">
    <w:name w:val="Char3"/>
    <w:basedOn w:val="1"/>
    <w:qFormat/>
    <w:uiPriority w:val="0"/>
    <w:pPr>
      <w:widowControl/>
      <w:autoSpaceDE/>
      <w:autoSpaceDN/>
      <w:adjustRightInd/>
      <w:spacing w:after="160" w:line="240" w:lineRule="exact"/>
      <w:jc w:val="center"/>
    </w:pPr>
    <w:rPr>
      <w:rFonts w:ascii="黑体" w:hAnsi="Verdana" w:eastAsia="黑体"/>
      <w:sz w:val="32"/>
      <w:szCs w:val="32"/>
      <w:lang w:eastAsia="en-US"/>
    </w:rPr>
  </w:style>
  <w:style w:type="paragraph" w:customStyle="1" w:styleId="158">
    <w:name w:val="xl29"/>
    <w:basedOn w:val="1"/>
    <w:qFormat/>
    <w:uiPriority w:val="0"/>
    <w:pPr>
      <w:widowControl/>
      <w:autoSpaceDE/>
      <w:autoSpaceDN/>
      <w:adjustRightInd/>
      <w:spacing w:before="100" w:beforeAutospacing="1" w:after="100" w:afterAutospacing="1"/>
      <w:jc w:val="center"/>
    </w:pPr>
    <w:rPr>
      <w:rFonts w:hAnsi="宋体"/>
      <w:sz w:val="28"/>
      <w:szCs w:val="28"/>
    </w:rPr>
  </w:style>
  <w:style w:type="paragraph" w:customStyle="1" w:styleId="159">
    <w:name w:val="纯文本1"/>
    <w:basedOn w:val="1"/>
    <w:qFormat/>
    <w:uiPriority w:val="0"/>
    <w:rPr>
      <w:rFonts w:hAnsi="Courier New"/>
      <w:sz w:val="20"/>
      <w:szCs w:val="21"/>
    </w:rPr>
  </w:style>
  <w:style w:type="paragraph" w:customStyle="1" w:styleId="160">
    <w:name w:val="Char Char1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61">
    <w:name w:val="正文居中"/>
    <w:basedOn w:val="1"/>
    <w:next w:val="1"/>
    <w:qFormat/>
    <w:uiPriority w:val="0"/>
    <w:pPr>
      <w:autoSpaceDE/>
      <w:autoSpaceDN/>
      <w:snapToGrid w:val="0"/>
      <w:spacing w:line="300" w:lineRule="auto"/>
      <w:jc w:val="center"/>
    </w:pPr>
    <w:rPr>
      <w:rFonts w:ascii="Times New Roman"/>
      <w:kern w:val="2"/>
    </w:rPr>
  </w:style>
  <w:style w:type="table" w:customStyle="1" w:styleId="162">
    <w:name w:val="Table Normal"/>
    <w:unhideWhenUsed/>
    <w:qFormat/>
    <w:uiPriority w:val="0"/>
    <w:tblPr>
      <w:tblCellMar>
        <w:top w:w="0" w:type="dxa"/>
        <w:left w:w="0" w:type="dxa"/>
        <w:bottom w:w="0" w:type="dxa"/>
        <w:right w:w="0" w:type="dxa"/>
      </w:tblCellMar>
    </w:tblPr>
  </w:style>
  <w:style w:type="paragraph" w:customStyle="1" w:styleId="163">
    <w:name w:val="项目-图表标题"/>
    <w:basedOn w:val="1"/>
    <w:qFormat/>
    <w:uiPriority w:val="0"/>
    <w:pPr>
      <w:spacing w:line="360" w:lineRule="auto"/>
      <w:jc w:val="center"/>
    </w:pPr>
    <w:rPr>
      <w:rFonts w:ascii="仿宋" w:hAnsi="仿宋" w:eastAsia="仿宋"/>
      <w:b/>
      <w:sz w:val="24"/>
      <w:szCs w:val="21"/>
    </w:rPr>
  </w:style>
  <w:style w:type="paragraph" w:customStyle="1" w:styleId="164">
    <w:name w:val="！正文"/>
    <w:basedOn w:val="1"/>
    <w:qFormat/>
    <w:uiPriority w:val="0"/>
    <w:pPr>
      <w:spacing w:line="360" w:lineRule="auto"/>
      <w:ind w:firstLine="200" w:firstLineChars="200"/>
    </w:pPr>
    <w:rPr>
      <w:szCs w:val="28"/>
      <w:lang w:val="zh-CN"/>
    </w:rPr>
  </w:style>
  <w:style w:type="paragraph" w:customStyle="1" w:styleId="165">
    <w:name w:val="表格字体"/>
    <w:basedOn w:val="1"/>
    <w:link w:val="166"/>
    <w:qFormat/>
    <w:uiPriority w:val="0"/>
    <w:pPr>
      <w:spacing w:before="30" w:beforeLines="30" w:after="30" w:afterLines="30"/>
      <w:jc w:val="center"/>
    </w:pPr>
    <w:rPr>
      <w:rFonts w:ascii="Times New Roman"/>
    </w:rPr>
  </w:style>
  <w:style w:type="character" w:customStyle="1" w:styleId="166">
    <w:name w:val="表格字体 Char"/>
    <w:link w:val="165"/>
    <w:qFormat/>
    <w:uiPriority w:val="0"/>
    <w:rPr>
      <w:sz w:val="21"/>
      <w:szCs w:val="24"/>
    </w:rPr>
  </w:style>
  <w:style w:type="character" w:customStyle="1" w:styleId="167">
    <w:name w:val="段 Char"/>
    <w:link w:val="168"/>
    <w:qFormat/>
    <w:uiPriority w:val="0"/>
    <w:rPr>
      <w:rFonts w:ascii="宋体"/>
    </w:rPr>
  </w:style>
  <w:style w:type="paragraph" w:customStyle="1" w:styleId="168">
    <w:name w:val="段"/>
    <w:next w:val="1"/>
    <w:link w:val="167"/>
    <w:qFormat/>
    <w:uiPriority w:val="0"/>
    <w:pPr>
      <w:autoSpaceDE w:val="0"/>
      <w:autoSpaceDN w:val="0"/>
      <w:ind w:firstLine="200" w:firstLineChars="200"/>
      <w:jc w:val="both"/>
    </w:pPr>
    <w:rPr>
      <w:rFonts w:ascii="宋体" w:hAnsi="Times New Roman" w:eastAsia="宋体" w:cs="Times New Roman"/>
      <w:lang w:val="en-US" w:eastAsia="zh-CN" w:bidi="ar-SA"/>
    </w:rPr>
  </w:style>
  <w:style w:type="paragraph" w:customStyle="1" w:styleId="169">
    <w:name w:val="_Style 44"/>
    <w:basedOn w:val="1"/>
    <w:qFormat/>
    <w:uiPriority w:val="0"/>
    <w:pPr>
      <w:ind w:firstLine="420" w:firstLineChars="200"/>
    </w:pPr>
    <w:rPr>
      <w:rFonts w:ascii="Calibri" w:hAnsi="Calibri"/>
      <w:sz w:val="24"/>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41514</Words>
  <Characters>44142</Characters>
  <Lines>352</Lines>
  <Paragraphs>99</Paragraphs>
  <TotalTime>11</TotalTime>
  <ScaleCrop>false</ScaleCrop>
  <LinksUpToDate>false</LinksUpToDate>
  <CharactersWithSpaces>47241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2023-03-10T03:02:00Z</dcterms:created>
  <dc:creator>ChesterCade</dc:creator>
  <cp:lastModifiedBy>EricT</cp:lastModifiedBy>
  <cp:lastPrinted>2021-11-29T01:32:00Z</cp:lastPrinted>
  <dcterms:modified xsi:type="dcterms:W3CDTF">2023-05-08T02:56:36Z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D406C3766D18404790DC4EBF512C2714_13</vt:lpwstr>
  </property>
</Properties>
</file>